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91555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5266F4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>17</w:t>
      </w:r>
      <w:r w:rsidR="00467815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DD1B11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  <w:r w:rsidR="005266F4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>8</w:t>
      </w:r>
      <w:r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805659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>maio</w:t>
      </w:r>
      <w:r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B91555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B91555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B91555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B91555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B91555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B91555">
        <w:rPr>
          <w:b/>
          <w:bCs/>
          <w:smallCaps/>
          <w:sz w:val="22"/>
          <w:szCs w:val="22"/>
        </w:rPr>
        <w:t>S</w:t>
      </w:r>
      <w:r w:rsidR="00FF7C62" w:rsidRPr="00B91555">
        <w:rPr>
          <w:b/>
          <w:bCs/>
          <w:smallCaps/>
          <w:sz w:val="22"/>
          <w:szCs w:val="22"/>
        </w:rPr>
        <w:t>UMÁRIO</w:t>
      </w:r>
    </w:p>
    <w:p w:rsidR="009444E6" w:rsidRPr="00B91555" w:rsidRDefault="009444E6" w:rsidP="00867E32">
      <w:pPr>
        <w:pStyle w:val="tita"/>
        <w:tabs>
          <w:tab w:val="left" w:pos="2590"/>
        </w:tabs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B91555">
        <w:rPr>
          <w:i w:val="0"/>
          <w:iCs w:val="0"/>
          <w:sz w:val="22"/>
          <w:szCs w:val="22"/>
        </w:rPr>
        <w:t>Plenário</w:t>
      </w:r>
    </w:p>
    <w:p w:rsidR="004471BC" w:rsidRPr="00B91555" w:rsidRDefault="004471BC" w:rsidP="00867E32">
      <w:pPr>
        <w:pStyle w:val="TCU-SemRecuo"/>
        <w:spacing w:before="60" w:after="60"/>
        <w:rPr>
          <w:sz w:val="22"/>
          <w:szCs w:val="22"/>
        </w:rPr>
      </w:pPr>
      <w:r w:rsidRPr="00B91555">
        <w:rPr>
          <w:sz w:val="22"/>
          <w:szCs w:val="22"/>
        </w:rPr>
        <w:t>No caso de impossibilidade de obtenção de preços referenciais, via sistemas oficiais, para a estimativa dos custos em processos licitatórios, deve ser realizada pesquisa contendo o mínimo de três cotações de empresas/fornecedores distintos, fazendo constar do respectivo processo a documentação comprobatória pertinente aos levantamentos e estudos que fundamentaram o preço estimado, devendo ser devidamente justificadas as situações em que não for possível atingir o número mínimo de cotações.</w:t>
      </w:r>
    </w:p>
    <w:p w:rsidR="00867E32" w:rsidRPr="00B91555" w:rsidRDefault="00867E32" w:rsidP="00867E3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ind w:left="0"/>
        <w:rPr>
          <w:color w:val="FF0000"/>
          <w:sz w:val="22"/>
          <w:szCs w:val="22"/>
        </w:rPr>
      </w:pPr>
      <w:r w:rsidRPr="00B91555">
        <w:rPr>
          <w:sz w:val="22"/>
          <w:szCs w:val="22"/>
        </w:rPr>
        <w:t>Contratos de serviços de publicidade: a empresa contratada pelo Poder Público deve exigir da empresa eventualmente subcontratada a documentação relativa à regularidade fiscal prevista no art. 29 da Lei 8.666/1993.</w:t>
      </w:r>
    </w:p>
    <w:p w:rsidR="00867E32" w:rsidRPr="00B91555" w:rsidRDefault="00867E32" w:rsidP="00867E32">
      <w:pPr>
        <w:pStyle w:val="TCU-RelVoto-demais"/>
        <w:tabs>
          <w:tab w:val="left" w:pos="2590"/>
        </w:tabs>
        <w:spacing w:before="60" w:after="60"/>
        <w:rPr>
          <w:color w:val="FF0000"/>
          <w:sz w:val="22"/>
        </w:rPr>
      </w:pPr>
      <w:r w:rsidRPr="00B91555">
        <w:rPr>
          <w:sz w:val="22"/>
        </w:rPr>
        <w:t>É possível a participação de empresas ‘consolidadas’ em licitações para aquisição de passagens aéreas, ainda que declarações necessárias à tal participação sejam emitidas em nome de empresa ‘consolidadora’.</w:t>
      </w:r>
    </w:p>
    <w:p w:rsidR="00867E32" w:rsidRPr="00B91555" w:rsidRDefault="00867E32" w:rsidP="00867E32">
      <w:pPr>
        <w:tabs>
          <w:tab w:val="left" w:pos="851"/>
        </w:tabs>
        <w:spacing w:before="60" w:after="60"/>
        <w:ind w:left="0"/>
        <w:rPr>
          <w:sz w:val="22"/>
          <w:szCs w:val="22"/>
        </w:rPr>
      </w:pPr>
      <w:r w:rsidRPr="00B91555">
        <w:rPr>
          <w:sz w:val="22"/>
          <w:szCs w:val="22"/>
        </w:rPr>
        <w:t>Em contratação</w:t>
      </w:r>
      <w:r w:rsidR="00F2601B" w:rsidRPr="00B91555">
        <w:rPr>
          <w:sz w:val="22"/>
          <w:szCs w:val="22"/>
        </w:rPr>
        <w:t xml:space="preserve"> de</w:t>
      </w:r>
      <w:r w:rsidRPr="00B91555">
        <w:rPr>
          <w:sz w:val="22"/>
          <w:szCs w:val="22"/>
        </w:rPr>
        <w:t xml:space="preserve"> serviços de assistência médico</w:t>
      </w:r>
      <w:r w:rsidRPr="00B91555">
        <w:rPr>
          <w:sz w:val="22"/>
          <w:szCs w:val="22"/>
        </w:rPr>
        <w:noBreakHyphen/>
        <w:t xml:space="preserve">hospitalar para empregados públicos devem ser </w:t>
      </w:r>
      <w:r w:rsidRPr="00B91555">
        <w:rPr>
          <w:sz w:val="22"/>
          <w:szCs w:val="22"/>
          <w:lang w:eastAsia="pt-BR"/>
        </w:rPr>
        <w:t>admitidos todos os tipos de operadoras de plano de assistência à saúde previstos no art. 1º da Lei nº 9.656/1998, salvo exceções tecnicamente fundamentadas.</w:t>
      </w:r>
    </w:p>
    <w:p w:rsidR="00867E32" w:rsidRPr="00B91555" w:rsidRDefault="00F2601B" w:rsidP="00867E32">
      <w:pPr>
        <w:pStyle w:val="TCU-RelVoto-demais"/>
        <w:tabs>
          <w:tab w:val="left" w:pos="2590"/>
        </w:tabs>
        <w:spacing w:before="60" w:after="60"/>
        <w:rPr>
          <w:color w:val="FF0000"/>
          <w:sz w:val="22"/>
        </w:rPr>
      </w:pPr>
      <w:r w:rsidRPr="00B91555">
        <w:rPr>
          <w:sz w:val="22"/>
        </w:rPr>
        <w:t>Concorrência do tipo técnica e preço para a revisão e elaboração de projeto básico de obra rodoviária:</w:t>
      </w:r>
    </w:p>
    <w:p w:rsidR="00867E32" w:rsidRPr="00B91555" w:rsidRDefault="00867E32" w:rsidP="00867E32">
      <w:pPr>
        <w:pStyle w:val="TCU-RelVoto-demais"/>
        <w:tabs>
          <w:tab w:val="clear" w:pos="1134"/>
          <w:tab w:val="left" w:pos="851"/>
          <w:tab w:val="left" w:pos="2590"/>
        </w:tabs>
        <w:spacing w:before="60" w:after="60"/>
        <w:rPr>
          <w:sz w:val="22"/>
        </w:rPr>
      </w:pPr>
      <w:r w:rsidRPr="00B91555">
        <w:rPr>
          <w:color w:val="FF0000"/>
          <w:sz w:val="22"/>
        </w:rPr>
        <w:tab/>
      </w:r>
      <w:r w:rsidRPr="00B91555">
        <w:rPr>
          <w:sz w:val="22"/>
        </w:rPr>
        <w:t xml:space="preserve">1 – É possível a atribuição de pontuação a partir do critério “fator de permanência”, excetuadas as situações em que o objeto específico da licitação, </w:t>
      </w:r>
      <w:r w:rsidR="00B91555" w:rsidRPr="00B91555">
        <w:rPr>
          <w:sz w:val="22"/>
        </w:rPr>
        <w:t>pelas</w:t>
      </w:r>
      <w:r w:rsidRPr="00B91555">
        <w:rPr>
          <w:sz w:val="22"/>
        </w:rPr>
        <w:t xml:space="preserve"> condições de mercado, permita concluir que seria possível execução a contento, mesmo que a contratada não possua em seus quadros profissionais estáveis e reconhecidos;</w:t>
      </w:r>
    </w:p>
    <w:p w:rsidR="00867E32" w:rsidRPr="00B91555" w:rsidRDefault="00867E32" w:rsidP="00867E32">
      <w:pPr>
        <w:pStyle w:val="TCU-RelVoto-demais"/>
        <w:tabs>
          <w:tab w:val="clear" w:pos="1134"/>
          <w:tab w:val="left" w:pos="851"/>
          <w:tab w:val="left" w:pos="2590"/>
        </w:tabs>
        <w:spacing w:before="60" w:after="60"/>
        <w:rPr>
          <w:color w:val="FF0000"/>
          <w:sz w:val="22"/>
        </w:rPr>
      </w:pPr>
      <w:r w:rsidRPr="00B91555">
        <w:rPr>
          <w:sz w:val="22"/>
        </w:rPr>
        <w:tab/>
        <w:t>2 – A limitação das propostas de preço ao orçamento de referência da licitação é aplicável</w:t>
      </w:r>
      <w:r w:rsidR="00F2601B" w:rsidRPr="00B91555">
        <w:rPr>
          <w:sz w:val="22"/>
        </w:rPr>
        <w:t xml:space="preserve"> também</w:t>
      </w:r>
      <w:r w:rsidRPr="00B91555">
        <w:rPr>
          <w:sz w:val="22"/>
        </w:rPr>
        <w:t xml:space="preserve"> às licitações que utilizem o tipo técnica e preço.</w:t>
      </w:r>
    </w:p>
    <w:p w:rsidR="00867E32" w:rsidRPr="00B91555" w:rsidRDefault="00867E32" w:rsidP="00867E32">
      <w:pPr>
        <w:pStyle w:val="Corpodetexto"/>
        <w:tabs>
          <w:tab w:val="left" w:pos="1134"/>
          <w:tab w:val="left" w:pos="2590"/>
        </w:tabs>
        <w:spacing w:before="60" w:after="60"/>
        <w:ind w:left="0"/>
        <w:rPr>
          <w:sz w:val="22"/>
          <w:szCs w:val="22"/>
        </w:rPr>
      </w:pPr>
      <w:r w:rsidRPr="00B91555">
        <w:rPr>
          <w:sz w:val="22"/>
          <w:szCs w:val="22"/>
        </w:rPr>
        <w:t xml:space="preserve">Licitação para aquisição de produtos de merenda escolar: </w:t>
      </w:r>
    </w:p>
    <w:p w:rsidR="00867E32" w:rsidRPr="00B91555" w:rsidRDefault="00867E32" w:rsidP="00867E32">
      <w:pPr>
        <w:pStyle w:val="Corpodetexto"/>
        <w:tabs>
          <w:tab w:val="left" w:pos="851"/>
          <w:tab w:val="left" w:pos="2590"/>
        </w:tabs>
        <w:spacing w:before="60" w:after="60"/>
        <w:ind w:left="0"/>
        <w:rPr>
          <w:color w:val="FF0000"/>
          <w:sz w:val="22"/>
          <w:szCs w:val="22"/>
        </w:rPr>
      </w:pPr>
      <w:r w:rsidRPr="00B91555">
        <w:rPr>
          <w:sz w:val="22"/>
          <w:szCs w:val="22"/>
        </w:rPr>
        <w:tab/>
        <w:t>1 – A desclassificação de licitante deve estar amparada em laudo ou parecer que indique, de modo completo, as deficiências na amostra do produto a ser adquirido, quando esta é exigida;</w:t>
      </w:r>
    </w:p>
    <w:p w:rsidR="00867E32" w:rsidRPr="00B91555" w:rsidRDefault="00867E32" w:rsidP="00867E32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/>
        <w:rPr>
          <w:color w:val="FF0000"/>
          <w:sz w:val="22"/>
          <w:szCs w:val="22"/>
        </w:rPr>
      </w:pPr>
      <w:r w:rsidRPr="00B91555">
        <w:rPr>
          <w:sz w:val="22"/>
          <w:szCs w:val="22"/>
        </w:rPr>
        <w:tab/>
        <w:t xml:space="preserve">2 - Em regra, as aquisições por parte de instituições públicas devem ocorrer por itens, sendo que no caso de opção de aquisição por lotes a composição destes deve </w:t>
      </w:r>
      <w:r w:rsidR="00F2601B" w:rsidRPr="00B91555">
        <w:rPr>
          <w:sz w:val="22"/>
          <w:szCs w:val="22"/>
        </w:rPr>
        <w:t>ter</w:t>
      </w:r>
      <w:r w:rsidRPr="00B91555">
        <w:rPr>
          <w:sz w:val="22"/>
          <w:szCs w:val="22"/>
        </w:rPr>
        <w:t xml:space="preserve"> justificativa plausível;</w:t>
      </w:r>
    </w:p>
    <w:p w:rsidR="00867E32" w:rsidRPr="00B91555" w:rsidRDefault="00867E32" w:rsidP="00867E32">
      <w:pPr>
        <w:pStyle w:val="Corpodetexto"/>
        <w:tabs>
          <w:tab w:val="left" w:pos="851"/>
          <w:tab w:val="left" w:pos="2590"/>
        </w:tabs>
        <w:spacing w:before="60" w:after="60"/>
        <w:ind w:left="0"/>
        <w:rPr>
          <w:sz w:val="22"/>
          <w:szCs w:val="22"/>
        </w:rPr>
      </w:pPr>
      <w:r w:rsidRPr="00B91555">
        <w:rPr>
          <w:sz w:val="22"/>
          <w:szCs w:val="22"/>
        </w:rPr>
        <w:tab/>
        <w:t>3 – No caso de aquisição de gêneros componentes de merenda escolar, mesmo com o uso do registro de preços, é necessário indicação dos recursos orçamentários que a suportarão.</w:t>
      </w:r>
    </w:p>
    <w:p w:rsidR="006242BF" w:rsidRPr="00B91555" w:rsidRDefault="006242BF" w:rsidP="00867E32">
      <w:pPr>
        <w:pStyle w:val="Corpodetexto"/>
        <w:tabs>
          <w:tab w:val="left" w:pos="2590"/>
        </w:tabs>
        <w:spacing w:before="60" w:after="60"/>
        <w:ind w:left="0" w:firstLine="851"/>
        <w:rPr>
          <w:b/>
          <w:color w:val="FF0000"/>
          <w:sz w:val="22"/>
          <w:szCs w:val="22"/>
        </w:rPr>
      </w:pPr>
    </w:p>
    <w:p w:rsidR="003C6DEB" w:rsidRPr="00B91555" w:rsidRDefault="003C6DEB" w:rsidP="006242BF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B91555">
        <w:rPr>
          <w:b/>
          <w:bCs/>
          <w:smallCaps/>
          <w:sz w:val="22"/>
          <w:szCs w:val="22"/>
        </w:rPr>
        <w:t>PLENÁRIO</w:t>
      </w:r>
    </w:p>
    <w:p w:rsidR="003C6DEB" w:rsidRPr="00B91555" w:rsidRDefault="003C6DEB" w:rsidP="006242BF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C934E0" w:rsidRPr="00B91555" w:rsidRDefault="004471BC" w:rsidP="00C934E0">
      <w:pPr>
        <w:pStyle w:val="TCU-SemRecuo"/>
        <w:spacing w:after="0"/>
        <w:rPr>
          <w:b/>
          <w:sz w:val="22"/>
          <w:szCs w:val="22"/>
        </w:rPr>
      </w:pPr>
      <w:r w:rsidRPr="00B91555">
        <w:rPr>
          <w:b/>
          <w:sz w:val="22"/>
          <w:szCs w:val="22"/>
        </w:rPr>
        <w:t>N</w:t>
      </w:r>
      <w:r w:rsidR="00C934E0" w:rsidRPr="00B91555">
        <w:rPr>
          <w:b/>
          <w:sz w:val="22"/>
          <w:szCs w:val="22"/>
        </w:rPr>
        <w:t xml:space="preserve">o caso de impossibilidade de obtenção de preços referenciais, via sistemas oficiais, para a estimativa dos custos em processos licitatórios, deve ser realizada pesquisa contendo o mínimo de três cotações de empresas/fornecedores distintos, fazendo constar do respectivo processo a documentação comprobatória pertinente aos levantamentos e estudos que fundamentaram o preço estimado, devendo ser devidamente justificadas as situações em que não for possível atingir </w:t>
      </w:r>
      <w:r w:rsidRPr="00B91555">
        <w:rPr>
          <w:b/>
          <w:sz w:val="22"/>
          <w:szCs w:val="22"/>
        </w:rPr>
        <w:t>o</w:t>
      </w:r>
      <w:r w:rsidR="00C934E0" w:rsidRPr="00B91555">
        <w:rPr>
          <w:b/>
          <w:sz w:val="22"/>
          <w:szCs w:val="22"/>
        </w:rPr>
        <w:t xml:space="preserve"> número </w:t>
      </w:r>
      <w:r w:rsidRPr="00B91555">
        <w:rPr>
          <w:b/>
          <w:sz w:val="22"/>
          <w:szCs w:val="22"/>
        </w:rPr>
        <w:t xml:space="preserve">mínimo </w:t>
      </w:r>
      <w:r w:rsidR="00C934E0" w:rsidRPr="00B91555">
        <w:rPr>
          <w:b/>
          <w:sz w:val="22"/>
          <w:szCs w:val="22"/>
        </w:rPr>
        <w:t>de cotações</w:t>
      </w:r>
    </w:p>
    <w:p w:rsidR="006242BF" w:rsidRPr="00B91555" w:rsidRDefault="00611C07" w:rsidP="00C934E0">
      <w:pPr>
        <w:pStyle w:val="TCU-SemRecuo"/>
        <w:spacing w:after="0"/>
        <w:rPr>
          <w:sz w:val="22"/>
          <w:szCs w:val="22"/>
        </w:rPr>
      </w:pPr>
      <w:r w:rsidRPr="00B91555">
        <w:rPr>
          <w:sz w:val="22"/>
          <w:szCs w:val="22"/>
        </w:rPr>
        <w:t>Mediante auditoria</w:t>
      </w:r>
      <w:r w:rsidR="00C934E0" w:rsidRPr="00B91555">
        <w:rPr>
          <w:sz w:val="22"/>
          <w:szCs w:val="22"/>
        </w:rPr>
        <w:t xml:space="preserve">, o TCU </w:t>
      </w:r>
      <w:r w:rsidRPr="00B91555">
        <w:rPr>
          <w:sz w:val="22"/>
          <w:szCs w:val="22"/>
        </w:rPr>
        <w:t>fiscaliz</w:t>
      </w:r>
      <w:r w:rsidR="00C934E0" w:rsidRPr="00B91555">
        <w:rPr>
          <w:sz w:val="22"/>
          <w:szCs w:val="22"/>
        </w:rPr>
        <w:t>ou</w:t>
      </w:r>
      <w:r w:rsidRPr="00B91555">
        <w:rPr>
          <w:sz w:val="22"/>
          <w:szCs w:val="22"/>
        </w:rPr>
        <w:t xml:space="preserve"> </w:t>
      </w:r>
      <w:r w:rsidR="0094589B" w:rsidRPr="00B91555">
        <w:rPr>
          <w:sz w:val="22"/>
          <w:szCs w:val="22"/>
        </w:rPr>
        <w:t>a</w:t>
      </w:r>
      <w:r w:rsidRPr="00B91555">
        <w:rPr>
          <w:sz w:val="22"/>
          <w:szCs w:val="22"/>
        </w:rPr>
        <w:t>s obras da fábrica de hemoderivados e biotecnologia da Empresa Brasileira de Hemoderivados e Biotecnologia – (Hemobrás), em Goiana/PE, examin</w:t>
      </w:r>
      <w:r w:rsidR="00C934E0" w:rsidRPr="00B91555">
        <w:rPr>
          <w:sz w:val="22"/>
          <w:szCs w:val="22"/>
        </w:rPr>
        <w:t>ando, para tanto,</w:t>
      </w:r>
      <w:r w:rsidRPr="00B91555">
        <w:rPr>
          <w:sz w:val="22"/>
          <w:szCs w:val="22"/>
        </w:rPr>
        <w:t xml:space="preserve"> documentos relativos à Concorrência nº 2/2010, cujo objeto consistiu na contratação de empresa </w:t>
      </w:r>
      <w:r w:rsidR="000B6BC1" w:rsidRPr="00B91555">
        <w:rPr>
          <w:sz w:val="22"/>
          <w:szCs w:val="22"/>
        </w:rPr>
        <w:t xml:space="preserve">para </w:t>
      </w:r>
      <w:r w:rsidRPr="00B91555">
        <w:rPr>
          <w:sz w:val="22"/>
          <w:szCs w:val="22"/>
        </w:rPr>
        <w:t>a execução das obras, instalações e serviços para continuidade do parque industrial da Hemobrás naquela cidade. Ao analisar a composição da planilha que serviu de base para o orçamento da licitação, a equipe de audit</w:t>
      </w:r>
      <w:r w:rsidR="0094589B" w:rsidRPr="00B91555">
        <w:rPr>
          <w:sz w:val="22"/>
          <w:szCs w:val="22"/>
        </w:rPr>
        <w:t xml:space="preserve">oria detectou que alguns itens </w:t>
      </w:r>
      <w:r w:rsidRPr="00B91555">
        <w:rPr>
          <w:sz w:val="22"/>
          <w:szCs w:val="22"/>
        </w:rPr>
        <w:t xml:space="preserve">não apresentavam cotação nos sistemas oficiais de preços referenciais, no caso, SICRO e SINAPI. Para </w:t>
      </w:r>
      <w:r w:rsidR="00C934E0" w:rsidRPr="00B91555">
        <w:rPr>
          <w:sz w:val="22"/>
          <w:szCs w:val="22"/>
        </w:rPr>
        <w:t>tai</w:t>
      </w:r>
      <w:r w:rsidRPr="00B91555">
        <w:rPr>
          <w:sz w:val="22"/>
          <w:szCs w:val="22"/>
        </w:rPr>
        <w:t>s</w:t>
      </w:r>
      <w:r w:rsidR="00C934E0" w:rsidRPr="00B91555">
        <w:rPr>
          <w:sz w:val="22"/>
          <w:szCs w:val="22"/>
        </w:rPr>
        <w:t xml:space="preserve"> itens</w:t>
      </w:r>
      <w:r w:rsidRPr="00B91555">
        <w:rPr>
          <w:sz w:val="22"/>
          <w:szCs w:val="22"/>
        </w:rPr>
        <w:t xml:space="preserve">, a Hemobrás </w:t>
      </w:r>
      <w:r w:rsidR="00C934E0" w:rsidRPr="00B91555">
        <w:rPr>
          <w:sz w:val="22"/>
          <w:szCs w:val="22"/>
        </w:rPr>
        <w:t>levan</w:t>
      </w:r>
      <w:r w:rsidRPr="00B91555">
        <w:rPr>
          <w:sz w:val="22"/>
          <w:szCs w:val="22"/>
        </w:rPr>
        <w:t>tou cotações de mercado, de modo a justificar os preços adotados</w:t>
      </w:r>
      <w:r w:rsidR="007D3E0E" w:rsidRPr="00B91555">
        <w:rPr>
          <w:sz w:val="22"/>
          <w:szCs w:val="22"/>
        </w:rPr>
        <w:t>,</w:t>
      </w:r>
      <w:r w:rsidRPr="00B91555">
        <w:rPr>
          <w:sz w:val="22"/>
          <w:szCs w:val="22"/>
        </w:rPr>
        <w:t xml:space="preserve"> </w:t>
      </w:r>
      <w:r w:rsidR="007D3E0E" w:rsidRPr="00B91555">
        <w:rPr>
          <w:sz w:val="22"/>
          <w:szCs w:val="22"/>
        </w:rPr>
        <w:t>l</w:t>
      </w:r>
      <w:r w:rsidRPr="00B91555">
        <w:rPr>
          <w:sz w:val="22"/>
          <w:szCs w:val="22"/>
        </w:rPr>
        <w:t>imit</w:t>
      </w:r>
      <w:r w:rsidR="007D3E0E" w:rsidRPr="00B91555">
        <w:rPr>
          <w:sz w:val="22"/>
          <w:szCs w:val="22"/>
        </w:rPr>
        <w:t>ando</w:t>
      </w:r>
      <w:r w:rsidRPr="00B91555">
        <w:rPr>
          <w:sz w:val="22"/>
          <w:szCs w:val="22"/>
        </w:rPr>
        <w:t>-se</w:t>
      </w:r>
      <w:r w:rsidR="007D3E0E" w:rsidRPr="00B91555">
        <w:rPr>
          <w:sz w:val="22"/>
          <w:szCs w:val="22"/>
        </w:rPr>
        <w:t>, todavia,</w:t>
      </w:r>
      <w:r w:rsidRPr="00B91555">
        <w:rPr>
          <w:sz w:val="22"/>
          <w:szCs w:val="22"/>
        </w:rPr>
        <w:t xml:space="preserve"> a uma única cotação para cada serviço, prática que</w:t>
      </w:r>
      <w:r w:rsidR="007D3E0E" w:rsidRPr="00B91555">
        <w:rPr>
          <w:sz w:val="22"/>
          <w:szCs w:val="22"/>
        </w:rPr>
        <w:t>, na opinião da equipe de auditoria,</w:t>
      </w:r>
      <w:r w:rsidRPr="00B91555">
        <w:rPr>
          <w:sz w:val="22"/>
          <w:szCs w:val="22"/>
        </w:rPr>
        <w:t xml:space="preserve"> i</w:t>
      </w:r>
      <w:r w:rsidR="007D3E0E" w:rsidRPr="00B91555">
        <w:rPr>
          <w:sz w:val="22"/>
          <w:szCs w:val="22"/>
        </w:rPr>
        <w:t>ria</w:t>
      </w:r>
      <w:r w:rsidRPr="00B91555">
        <w:rPr>
          <w:sz w:val="22"/>
          <w:szCs w:val="22"/>
        </w:rPr>
        <w:t xml:space="preserve"> de encontro à jurisprudência deste Tribunal.</w:t>
      </w:r>
      <w:r w:rsidR="007D3E0E" w:rsidRPr="00B91555">
        <w:rPr>
          <w:sz w:val="22"/>
          <w:szCs w:val="22"/>
        </w:rPr>
        <w:t xml:space="preserve"> Para ela, </w:t>
      </w:r>
      <w:r w:rsidR="00C934E0" w:rsidRPr="00B91555">
        <w:rPr>
          <w:sz w:val="22"/>
          <w:szCs w:val="22"/>
        </w:rPr>
        <w:t xml:space="preserve">o </w:t>
      </w:r>
      <w:r w:rsidR="007D3E0E" w:rsidRPr="00B91555">
        <w:rPr>
          <w:sz w:val="22"/>
          <w:szCs w:val="22"/>
        </w:rPr>
        <w:t>entendimento do Tribunal é no sentido de que, “</w:t>
      </w:r>
      <w:r w:rsidR="007D3E0E" w:rsidRPr="00B91555">
        <w:rPr>
          <w:i/>
          <w:sz w:val="22"/>
          <w:szCs w:val="22"/>
        </w:rPr>
        <w:t>no caso de não ser possível obter preços referenciais nos sistemas oficiais para a estimativa de custos que antecederem os processos licitatórios, deve ser realizada pesquisa de preços contendo o mínimo de três cotações de empresas/fornecedores distintos, fazendo constar do respectivo processo a documentação comprobatória pertinente aos levantamentos e estudos que fundamentaram o preço estimado</w:t>
      </w:r>
      <w:r w:rsidR="007D3E0E" w:rsidRPr="00B91555">
        <w:rPr>
          <w:sz w:val="22"/>
          <w:szCs w:val="22"/>
        </w:rPr>
        <w:t>”. E que, “</w:t>
      </w:r>
      <w:r w:rsidR="007D3E0E" w:rsidRPr="00B91555">
        <w:rPr>
          <w:i/>
          <w:sz w:val="22"/>
          <w:szCs w:val="22"/>
        </w:rPr>
        <w:t>caso não seja possível obter esse número de cotações, deve ser elaborada justificativa circunstanciada</w:t>
      </w:r>
      <w:r w:rsidR="007D3E0E" w:rsidRPr="00B91555">
        <w:rPr>
          <w:sz w:val="22"/>
          <w:szCs w:val="22"/>
        </w:rPr>
        <w:t xml:space="preserve">”. </w:t>
      </w:r>
      <w:r w:rsidR="00C934E0" w:rsidRPr="00B91555">
        <w:rPr>
          <w:sz w:val="22"/>
          <w:szCs w:val="22"/>
        </w:rPr>
        <w:t>A equipe de auditoria s</w:t>
      </w:r>
      <w:r w:rsidR="007D3E0E" w:rsidRPr="00B91555">
        <w:rPr>
          <w:sz w:val="22"/>
          <w:szCs w:val="22"/>
        </w:rPr>
        <w:t>ugeriu, então, que o TCU expedisse determinação corretiva para as próximas licitações a serem realizadas pela Hemobrás, no que contou com a acolhida do relator e do Plenário.</w:t>
      </w:r>
      <w:r w:rsidR="009642CA" w:rsidRPr="00B91555">
        <w:rPr>
          <w:sz w:val="22"/>
          <w:szCs w:val="22"/>
        </w:rPr>
        <w:t xml:space="preserve"> </w:t>
      </w:r>
      <w:r w:rsidR="0067252D" w:rsidRPr="00B91555">
        <w:rPr>
          <w:sz w:val="22"/>
          <w:szCs w:val="22"/>
        </w:rPr>
        <w:t>Precedente</w:t>
      </w:r>
      <w:r w:rsidR="007D3E0E" w:rsidRPr="00B91555">
        <w:rPr>
          <w:sz w:val="22"/>
          <w:szCs w:val="22"/>
        </w:rPr>
        <w:t>s</w:t>
      </w:r>
      <w:r w:rsidR="0067252D" w:rsidRPr="00B91555">
        <w:rPr>
          <w:sz w:val="22"/>
          <w:szCs w:val="22"/>
        </w:rPr>
        <w:t xml:space="preserve"> citado</w:t>
      </w:r>
      <w:r w:rsidR="007D3E0E" w:rsidRPr="00B91555">
        <w:rPr>
          <w:sz w:val="22"/>
          <w:szCs w:val="22"/>
        </w:rPr>
        <w:t>s</w:t>
      </w:r>
      <w:r w:rsidR="0067252D" w:rsidRPr="00B91555">
        <w:rPr>
          <w:sz w:val="22"/>
          <w:szCs w:val="22"/>
        </w:rPr>
        <w:t>:</w:t>
      </w:r>
      <w:r w:rsidR="0067252D" w:rsidRPr="00B91555">
        <w:rPr>
          <w:color w:val="FF0000"/>
          <w:sz w:val="22"/>
          <w:szCs w:val="22"/>
        </w:rPr>
        <w:t xml:space="preserve"> </w:t>
      </w:r>
      <w:r w:rsidR="007D3E0E" w:rsidRPr="00B91555">
        <w:rPr>
          <w:sz w:val="22"/>
          <w:szCs w:val="22"/>
        </w:rPr>
        <w:t>Acórdãos n</w:t>
      </w:r>
      <w:r w:rsidR="007D3E0E" w:rsidRPr="00B91555">
        <w:rPr>
          <w:sz w:val="22"/>
          <w:szCs w:val="22"/>
          <w:u w:val="single"/>
          <w:vertAlign w:val="superscript"/>
        </w:rPr>
        <w:t>os</w:t>
      </w:r>
      <w:r w:rsidR="007D3E0E" w:rsidRPr="00B91555">
        <w:rPr>
          <w:sz w:val="22"/>
          <w:szCs w:val="22"/>
        </w:rPr>
        <w:t xml:space="preserve"> 568/2008, 1.378/2008, 4.013/2008, 5.262/2008, 3.506/2009, da 1ª Câmara, 2.809/2008, 1.344/2009, 3.667/2009, da 2ª Câmara, e 1.379/2007, 837/2008, e 3.219/2010, do Plenário</w:t>
      </w:r>
      <w:r w:rsidR="0067252D" w:rsidRPr="00B91555">
        <w:rPr>
          <w:color w:val="FF0000"/>
          <w:sz w:val="22"/>
          <w:szCs w:val="22"/>
        </w:rPr>
        <w:t xml:space="preserve">. </w:t>
      </w:r>
      <w:r w:rsidR="006242BF" w:rsidRPr="00B91555">
        <w:rPr>
          <w:b/>
          <w:i/>
          <w:sz w:val="22"/>
          <w:szCs w:val="22"/>
        </w:rPr>
        <w:t>Acórdã</w:t>
      </w:r>
      <w:r w:rsidRPr="00B91555">
        <w:rPr>
          <w:b/>
          <w:i/>
          <w:sz w:val="22"/>
          <w:szCs w:val="22"/>
        </w:rPr>
        <w:t>o n.º 1266</w:t>
      </w:r>
      <w:r w:rsidR="00FE28C8" w:rsidRPr="00B91555">
        <w:rPr>
          <w:b/>
          <w:i/>
          <w:sz w:val="22"/>
          <w:szCs w:val="22"/>
        </w:rPr>
        <w:t>/2011-Plenário, TC-002.</w:t>
      </w:r>
      <w:r w:rsidRPr="00B91555">
        <w:rPr>
          <w:b/>
          <w:i/>
          <w:sz w:val="22"/>
          <w:szCs w:val="22"/>
        </w:rPr>
        <w:t>573</w:t>
      </w:r>
      <w:r w:rsidR="006242BF" w:rsidRPr="00B91555">
        <w:rPr>
          <w:b/>
          <w:i/>
          <w:sz w:val="22"/>
          <w:szCs w:val="22"/>
        </w:rPr>
        <w:t>/20</w:t>
      </w:r>
      <w:r w:rsidRPr="00B91555">
        <w:rPr>
          <w:b/>
          <w:i/>
          <w:sz w:val="22"/>
          <w:szCs w:val="22"/>
        </w:rPr>
        <w:t>11</w:t>
      </w:r>
      <w:r w:rsidR="006242BF" w:rsidRPr="00B91555">
        <w:rPr>
          <w:b/>
          <w:i/>
          <w:sz w:val="22"/>
          <w:szCs w:val="22"/>
        </w:rPr>
        <w:t>-</w:t>
      </w:r>
      <w:r w:rsidRPr="00B91555">
        <w:rPr>
          <w:b/>
          <w:i/>
          <w:sz w:val="22"/>
          <w:szCs w:val="22"/>
        </w:rPr>
        <w:t>3</w:t>
      </w:r>
      <w:r w:rsidR="006242BF" w:rsidRPr="00B91555">
        <w:rPr>
          <w:b/>
          <w:i/>
          <w:sz w:val="22"/>
          <w:szCs w:val="22"/>
        </w:rPr>
        <w:t xml:space="preserve">, rel. Min. </w:t>
      </w:r>
      <w:r w:rsidRPr="00B91555">
        <w:rPr>
          <w:b/>
          <w:i/>
          <w:sz w:val="22"/>
          <w:szCs w:val="22"/>
        </w:rPr>
        <w:t>Ubiratan Aguiar</w:t>
      </w:r>
      <w:r w:rsidR="0023395B" w:rsidRPr="00B91555">
        <w:rPr>
          <w:b/>
          <w:i/>
          <w:sz w:val="22"/>
          <w:szCs w:val="22"/>
        </w:rPr>
        <w:t>, 1</w:t>
      </w:r>
      <w:r w:rsidRPr="00B91555">
        <w:rPr>
          <w:b/>
          <w:i/>
          <w:sz w:val="22"/>
          <w:szCs w:val="22"/>
        </w:rPr>
        <w:t>8</w:t>
      </w:r>
      <w:r w:rsidR="006242BF" w:rsidRPr="00B91555">
        <w:rPr>
          <w:b/>
          <w:i/>
          <w:sz w:val="22"/>
          <w:szCs w:val="22"/>
        </w:rPr>
        <w:t>.05.2011.</w:t>
      </w:r>
    </w:p>
    <w:p w:rsidR="0090188B" w:rsidRPr="00B91555" w:rsidRDefault="0090188B" w:rsidP="00495DB3">
      <w:pPr>
        <w:pStyle w:val="TCU-RelVoto-demais"/>
        <w:spacing w:after="0"/>
        <w:rPr>
          <w:color w:val="FF0000"/>
          <w:sz w:val="22"/>
        </w:rPr>
      </w:pPr>
    </w:p>
    <w:p w:rsidR="00B21A5B" w:rsidRPr="00B91555" w:rsidRDefault="00B0025D" w:rsidP="00B21A5B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/>
        <w:ind w:left="0"/>
        <w:rPr>
          <w:b/>
          <w:color w:val="FF0000"/>
          <w:sz w:val="22"/>
          <w:szCs w:val="22"/>
        </w:rPr>
      </w:pPr>
      <w:r w:rsidRPr="00B91555">
        <w:rPr>
          <w:b/>
          <w:sz w:val="22"/>
          <w:szCs w:val="22"/>
        </w:rPr>
        <w:t>Contratos de serviços de publicidade: a</w:t>
      </w:r>
      <w:r w:rsidR="00CF7823" w:rsidRPr="00B91555">
        <w:rPr>
          <w:b/>
          <w:sz w:val="22"/>
          <w:szCs w:val="22"/>
        </w:rPr>
        <w:t xml:space="preserve"> empresa contratada pelo Poder P</w:t>
      </w:r>
      <w:r w:rsidR="00867E32" w:rsidRPr="00B91555">
        <w:rPr>
          <w:b/>
          <w:sz w:val="22"/>
          <w:szCs w:val="22"/>
        </w:rPr>
        <w:t>úblico</w:t>
      </w:r>
      <w:r w:rsidR="00CF7823" w:rsidRPr="00B91555">
        <w:rPr>
          <w:b/>
          <w:sz w:val="22"/>
          <w:szCs w:val="22"/>
        </w:rPr>
        <w:t xml:space="preserve"> deve exigir da empresa eventualmente subcontratada a documentação relativa à regularidade fiscal </w:t>
      </w:r>
      <w:r w:rsidRPr="00B91555">
        <w:rPr>
          <w:b/>
          <w:sz w:val="22"/>
          <w:szCs w:val="22"/>
        </w:rPr>
        <w:t>prevista no art. 29 da Lei 8.666/1993</w:t>
      </w:r>
    </w:p>
    <w:p w:rsidR="00C11F76" w:rsidRPr="00B91555" w:rsidRDefault="007B3F28" w:rsidP="00E82556">
      <w:pPr>
        <w:pStyle w:val="Rodap"/>
        <w:tabs>
          <w:tab w:val="left" w:pos="1134"/>
        </w:tabs>
        <w:ind w:left="0"/>
        <w:contextualSpacing/>
        <w:rPr>
          <w:b/>
          <w:i/>
          <w:sz w:val="22"/>
          <w:szCs w:val="22"/>
        </w:rPr>
      </w:pPr>
      <w:r w:rsidRPr="00B91555">
        <w:rPr>
          <w:sz w:val="22"/>
          <w:szCs w:val="22"/>
        </w:rPr>
        <w:t xml:space="preserve">Embargos de declaração foram opostos contra o Acórdão n° 2.082/2009-Plenário, por meio do qual o Tribunal apreciou pedido de reexame e decidiu manter intactos os termos do Acórdão nº 115/2006 -1ª Câmara, no qual se determinou à </w:t>
      </w:r>
      <w:r w:rsidRPr="00B91555">
        <w:rPr>
          <w:color w:val="000000"/>
          <w:sz w:val="22"/>
          <w:szCs w:val="22"/>
        </w:rPr>
        <w:t xml:space="preserve">Subsecretaria de Planejamento, Orçamento e Administração do Ministério do Desenvolvimento Agrário – (SPOA/MDA) que </w:t>
      </w:r>
      <w:r w:rsidRPr="00B91555">
        <w:rPr>
          <w:sz w:val="22"/>
          <w:szCs w:val="22"/>
        </w:rPr>
        <w:t>passasse a exigir, nos casos de subcontratação de terceiros para realização de serviços relacionados com contratos de publicidade, documentos comprobatórios da regularidade fiscal dos candidatos à subcontratação, nos termos do art. 29 da Lei nº 8.666/1993</w:t>
      </w:r>
      <w:r w:rsidR="00011D5A" w:rsidRPr="00B91555">
        <w:rPr>
          <w:sz w:val="22"/>
          <w:szCs w:val="22"/>
        </w:rPr>
        <w:t xml:space="preserve">. </w:t>
      </w:r>
      <w:r w:rsidR="00D37427" w:rsidRPr="00B91555">
        <w:rPr>
          <w:sz w:val="22"/>
          <w:szCs w:val="22"/>
        </w:rPr>
        <w:t>Dentre outros argumentos apresentados, a</w:t>
      </w:r>
      <w:r w:rsidR="00011D5A" w:rsidRPr="00B91555">
        <w:rPr>
          <w:sz w:val="22"/>
          <w:szCs w:val="22"/>
        </w:rPr>
        <w:t xml:space="preserve"> embargante</w:t>
      </w:r>
      <w:r w:rsidR="00D37427" w:rsidRPr="00B91555">
        <w:rPr>
          <w:sz w:val="22"/>
          <w:szCs w:val="22"/>
        </w:rPr>
        <w:t xml:space="preserve"> alegou que</w:t>
      </w:r>
      <w:r w:rsidR="00011D5A" w:rsidRPr="00B91555">
        <w:rPr>
          <w:sz w:val="22"/>
          <w:szCs w:val="22"/>
        </w:rPr>
        <w:t xml:space="preserve"> não seria necessário </w:t>
      </w:r>
      <w:r w:rsidR="00D37427" w:rsidRPr="00B91555">
        <w:rPr>
          <w:sz w:val="22"/>
          <w:szCs w:val="22"/>
        </w:rPr>
        <w:t xml:space="preserve">à agência de propaganda contratada pelo Poder Público </w:t>
      </w:r>
      <w:r w:rsidR="00011D5A" w:rsidRPr="00B91555">
        <w:rPr>
          <w:sz w:val="22"/>
          <w:szCs w:val="22"/>
        </w:rPr>
        <w:t>exigir a regularidade fiscal prevista no art. 29, incisos III e IV, da Lei nº 8.666/1993</w:t>
      </w:r>
      <w:r w:rsidR="00BB4769" w:rsidRPr="00B91555">
        <w:rPr>
          <w:sz w:val="22"/>
          <w:szCs w:val="22"/>
        </w:rPr>
        <w:t>,</w:t>
      </w:r>
      <w:r w:rsidR="00D37427" w:rsidRPr="00B91555">
        <w:rPr>
          <w:sz w:val="22"/>
          <w:szCs w:val="22"/>
        </w:rPr>
        <w:t xml:space="preserve"> de seus subcontratados</w:t>
      </w:r>
      <w:r w:rsidR="00011D5A" w:rsidRPr="00B91555">
        <w:rPr>
          <w:sz w:val="22"/>
          <w:szCs w:val="22"/>
        </w:rPr>
        <w:t xml:space="preserve">, </w:t>
      </w:r>
      <w:r w:rsidR="00D37427" w:rsidRPr="00B91555">
        <w:rPr>
          <w:sz w:val="22"/>
          <w:szCs w:val="22"/>
        </w:rPr>
        <w:t xml:space="preserve">em face de </w:t>
      </w:r>
      <w:r w:rsidR="00BB4769" w:rsidRPr="00B91555">
        <w:rPr>
          <w:sz w:val="22"/>
          <w:szCs w:val="22"/>
        </w:rPr>
        <w:t>se</w:t>
      </w:r>
      <w:r w:rsidR="00D37427" w:rsidRPr="00B91555">
        <w:rPr>
          <w:sz w:val="22"/>
          <w:szCs w:val="22"/>
        </w:rPr>
        <w:t xml:space="preserve"> tratar de</w:t>
      </w:r>
      <w:r w:rsidR="00011D5A" w:rsidRPr="00B91555">
        <w:rPr>
          <w:sz w:val="22"/>
          <w:szCs w:val="22"/>
        </w:rPr>
        <w:t xml:space="preserve"> matéria tributária</w:t>
      </w:r>
      <w:r w:rsidR="00BB4769" w:rsidRPr="00B91555">
        <w:rPr>
          <w:sz w:val="22"/>
          <w:szCs w:val="22"/>
        </w:rPr>
        <w:t>, a</w:t>
      </w:r>
      <w:r w:rsidR="00D37427" w:rsidRPr="00B91555">
        <w:rPr>
          <w:sz w:val="22"/>
          <w:szCs w:val="22"/>
        </w:rPr>
        <w:t xml:space="preserve"> qual</w:t>
      </w:r>
      <w:r w:rsidR="00011D5A" w:rsidRPr="00B91555">
        <w:rPr>
          <w:sz w:val="22"/>
          <w:szCs w:val="22"/>
        </w:rPr>
        <w:t xml:space="preserve"> fugiria à competência da agência de propaganda. </w:t>
      </w:r>
      <w:r w:rsidR="00851E54" w:rsidRPr="00B91555">
        <w:rPr>
          <w:sz w:val="22"/>
          <w:szCs w:val="22"/>
        </w:rPr>
        <w:t xml:space="preserve">Ademais, </w:t>
      </w:r>
      <w:r w:rsidR="00D37427" w:rsidRPr="00B91555">
        <w:rPr>
          <w:sz w:val="22"/>
          <w:szCs w:val="22"/>
        </w:rPr>
        <w:t xml:space="preserve">ainda para a embargante, o Tribunal </w:t>
      </w:r>
      <w:r w:rsidR="00851E54" w:rsidRPr="00B91555">
        <w:rPr>
          <w:sz w:val="22"/>
          <w:szCs w:val="22"/>
        </w:rPr>
        <w:t xml:space="preserve">teria sido omisso ao determinar, genericamente, que fossem exigidos tais comprovantes de regularidade fiscal, sem especificar quais seriam os documentos necessários. </w:t>
      </w:r>
      <w:r w:rsidR="00D37427" w:rsidRPr="00B91555">
        <w:rPr>
          <w:sz w:val="22"/>
          <w:szCs w:val="22"/>
        </w:rPr>
        <w:t xml:space="preserve">O relator entendeu, todavia, </w:t>
      </w:r>
      <w:r w:rsidR="00BB4769" w:rsidRPr="00B91555">
        <w:rPr>
          <w:sz w:val="22"/>
          <w:szCs w:val="22"/>
        </w:rPr>
        <w:t>que a decisão embargada não deveria ser reformada. Segundo ele, reafirmando a decisão anterior objeto dos embargos, “</w:t>
      </w:r>
      <w:r w:rsidR="00393FCC" w:rsidRPr="00B91555">
        <w:rPr>
          <w:i/>
          <w:sz w:val="22"/>
          <w:szCs w:val="22"/>
        </w:rPr>
        <w:t>a exigência da regularidade fiscal da possível subcontratada é decorrência lógica do requisito legal da comprovação da regularidade fiscal da empresa contratada. Se terceiros, que não o contratado, vão executar serviços, ainda que indiretamente, para o Poder Público, tal prestação não pode ser oriunda de empresa irregular</w:t>
      </w:r>
      <w:r w:rsidR="00BB4769" w:rsidRPr="00B91555">
        <w:rPr>
          <w:i/>
          <w:sz w:val="22"/>
          <w:szCs w:val="22"/>
        </w:rPr>
        <w:t>”.</w:t>
      </w:r>
      <w:r w:rsidR="00BB4769" w:rsidRPr="00B91555">
        <w:rPr>
          <w:sz w:val="22"/>
          <w:szCs w:val="22"/>
        </w:rPr>
        <w:t xml:space="preserve"> Não haveria, portanto,</w:t>
      </w:r>
      <w:r w:rsidR="00BB4769" w:rsidRPr="00B91555">
        <w:rPr>
          <w:i/>
          <w:sz w:val="22"/>
          <w:szCs w:val="22"/>
        </w:rPr>
        <w:t xml:space="preserve"> </w:t>
      </w:r>
      <w:r w:rsidR="00BB4769" w:rsidRPr="00B91555">
        <w:rPr>
          <w:sz w:val="22"/>
          <w:szCs w:val="22"/>
        </w:rPr>
        <w:t xml:space="preserve">justificativa para que a subcontratação se situasse à margem dos termos e limitações constantes do instrumento convocatório, não existindo qualquer razão para que o subcontratado </w:t>
      </w:r>
      <w:r w:rsidR="00A0082F" w:rsidRPr="00B91555">
        <w:rPr>
          <w:sz w:val="22"/>
          <w:szCs w:val="22"/>
        </w:rPr>
        <w:t>fo</w:t>
      </w:r>
      <w:r w:rsidR="00BB4769" w:rsidRPr="00B91555">
        <w:rPr>
          <w:sz w:val="22"/>
          <w:szCs w:val="22"/>
        </w:rPr>
        <w:t>sse eximido do dever de comprovar sua regularidade fiscal</w:t>
      </w:r>
      <w:r w:rsidR="00A0082F" w:rsidRPr="00B91555">
        <w:rPr>
          <w:sz w:val="22"/>
          <w:szCs w:val="22"/>
        </w:rPr>
        <w:t xml:space="preserve">. </w:t>
      </w:r>
      <w:r w:rsidR="00CF7823" w:rsidRPr="00B91555">
        <w:rPr>
          <w:sz w:val="22"/>
          <w:szCs w:val="22"/>
        </w:rPr>
        <w:t>A partir dos argumentos constantes</w:t>
      </w:r>
      <w:r w:rsidR="00E82556" w:rsidRPr="00B91555">
        <w:rPr>
          <w:sz w:val="22"/>
          <w:szCs w:val="22"/>
        </w:rPr>
        <w:t xml:space="preserve"> </w:t>
      </w:r>
      <w:r w:rsidR="00CF7823" w:rsidRPr="00B91555">
        <w:rPr>
          <w:sz w:val="22"/>
          <w:szCs w:val="22"/>
        </w:rPr>
        <w:t>d</w:t>
      </w:r>
      <w:r w:rsidR="00E82556" w:rsidRPr="00B91555">
        <w:rPr>
          <w:sz w:val="22"/>
          <w:szCs w:val="22"/>
        </w:rPr>
        <w:t xml:space="preserve">o voto do relator, o Plenário manifestou sua anuência. </w:t>
      </w:r>
      <w:r w:rsidR="00B663CD" w:rsidRPr="00B91555">
        <w:rPr>
          <w:sz w:val="22"/>
          <w:szCs w:val="22"/>
        </w:rPr>
        <w:t>Precedente</w:t>
      </w:r>
      <w:r w:rsidR="00011D5A" w:rsidRPr="00B91555">
        <w:rPr>
          <w:sz w:val="22"/>
          <w:szCs w:val="22"/>
        </w:rPr>
        <w:t>s</w:t>
      </w:r>
      <w:r w:rsidR="00B663CD" w:rsidRPr="00B91555">
        <w:rPr>
          <w:sz w:val="22"/>
          <w:szCs w:val="22"/>
        </w:rPr>
        <w:t xml:space="preserve"> citado</w:t>
      </w:r>
      <w:r w:rsidR="00011D5A" w:rsidRPr="00B91555">
        <w:rPr>
          <w:sz w:val="22"/>
          <w:szCs w:val="22"/>
        </w:rPr>
        <w:t>s</w:t>
      </w:r>
      <w:r w:rsidR="00B663CD" w:rsidRPr="00B91555">
        <w:rPr>
          <w:sz w:val="22"/>
          <w:szCs w:val="22"/>
        </w:rPr>
        <w:t>: Acórdão</w:t>
      </w:r>
      <w:r w:rsidR="00011D5A" w:rsidRPr="00B91555">
        <w:rPr>
          <w:sz w:val="22"/>
          <w:szCs w:val="22"/>
        </w:rPr>
        <w:t>s</w:t>
      </w:r>
      <w:r w:rsidR="00B663CD" w:rsidRPr="00B91555">
        <w:rPr>
          <w:color w:val="FF0000"/>
          <w:sz w:val="22"/>
          <w:szCs w:val="22"/>
        </w:rPr>
        <w:t xml:space="preserve"> </w:t>
      </w:r>
      <w:r w:rsidR="00011D5A" w:rsidRPr="00B91555">
        <w:rPr>
          <w:sz w:val="22"/>
          <w:szCs w:val="22"/>
        </w:rPr>
        <w:t>n</w:t>
      </w:r>
      <w:r w:rsidR="00011D5A" w:rsidRPr="00B91555">
        <w:rPr>
          <w:sz w:val="22"/>
          <w:szCs w:val="22"/>
          <w:u w:val="single"/>
          <w:vertAlign w:val="superscript"/>
        </w:rPr>
        <w:t>os</w:t>
      </w:r>
      <w:r w:rsidR="00011D5A" w:rsidRPr="00B91555">
        <w:rPr>
          <w:sz w:val="22"/>
          <w:szCs w:val="22"/>
        </w:rPr>
        <w:t xml:space="preserve"> </w:t>
      </w:r>
      <w:r w:rsidR="00A0082F" w:rsidRPr="00B91555">
        <w:rPr>
          <w:sz w:val="22"/>
          <w:szCs w:val="22"/>
        </w:rPr>
        <w:t>226/2000,</w:t>
      </w:r>
      <w:r w:rsidR="00A0082F" w:rsidRPr="00B91555">
        <w:rPr>
          <w:color w:val="FF0000"/>
          <w:sz w:val="22"/>
          <w:szCs w:val="22"/>
        </w:rPr>
        <w:t xml:space="preserve"> </w:t>
      </w:r>
      <w:r w:rsidR="00A0082F" w:rsidRPr="00B91555">
        <w:rPr>
          <w:sz w:val="22"/>
          <w:szCs w:val="22"/>
        </w:rPr>
        <w:t>2</w:t>
      </w:r>
      <w:r w:rsidR="00011D5A" w:rsidRPr="00B91555">
        <w:rPr>
          <w:sz w:val="22"/>
          <w:szCs w:val="22"/>
        </w:rPr>
        <w:t>062/2006, 814/2007 e 79/2008, todos do Plenário</w:t>
      </w:r>
      <w:r w:rsidR="00C11F76" w:rsidRPr="00B91555">
        <w:rPr>
          <w:sz w:val="22"/>
          <w:szCs w:val="22"/>
        </w:rPr>
        <w:t xml:space="preserve">. </w:t>
      </w:r>
      <w:r w:rsidR="006C32CF" w:rsidRPr="00B91555">
        <w:rPr>
          <w:b/>
          <w:i/>
          <w:sz w:val="22"/>
          <w:szCs w:val="22"/>
        </w:rPr>
        <w:t>Acórdão n.º 1272</w:t>
      </w:r>
      <w:r w:rsidR="00C11F76" w:rsidRPr="00B91555">
        <w:rPr>
          <w:b/>
          <w:i/>
          <w:sz w:val="22"/>
          <w:szCs w:val="22"/>
        </w:rPr>
        <w:t>/2011-Plenário, TC-01</w:t>
      </w:r>
      <w:r w:rsidR="006C32CF" w:rsidRPr="00B91555">
        <w:rPr>
          <w:b/>
          <w:i/>
          <w:sz w:val="22"/>
          <w:szCs w:val="22"/>
        </w:rPr>
        <w:t>8</w:t>
      </w:r>
      <w:r w:rsidR="00C11F76" w:rsidRPr="00B91555">
        <w:rPr>
          <w:b/>
          <w:i/>
          <w:sz w:val="22"/>
          <w:szCs w:val="22"/>
        </w:rPr>
        <w:t>.</w:t>
      </w:r>
      <w:r w:rsidR="006C32CF" w:rsidRPr="00B91555">
        <w:rPr>
          <w:b/>
          <w:i/>
          <w:sz w:val="22"/>
          <w:szCs w:val="22"/>
        </w:rPr>
        <w:t>625</w:t>
      </w:r>
      <w:r w:rsidR="00C11F76" w:rsidRPr="00B91555">
        <w:rPr>
          <w:b/>
          <w:i/>
          <w:sz w:val="22"/>
          <w:szCs w:val="22"/>
        </w:rPr>
        <w:t>/200</w:t>
      </w:r>
      <w:r w:rsidR="006C32CF" w:rsidRPr="00B91555">
        <w:rPr>
          <w:b/>
          <w:i/>
          <w:sz w:val="22"/>
          <w:szCs w:val="22"/>
        </w:rPr>
        <w:t>5-3</w:t>
      </w:r>
      <w:r w:rsidR="00C11F76" w:rsidRPr="00B91555">
        <w:rPr>
          <w:b/>
          <w:i/>
          <w:sz w:val="22"/>
          <w:szCs w:val="22"/>
        </w:rPr>
        <w:t xml:space="preserve">, rel. Min. </w:t>
      </w:r>
      <w:r w:rsidR="006C32CF" w:rsidRPr="00B91555">
        <w:rPr>
          <w:b/>
          <w:i/>
          <w:sz w:val="22"/>
          <w:szCs w:val="22"/>
        </w:rPr>
        <w:t>Augusto Nardes, 18</w:t>
      </w:r>
      <w:r w:rsidR="00C11F76" w:rsidRPr="00B91555">
        <w:rPr>
          <w:b/>
          <w:i/>
          <w:sz w:val="22"/>
          <w:szCs w:val="22"/>
        </w:rPr>
        <w:t>.05.2011.</w:t>
      </w:r>
    </w:p>
    <w:p w:rsidR="00F66122" w:rsidRPr="00B91555" w:rsidRDefault="00F66122" w:rsidP="00B21A5B">
      <w:pPr>
        <w:pStyle w:val="TCU-RelVoto-demais"/>
        <w:spacing w:after="0"/>
        <w:rPr>
          <w:b/>
          <w:color w:val="FF0000"/>
          <w:sz w:val="22"/>
        </w:rPr>
      </w:pPr>
    </w:p>
    <w:p w:rsidR="00F66122" w:rsidRPr="00B91555" w:rsidRDefault="00B0025D" w:rsidP="00B21A5B">
      <w:pPr>
        <w:pStyle w:val="TCU-RelVoto-demais"/>
        <w:tabs>
          <w:tab w:val="left" w:pos="2590"/>
        </w:tabs>
        <w:spacing w:after="0"/>
        <w:rPr>
          <w:b/>
          <w:color w:val="FF0000"/>
          <w:sz w:val="22"/>
        </w:rPr>
      </w:pPr>
      <w:r w:rsidRPr="00B91555">
        <w:rPr>
          <w:b/>
          <w:sz w:val="22"/>
        </w:rPr>
        <w:t>É possível a participação de empresas ‘consolidadas’ em licitações para aquisição de passa</w:t>
      </w:r>
      <w:r w:rsidR="00CB79F7" w:rsidRPr="00B91555">
        <w:rPr>
          <w:b/>
          <w:sz w:val="22"/>
        </w:rPr>
        <w:t>gens</w:t>
      </w:r>
      <w:r w:rsidR="007136E9" w:rsidRPr="00B91555">
        <w:rPr>
          <w:b/>
          <w:sz w:val="22"/>
        </w:rPr>
        <w:t xml:space="preserve"> aéreas</w:t>
      </w:r>
      <w:r w:rsidR="00CB79F7" w:rsidRPr="00B91555">
        <w:rPr>
          <w:b/>
          <w:sz w:val="22"/>
        </w:rPr>
        <w:t xml:space="preserve">, ainda que declarações necessárias à </w:t>
      </w:r>
      <w:r w:rsidR="007136E9" w:rsidRPr="00B91555">
        <w:rPr>
          <w:b/>
          <w:sz w:val="22"/>
        </w:rPr>
        <w:t xml:space="preserve">tal </w:t>
      </w:r>
      <w:r w:rsidR="00CB79F7" w:rsidRPr="00B91555">
        <w:rPr>
          <w:b/>
          <w:sz w:val="22"/>
        </w:rPr>
        <w:t>participação sejam emitidas em nome de empresa ‘consolidadora’</w:t>
      </w:r>
    </w:p>
    <w:p w:rsidR="00F66122" w:rsidRPr="00B91555" w:rsidRDefault="000E12F7" w:rsidP="00116BAB">
      <w:pPr>
        <w:pStyle w:val="TCU-RelVoto-1"/>
        <w:spacing w:after="0"/>
        <w:ind w:firstLine="0"/>
        <w:rPr>
          <w:b/>
          <w:i/>
          <w:color w:val="000000"/>
          <w:sz w:val="22"/>
        </w:rPr>
      </w:pPr>
      <w:r w:rsidRPr="00B91555">
        <w:rPr>
          <w:sz w:val="22"/>
        </w:rPr>
        <w:t xml:space="preserve">Representação trouxe notícias ao Tribunal acerca de possíveis irregularidades ocorridas no Pregão Eletrônico nº 01/2011, realizado pelo Conselho Federal de Engenharia, Arquitetura e Agronomia – (Confea), objetivando a contratação de empresa para fornecimento e prestação de serviços de reserva, marcação e emissão de bilhetes de passagens aéreas nacionais e internacionais, por meio de um posto de atendimento a ser instalado no edifício sede do Confea. Para a representante, dentre </w:t>
      </w:r>
      <w:r w:rsidR="005340EA" w:rsidRPr="00B91555">
        <w:rPr>
          <w:sz w:val="22"/>
        </w:rPr>
        <w:t xml:space="preserve">as </w:t>
      </w:r>
      <w:r w:rsidR="00181339" w:rsidRPr="00B91555">
        <w:rPr>
          <w:sz w:val="22"/>
        </w:rPr>
        <w:t>irregular</w:t>
      </w:r>
      <w:r w:rsidR="005340EA" w:rsidRPr="00B91555">
        <w:rPr>
          <w:sz w:val="22"/>
        </w:rPr>
        <w:t>idad</w:t>
      </w:r>
      <w:r w:rsidR="00181339" w:rsidRPr="00B91555">
        <w:rPr>
          <w:sz w:val="22"/>
        </w:rPr>
        <w:t xml:space="preserve">es </w:t>
      </w:r>
      <w:r w:rsidR="002A6CE6" w:rsidRPr="00B91555">
        <w:rPr>
          <w:sz w:val="22"/>
        </w:rPr>
        <w:t xml:space="preserve">da licitação, </w:t>
      </w:r>
      <w:r w:rsidR="00181339" w:rsidRPr="00B91555">
        <w:rPr>
          <w:sz w:val="22"/>
        </w:rPr>
        <w:t xml:space="preserve">estaria a necessidade </w:t>
      </w:r>
      <w:r w:rsidR="000118CC" w:rsidRPr="00B91555">
        <w:rPr>
          <w:sz w:val="22"/>
        </w:rPr>
        <w:t>de a</w:t>
      </w:r>
      <w:r w:rsidR="005D2B0F" w:rsidRPr="00B91555">
        <w:rPr>
          <w:sz w:val="22"/>
        </w:rPr>
        <w:t xml:space="preserve">s agências </w:t>
      </w:r>
      <w:r w:rsidR="000118CC" w:rsidRPr="00B91555">
        <w:rPr>
          <w:sz w:val="22"/>
        </w:rPr>
        <w:t>de viagens participantes d</w:t>
      </w:r>
      <w:r w:rsidR="002A6CE6" w:rsidRPr="00B91555">
        <w:rPr>
          <w:sz w:val="22"/>
        </w:rPr>
        <w:t>o certame</w:t>
      </w:r>
      <w:r w:rsidR="000118CC" w:rsidRPr="00B91555">
        <w:rPr>
          <w:sz w:val="22"/>
        </w:rPr>
        <w:t xml:space="preserve"> sere</w:t>
      </w:r>
      <w:r w:rsidR="005D2B0F" w:rsidRPr="00B91555">
        <w:rPr>
          <w:sz w:val="22"/>
        </w:rPr>
        <w:t xml:space="preserve">m filiadas ao </w:t>
      </w:r>
      <w:r w:rsidR="000118CC" w:rsidRPr="00B91555">
        <w:rPr>
          <w:sz w:val="22"/>
        </w:rPr>
        <w:t xml:space="preserve">Internacional </w:t>
      </w:r>
      <w:r w:rsidR="000118CC" w:rsidRPr="00B91555">
        <w:rPr>
          <w:b/>
          <w:sz w:val="22"/>
        </w:rPr>
        <w:t>Air Transport Association</w:t>
      </w:r>
      <w:r w:rsidR="000118CC" w:rsidRPr="00B91555">
        <w:rPr>
          <w:sz w:val="22"/>
        </w:rPr>
        <w:t xml:space="preserve"> </w:t>
      </w:r>
      <w:r w:rsidR="00181339" w:rsidRPr="00B91555">
        <w:rPr>
          <w:sz w:val="22"/>
        </w:rPr>
        <w:t xml:space="preserve">- </w:t>
      </w:r>
      <w:r w:rsidR="000118CC" w:rsidRPr="00B91555">
        <w:rPr>
          <w:sz w:val="22"/>
        </w:rPr>
        <w:t>(</w:t>
      </w:r>
      <w:r w:rsidR="005D2B0F" w:rsidRPr="00B91555">
        <w:rPr>
          <w:sz w:val="22"/>
        </w:rPr>
        <w:t>IATA)</w:t>
      </w:r>
      <w:r w:rsidR="00181339" w:rsidRPr="00B91555">
        <w:rPr>
          <w:sz w:val="22"/>
        </w:rPr>
        <w:t>,</w:t>
      </w:r>
      <w:r w:rsidR="005D2B0F" w:rsidRPr="00B91555">
        <w:rPr>
          <w:sz w:val="22"/>
        </w:rPr>
        <w:t xml:space="preserve"> condição que já teria sido afastada por esta Corte em outras oportunidades, por favorecer as grandes agências</w:t>
      </w:r>
      <w:r w:rsidR="00181339" w:rsidRPr="00B91555">
        <w:rPr>
          <w:sz w:val="22"/>
        </w:rPr>
        <w:t xml:space="preserve">. O edital norteador do certame também seria irregular, segundo a representante, por não permitir o atendimento da exigência por intermédio de uma empresa </w:t>
      </w:r>
      <w:r w:rsidR="002A6CE6" w:rsidRPr="00B91555">
        <w:rPr>
          <w:sz w:val="22"/>
        </w:rPr>
        <w:t>‘</w:t>
      </w:r>
      <w:r w:rsidR="00181339" w:rsidRPr="00B91555">
        <w:rPr>
          <w:sz w:val="22"/>
        </w:rPr>
        <w:t>consolidadora</w:t>
      </w:r>
      <w:r w:rsidR="002A6CE6" w:rsidRPr="00B91555">
        <w:rPr>
          <w:sz w:val="22"/>
        </w:rPr>
        <w:t>’</w:t>
      </w:r>
      <w:r w:rsidR="00181339" w:rsidRPr="00B91555">
        <w:rPr>
          <w:sz w:val="22"/>
        </w:rPr>
        <w:t xml:space="preserve">. Todavia, ao analisar a matéria, a unidade técnica verificou não existir qualquer disposição editalícia nesse sentido. Ainda assim, no voto, </w:t>
      </w:r>
      <w:r w:rsidR="0075064C" w:rsidRPr="00B91555">
        <w:rPr>
          <w:sz w:val="22"/>
        </w:rPr>
        <w:t xml:space="preserve">a partir de decisão anterior do Tribunal, </w:t>
      </w:r>
      <w:r w:rsidR="00181339" w:rsidRPr="00B91555">
        <w:rPr>
          <w:sz w:val="22"/>
        </w:rPr>
        <w:t>o relator destacou que é entendimento do T</w:t>
      </w:r>
      <w:r w:rsidR="0075064C" w:rsidRPr="00B91555">
        <w:rPr>
          <w:sz w:val="22"/>
        </w:rPr>
        <w:t>CU</w:t>
      </w:r>
      <w:r w:rsidR="00181339" w:rsidRPr="00B91555">
        <w:rPr>
          <w:sz w:val="22"/>
        </w:rPr>
        <w:t xml:space="preserve"> </w:t>
      </w:r>
      <w:r w:rsidR="0075064C" w:rsidRPr="00B91555">
        <w:rPr>
          <w:sz w:val="22"/>
        </w:rPr>
        <w:t>ser</w:t>
      </w:r>
      <w:r w:rsidR="00181339" w:rsidRPr="00B91555">
        <w:rPr>
          <w:sz w:val="22"/>
        </w:rPr>
        <w:t xml:space="preserve"> possível a parti</w:t>
      </w:r>
      <w:r w:rsidR="002A6CE6" w:rsidRPr="00B91555">
        <w:rPr>
          <w:sz w:val="22"/>
        </w:rPr>
        <w:t>cipação de agências de viagens ‘</w:t>
      </w:r>
      <w:r w:rsidR="00181339" w:rsidRPr="00B91555">
        <w:rPr>
          <w:sz w:val="22"/>
        </w:rPr>
        <w:t>consolidadas</w:t>
      </w:r>
      <w:r w:rsidR="002A6CE6" w:rsidRPr="00B91555">
        <w:rPr>
          <w:sz w:val="22"/>
        </w:rPr>
        <w:t>’</w:t>
      </w:r>
      <w:r w:rsidR="00181339" w:rsidRPr="00B91555">
        <w:rPr>
          <w:sz w:val="22"/>
        </w:rPr>
        <w:t xml:space="preserve"> em licitaç</w:t>
      </w:r>
      <w:r w:rsidR="0075064C" w:rsidRPr="00B91555">
        <w:rPr>
          <w:sz w:val="22"/>
        </w:rPr>
        <w:t xml:space="preserve">ões que tenham por objeto </w:t>
      </w:r>
      <w:r w:rsidR="00B0025D" w:rsidRPr="00B91555">
        <w:rPr>
          <w:sz w:val="22"/>
        </w:rPr>
        <w:t xml:space="preserve">a aquisição de </w:t>
      </w:r>
      <w:r w:rsidR="0075064C" w:rsidRPr="00B91555">
        <w:rPr>
          <w:sz w:val="22"/>
        </w:rPr>
        <w:t xml:space="preserve">passagens aéreas, </w:t>
      </w:r>
      <w:r w:rsidR="00CB79F7" w:rsidRPr="00B91555">
        <w:rPr>
          <w:sz w:val="22"/>
        </w:rPr>
        <w:t xml:space="preserve">ainda que declarações necessárias à participação sejam emitidas em nome de empresa consolidadora, </w:t>
      </w:r>
      <w:r w:rsidR="0075064C" w:rsidRPr="00B91555">
        <w:rPr>
          <w:sz w:val="22"/>
        </w:rPr>
        <w:t>pois, “</w:t>
      </w:r>
      <w:r w:rsidR="0075064C" w:rsidRPr="00B91555">
        <w:rPr>
          <w:i/>
          <w:sz w:val="22"/>
        </w:rPr>
        <w:t>em razão do contrato firmado com a consolidadora, a agência de viagem ‘consolidada’ fica autorizada a assumir diversos compromissos comerciais, valendo-se para tanto da prerrogativa sinalagmática adquirida junto à consolidadora, vez que esta segunda empresa, por ser a repassadora dos bilhetes aéreos, respalda a relação mercantil firmada e</w:t>
      </w:r>
      <w:r w:rsidR="005340EA" w:rsidRPr="00B91555">
        <w:rPr>
          <w:i/>
          <w:sz w:val="22"/>
        </w:rPr>
        <w:t>ntre a</w:t>
      </w:r>
      <w:r w:rsidR="0075064C" w:rsidRPr="00B91555">
        <w:rPr>
          <w:i/>
          <w:sz w:val="22"/>
        </w:rPr>
        <w:t xml:space="preserve"> consolidada e o meio consumidor</w:t>
      </w:r>
      <w:r w:rsidR="0075064C" w:rsidRPr="00B91555">
        <w:rPr>
          <w:sz w:val="22"/>
        </w:rPr>
        <w:t xml:space="preserve">”. Nesse quadro, </w:t>
      </w:r>
      <w:r w:rsidR="00116BAB" w:rsidRPr="00B91555">
        <w:rPr>
          <w:sz w:val="22"/>
        </w:rPr>
        <w:t>ao concordar</w:t>
      </w:r>
      <w:r w:rsidR="0075064C" w:rsidRPr="00B91555">
        <w:rPr>
          <w:sz w:val="22"/>
        </w:rPr>
        <w:t xml:space="preserve"> com a unidade técnica de que a </w:t>
      </w:r>
      <w:r w:rsidR="005340EA" w:rsidRPr="00B91555">
        <w:rPr>
          <w:sz w:val="22"/>
        </w:rPr>
        <w:t>irregularidade</w:t>
      </w:r>
      <w:r w:rsidR="0075064C" w:rsidRPr="00B91555">
        <w:rPr>
          <w:sz w:val="22"/>
        </w:rPr>
        <w:t xml:space="preserve"> não veio</w:t>
      </w:r>
      <w:r w:rsidR="005340EA" w:rsidRPr="00B91555">
        <w:rPr>
          <w:sz w:val="22"/>
        </w:rPr>
        <w:t>,</w:t>
      </w:r>
      <w:r w:rsidR="0075064C" w:rsidRPr="00B91555">
        <w:rPr>
          <w:sz w:val="22"/>
        </w:rPr>
        <w:t xml:space="preserve"> efetivamente</w:t>
      </w:r>
      <w:r w:rsidR="005340EA" w:rsidRPr="00B91555">
        <w:rPr>
          <w:sz w:val="22"/>
        </w:rPr>
        <w:t>,</w:t>
      </w:r>
      <w:r w:rsidR="0075064C" w:rsidRPr="00B91555">
        <w:rPr>
          <w:sz w:val="22"/>
        </w:rPr>
        <w:t xml:space="preserve"> a se confirmar, o relator</w:t>
      </w:r>
      <w:r w:rsidR="00116BAB" w:rsidRPr="00B91555">
        <w:rPr>
          <w:sz w:val="22"/>
        </w:rPr>
        <w:t>, neste ponto,</w:t>
      </w:r>
      <w:r w:rsidR="0075064C" w:rsidRPr="00B91555">
        <w:rPr>
          <w:sz w:val="22"/>
        </w:rPr>
        <w:t xml:space="preserve"> considerou </w:t>
      </w:r>
      <w:r w:rsidR="00116BAB" w:rsidRPr="00B91555">
        <w:rPr>
          <w:sz w:val="22"/>
        </w:rPr>
        <w:t>suficiente o encaminhamento de</w:t>
      </w:r>
      <w:r w:rsidR="0075064C" w:rsidRPr="00B91555">
        <w:rPr>
          <w:sz w:val="22"/>
        </w:rPr>
        <w:t xml:space="preserve"> determinação ao C</w:t>
      </w:r>
      <w:r w:rsidR="00116BAB" w:rsidRPr="00B91555">
        <w:rPr>
          <w:sz w:val="22"/>
        </w:rPr>
        <w:t>onfea</w:t>
      </w:r>
      <w:r w:rsidR="0075064C" w:rsidRPr="00B91555">
        <w:rPr>
          <w:sz w:val="22"/>
        </w:rPr>
        <w:t xml:space="preserve">, para </w:t>
      </w:r>
      <w:r w:rsidR="00116BAB" w:rsidRPr="00B91555">
        <w:rPr>
          <w:sz w:val="22"/>
        </w:rPr>
        <w:t>as</w:t>
      </w:r>
      <w:r w:rsidR="0075064C" w:rsidRPr="00B91555">
        <w:rPr>
          <w:sz w:val="22"/>
        </w:rPr>
        <w:t xml:space="preserve"> futuras licitações </w:t>
      </w:r>
      <w:r w:rsidR="00116BAB" w:rsidRPr="00B91555">
        <w:rPr>
          <w:sz w:val="22"/>
        </w:rPr>
        <w:t>a serem procedidas pela instituição</w:t>
      </w:r>
      <w:r w:rsidR="0075064C" w:rsidRPr="00B91555">
        <w:rPr>
          <w:sz w:val="22"/>
        </w:rPr>
        <w:t>.</w:t>
      </w:r>
      <w:r w:rsidR="00116BAB" w:rsidRPr="00B91555">
        <w:rPr>
          <w:sz w:val="22"/>
        </w:rPr>
        <w:t xml:space="preserve"> </w:t>
      </w:r>
      <w:r w:rsidR="00116BAB" w:rsidRPr="00B91555">
        <w:rPr>
          <w:rFonts w:eastAsia="Calibri"/>
          <w:sz w:val="22"/>
          <w:lang w:eastAsia="pt-BR"/>
        </w:rPr>
        <w:t>Precedente citado: Acórdão 1677/2006, do Plenário</w:t>
      </w:r>
      <w:r w:rsidR="002D1BA5" w:rsidRPr="00B91555">
        <w:rPr>
          <w:sz w:val="22"/>
          <w:lang w:eastAsia="pt-BR"/>
        </w:rPr>
        <w:t>.</w:t>
      </w:r>
      <w:r w:rsidR="002D1BA5" w:rsidRPr="00B91555">
        <w:rPr>
          <w:color w:val="FF0000"/>
          <w:sz w:val="22"/>
          <w:lang w:eastAsia="pt-BR"/>
        </w:rPr>
        <w:t xml:space="preserve"> </w:t>
      </w:r>
      <w:r w:rsidR="005266F4" w:rsidRPr="00B91555">
        <w:rPr>
          <w:b/>
          <w:i/>
          <w:color w:val="000000"/>
          <w:sz w:val="22"/>
        </w:rPr>
        <w:t>Acórdão n.º 1285</w:t>
      </w:r>
      <w:r w:rsidR="00F66122" w:rsidRPr="00B91555">
        <w:rPr>
          <w:b/>
          <w:i/>
          <w:color w:val="000000"/>
          <w:sz w:val="22"/>
        </w:rPr>
        <w:t>/2011-Plenário, TC-00</w:t>
      </w:r>
      <w:r w:rsidR="005266F4" w:rsidRPr="00B91555">
        <w:rPr>
          <w:b/>
          <w:i/>
          <w:color w:val="000000"/>
          <w:sz w:val="22"/>
        </w:rPr>
        <w:t>5</w:t>
      </w:r>
      <w:r w:rsidR="00F66122" w:rsidRPr="00B91555">
        <w:rPr>
          <w:b/>
          <w:i/>
          <w:color w:val="000000"/>
          <w:sz w:val="22"/>
        </w:rPr>
        <w:t>.</w:t>
      </w:r>
      <w:r w:rsidR="005266F4" w:rsidRPr="00B91555">
        <w:rPr>
          <w:b/>
          <w:i/>
          <w:color w:val="000000"/>
          <w:sz w:val="22"/>
        </w:rPr>
        <w:t>686/2011</w:t>
      </w:r>
      <w:r w:rsidR="00F66122" w:rsidRPr="00B91555">
        <w:rPr>
          <w:b/>
          <w:i/>
          <w:color w:val="000000"/>
          <w:sz w:val="22"/>
        </w:rPr>
        <w:t>-</w:t>
      </w:r>
      <w:r w:rsidR="005266F4" w:rsidRPr="00B91555">
        <w:rPr>
          <w:b/>
          <w:i/>
          <w:color w:val="000000"/>
          <w:sz w:val="22"/>
        </w:rPr>
        <w:t>3</w:t>
      </w:r>
      <w:r w:rsidR="00F66122" w:rsidRPr="00B91555">
        <w:rPr>
          <w:b/>
          <w:i/>
          <w:color w:val="000000"/>
          <w:sz w:val="22"/>
        </w:rPr>
        <w:t xml:space="preserve">, rel. Min. José </w:t>
      </w:r>
      <w:r w:rsidR="005266F4" w:rsidRPr="00B91555">
        <w:rPr>
          <w:b/>
          <w:i/>
          <w:color w:val="000000"/>
          <w:sz w:val="22"/>
        </w:rPr>
        <w:t>Jorge</w:t>
      </w:r>
      <w:r w:rsidR="00F66122" w:rsidRPr="00B91555">
        <w:rPr>
          <w:b/>
          <w:i/>
          <w:color w:val="000000"/>
          <w:sz w:val="22"/>
        </w:rPr>
        <w:t>, 1</w:t>
      </w:r>
      <w:r w:rsidR="005266F4" w:rsidRPr="00B91555">
        <w:rPr>
          <w:b/>
          <w:i/>
          <w:color w:val="000000"/>
          <w:sz w:val="22"/>
        </w:rPr>
        <w:t>8</w:t>
      </w:r>
      <w:r w:rsidR="00F66122" w:rsidRPr="00B91555">
        <w:rPr>
          <w:b/>
          <w:i/>
          <w:color w:val="000000"/>
          <w:sz w:val="22"/>
        </w:rPr>
        <w:t>.05.2011.</w:t>
      </w:r>
    </w:p>
    <w:p w:rsidR="00867E32" w:rsidRPr="00B91555" w:rsidRDefault="00867E32" w:rsidP="00116BAB">
      <w:pPr>
        <w:pStyle w:val="TCU-RelVoto-1"/>
        <w:spacing w:after="0"/>
        <w:ind w:firstLine="0"/>
        <w:rPr>
          <w:b/>
          <w:color w:val="000000"/>
          <w:sz w:val="22"/>
        </w:rPr>
      </w:pPr>
    </w:p>
    <w:p w:rsidR="00CB79F7" w:rsidRPr="00B91555" w:rsidRDefault="007136E9" w:rsidP="00AB51C8">
      <w:pPr>
        <w:tabs>
          <w:tab w:val="left" w:pos="851"/>
        </w:tabs>
        <w:spacing w:after="0"/>
        <w:ind w:left="0"/>
        <w:rPr>
          <w:b/>
          <w:sz w:val="22"/>
          <w:szCs w:val="22"/>
        </w:rPr>
      </w:pPr>
      <w:r w:rsidRPr="00B91555">
        <w:rPr>
          <w:b/>
          <w:sz w:val="22"/>
          <w:szCs w:val="22"/>
        </w:rPr>
        <w:t>Em contratação</w:t>
      </w:r>
      <w:r w:rsidR="00F2601B" w:rsidRPr="00B91555">
        <w:rPr>
          <w:b/>
          <w:sz w:val="22"/>
          <w:szCs w:val="22"/>
        </w:rPr>
        <w:t xml:space="preserve"> de</w:t>
      </w:r>
      <w:r w:rsidRPr="00B91555">
        <w:rPr>
          <w:b/>
          <w:sz w:val="22"/>
          <w:szCs w:val="22"/>
        </w:rPr>
        <w:t xml:space="preserve"> </w:t>
      </w:r>
      <w:r w:rsidR="00867E32" w:rsidRPr="00B91555">
        <w:rPr>
          <w:b/>
          <w:sz w:val="22"/>
          <w:szCs w:val="22"/>
        </w:rPr>
        <w:t>serviços de assistência médico</w:t>
      </w:r>
      <w:r w:rsidR="00867E32" w:rsidRPr="00B91555">
        <w:rPr>
          <w:b/>
          <w:sz w:val="22"/>
          <w:szCs w:val="22"/>
        </w:rPr>
        <w:noBreakHyphen/>
        <w:t xml:space="preserve">hospitalar </w:t>
      </w:r>
      <w:r w:rsidRPr="00B91555">
        <w:rPr>
          <w:b/>
          <w:sz w:val="22"/>
          <w:szCs w:val="22"/>
        </w:rPr>
        <w:t xml:space="preserve">para empregados públicos devem ser </w:t>
      </w:r>
      <w:r w:rsidRPr="00B91555">
        <w:rPr>
          <w:b/>
          <w:sz w:val="22"/>
          <w:szCs w:val="22"/>
          <w:lang w:eastAsia="pt-BR"/>
        </w:rPr>
        <w:t>admitidos todos os tipos de operadoras de plano de assistência à saúde previstos no art. 1º da Lei nº 9.656/1998, salvo exceções tecnicamente fundamentadas</w:t>
      </w:r>
    </w:p>
    <w:p w:rsidR="007C08AB" w:rsidRPr="00B91555" w:rsidRDefault="00F666FD" w:rsidP="00AB51C8">
      <w:pPr>
        <w:tabs>
          <w:tab w:val="left" w:pos="851"/>
        </w:tabs>
        <w:spacing w:after="0"/>
        <w:ind w:left="0"/>
        <w:rPr>
          <w:b/>
          <w:i/>
          <w:color w:val="000000"/>
          <w:sz w:val="22"/>
          <w:szCs w:val="22"/>
        </w:rPr>
      </w:pPr>
      <w:r w:rsidRPr="00B91555">
        <w:rPr>
          <w:sz w:val="22"/>
          <w:szCs w:val="22"/>
        </w:rPr>
        <w:t>R</w:t>
      </w:r>
      <w:r w:rsidR="007C08AB" w:rsidRPr="00B91555">
        <w:rPr>
          <w:sz w:val="22"/>
          <w:szCs w:val="22"/>
        </w:rPr>
        <w:t xml:space="preserve">epresentação </w:t>
      </w:r>
      <w:r w:rsidRPr="00B91555">
        <w:rPr>
          <w:sz w:val="22"/>
          <w:szCs w:val="22"/>
        </w:rPr>
        <w:t xml:space="preserve">foi intentada junto ao Tribunal, em razão de </w:t>
      </w:r>
      <w:r w:rsidR="007C08AB" w:rsidRPr="00B91555">
        <w:rPr>
          <w:sz w:val="22"/>
          <w:szCs w:val="22"/>
        </w:rPr>
        <w:t xml:space="preserve">possível ilegalidade no Pregão Presencial nº 01/2011, realizado pela Companhia de Entrepostos e Armazéns Gerais de São Paulo </w:t>
      </w:r>
      <w:r w:rsidR="004F3D4A" w:rsidRPr="00B91555">
        <w:rPr>
          <w:sz w:val="22"/>
          <w:szCs w:val="22"/>
        </w:rPr>
        <w:t xml:space="preserve">- </w:t>
      </w:r>
      <w:r w:rsidR="007C08AB" w:rsidRPr="00B91555">
        <w:rPr>
          <w:sz w:val="22"/>
          <w:szCs w:val="22"/>
        </w:rPr>
        <w:t xml:space="preserve">(Ceagesp), cujo objeto </w:t>
      </w:r>
      <w:r w:rsidRPr="00B91555">
        <w:rPr>
          <w:sz w:val="22"/>
          <w:szCs w:val="22"/>
        </w:rPr>
        <w:t>referia-se à</w:t>
      </w:r>
      <w:r w:rsidR="007C08AB" w:rsidRPr="00B91555">
        <w:rPr>
          <w:sz w:val="22"/>
          <w:szCs w:val="22"/>
        </w:rPr>
        <w:t xml:space="preserve"> contratação de empresa de seguro-saúde para a prestação de serviços de assistência médico</w:t>
      </w:r>
      <w:r w:rsidR="007C08AB" w:rsidRPr="00B91555">
        <w:rPr>
          <w:sz w:val="22"/>
          <w:szCs w:val="22"/>
        </w:rPr>
        <w:noBreakHyphen/>
        <w:t xml:space="preserve">hospitalar para </w:t>
      </w:r>
      <w:r w:rsidR="005340EA" w:rsidRPr="00B91555">
        <w:rPr>
          <w:sz w:val="22"/>
          <w:szCs w:val="22"/>
        </w:rPr>
        <w:t>o</w:t>
      </w:r>
      <w:r w:rsidR="007C08AB" w:rsidRPr="00B91555">
        <w:rPr>
          <w:sz w:val="22"/>
          <w:szCs w:val="22"/>
        </w:rPr>
        <w:t>s empregados</w:t>
      </w:r>
      <w:r w:rsidR="005340EA" w:rsidRPr="00B91555">
        <w:rPr>
          <w:sz w:val="22"/>
          <w:szCs w:val="22"/>
        </w:rPr>
        <w:t xml:space="preserve"> da instituição. Em seus exames,</w:t>
      </w:r>
      <w:r w:rsidR="007C08AB" w:rsidRPr="00B91555">
        <w:rPr>
          <w:sz w:val="22"/>
          <w:szCs w:val="22"/>
        </w:rPr>
        <w:t xml:space="preserve"> o Tribunal analisou suposta irregularidade relativa à permissão para a participação no certame dada apenas para operadoras de seguros privados. </w:t>
      </w:r>
      <w:r w:rsidR="004F3D4A" w:rsidRPr="00B91555">
        <w:rPr>
          <w:sz w:val="22"/>
          <w:szCs w:val="22"/>
        </w:rPr>
        <w:t>Nesse quadro, o</w:t>
      </w:r>
      <w:r w:rsidRPr="00B91555">
        <w:rPr>
          <w:sz w:val="22"/>
          <w:szCs w:val="22"/>
        </w:rPr>
        <w:t xml:space="preserve"> item 5.1.1 do edital </w:t>
      </w:r>
      <w:r w:rsidR="004F3D4A" w:rsidRPr="00B91555">
        <w:rPr>
          <w:sz w:val="22"/>
          <w:szCs w:val="22"/>
        </w:rPr>
        <w:t xml:space="preserve">teria </w:t>
      </w:r>
      <w:r w:rsidRPr="00B91555">
        <w:rPr>
          <w:sz w:val="22"/>
          <w:szCs w:val="22"/>
        </w:rPr>
        <w:t>exig</w:t>
      </w:r>
      <w:r w:rsidR="004F3D4A" w:rsidRPr="00B91555">
        <w:rPr>
          <w:sz w:val="22"/>
          <w:szCs w:val="22"/>
        </w:rPr>
        <w:t>ido</w:t>
      </w:r>
      <w:r w:rsidRPr="00B91555">
        <w:rPr>
          <w:sz w:val="22"/>
          <w:szCs w:val="22"/>
        </w:rPr>
        <w:t xml:space="preserve"> que as licitantes </w:t>
      </w:r>
      <w:r w:rsidR="004F3D4A" w:rsidRPr="00B91555">
        <w:rPr>
          <w:sz w:val="22"/>
          <w:szCs w:val="22"/>
        </w:rPr>
        <w:t>fosse</w:t>
      </w:r>
      <w:r w:rsidRPr="00B91555">
        <w:rPr>
          <w:sz w:val="22"/>
          <w:szCs w:val="22"/>
        </w:rPr>
        <w:t xml:space="preserve">m regidas pelas normas do Conselho Nacional de Seguros Privados </w:t>
      </w:r>
      <w:r w:rsidR="004F3D4A" w:rsidRPr="00B91555">
        <w:rPr>
          <w:sz w:val="22"/>
          <w:szCs w:val="22"/>
        </w:rPr>
        <w:t xml:space="preserve">- </w:t>
      </w:r>
      <w:r w:rsidRPr="00B91555">
        <w:rPr>
          <w:sz w:val="22"/>
          <w:szCs w:val="22"/>
        </w:rPr>
        <w:t xml:space="preserve">(CNSP), da Superintendência de Seguros Privados </w:t>
      </w:r>
      <w:r w:rsidR="004F3D4A" w:rsidRPr="00B91555">
        <w:rPr>
          <w:sz w:val="22"/>
          <w:szCs w:val="22"/>
        </w:rPr>
        <w:t xml:space="preserve">- </w:t>
      </w:r>
      <w:r w:rsidRPr="00B91555">
        <w:rPr>
          <w:sz w:val="22"/>
          <w:szCs w:val="22"/>
        </w:rPr>
        <w:t xml:space="preserve">(Susep) e que </w:t>
      </w:r>
      <w:r w:rsidR="004F3D4A" w:rsidRPr="00B91555">
        <w:rPr>
          <w:sz w:val="22"/>
          <w:szCs w:val="22"/>
        </w:rPr>
        <w:t>fosse</w:t>
      </w:r>
      <w:r w:rsidRPr="00B91555">
        <w:rPr>
          <w:sz w:val="22"/>
          <w:szCs w:val="22"/>
        </w:rPr>
        <w:t xml:space="preserve">m registradas ou autorizadas pela Agência Nacional de Saúde Suplementar </w:t>
      </w:r>
      <w:r w:rsidR="004F3D4A" w:rsidRPr="00B91555">
        <w:rPr>
          <w:sz w:val="22"/>
          <w:szCs w:val="22"/>
        </w:rPr>
        <w:t xml:space="preserve">- </w:t>
      </w:r>
      <w:r w:rsidRPr="00B91555">
        <w:rPr>
          <w:sz w:val="22"/>
          <w:szCs w:val="22"/>
        </w:rPr>
        <w:t>(ANS).</w:t>
      </w:r>
      <w:r w:rsidR="004F3D4A" w:rsidRPr="00B91555">
        <w:rPr>
          <w:sz w:val="22"/>
          <w:szCs w:val="22"/>
        </w:rPr>
        <w:t xml:space="preserve"> Após provimento cautelar em que decidira pela suspensão do certame, o Tribunal promoveu oitiva da </w:t>
      </w:r>
      <w:r w:rsidR="005340EA" w:rsidRPr="00B91555">
        <w:rPr>
          <w:sz w:val="22"/>
          <w:szCs w:val="22"/>
        </w:rPr>
        <w:t>Ceagesp</w:t>
      </w:r>
      <w:r w:rsidR="004F3D4A" w:rsidRPr="00B91555">
        <w:rPr>
          <w:sz w:val="22"/>
          <w:szCs w:val="22"/>
        </w:rPr>
        <w:t>, a qual informou que “</w:t>
      </w:r>
      <w:r w:rsidR="004F3D4A" w:rsidRPr="00B91555">
        <w:rPr>
          <w:i/>
          <w:sz w:val="22"/>
          <w:szCs w:val="22"/>
        </w:rPr>
        <w:t>somente o sistema de seguro-saúde permite o reembolso das despesas médicas sempre que os usuários optarem por realizar consultas ou procedimentos médicos por profissionais, clínicas, laboratórios e hospitais que não façam parte da rede credenciada da futura prestadora dos serviços</w:t>
      </w:r>
      <w:r w:rsidR="004F3D4A" w:rsidRPr="00B91555">
        <w:rPr>
          <w:sz w:val="22"/>
          <w:szCs w:val="22"/>
        </w:rPr>
        <w:t>”. Assim, para a Ceagesp, caso se optasse pelo caminho de contratação de plano de saúde para seus empregados</w:t>
      </w:r>
      <w:r w:rsidR="00020C27" w:rsidRPr="00B91555">
        <w:rPr>
          <w:sz w:val="22"/>
          <w:szCs w:val="22"/>
        </w:rPr>
        <w:t xml:space="preserve">, estes estariam restritos apenas aos prestadores conveniados, daí a opção pelo sistema de seguro-saúde. Para o relator, </w:t>
      </w:r>
      <w:r w:rsidR="00372E83" w:rsidRPr="00B91555">
        <w:rPr>
          <w:sz w:val="22"/>
          <w:szCs w:val="22"/>
        </w:rPr>
        <w:t>no entanto, não haveria respaldo legal para a exigência. Segundo ele, desde as alterações promovidas pela Medida Provisória nº 2.177</w:t>
      </w:r>
      <w:r w:rsidR="00372E83" w:rsidRPr="00B91555">
        <w:rPr>
          <w:sz w:val="22"/>
          <w:szCs w:val="22"/>
        </w:rPr>
        <w:noBreakHyphen/>
        <w:t>44/2001, portanto, há quase dez anos, a Lei nº 9.656/1998 não mais apresentaria diferenciação entre planos e seguros de saúde. Enfatizou o relator que, em conformidade com o art. 1º do normativo referenciado, “</w:t>
      </w:r>
      <w:r w:rsidR="00372E83" w:rsidRPr="00B91555">
        <w:rPr>
          <w:i/>
          <w:sz w:val="22"/>
          <w:szCs w:val="22"/>
        </w:rPr>
        <w:t>a operação de planos privados de assistência à saúde é permitida a sociedades civis ou comerciais, a cooperativas e a entidades de gestão, desde que cumpram os requisitos legais, entre os quais não está incluída a submissão a normas no CNSP ou da Susep</w:t>
      </w:r>
      <w:r w:rsidR="00372E83" w:rsidRPr="00B91555">
        <w:rPr>
          <w:sz w:val="22"/>
          <w:szCs w:val="22"/>
        </w:rPr>
        <w:t xml:space="preserve">”. Além disso, na definição de plano privado de assistência à saúde (inc. I do art. 1º da Lei nº 9.656/1998), constaria a faculdade de remuneração ao prestador de serviços médicos mediante pagamento direto da operadora ou por reembolso ao associado. Assim, por entender </w:t>
      </w:r>
      <w:r w:rsidR="005340EA" w:rsidRPr="00B91555">
        <w:rPr>
          <w:sz w:val="22"/>
          <w:szCs w:val="22"/>
        </w:rPr>
        <w:t xml:space="preserve">serem </w:t>
      </w:r>
      <w:r w:rsidR="007136E9" w:rsidRPr="00B91555">
        <w:rPr>
          <w:sz w:val="22"/>
          <w:szCs w:val="22"/>
        </w:rPr>
        <w:t>in</w:t>
      </w:r>
      <w:r w:rsidR="005340EA" w:rsidRPr="00B91555">
        <w:rPr>
          <w:sz w:val="22"/>
          <w:szCs w:val="22"/>
        </w:rPr>
        <w:t>aceitáveis</w:t>
      </w:r>
      <w:r w:rsidR="00372E83" w:rsidRPr="00B91555">
        <w:rPr>
          <w:sz w:val="22"/>
          <w:szCs w:val="22"/>
        </w:rPr>
        <w:t xml:space="preserve"> os argumentos apresentados pela Ceagesp, votou o relator por que o Tribunal considerasse procedente a representação, determinando à entidade administrativa que </w:t>
      </w:r>
      <w:r w:rsidR="00372E83" w:rsidRPr="00B91555">
        <w:rPr>
          <w:sz w:val="22"/>
          <w:szCs w:val="22"/>
          <w:lang w:eastAsia="pt-BR"/>
        </w:rPr>
        <w:t>eliminasse toda e qualquer exigência que restringisse a participação no certame somente às empresas de seguro-saúde, o qual deveria passar a admitir todos os tipos de operadoras de plano de assistência à saúde previstos no art. 1º da Lei nº 9.656/1998, salvo exceções tecnicamente fundamentadas. Nos termos do voto do relator, o Plenário manifestou sua concordância.</w:t>
      </w:r>
      <w:r w:rsidR="007C08AB" w:rsidRPr="00B91555">
        <w:rPr>
          <w:color w:val="FF0000"/>
          <w:sz w:val="22"/>
          <w:szCs w:val="22"/>
          <w:lang w:eastAsia="pt-BR"/>
        </w:rPr>
        <w:t xml:space="preserve"> </w:t>
      </w:r>
      <w:r w:rsidR="007C08AB" w:rsidRPr="00B91555">
        <w:rPr>
          <w:b/>
          <w:i/>
          <w:color w:val="000000"/>
          <w:sz w:val="22"/>
          <w:szCs w:val="22"/>
        </w:rPr>
        <w:t>Acórdão n.º 1287/2011-Plenário, TC-005.862/2011-6, rel. Min. José Múcio</w:t>
      </w:r>
      <w:r w:rsidR="00622521">
        <w:rPr>
          <w:b/>
          <w:i/>
          <w:color w:val="000000"/>
          <w:sz w:val="22"/>
          <w:szCs w:val="22"/>
        </w:rPr>
        <w:t xml:space="preserve"> Monteiro</w:t>
      </w:r>
      <w:r w:rsidR="007C08AB" w:rsidRPr="00B91555">
        <w:rPr>
          <w:b/>
          <w:i/>
          <w:color w:val="000000"/>
          <w:sz w:val="22"/>
          <w:szCs w:val="22"/>
        </w:rPr>
        <w:t>, 18.05.2011.</w:t>
      </w:r>
    </w:p>
    <w:p w:rsidR="007C08AB" w:rsidRPr="00B91555" w:rsidRDefault="007C08AB" w:rsidP="00AB51C8">
      <w:pPr>
        <w:pStyle w:val="TCU-RelVoto-demais"/>
        <w:tabs>
          <w:tab w:val="left" w:pos="2590"/>
        </w:tabs>
        <w:spacing w:after="0"/>
        <w:rPr>
          <w:b/>
          <w:color w:val="FF0000"/>
          <w:sz w:val="22"/>
        </w:rPr>
      </w:pPr>
    </w:p>
    <w:p w:rsidR="002D1637" w:rsidRPr="00B91555" w:rsidRDefault="00F2601B" w:rsidP="00F2601B">
      <w:pPr>
        <w:pStyle w:val="TCU-RelVoto-demais"/>
        <w:tabs>
          <w:tab w:val="left" w:pos="2590"/>
        </w:tabs>
        <w:spacing w:before="60" w:after="60"/>
        <w:rPr>
          <w:color w:val="FF0000"/>
          <w:sz w:val="22"/>
        </w:rPr>
      </w:pPr>
      <w:r w:rsidRPr="00B91555">
        <w:rPr>
          <w:b/>
          <w:sz w:val="22"/>
        </w:rPr>
        <w:t xml:space="preserve">Concorrência do tipo técnica e preço para a revisão e elaboração de projeto básico de obra rodoviária: </w:t>
      </w:r>
      <w:r w:rsidR="00F00BE1" w:rsidRPr="00B91555">
        <w:rPr>
          <w:b/>
          <w:sz w:val="22"/>
        </w:rPr>
        <w:t xml:space="preserve">1 – </w:t>
      </w:r>
      <w:r w:rsidR="00330069" w:rsidRPr="00B91555">
        <w:rPr>
          <w:b/>
          <w:sz w:val="22"/>
        </w:rPr>
        <w:t xml:space="preserve">É possível a atribuição de pontuação </w:t>
      </w:r>
      <w:r w:rsidR="00AB51C8" w:rsidRPr="00B91555">
        <w:rPr>
          <w:b/>
          <w:sz w:val="22"/>
        </w:rPr>
        <w:t xml:space="preserve">a partir do critério “fator de permanência”, excetuadas as situações em que o objeto específico da licitação, </w:t>
      </w:r>
      <w:r w:rsidR="00B91555" w:rsidRPr="00B91555">
        <w:rPr>
          <w:b/>
          <w:sz w:val="22"/>
        </w:rPr>
        <w:t>pelas</w:t>
      </w:r>
      <w:r w:rsidR="00AB51C8" w:rsidRPr="00B91555">
        <w:rPr>
          <w:b/>
          <w:sz w:val="22"/>
        </w:rPr>
        <w:t xml:space="preserve"> condições de mercado, permita concluir que seria possível execução a contento, mesmo que a contratada não possua em seus quadros profissionais estáveis e reconhecidos</w:t>
      </w:r>
    </w:p>
    <w:p w:rsidR="002D1637" w:rsidRPr="00B91555" w:rsidRDefault="000253D1" w:rsidP="00AB51C8">
      <w:pPr>
        <w:spacing w:after="0"/>
        <w:ind w:left="0"/>
        <w:rPr>
          <w:b/>
          <w:i/>
          <w:color w:val="000000"/>
          <w:sz w:val="22"/>
          <w:szCs w:val="22"/>
        </w:rPr>
      </w:pPr>
      <w:r w:rsidRPr="00B91555">
        <w:rPr>
          <w:sz w:val="22"/>
          <w:szCs w:val="22"/>
        </w:rPr>
        <w:t xml:space="preserve">Representação informou ao Tribunal sobre possíveis irregularidades na Concorrência nº 34/2011, do tipo “técnica e preço”, realizada pelo Departamento Nacional de Infraestrutura de Transportes – (DNIT), </w:t>
      </w:r>
      <w:r w:rsidR="00330069" w:rsidRPr="00B91555">
        <w:rPr>
          <w:sz w:val="22"/>
          <w:szCs w:val="22"/>
        </w:rPr>
        <w:t xml:space="preserve">e </w:t>
      </w:r>
      <w:r w:rsidRPr="00B91555">
        <w:rPr>
          <w:sz w:val="22"/>
          <w:szCs w:val="22"/>
        </w:rPr>
        <w:t xml:space="preserve">cujo objeto consistiu na revisão e atualização de projeto básico existente e de elaboração de projeto executivo para as obras de melhorias e adequação de capacidade e segurança do anel viário de Belo Horizonte, </w:t>
      </w:r>
      <w:r w:rsidR="00F00BE1" w:rsidRPr="00B91555">
        <w:rPr>
          <w:sz w:val="22"/>
          <w:szCs w:val="22"/>
        </w:rPr>
        <w:t xml:space="preserve">em </w:t>
      </w:r>
      <w:r w:rsidRPr="00B91555">
        <w:rPr>
          <w:sz w:val="22"/>
          <w:szCs w:val="22"/>
        </w:rPr>
        <w:t>trechos das rodovias BR 262</w:t>
      </w:r>
      <w:r w:rsidR="00F00BE1" w:rsidRPr="00B91555">
        <w:rPr>
          <w:sz w:val="22"/>
          <w:szCs w:val="22"/>
        </w:rPr>
        <w:t xml:space="preserve"> e </w:t>
      </w:r>
      <w:r w:rsidRPr="00B91555">
        <w:rPr>
          <w:sz w:val="22"/>
          <w:szCs w:val="22"/>
        </w:rPr>
        <w:t>040</w:t>
      </w:r>
      <w:r w:rsidR="00F00BE1" w:rsidRPr="00B91555">
        <w:rPr>
          <w:sz w:val="22"/>
          <w:szCs w:val="22"/>
        </w:rPr>
        <w:t xml:space="preserve">, em </w:t>
      </w:r>
      <w:r w:rsidRPr="00B91555">
        <w:rPr>
          <w:sz w:val="22"/>
          <w:szCs w:val="22"/>
        </w:rPr>
        <w:t>M</w:t>
      </w:r>
      <w:r w:rsidR="00F00BE1" w:rsidRPr="00B91555">
        <w:rPr>
          <w:sz w:val="22"/>
          <w:szCs w:val="22"/>
        </w:rPr>
        <w:t xml:space="preserve">inas </w:t>
      </w:r>
      <w:r w:rsidRPr="00B91555">
        <w:rPr>
          <w:sz w:val="22"/>
          <w:szCs w:val="22"/>
        </w:rPr>
        <w:t>G</w:t>
      </w:r>
      <w:r w:rsidR="00F00BE1" w:rsidRPr="00B91555">
        <w:rPr>
          <w:sz w:val="22"/>
          <w:szCs w:val="22"/>
        </w:rPr>
        <w:t>erais</w:t>
      </w:r>
      <w:r w:rsidRPr="00B91555">
        <w:rPr>
          <w:sz w:val="22"/>
          <w:szCs w:val="22"/>
        </w:rPr>
        <w:t>, em lote único. No rol das irregularidades apuradas, figurou a pontuação atribuída para um “fator de permanência”, a ser utilizado como multiplicador para cada atestado relativo às categorias de engenheiros indicadas. Para cada um destes profissionais, o fator de permanência seria igual a 1,0, quando possuísse mais de um ano de atuação na empresa e 0,80</w:t>
      </w:r>
      <w:r w:rsidR="00F00BE1" w:rsidRPr="00B91555">
        <w:rPr>
          <w:sz w:val="22"/>
          <w:szCs w:val="22"/>
        </w:rPr>
        <w:t>,</w:t>
      </w:r>
      <w:r w:rsidRPr="00B91555">
        <w:rPr>
          <w:sz w:val="22"/>
          <w:szCs w:val="22"/>
        </w:rPr>
        <w:t xml:space="preserve"> para outras situações. Para a representante, tal exigência seria </w:t>
      </w:r>
      <w:r w:rsidR="00833A8F" w:rsidRPr="00B91555">
        <w:rPr>
          <w:sz w:val="22"/>
          <w:szCs w:val="22"/>
        </w:rPr>
        <w:t xml:space="preserve">ilegal, em </w:t>
      </w:r>
      <w:r w:rsidR="00330069" w:rsidRPr="00B91555">
        <w:rPr>
          <w:sz w:val="22"/>
          <w:szCs w:val="22"/>
        </w:rPr>
        <w:t>face</w:t>
      </w:r>
      <w:r w:rsidR="00833A8F" w:rsidRPr="00B91555">
        <w:rPr>
          <w:sz w:val="22"/>
          <w:szCs w:val="22"/>
        </w:rPr>
        <w:t xml:space="preserve"> do art. 30, § 1º, da Lei nº 8.666/1993, que impossibilita exigências de quantidades mínimas ou prazos máximos quanto a atestados a serem apresentados, para o fim de qualificação técnica. Aditou que o § 5º do mesmo artigo vedaria a exigência de comprovação de atividade ou de aptidão com limitação de tempo ou de época. Afirmou, ainda, que o critério examinado “</w:t>
      </w:r>
      <w:r w:rsidR="00833A8F" w:rsidRPr="00B91555">
        <w:rPr>
          <w:i/>
          <w:sz w:val="22"/>
          <w:szCs w:val="22"/>
        </w:rPr>
        <w:t>restringe a competição a empresas que possam comprovar tais requisitos, frise-se</w:t>
      </w:r>
      <w:r w:rsidR="00F00BE1" w:rsidRPr="00B91555">
        <w:rPr>
          <w:i/>
          <w:sz w:val="22"/>
          <w:szCs w:val="22"/>
        </w:rPr>
        <w:t>,</w:t>
      </w:r>
      <w:r w:rsidR="00833A8F" w:rsidRPr="00B91555">
        <w:rPr>
          <w:i/>
          <w:sz w:val="22"/>
          <w:szCs w:val="22"/>
        </w:rPr>
        <w:t xml:space="preserve"> de natureza não objetiva, mas diretamente pessoal e específico do potencial vencedor, o que pode levar a presumir o direcionamento</w:t>
      </w:r>
      <w:r w:rsidR="00833A8F" w:rsidRPr="00B91555">
        <w:rPr>
          <w:sz w:val="22"/>
          <w:szCs w:val="22"/>
        </w:rPr>
        <w:t xml:space="preserve">”. Ao examinar a matéria, a unidade técnica discordou da </w:t>
      </w:r>
      <w:r w:rsidR="00F00BE1" w:rsidRPr="00B91555">
        <w:rPr>
          <w:sz w:val="22"/>
          <w:szCs w:val="22"/>
        </w:rPr>
        <w:t>linha de raciocínio da representante</w:t>
      </w:r>
      <w:r w:rsidR="00833A8F" w:rsidRPr="00B91555">
        <w:rPr>
          <w:sz w:val="22"/>
          <w:szCs w:val="22"/>
        </w:rPr>
        <w:t xml:space="preserve">. Segundo </w:t>
      </w:r>
      <w:r w:rsidR="00F00BE1" w:rsidRPr="00B91555">
        <w:rPr>
          <w:sz w:val="22"/>
          <w:szCs w:val="22"/>
        </w:rPr>
        <w:t>a unidade instrutiva</w:t>
      </w:r>
      <w:r w:rsidR="00833A8F" w:rsidRPr="00B91555">
        <w:rPr>
          <w:sz w:val="22"/>
          <w:szCs w:val="22"/>
        </w:rPr>
        <w:t xml:space="preserve">, apesar das variações jurisprudenciais no Tribunal a respeito do assunto, </w:t>
      </w:r>
      <w:r w:rsidR="00953B70" w:rsidRPr="00B91555">
        <w:rPr>
          <w:sz w:val="22"/>
          <w:szCs w:val="22"/>
        </w:rPr>
        <w:t>no caso concreto</w:t>
      </w:r>
      <w:r w:rsidR="00BB078B" w:rsidRPr="00B91555">
        <w:rPr>
          <w:sz w:val="22"/>
          <w:szCs w:val="22"/>
        </w:rPr>
        <w:t xml:space="preserve">, não haveria irregularidade na aplicação do fator de permanência, o qual garantiria melhor pontuação para empresas que estivessem atuando </w:t>
      </w:r>
      <w:r w:rsidR="00330069" w:rsidRPr="00B91555">
        <w:rPr>
          <w:sz w:val="22"/>
          <w:szCs w:val="22"/>
        </w:rPr>
        <w:t xml:space="preserve">de modo mais estável </w:t>
      </w:r>
      <w:r w:rsidR="00BB078B" w:rsidRPr="00B91555">
        <w:rPr>
          <w:sz w:val="22"/>
          <w:szCs w:val="22"/>
        </w:rPr>
        <w:t>no mercado. Além disso, ainda para a unidade técnica,</w:t>
      </w:r>
      <w:r w:rsidR="00BB078B" w:rsidRPr="00B91555">
        <w:rPr>
          <w:i/>
          <w:sz w:val="22"/>
          <w:szCs w:val="22"/>
        </w:rPr>
        <w:t xml:space="preserve"> “a diferenciação produzida pelo fator de permanência é de 20% em parte da proposta técnica, de modo que, embora seja significativa, não pode ser vista como abusiva ou desproporcional”.</w:t>
      </w:r>
      <w:r w:rsidR="00BB078B" w:rsidRPr="00B91555">
        <w:rPr>
          <w:sz w:val="22"/>
          <w:szCs w:val="22"/>
        </w:rPr>
        <w:t xml:space="preserve"> Ressaltou a unidade</w:t>
      </w:r>
      <w:r w:rsidR="00F00BE1" w:rsidRPr="00B91555">
        <w:rPr>
          <w:sz w:val="22"/>
          <w:szCs w:val="22"/>
        </w:rPr>
        <w:t xml:space="preserve"> responsável pelo processo</w:t>
      </w:r>
      <w:r w:rsidR="00BB078B" w:rsidRPr="00B91555">
        <w:rPr>
          <w:sz w:val="22"/>
          <w:szCs w:val="22"/>
        </w:rPr>
        <w:t xml:space="preserve"> que “</w:t>
      </w:r>
      <w:r w:rsidR="00BB078B" w:rsidRPr="00B91555">
        <w:rPr>
          <w:i/>
          <w:sz w:val="22"/>
          <w:szCs w:val="22"/>
        </w:rPr>
        <w:t>a conclusão de que o fator de permanência é inadequado à competição somente deve ser adotada quando houver fatos referentes ao objeto específico da licitação que demonstrem tal situação, especialmente em razão da condição do mercado e em função da comprovação de que o objeto pode ser alcançado a contento e da melhor forma possível mesmo que a contratada não possua em seus quadros profissionais estáveis e reconhecidos</w:t>
      </w:r>
      <w:r w:rsidR="00BB078B" w:rsidRPr="00B91555">
        <w:rPr>
          <w:sz w:val="22"/>
          <w:szCs w:val="22"/>
        </w:rPr>
        <w:t>”</w:t>
      </w:r>
      <w:r w:rsidR="00BB078B" w:rsidRPr="00B91555">
        <w:rPr>
          <w:i/>
          <w:sz w:val="22"/>
          <w:szCs w:val="22"/>
        </w:rPr>
        <w:t xml:space="preserve">. </w:t>
      </w:r>
      <w:r w:rsidR="00BB078B" w:rsidRPr="00B91555">
        <w:rPr>
          <w:sz w:val="22"/>
          <w:szCs w:val="22"/>
        </w:rPr>
        <w:t xml:space="preserve">O relator, ao concordar com os exames da unidade técnica, votou, então, pela improcedência da representação, no que foi acompanhado pelo Plenário. </w:t>
      </w:r>
      <w:r w:rsidR="002D1637" w:rsidRPr="00B91555">
        <w:rPr>
          <w:sz w:val="22"/>
          <w:szCs w:val="22"/>
          <w:lang w:eastAsia="pt-BR"/>
        </w:rPr>
        <w:t>Precedente</w:t>
      </w:r>
      <w:r w:rsidR="00953B70" w:rsidRPr="00B91555">
        <w:rPr>
          <w:sz w:val="22"/>
          <w:szCs w:val="22"/>
          <w:lang w:eastAsia="pt-BR"/>
        </w:rPr>
        <w:t>s</w:t>
      </w:r>
      <w:r w:rsidR="002D1637" w:rsidRPr="00B91555">
        <w:rPr>
          <w:sz w:val="22"/>
          <w:szCs w:val="22"/>
          <w:lang w:eastAsia="pt-BR"/>
        </w:rPr>
        <w:t xml:space="preserve"> citado</w:t>
      </w:r>
      <w:r w:rsidR="00953B70" w:rsidRPr="00B91555">
        <w:rPr>
          <w:sz w:val="22"/>
          <w:szCs w:val="22"/>
          <w:lang w:eastAsia="pt-BR"/>
        </w:rPr>
        <w:t>s</w:t>
      </w:r>
      <w:r w:rsidR="002D1637" w:rsidRPr="00B91555">
        <w:rPr>
          <w:sz w:val="22"/>
          <w:szCs w:val="22"/>
          <w:lang w:eastAsia="pt-BR"/>
        </w:rPr>
        <w:t>: Acórdão</w:t>
      </w:r>
      <w:r w:rsidR="00953B70" w:rsidRPr="00B91555">
        <w:rPr>
          <w:sz w:val="22"/>
          <w:szCs w:val="22"/>
          <w:lang w:eastAsia="pt-BR"/>
        </w:rPr>
        <w:t>s</w:t>
      </w:r>
      <w:r w:rsidR="002D1637" w:rsidRPr="00B91555">
        <w:rPr>
          <w:sz w:val="22"/>
          <w:szCs w:val="22"/>
          <w:lang w:eastAsia="pt-BR"/>
        </w:rPr>
        <w:t xml:space="preserve"> </w:t>
      </w:r>
      <w:r w:rsidR="00953B70" w:rsidRPr="00B91555">
        <w:rPr>
          <w:sz w:val="22"/>
          <w:szCs w:val="22"/>
          <w:lang w:eastAsia="pt-BR"/>
        </w:rPr>
        <w:t>n</w:t>
      </w:r>
      <w:r w:rsidR="00953B70" w:rsidRPr="00B91555">
        <w:rPr>
          <w:sz w:val="22"/>
          <w:szCs w:val="22"/>
          <w:u w:val="single"/>
          <w:vertAlign w:val="superscript"/>
          <w:lang w:eastAsia="pt-BR"/>
        </w:rPr>
        <w:t>os</w:t>
      </w:r>
      <w:r w:rsidR="00953B70" w:rsidRPr="00B91555">
        <w:rPr>
          <w:sz w:val="22"/>
          <w:szCs w:val="22"/>
          <w:lang w:eastAsia="pt-BR"/>
        </w:rPr>
        <w:t xml:space="preserve"> 2632/2007 e 2935/2010, ambos do Plenário</w:t>
      </w:r>
      <w:r w:rsidR="002D1637" w:rsidRPr="00B91555">
        <w:rPr>
          <w:sz w:val="22"/>
          <w:szCs w:val="22"/>
          <w:lang w:eastAsia="pt-BR"/>
        </w:rPr>
        <w:t>.</w:t>
      </w:r>
      <w:r w:rsidR="002D1637" w:rsidRPr="00B91555">
        <w:rPr>
          <w:color w:val="FF0000"/>
          <w:sz w:val="22"/>
          <w:szCs w:val="22"/>
          <w:lang w:eastAsia="pt-BR"/>
        </w:rPr>
        <w:t xml:space="preserve"> </w:t>
      </w:r>
      <w:r w:rsidR="002D1637" w:rsidRPr="00B91555">
        <w:rPr>
          <w:b/>
          <w:i/>
          <w:color w:val="000000"/>
          <w:sz w:val="22"/>
          <w:szCs w:val="22"/>
        </w:rPr>
        <w:t>Acórdão n.º 1288/2011-Plenário, TC-010.632/2011-5, rel. Min. José Múcio</w:t>
      </w:r>
      <w:r w:rsidR="00622521">
        <w:rPr>
          <w:b/>
          <w:i/>
          <w:color w:val="000000"/>
          <w:sz w:val="22"/>
          <w:szCs w:val="22"/>
        </w:rPr>
        <w:t xml:space="preserve"> Monteiro</w:t>
      </w:r>
      <w:r w:rsidR="002D1637" w:rsidRPr="00B91555">
        <w:rPr>
          <w:b/>
          <w:i/>
          <w:color w:val="000000"/>
          <w:sz w:val="22"/>
          <w:szCs w:val="22"/>
        </w:rPr>
        <w:t>, 18.05.2011.</w:t>
      </w:r>
    </w:p>
    <w:p w:rsidR="002D1637" w:rsidRPr="00B91555" w:rsidRDefault="002D1637" w:rsidP="00AB51C8">
      <w:pPr>
        <w:pStyle w:val="TCU-RelVoto-demais"/>
        <w:tabs>
          <w:tab w:val="left" w:pos="2590"/>
        </w:tabs>
        <w:spacing w:after="0"/>
        <w:rPr>
          <w:b/>
          <w:color w:val="FF0000"/>
          <w:sz w:val="22"/>
        </w:rPr>
      </w:pPr>
    </w:p>
    <w:p w:rsidR="00F00BE1" w:rsidRPr="00B91555" w:rsidRDefault="00F2601B" w:rsidP="00F2601B">
      <w:pPr>
        <w:pStyle w:val="TCU-RelVoto-demais"/>
        <w:tabs>
          <w:tab w:val="left" w:pos="2590"/>
        </w:tabs>
        <w:spacing w:before="60" w:after="60"/>
        <w:rPr>
          <w:b/>
          <w:color w:val="FF0000"/>
          <w:sz w:val="22"/>
        </w:rPr>
      </w:pPr>
      <w:r w:rsidRPr="00B91555">
        <w:rPr>
          <w:b/>
          <w:sz w:val="22"/>
        </w:rPr>
        <w:t>Concorrência</w:t>
      </w:r>
      <w:r w:rsidRPr="00B91555">
        <w:rPr>
          <w:sz w:val="22"/>
        </w:rPr>
        <w:t xml:space="preserve"> </w:t>
      </w:r>
      <w:r w:rsidRPr="00B91555">
        <w:rPr>
          <w:b/>
          <w:sz w:val="22"/>
        </w:rPr>
        <w:t xml:space="preserve">do tipo técnica e preço para a revisão e elaboração de projeto básico de obra rodoviária: 2 - </w:t>
      </w:r>
      <w:r w:rsidR="00573D3B" w:rsidRPr="00B91555">
        <w:rPr>
          <w:b/>
          <w:sz w:val="22"/>
        </w:rPr>
        <w:t>limitação das propostas de preço ao orçamento de referência da licitação é aplicável</w:t>
      </w:r>
      <w:r w:rsidRPr="00B91555">
        <w:rPr>
          <w:b/>
          <w:sz w:val="22"/>
        </w:rPr>
        <w:t xml:space="preserve"> também</w:t>
      </w:r>
      <w:r w:rsidR="00573D3B" w:rsidRPr="00B91555">
        <w:rPr>
          <w:b/>
          <w:sz w:val="22"/>
        </w:rPr>
        <w:t xml:space="preserve"> às licitações que utilizem o tipo técnica e preço</w:t>
      </w:r>
    </w:p>
    <w:p w:rsidR="00BB078B" w:rsidRPr="00B91555" w:rsidRDefault="00BB078B" w:rsidP="00573D3B">
      <w:pPr>
        <w:spacing w:after="0"/>
        <w:ind w:left="0"/>
        <w:rPr>
          <w:b/>
          <w:i/>
          <w:color w:val="000000"/>
          <w:sz w:val="22"/>
          <w:szCs w:val="22"/>
        </w:rPr>
      </w:pPr>
      <w:r w:rsidRPr="00B91555">
        <w:rPr>
          <w:sz w:val="22"/>
          <w:szCs w:val="22"/>
        </w:rPr>
        <w:t xml:space="preserve">Ainda na </w:t>
      </w:r>
      <w:r w:rsidR="00125F9A" w:rsidRPr="00B91555">
        <w:rPr>
          <w:sz w:val="22"/>
          <w:szCs w:val="22"/>
        </w:rPr>
        <w:t>r</w:t>
      </w:r>
      <w:r w:rsidRPr="00B91555">
        <w:rPr>
          <w:sz w:val="22"/>
          <w:szCs w:val="22"/>
        </w:rPr>
        <w:t xml:space="preserve">epresentação que informou ao Tribunal sobre possíveis irregularidades na Concorrência nº 34/2011, do tipo “técnica e preço”, realizada pelo Departamento Nacional de Infraestrutura de Transportes – (DNIT), </w:t>
      </w:r>
      <w:r w:rsidR="00C3715E" w:rsidRPr="00B91555">
        <w:rPr>
          <w:sz w:val="22"/>
          <w:szCs w:val="22"/>
        </w:rPr>
        <w:t xml:space="preserve">a representante contestou </w:t>
      </w:r>
      <w:r w:rsidR="002F4696" w:rsidRPr="00B91555">
        <w:rPr>
          <w:sz w:val="22"/>
          <w:szCs w:val="22"/>
        </w:rPr>
        <w:t>a limitação da</w:t>
      </w:r>
      <w:r w:rsidR="00573D3B" w:rsidRPr="00B91555">
        <w:rPr>
          <w:sz w:val="22"/>
          <w:szCs w:val="22"/>
        </w:rPr>
        <w:t>s</w:t>
      </w:r>
      <w:r w:rsidR="002F4696" w:rsidRPr="00B91555">
        <w:rPr>
          <w:sz w:val="22"/>
          <w:szCs w:val="22"/>
        </w:rPr>
        <w:t xml:space="preserve"> proposta</w:t>
      </w:r>
      <w:r w:rsidR="00573D3B" w:rsidRPr="00B91555">
        <w:rPr>
          <w:sz w:val="22"/>
          <w:szCs w:val="22"/>
        </w:rPr>
        <w:t>s</w:t>
      </w:r>
      <w:r w:rsidR="002F4696" w:rsidRPr="00B91555">
        <w:rPr>
          <w:sz w:val="22"/>
          <w:szCs w:val="22"/>
        </w:rPr>
        <w:t xml:space="preserve"> de preço ao orçamento de referência da licitação, afirmando que isso só seria admissível em licitação que utilizasse o tipo melhor técnica. Para ela, “</w:t>
      </w:r>
      <w:r w:rsidR="002F4696" w:rsidRPr="00B91555">
        <w:rPr>
          <w:i/>
          <w:sz w:val="22"/>
          <w:szCs w:val="22"/>
        </w:rPr>
        <w:t>a disposição legal para a fixação do limite de preço está contida no § 1º do art. 46 da Lei nº 8.666/1993, o qual é direcionado apenas às licitações do tipo melhor técnica. Além disso, ao tratar dos procedimentos das licitações do tipo técnica e preço, o § 2º do mesmo artigo não remete a nenhuma regra sobre limitação de preços</w:t>
      </w:r>
      <w:r w:rsidR="002F4696" w:rsidRPr="00B91555">
        <w:rPr>
          <w:sz w:val="22"/>
          <w:szCs w:val="22"/>
        </w:rPr>
        <w:t>”. Para a unidade técnica, “</w:t>
      </w:r>
      <w:r w:rsidR="002F4696" w:rsidRPr="00B91555">
        <w:rPr>
          <w:i/>
          <w:sz w:val="22"/>
          <w:szCs w:val="22"/>
        </w:rPr>
        <w:t>em que pese ser correta a interpretação do representante de que o artigo 46 não explicita a regra de limitação do preço para licitações do tipo técnica e preço, observa-se que essa regra é geral e permeia a Lei nº 8.666/1993 em algumas de suas partes, explicitamente ou não, e não pode ser questionada ou desobedecida sob nenhum pretexto</w:t>
      </w:r>
      <w:r w:rsidR="002F4696" w:rsidRPr="00B91555">
        <w:rPr>
          <w:sz w:val="22"/>
          <w:szCs w:val="22"/>
        </w:rPr>
        <w:t>”</w:t>
      </w:r>
      <w:r w:rsidR="002F4696" w:rsidRPr="00B91555">
        <w:rPr>
          <w:i/>
          <w:sz w:val="22"/>
          <w:szCs w:val="22"/>
        </w:rPr>
        <w:t>.</w:t>
      </w:r>
      <w:r w:rsidR="002F4696" w:rsidRPr="00B91555">
        <w:rPr>
          <w:sz w:val="22"/>
          <w:szCs w:val="22"/>
        </w:rPr>
        <w:t xml:space="preserve"> Nesse quadro, a unidade técnica citou os artigos 40 e 48 da Lei 8.666/1993, em cujos âmbitos de aplicação estão todos os tipos e modalidades de licitação. O relator, ao concordar com os exames da unidade técnica, votou, então, pela improcedência da representação, no que foi acompanhado pelo Plenário.</w:t>
      </w:r>
      <w:r w:rsidRPr="00B91555">
        <w:rPr>
          <w:color w:val="FF0000"/>
          <w:sz w:val="22"/>
          <w:szCs w:val="22"/>
          <w:lang w:eastAsia="pt-BR"/>
        </w:rPr>
        <w:t xml:space="preserve"> </w:t>
      </w:r>
      <w:r w:rsidRPr="00B91555">
        <w:rPr>
          <w:b/>
          <w:i/>
          <w:color w:val="000000"/>
          <w:sz w:val="22"/>
          <w:szCs w:val="22"/>
        </w:rPr>
        <w:t>Acórdão n.º 1288/2011-Plenário, TC-010.632/2011-5, rel. Min. José Múcio</w:t>
      </w:r>
      <w:r w:rsidR="00622521">
        <w:rPr>
          <w:b/>
          <w:i/>
          <w:color w:val="000000"/>
          <w:sz w:val="22"/>
          <w:szCs w:val="22"/>
        </w:rPr>
        <w:t xml:space="preserve"> Monteiro</w:t>
      </w:r>
      <w:r w:rsidRPr="00B91555">
        <w:rPr>
          <w:b/>
          <w:i/>
          <w:color w:val="000000"/>
          <w:sz w:val="22"/>
          <w:szCs w:val="22"/>
        </w:rPr>
        <w:t>, 18.05.2011.</w:t>
      </w:r>
    </w:p>
    <w:p w:rsidR="00BB078B" w:rsidRPr="00B91555" w:rsidRDefault="00BB078B" w:rsidP="00573D3B">
      <w:pPr>
        <w:pStyle w:val="TCU-RelVoto-demais"/>
        <w:tabs>
          <w:tab w:val="left" w:pos="2590"/>
        </w:tabs>
        <w:spacing w:after="0"/>
        <w:rPr>
          <w:b/>
          <w:color w:val="FF0000"/>
          <w:sz w:val="22"/>
        </w:rPr>
      </w:pPr>
    </w:p>
    <w:p w:rsidR="00EE05C2" w:rsidRPr="00B91555" w:rsidRDefault="002639CA" w:rsidP="00573D3B">
      <w:pPr>
        <w:pStyle w:val="Corpodetexto"/>
        <w:tabs>
          <w:tab w:val="left" w:pos="1134"/>
          <w:tab w:val="left" w:pos="2590"/>
        </w:tabs>
        <w:spacing w:after="0"/>
        <w:ind w:left="0"/>
        <w:rPr>
          <w:b/>
          <w:color w:val="FF0000"/>
          <w:sz w:val="22"/>
          <w:szCs w:val="22"/>
        </w:rPr>
      </w:pPr>
      <w:r w:rsidRPr="00B91555">
        <w:rPr>
          <w:b/>
          <w:sz w:val="22"/>
          <w:szCs w:val="22"/>
        </w:rPr>
        <w:t xml:space="preserve">Licitação para aquisição de produtos de merenda escolar: 1 </w:t>
      </w:r>
      <w:r w:rsidR="00EF6873" w:rsidRPr="00B91555">
        <w:rPr>
          <w:b/>
          <w:sz w:val="22"/>
          <w:szCs w:val="22"/>
        </w:rPr>
        <w:t>–</w:t>
      </w:r>
      <w:r w:rsidRPr="00B91555">
        <w:rPr>
          <w:b/>
          <w:sz w:val="22"/>
          <w:szCs w:val="22"/>
        </w:rPr>
        <w:t xml:space="preserve"> </w:t>
      </w:r>
      <w:r w:rsidR="00EF6873" w:rsidRPr="00B91555">
        <w:rPr>
          <w:b/>
          <w:sz w:val="22"/>
          <w:szCs w:val="22"/>
        </w:rPr>
        <w:t>A desclassificação de licitante deve estar amparada em laudo ou parecer que indique, de modo completo, as deficiências na amostra do produto a ser adquirido, quando esta é exigida</w:t>
      </w:r>
    </w:p>
    <w:p w:rsidR="00506619" w:rsidRPr="00B91555" w:rsidRDefault="00506619" w:rsidP="007136E9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B91555">
        <w:rPr>
          <w:sz w:val="22"/>
          <w:szCs w:val="22"/>
        </w:rPr>
        <w:t xml:space="preserve">Por intermédio de representação, </w:t>
      </w:r>
      <w:r w:rsidR="008A756C" w:rsidRPr="00B91555">
        <w:rPr>
          <w:sz w:val="22"/>
          <w:szCs w:val="22"/>
        </w:rPr>
        <w:t xml:space="preserve">o Tribunal tratou de possíveis irregularidades ocorridas na condução do Pregão </w:t>
      </w:r>
      <w:r w:rsidR="005012CF" w:rsidRPr="00B91555">
        <w:rPr>
          <w:sz w:val="22"/>
          <w:szCs w:val="22"/>
        </w:rPr>
        <w:t>71</w:t>
      </w:r>
      <w:r w:rsidR="008A756C" w:rsidRPr="00B91555">
        <w:rPr>
          <w:sz w:val="22"/>
          <w:szCs w:val="22"/>
        </w:rPr>
        <w:t xml:space="preserve">/2010, realizado pela </w:t>
      </w:r>
      <w:r w:rsidR="005012CF" w:rsidRPr="00B91555">
        <w:rPr>
          <w:sz w:val="22"/>
          <w:szCs w:val="22"/>
        </w:rPr>
        <w:t>Prefeitura de Manaus, no Amazonas</w:t>
      </w:r>
      <w:r w:rsidR="008A756C" w:rsidRPr="00B91555">
        <w:rPr>
          <w:sz w:val="22"/>
          <w:szCs w:val="22"/>
        </w:rPr>
        <w:t>, cujo objeto consistiu</w:t>
      </w:r>
      <w:r w:rsidR="005012CF" w:rsidRPr="00B91555">
        <w:rPr>
          <w:sz w:val="22"/>
          <w:szCs w:val="22"/>
        </w:rPr>
        <w:t xml:space="preserve"> </w:t>
      </w:r>
      <w:r w:rsidR="00824A8C" w:rsidRPr="00B91555">
        <w:rPr>
          <w:sz w:val="22"/>
          <w:szCs w:val="22"/>
        </w:rPr>
        <w:t xml:space="preserve">no registro de preços para eventual aquisição de gêneros alimentícios, em lotes, da merenda escolar, para atendimento à rede municipal de ensino. Dentre tais irregularidades, estaria a falta de critérios técnicos objetivos de avaliação de amostras apresentadas pelos licitantes vencedores dos lotes licitados, levando à desclassificação de 4 deles. Para o relator, </w:t>
      </w:r>
      <w:r w:rsidR="00CD5740" w:rsidRPr="00B91555">
        <w:rPr>
          <w:sz w:val="22"/>
          <w:szCs w:val="22"/>
        </w:rPr>
        <w:t xml:space="preserve">de fato, não foram disciplinados os critérios de avaliação das características inerentes aos produtos objeto das amostras, somando-se a isso a falta de objetividade por parte da comissão responsável pela análise das amostras, a qual, para ele, avaliou os produtos sem qualquer ajuizamento técnico ou, ainda, levando em conta apenas a ausência de informações na embalagem. Por conta da falta de transparência dos procedimentos adotados, os quais não detalharam as falhas apontadas pela comissão de avaliação, dificultou-se, conforme o relator, o direito de defesa dos licitantes. Nesse </w:t>
      </w:r>
      <w:r w:rsidR="00EF6873" w:rsidRPr="00B91555">
        <w:rPr>
          <w:sz w:val="22"/>
          <w:szCs w:val="22"/>
        </w:rPr>
        <w:t>context</w:t>
      </w:r>
      <w:r w:rsidR="00CD5740" w:rsidRPr="00B91555">
        <w:rPr>
          <w:sz w:val="22"/>
          <w:szCs w:val="22"/>
        </w:rPr>
        <w:t>o, o laudo ou parecer que concluísse pela desconformidade da amostra ao objeto da licitação deveria ter apontado, de modo completo, “</w:t>
      </w:r>
      <w:r w:rsidR="00CD5740" w:rsidRPr="00B91555">
        <w:rPr>
          <w:i/>
          <w:sz w:val="22"/>
          <w:szCs w:val="22"/>
        </w:rPr>
        <w:t>as deficiências identificadas na amostra, a fim de que reste assegurado o direito de interpor recurso e exercitar o contraditório e a ampla defesa</w:t>
      </w:r>
      <w:r w:rsidR="00CD5740" w:rsidRPr="00B91555">
        <w:rPr>
          <w:sz w:val="22"/>
          <w:szCs w:val="22"/>
        </w:rPr>
        <w:t xml:space="preserve">”, destacou o relator. Por conseguinte, em face desta e de outras irregularidades que teriam </w:t>
      </w:r>
      <w:r w:rsidR="00CD5740" w:rsidRPr="00B91555">
        <w:rPr>
          <w:sz w:val="22"/>
          <w:szCs w:val="22"/>
          <w:lang w:eastAsia="pt-BR"/>
        </w:rPr>
        <w:t>viciado o procedimento licitatório realizado pela Secretaria Municipal de Educação de Manaus/AM, considerando, ainda</w:t>
      </w:r>
      <w:r w:rsidR="00056A5A" w:rsidRPr="00B91555">
        <w:rPr>
          <w:sz w:val="22"/>
          <w:szCs w:val="22"/>
          <w:lang w:eastAsia="pt-BR"/>
        </w:rPr>
        <w:t>, que</w:t>
      </w:r>
      <w:r w:rsidR="00CD5740" w:rsidRPr="00B91555">
        <w:rPr>
          <w:sz w:val="22"/>
          <w:szCs w:val="22"/>
          <w:lang w:eastAsia="pt-BR"/>
        </w:rPr>
        <w:t xml:space="preserve"> </w:t>
      </w:r>
      <w:r w:rsidR="00056A5A" w:rsidRPr="00B91555">
        <w:rPr>
          <w:sz w:val="22"/>
          <w:szCs w:val="22"/>
        </w:rPr>
        <w:t>as primeiras compras decorrentes do certame já teriam sido realizadas, votou o relator por que se determinasse, cautelarmente, à Prefeitura de Manaus que se abstivesse de realizar novas aquisições, com recursos federais, de produtos constantes da Ata de Registro de Preços 11/11, decorrente do Pregão 71/2010 – CML/PM, bem como não permitisse novas adesões à mencionada Ata, até que o Tribunal deliberasse definitivamente sobre a matéria. Nos termos do voto do relator, o Plenário manifestou sua anuência.</w:t>
      </w:r>
      <w:r w:rsidR="001766A9" w:rsidRPr="00B91555">
        <w:rPr>
          <w:color w:val="FF0000"/>
          <w:sz w:val="22"/>
          <w:szCs w:val="22"/>
        </w:rPr>
        <w:t xml:space="preserve"> </w:t>
      </w:r>
      <w:r w:rsidR="008A756C" w:rsidRPr="00B91555">
        <w:rPr>
          <w:b/>
          <w:i/>
          <w:sz w:val="22"/>
          <w:szCs w:val="22"/>
        </w:rPr>
        <w:t xml:space="preserve">Acórdão n.º </w:t>
      </w:r>
      <w:r w:rsidR="005012CF" w:rsidRPr="00B91555">
        <w:rPr>
          <w:b/>
          <w:i/>
          <w:sz w:val="22"/>
          <w:szCs w:val="22"/>
        </w:rPr>
        <w:t>1291</w:t>
      </w:r>
      <w:r w:rsidR="008A756C" w:rsidRPr="00B91555">
        <w:rPr>
          <w:b/>
          <w:i/>
          <w:sz w:val="22"/>
          <w:szCs w:val="22"/>
        </w:rPr>
        <w:t>/2011-Plenário, TC-0</w:t>
      </w:r>
      <w:r w:rsidR="005012CF" w:rsidRPr="00B91555">
        <w:rPr>
          <w:b/>
          <w:i/>
          <w:sz w:val="22"/>
          <w:szCs w:val="22"/>
        </w:rPr>
        <w:t>04</w:t>
      </w:r>
      <w:r w:rsidR="008A756C" w:rsidRPr="00B91555">
        <w:rPr>
          <w:b/>
          <w:i/>
          <w:sz w:val="22"/>
          <w:szCs w:val="22"/>
        </w:rPr>
        <w:t>.</w:t>
      </w:r>
      <w:r w:rsidR="005012CF" w:rsidRPr="00B91555">
        <w:rPr>
          <w:b/>
          <w:i/>
          <w:sz w:val="22"/>
          <w:szCs w:val="22"/>
        </w:rPr>
        <w:t>83</w:t>
      </w:r>
      <w:r w:rsidR="00FB33FA" w:rsidRPr="00B91555">
        <w:rPr>
          <w:b/>
          <w:i/>
          <w:sz w:val="22"/>
          <w:szCs w:val="22"/>
        </w:rPr>
        <w:t>5</w:t>
      </w:r>
      <w:r w:rsidR="008A756C" w:rsidRPr="00B91555">
        <w:rPr>
          <w:b/>
          <w:i/>
          <w:sz w:val="22"/>
          <w:szCs w:val="22"/>
        </w:rPr>
        <w:t>/20</w:t>
      </w:r>
      <w:r w:rsidR="00FB33FA" w:rsidRPr="00B91555">
        <w:rPr>
          <w:b/>
          <w:i/>
          <w:sz w:val="22"/>
          <w:szCs w:val="22"/>
        </w:rPr>
        <w:t>1</w:t>
      </w:r>
      <w:r w:rsidR="005012CF" w:rsidRPr="00B91555">
        <w:rPr>
          <w:b/>
          <w:i/>
          <w:sz w:val="22"/>
          <w:szCs w:val="22"/>
        </w:rPr>
        <w:t>1</w:t>
      </w:r>
      <w:r w:rsidR="008A756C" w:rsidRPr="00B91555">
        <w:rPr>
          <w:b/>
          <w:i/>
          <w:sz w:val="22"/>
          <w:szCs w:val="22"/>
        </w:rPr>
        <w:t>-</w:t>
      </w:r>
      <w:r w:rsidR="005012CF" w:rsidRPr="00B91555">
        <w:rPr>
          <w:b/>
          <w:i/>
          <w:sz w:val="22"/>
          <w:szCs w:val="22"/>
        </w:rPr>
        <w:t>5</w:t>
      </w:r>
      <w:r w:rsidRPr="00B91555">
        <w:rPr>
          <w:b/>
          <w:i/>
          <w:sz w:val="22"/>
          <w:szCs w:val="22"/>
        </w:rPr>
        <w:t xml:space="preserve">, rel. Min.-Subst. </w:t>
      </w:r>
      <w:r w:rsidR="008A756C" w:rsidRPr="00B91555">
        <w:rPr>
          <w:b/>
          <w:i/>
          <w:sz w:val="22"/>
          <w:szCs w:val="22"/>
        </w:rPr>
        <w:t>Augusto Sherman Cavalcanti</w:t>
      </w:r>
      <w:r w:rsidRPr="00B91555">
        <w:rPr>
          <w:b/>
          <w:i/>
          <w:sz w:val="22"/>
          <w:szCs w:val="22"/>
        </w:rPr>
        <w:t xml:space="preserve">, </w:t>
      </w:r>
      <w:r w:rsidR="008A756C" w:rsidRPr="00B91555">
        <w:rPr>
          <w:b/>
          <w:i/>
          <w:sz w:val="22"/>
          <w:szCs w:val="22"/>
        </w:rPr>
        <w:t>1</w:t>
      </w:r>
      <w:r w:rsidR="005012CF" w:rsidRPr="00B91555">
        <w:rPr>
          <w:b/>
          <w:i/>
          <w:sz w:val="22"/>
          <w:szCs w:val="22"/>
        </w:rPr>
        <w:t>8</w:t>
      </w:r>
      <w:r w:rsidRPr="00B91555">
        <w:rPr>
          <w:b/>
          <w:i/>
          <w:sz w:val="22"/>
          <w:szCs w:val="22"/>
        </w:rPr>
        <w:t>.05.2011.</w:t>
      </w:r>
    </w:p>
    <w:p w:rsidR="00056A5A" w:rsidRPr="00B91555" w:rsidRDefault="00056A5A" w:rsidP="007136E9">
      <w:pPr>
        <w:tabs>
          <w:tab w:val="left" w:pos="1134"/>
        </w:tabs>
        <w:spacing w:after="0"/>
        <w:ind w:left="0"/>
        <w:rPr>
          <w:b/>
          <w:sz w:val="22"/>
          <w:szCs w:val="22"/>
        </w:rPr>
      </w:pPr>
    </w:p>
    <w:p w:rsidR="00523CA1" w:rsidRPr="00B91555" w:rsidRDefault="002639CA" w:rsidP="00523CA1">
      <w:pPr>
        <w:spacing w:after="0"/>
        <w:ind w:left="0"/>
        <w:rPr>
          <w:b/>
          <w:sz w:val="22"/>
          <w:szCs w:val="22"/>
        </w:rPr>
      </w:pPr>
      <w:r w:rsidRPr="00B91555">
        <w:rPr>
          <w:b/>
          <w:sz w:val="22"/>
          <w:szCs w:val="22"/>
        </w:rPr>
        <w:t xml:space="preserve">Licitação para aquisição de produtos de merenda escolar: </w:t>
      </w:r>
      <w:r w:rsidR="00033551" w:rsidRPr="00B91555">
        <w:rPr>
          <w:b/>
          <w:sz w:val="22"/>
          <w:szCs w:val="22"/>
        </w:rPr>
        <w:t>2</w:t>
      </w:r>
      <w:r w:rsidRPr="00B91555">
        <w:rPr>
          <w:b/>
          <w:sz w:val="22"/>
          <w:szCs w:val="22"/>
        </w:rPr>
        <w:t xml:space="preserve"> - </w:t>
      </w:r>
      <w:r w:rsidR="00523CA1" w:rsidRPr="00B91555">
        <w:rPr>
          <w:b/>
          <w:sz w:val="22"/>
          <w:szCs w:val="22"/>
        </w:rPr>
        <w:t xml:space="preserve">Em regra, as aquisições por parte de instituições públicas devem ocorrer por itens, sendo que no caso de opção de aquisição por lotes a composição destes deve </w:t>
      </w:r>
      <w:r w:rsidR="00F2601B" w:rsidRPr="00B91555">
        <w:rPr>
          <w:b/>
          <w:sz w:val="22"/>
          <w:szCs w:val="22"/>
        </w:rPr>
        <w:t>ter</w:t>
      </w:r>
      <w:r w:rsidR="00523CA1" w:rsidRPr="00B91555">
        <w:rPr>
          <w:b/>
          <w:sz w:val="22"/>
          <w:szCs w:val="22"/>
        </w:rPr>
        <w:t xml:space="preserve"> justificativa plausível</w:t>
      </w:r>
    </w:p>
    <w:p w:rsidR="002639CA" w:rsidRPr="00B91555" w:rsidRDefault="00033551" w:rsidP="00523CA1">
      <w:pPr>
        <w:tabs>
          <w:tab w:val="left" w:pos="1134"/>
        </w:tabs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B91555">
        <w:rPr>
          <w:sz w:val="22"/>
          <w:szCs w:val="22"/>
        </w:rPr>
        <w:t xml:space="preserve">Ainda na </w:t>
      </w:r>
      <w:r w:rsidR="002639CA" w:rsidRPr="00B91555">
        <w:rPr>
          <w:sz w:val="22"/>
          <w:szCs w:val="22"/>
        </w:rPr>
        <w:t>representação</w:t>
      </w:r>
      <w:r w:rsidRPr="00B91555">
        <w:rPr>
          <w:sz w:val="22"/>
          <w:szCs w:val="22"/>
        </w:rPr>
        <w:t xml:space="preserve"> que </w:t>
      </w:r>
      <w:r w:rsidR="002639CA" w:rsidRPr="00B91555">
        <w:rPr>
          <w:sz w:val="22"/>
          <w:szCs w:val="22"/>
        </w:rPr>
        <w:t xml:space="preserve">tratou de possíveis irregularidades ocorridas na condução do Pregão 71/2010, </w:t>
      </w:r>
      <w:r w:rsidR="000460E4" w:rsidRPr="00B91555">
        <w:rPr>
          <w:sz w:val="22"/>
          <w:szCs w:val="22"/>
        </w:rPr>
        <w:t xml:space="preserve">analisou-se a escolha, por parte da Prefeitura de Manaus, de aquisição dos produtos por lotes e não por item, em aparente desacordo com o art. 15, inciso IV, da Lei 8.666/1993, bem como com a Súmula TCU 247. </w:t>
      </w:r>
      <w:r w:rsidR="00F759AD" w:rsidRPr="00B91555">
        <w:rPr>
          <w:sz w:val="22"/>
          <w:szCs w:val="22"/>
        </w:rPr>
        <w:t xml:space="preserve">Para o relator, os argumentos apresentados pela adquirente relativos à manifestação do conselho de alimentação escolar, ao cardápio elaborado por nutricionista, além do suposto propósito de garantir maior celeridade no cumprimento do programa da merenda, foram insuficientes para justificar a escolha de lotes, em vez de itens, como </w:t>
      </w:r>
      <w:r w:rsidR="00CF7823" w:rsidRPr="00B91555">
        <w:rPr>
          <w:sz w:val="22"/>
          <w:szCs w:val="22"/>
        </w:rPr>
        <w:t>unidade</w:t>
      </w:r>
      <w:r w:rsidR="00F759AD" w:rsidRPr="00B91555">
        <w:rPr>
          <w:sz w:val="22"/>
          <w:szCs w:val="22"/>
        </w:rPr>
        <w:t xml:space="preserve"> referencial na aquisição. Não haveria comprovação de que o loteamento das aquisições</w:t>
      </w:r>
      <w:r w:rsidR="00523CA1" w:rsidRPr="00B91555">
        <w:rPr>
          <w:sz w:val="22"/>
          <w:szCs w:val="22"/>
        </w:rPr>
        <w:t>, da forma procedida,</w:t>
      </w:r>
      <w:r w:rsidR="00F759AD" w:rsidRPr="00B91555">
        <w:rPr>
          <w:sz w:val="22"/>
          <w:szCs w:val="22"/>
        </w:rPr>
        <w:t xml:space="preserve"> asseguraria vantagens, pois “</w:t>
      </w:r>
      <w:r w:rsidR="00F759AD" w:rsidRPr="00B91555">
        <w:rPr>
          <w:i/>
          <w:sz w:val="22"/>
          <w:szCs w:val="22"/>
        </w:rPr>
        <w:t>os lotes em si não formam cardápios independentes, sendo formados por produtos que não se complementam perfeitamente</w:t>
      </w:r>
      <w:r w:rsidR="00F759AD" w:rsidRPr="00B91555">
        <w:rPr>
          <w:sz w:val="22"/>
          <w:szCs w:val="22"/>
        </w:rPr>
        <w:t>”. Na espécie, destacou o relator que, para a formação de uma alimentação balanceada e nutritiva</w:t>
      </w:r>
      <w:r w:rsidR="00A236A1" w:rsidRPr="00B91555">
        <w:rPr>
          <w:sz w:val="22"/>
          <w:szCs w:val="22"/>
        </w:rPr>
        <w:t>, seria</w:t>
      </w:r>
      <w:r w:rsidR="00F759AD" w:rsidRPr="00B91555">
        <w:rPr>
          <w:sz w:val="22"/>
          <w:szCs w:val="22"/>
        </w:rPr>
        <w:t xml:space="preserve"> necessária a mistura entre os gêneros dos diferentes lotes</w:t>
      </w:r>
      <w:r w:rsidR="00A236A1" w:rsidRPr="00B91555">
        <w:rPr>
          <w:sz w:val="22"/>
          <w:szCs w:val="22"/>
        </w:rPr>
        <w:t>. Aditou, ainda, que os itens a serem adquiridos, isoladamente, consistiriam grandes quantidades, afastando quaisquer alegações de perda de economia de escala na adjudicação por item dos gêneros.</w:t>
      </w:r>
      <w:r w:rsidR="00F759AD" w:rsidRPr="00B91555">
        <w:rPr>
          <w:sz w:val="22"/>
          <w:szCs w:val="22"/>
        </w:rPr>
        <w:t xml:space="preserve"> </w:t>
      </w:r>
      <w:r w:rsidR="00A236A1" w:rsidRPr="00B91555">
        <w:rPr>
          <w:sz w:val="22"/>
          <w:szCs w:val="22"/>
        </w:rPr>
        <w:t>Não afastou de maneira absoluta, entretanto, a possibilidade de aquisição dos produtos em lotes. O principal problema que houve, no caso do Pregão 71/2010, para o relator, foi a composição dos lotes, os quais previram volumosas quantidades e elevados montantes de recursos, medidos aos milhões de quilos e reais. Assim, a definição de maior número de lotes, contendo menores volumes de produtos e quantias, poderia, concomitantemente, atender aos anseios da Prefeitura e cumprir com a ordem jurídica. O relator refutou, ainda, o argumento de que, em aquisições anteriores, ocorreram transtornos quando se optou por itens, devido ao fracasso de alguns itens licitados (açúcar e macarrão) e irregularidade na entrega de certos produtos, resultando em falha</w:t>
      </w:r>
      <w:r w:rsidR="001737F7" w:rsidRPr="00B91555">
        <w:rPr>
          <w:sz w:val="22"/>
          <w:szCs w:val="22"/>
        </w:rPr>
        <w:t>s</w:t>
      </w:r>
      <w:r w:rsidR="00A236A1" w:rsidRPr="00B91555">
        <w:rPr>
          <w:sz w:val="22"/>
          <w:szCs w:val="22"/>
        </w:rPr>
        <w:t xml:space="preserve"> na distribuição</w:t>
      </w:r>
      <w:r w:rsidR="001737F7" w:rsidRPr="00B91555">
        <w:rPr>
          <w:sz w:val="22"/>
          <w:szCs w:val="22"/>
        </w:rPr>
        <w:t>, a um só tempo,</w:t>
      </w:r>
      <w:r w:rsidR="00A236A1" w:rsidRPr="00B91555">
        <w:rPr>
          <w:sz w:val="22"/>
          <w:szCs w:val="22"/>
        </w:rPr>
        <w:t xml:space="preserve"> dos gêneros alimentícios à rede municipal de ensino. Tal deficiência</w:t>
      </w:r>
      <w:r w:rsidR="00523CA1" w:rsidRPr="00B91555">
        <w:rPr>
          <w:sz w:val="22"/>
          <w:szCs w:val="22"/>
        </w:rPr>
        <w:t xml:space="preserve"> nos processos anteriores</w:t>
      </w:r>
      <w:r w:rsidR="00A236A1" w:rsidRPr="00B91555">
        <w:rPr>
          <w:sz w:val="22"/>
          <w:szCs w:val="22"/>
        </w:rPr>
        <w:t xml:space="preserve">, </w:t>
      </w:r>
      <w:r w:rsidR="001737F7" w:rsidRPr="00B91555">
        <w:rPr>
          <w:sz w:val="22"/>
          <w:szCs w:val="22"/>
        </w:rPr>
        <w:t xml:space="preserve">para o relator, </w:t>
      </w:r>
      <w:r w:rsidR="00A236A1" w:rsidRPr="00B91555">
        <w:rPr>
          <w:sz w:val="22"/>
          <w:szCs w:val="22"/>
        </w:rPr>
        <w:t>não fundamenta</w:t>
      </w:r>
      <w:r w:rsidR="001737F7" w:rsidRPr="00B91555">
        <w:rPr>
          <w:sz w:val="22"/>
          <w:szCs w:val="22"/>
        </w:rPr>
        <w:t>ria</w:t>
      </w:r>
      <w:r w:rsidR="00A236A1" w:rsidRPr="00B91555">
        <w:rPr>
          <w:sz w:val="22"/>
          <w:szCs w:val="22"/>
        </w:rPr>
        <w:t xml:space="preserve"> </w:t>
      </w:r>
      <w:r w:rsidR="001737F7" w:rsidRPr="00B91555">
        <w:rPr>
          <w:sz w:val="22"/>
          <w:szCs w:val="22"/>
        </w:rPr>
        <w:t>“</w:t>
      </w:r>
      <w:r w:rsidR="00A236A1" w:rsidRPr="00B91555">
        <w:rPr>
          <w:i/>
          <w:sz w:val="22"/>
          <w:szCs w:val="22"/>
        </w:rPr>
        <w:t>a aquisição por lotes, inexistindo garantias de que os problemas na entrega estariam afastados. Eventuais falhas devem ser corrigidas com a aplicação das devidas sanções ao fornecedor</w:t>
      </w:r>
      <w:r w:rsidR="001737F7" w:rsidRPr="00B91555">
        <w:rPr>
          <w:sz w:val="22"/>
          <w:szCs w:val="22"/>
        </w:rPr>
        <w:t>”</w:t>
      </w:r>
      <w:r w:rsidR="00A236A1" w:rsidRPr="00B91555">
        <w:rPr>
          <w:sz w:val="22"/>
          <w:szCs w:val="22"/>
        </w:rPr>
        <w:t xml:space="preserve">. </w:t>
      </w:r>
      <w:r w:rsidR="002639CA" w:rsidRPr="00B91555">
        <w:rPr>
          <w:sz w:val="22"/>
          <w:szCs w:val="22"/>
        </w:rPr>
        <w:t xml:space="preserve">Por conseguinte, em face desta e de outras irregularidades que teriam </w:t>
      </w:r>
      <w:r w:rsidR="002639CA" w:rsidRPr="00B91555">
        <w:rPr>
          <w:sz w:val="22"/>
          <w:szCs w:val="22"/>
          <w:lang w:eastAsia="pt-BR"/>
        </w:rPr>
        <w:t xml:space="preserve">viciado o procedimento licitatório realizado pela Secretaria Municipal de Educação de Manaus/AM, considerando, ainda, que </w:t>
      </w:r>
      <w:r w:rsidR="002639CA" w:rsidRPr="00B91555">
        <w:rPr>
          <w:sz w:val="22"/>
          <w:szCs w:val="22"/>
        </w:rPr>
        <w:t>as primeiras compras decorrentes do certame já teriam sido realizadas, votou o relator por que se determinasse, cautelarmente, à Prefeitura de Manaus que se abstivesse de realizar novas aquisições, com recursos federais, de produtos constantes da Ata de Registro de Preços 11/11, decorrente do Pregão 71/2010 – CML/PM, bem como não permitisse novas adesões à mencionada Ata, até que o Tribunal deliberasse definitivamente sobre a matéria. Nos termos do voto do relator, o Plenário manifestou sua anuência.</w:t>
      </w:r>
      <w:r w:rsidR="002639CA" w:rsidRPr="00B91555">
        <w:rPr>
          <w:color w:val="FF0000"/>
          <w:sz w:val="22"/>
          <w:szCs w:val="22"/>
        </w:rPr>
        <w:t xml:space="preserve"> </w:t>
      </w:r>
      <w:r w:rsidR="002639CA" w:rsidRPr="00B91555">
        <w:rPr>
          <w:b/>
          <w:i/>
          <w:sz w:val="22"/>
          <w:szCs w:val="22"/>
        </w:rPr>
        <w:t>Acórdão n.º 1291/2011-Plenário, TC-004.835/2011-5, rel. Min.-Subst. Augusto Sherman Cavalcanti, 18.05.2011.</w:t>
      </w:r>
    </w:p>
    <w:p w:rsidR="002639CA" w:rsidRPr="00B91555" w:rsidRDefault="002639CA" w:rsidP="00523CA1">
      <w:pPr>
        <w:tabs>
          <w:tab w:val="left" w:pos="1134"/>
        </w:tabs>
        <w:spacing w:after="0"/>
        <w:ind w:left="0"/>
        <w:rPr>
          <w:b/>
          <w:sz w:val="22"/>
          <w:szCs w:val="22"/>
        </w:rPr>
      </w:pPr>
    </w:p>
    <w:p w:rsidR="00056A5A" w:rsidRPr="00B91555" w:rsidRDefault="002639CA" w:rsidP="00523CA1">
      <w:pPr>
        <w:pStyle w:val="Corpodetexto"/>
        <w:tabs>
          <w:tab w:val="left" w:pos="1134"/>
          <w:tab w:val="left" w:pos="2590"/>
        </w:tabs>
        <w:spacing w:after="0"/>
        <w:ind w:left="0"/>
        <w:rPr>
          <w:b/>
          <w:sz w:val="22"/>
          <w:szCs w:val="22"/>
        </w:rPr>
      </w:pPr>
      <w:r w:rsidRPr="00B91555">
        <w:rPr>
          <w:b/>
          <w:sz w:val="22"/>
          <w:szCs w:val="22"/>
        </w:rPr>
        <w:t xml:space="preserve">Licitação para aquisição de produtos de merenda escolar: </w:t>
      </w:r>
      <w:r w:rsidR="001737F7" w:rsidRPr="00B91555">
        <w:rPr>
          <w:b/>
          <w:sz w:val="22"/>
          <w:szCs w:val="22"/>
        </w:rPr>
        <w:t>3</w:t>
      </w:r>
      <w:r w:rsidRPr="00B91555">
        <w:rPr>
          <w:b/>
          <w:sz w:val="22"/>
          <w:szCs w:val="22"/>
        </w:rPr>
        <w:t xml:space="preserve"> </w:t>
      </w:r>
      <w:r w:rsidR="00523CA1" w:rsidRPr="00B91555">
        <w:rPr>
          <w:b/>
          <w:sz w:val="22"/>
          <w:szCs w:val="22"/>
        </w:rPr>
        <w:t>–</w:t>
      </w:r>
      <w:r w:rsidRPr="00B91555">
        <w:rPr>
          <w:b/>
          <w:sz w:val="22"/>
          <w:szCs w:val="22"/>
        </w:rPr>
        <w:t xml:space="preserve"> </w:t>
      </w:r>
      <w:r w:rsidR="00523CA1" w:rsidRPr="00B91555">
        <w:rPr>
          <w:b/>
          <w:sz w:val="22"/>
          <w:szCs w:val="22"/>
        </w:rPr>
        <w:t>No caso de aquisição de gêneros componentes de merenda escolar, mesmo com o uso d</w:t>
      </w:r>
      <w:r w:rsidR="00867E32" w:rsidRPr="00B91555">
        <w:rPr>
          <w:b/>
          <w:sz w:val="22"/>
          <w:szCs w:val="22"/>
        </w:rPr>
        <w:t xml:space="preserve">o registro de preços, </w:t>
      </w:r>
      <w:r w:rsidR="00523CA1" w:rsidRPr="00B91555">
        <w:rPr>
          <w:b/>
          <w:sz w:val="22"/>
          <w:szCs w:val="22"/>
        </w:rPr>
        <w:t>é necessário indicação dos recursos orçamentários que a suportarão</w:t>
      </w:r>
    </w:p>
    <w:p w:rsidR="00056A5A" w:rsidRPr="00B91555" w:rsidRDefault="001737F7" w:rsidP="00523CA1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B91555">
        <w:rPr>
          <w:sz w:val="22"/>
          <w:szCs w:val="22"/>
        </w:rPr>
        <w:t xml:space="preserve">Na mesma </w:t>
      </w:r>
      <w:r w:rsidR="00056A5A" w:rsidRPr="00B91555">
        <w:rPr>
          <w:sz w:val="22"/>
          <w:szCs w:val="22"/>
        </w:rPr>
        <w:t>representação que tratou de possíveis irregularidades ocorridas na condução do Pregão 71/2010, realizado pela Prefeitura de Manaus, no Amazonas, o Tribunal cuidou da ausência de previsão de dotação orçamentária para a realização do certame. Na opinião da unidade técnica, a situação não encontr</w:t>
      </w:r>
      <w:r w:rsidRPr="00B91555">
        <w:rPr>
          <w:sz w:val="22"/>
          <w:szCs w:val="22"/>
        </w:rPr>
        <w:t>ar</w:t>
      </w:r>
      <w:r w:rsidR="00523CA1" w:rsidRPr="00B91555">
        <w:rPr>
          <w:sz w:val="22"/>
          <w:szCs w:val="22"/>
        </w:rPr>
        <w:t>ia amparo</w:t>
      </w:r>
      <w:r w:rsidR="00056A5A" w:rsidRPr="00B91555">
        <w:rPr>
          <w:sz w:val="22"/>
          <w:szCs w:val="22"/>
        </w:rPr>
        <w:t xml:space="preserve"> legal, uma vez que o art. 14 da Lei 8.666/1993 estabelece que nenhuma compra será feita sem a indicação dos recursos orçamentários para seu pagamento, sob pena de nulidade do ato e responsabilidade de quem lhe tiver dado causa. Para a unidade instrutiva, </w:t>
      </w:r>
      <w:r w:rsidR="002639CA" w:rsidRPr="00B91555">
        <w:rPr>
          <w:sz w:val="22"/>
          <w:szCs w:val="22"/>
        </w:rPr>
        <w:t xml:space="preserve">ainda que </w:t>
      </w:r>
      <w:r w:rsidR="00056A5A" w:rsidRPr="00B91555">
        <w:rPr>
          <w:sz w:val="22"/>
          <w:szCs w:val="22"/>
        </w:rPr>
        <w:t xml:space="preserve">haja entendimento doutrinário de que aquisições, </w:t>
      </w:r>
      <w:r w:rsidR="00523CA1" w:rsidRPr="00B91555">
        <w:rPr>
          <w:sz w:val="22"/>
          <w:szCs w:val="22"/>
        </w:rPr>
        <w:t xml:space="preserve">pela </w:t>
      </w:r>
      <w:r w:rsidR="00056A5A" w:rsidRPr="00B91555">
        <w:rPr>
          <w:sz w:val="22"/>
          <w:szCs w:val="22"/>
        </w:rPr>
        <w:t xml:space="preserve">via </w:t>
      </w:r>
      <w:r w:rsidR="00523CA1" w:rsidRPr="00B91555">
        <w:rPr>
          <w:sz w:val="22"/>
          <w:szCs w:val="22"/>
        </w:rPr>
        <w:t xml:space="preserve">do </w:t>
      </w:r>
      <w:r w:rsidR="00056A5A" w:rsidRPr="00B91555">
        <w:rPr>
          <w:sz w:val="22"/>
          <w:szCs w:val="22"/>
        </w:rPr>
        <w:t xml:space="preserve">registro de preços, dispensam a previsão de dotação orçamentária, por não obrigar a administração a adquirir o objeto licitado, tal </w:t>
      </w:r>
      <w:r w:rsidR="00B91555" w:rsidRPr="00B91555">
        <w:rPr>
          <w:sz w:val="22"/>
          <w:szCs w:val="22"/>
        </w:rPr>
        <w:t>compreensão</w:t>
      </w:r>
      <w:r w:rsidR="002639CA" w:rsidRPr="00B91555">
        <w:rPr>
          <w:sz w:val="22"/>
          <w:szCs w:val="22"/>
        </w:rPr>
        <w:t xml:space="preserve"> não se aplicaria na espécie</w:t>
      </w:r>
      <w:r w:rsidR="00056A5A" w:rsidRPr="00B91555">
        <w:rPr>
          <w:sz w:val="22"/>
          <w:szCs w:val="22"/>
        </w:rPr>
        <w:t xml:space="preserve">, </w:t>
      </w:r>
      <w:r w:rsidR="002639CA" w:rsidRPr="00B91555">
        <w:rPr>
          <w:sz w:val="22"/>
          <w:szCs w:val="22"/>
        </w:rPr>
        <w:t>“</w:t>
      </w:r>
      <w:r w:rsidR="00056A5A" w:rsidRPr="00B91555">
        <w:rPr>
          <w:i/>
          <w:sz w:val="22"/>
          <w:szCs w:val="22"/>
        </w:rPr>
        <w:t>visto que produtos da alimentação escolar são gêneros de primeira necessidade, não sendo facultado à Administração optar por não adquiri-los</w:t>
      </w:r>
      <w:r w:rsidR="002639CA" w:rsidRPr="00B91555">
        <w:rPr>
          <w:sz w:val="22"/>
          <w:szCs w:val="22"/>
        </w:rPr>
        <w:t xml:space="preserve">”. O relator, ao concordar com a unidade técnica, destacou que a aquisição de produtos para merenda escolar configura-se em compra compulsória, impondo a necessidade de indicação dos recursos orçamentários para seu pagamento. Entretanto, por considerar suficiente recomendar, em momento posterior, à Prefeitura de Manaus que adotasse tal conduta, deixou para quando da decisão definitiva de mérito, tal medida. Todavia, em face de outras irregularidades que teriam </w:t>
      </w:r>
      <w:r w:rsidR="002639CA" w:rsidRPr="00B91555">
        <w:rPr>
          <w:sz w:val="22"/>
          <w:szCs w:val="22"/>
          <w:lang w:eastAsia="pt-BR"/>
        </w:rPr>
        <w:t xml:space="preserve">viciado o procedimento licitatório realizado pela Secretaria Municipal de Educação de Manaus/AM, considerando, ainda, que </w:t>
      </w:r>
      <w:r w:rsidR="002639CA" w:rsidRPr="00B91555">
        <w:rPr>
          <w:sz w:val="22"/>
          <w:szCs w:val="22"/>
        </w:rPr>
        <w:t xml:space="preserve">as primeiras compras decorrentes do certame já teriam sido realizadas, votou o relator por que se determinasse, cautelarmente, à Prefeitura de Manaus que se abstivesse de realizar novas aquisições, com recursos federais, de produtos constantes da Ata de Registro de Preços 11/11, decorrente do Pregão 71/2010 – CML/PM, bem como não permitisse novas adesões à mencionada Ata, até que o Tribunal deliberasse definitivamente sobre a matéria. Nos termos do voto do relator, o Plenário manifestou sua anuência. </w:t>
      </w:r>
      <w:r w:rsidR="00056A5A" w:rsidRPr="00B91555">
        <w:rPr>
          <w:b/>
          <w:i/>
          <w:sz w:val="22"/>
          <w:szCs w:val="22"/>
        </w:rPr>
        <w:t>Acórdão n.º 1291/2011-Plenário, TC-004.835/2011-5, rel. Min.-Subst. Augusto Sherman Cavalcanti, 18.05.2011.</w:t>
      </w:r>
    </w:p>
    <w:p w:rsidR="00A709BB" w:rsidRPr="00B91555" w:rsidRDefault="00A709BB" w:rsidP="00891FCC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B915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B91555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91555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B91555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91555">
              <w:rPr>
                <w:b/>
                <w:i/>
                <w:sz w:val="22"/>
                <w:szCs w:val="22"/>
              </w:rPr>
              <w:t xml:space="preserve">Contato: </w:t>
            </w:r>
            <w:hyperlink r:id="rId7" w:history="1">
              <w:r w:rsidRPr="00B91555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7334B1" w:rsidRPr="00805659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7334B1" w:rsidRPr="00805659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90" w:rsidRDefault="00154790" w:rsidP="008B0547">
      <w:pPr>
        <w:spacing w:after="0"/>
      </w:pPr>
      <w:r>
        <w:separator/>
      </w:r>
    </w:p>
  </w:endnote>
  <w:endnote w:type="continuationSeparator" w:id="0">
    <w:p w:rsidR="00154790" w:rsidRDefault="0015479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06E22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90" w:rsidRDefault="00154790" w:rsidP="008B0547">
      <w:pPr>
        <w:spacing w:after="0"/>
      </w:pPr>
      <w:r>
        <w:separator/>
      </w:r>
    </w:p>
  </w:footnote>
  <w:footnote w:type="continuationSeparator" w:id="0">
    <w:p w:rsidR="00154790" w:rsidRDefault="0015479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420BD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420BD6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01FC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B10AD8">
      <w:rPr>
        <w:rFonts w:ascii="Arial" w:hAnsi="Arial" w:cs="Arial"/>
        <w:noProof/>
        <w:lang w:eastAsia="pt-BR"/>
      </w:rPr>
      <w:t>6</w:t>
    </w:r>
    <w:r w:rsidR="005266F4">
      <w:rPr>
        <w:rFonts w:ascii="Arial" w:hAnsi="Arial" w:cs="Arial"/>
        <w:noProof/>
        <w:lang w:eastAsia="pt-BR"/>
      </w:rPr>
      <w:t>3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4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0"/>
  </w:num>
  <w:num w:numId="5">
    <w:abstractNumId w:val="10"/>
  </w:num>
  <w:num w:numId="6">
    <w:abstractNumId w:val="15"/>
  </w:num>
  <w:num w:numId="7">
    <w:abstractNumId w:val="22"/>
  </w:num>
  <w:num w:numId="8">
    <w:abstractNumId w:val="20"/>
  </w:num>
  <w:num w:numId="9">
    <w:abstractNumId w:val="17"/>
  </w:num>
  <w:num w:numId="10">
    <w:abstractNumId w:val="6"/>
  </w:num>
  <w:num w:numId="11">
    <w:abstractNumId w:val="24"/>
  </w:num>
  <w:num w:numId="12">
    <w:abstractNumId w:val="4"/>
  </w:num>
  <w:num w:numId="13">
    <w:abstractNumId w:val="1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23"/>
    <w:lvlOverride w:ilvl="0">
      <w:startOverride w:val="1"/>
    </w:lvlOverride>
  </w:num>
  <w:num w:numId="19">
    <w:abstractNumId w:val="18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18CC"/>
    <w:rsid w:val="00011D5A"/>
    <w:rsid w:val="00012468"/>
    <w:rsid w:val="0001636D"/>
    <w:rsid w:val="00020C27"/>
    <w:rsid w:val="00023D72"/>
    <w:rsid w:val="000253D1"/>
    <w:rsid w:val="00025450"/>
    <w:rsid w:val="000271FA"/>
    <w:rsid w:val="00032198"/>
    <w:rsid w:val="00033551"/>
    <w:rsid w:val="00037DCE"/>
    <w:rsid w:val="00041450"/>
    <w:rsid w:val="000460E4"/>
    <w:rsid w:val="0004660A"/>
    <w:rsid w:val="00052B15"/>
    <w:rsid w:val="0005412B"/>
    <w:rsid w:val="00054432"/>
    <w:rsid w:val="000562CD"/>
    <w:rsid w:val="00056A5A"/>
    <w:rsid w:val="00056D51"/>
    <w:rsid w:val="0006028E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35D8"/>
    <w:rsid w:val="00084282"/>
    <w:rsid w:val="00084727"/>
    <w:rsid w:val="00087006"/>
    <w:rsid w:val="0009133A"/>
    <w:rsid w:val="000916AF"/>
    <w:rsid w:val="00092C2E"/>
    <w:rsid w:val="00094C5B"/>
    <w:rsid w:val="00095D98"/>
    <w:rsid w:val="0009748C"/>
    <w:rsid w:val="00097863"/>
    <w:rsid w:val="000A0EF8"/>
    <w:rsid w:val="000A152A"/>
    <w:rsid w:val="000A1EBD"/>
    <w:rsid w:val="000A2C56"/>
    <w:rsid w:val="000A6269"/>
    <w:rsid w:val="000A62BD"/>
    <w:rsid w:val="000B0ECB"/>
    <w:rsid w:val="000B0FEA"/>
    <w:rsid w:val="000B2AFA"/>
    <w:rsid w:val="000B6BC1"/>
    <w:rsid w:val="000C02AD"/>
    <w:rsid w:val="000C4A10"/>
    <w:rsid w:val="000D1878"/>
    <w:rsid w:val="000D1B91"/>
    <w:rsid w:val="000D1FD7"/>
    <w:rsid w:val="000D6418"/>
    <w:rsid w:val="000D7DB6"/>
    <w:rsid w:val="000D7DED"/>
    <w:rsid w:val="000E020F"/>
    <w:rsid w:val="000E12F7"/>
    <w:rsid w:val="000E2852"/>
    <w:rsid w:val="000E2D47"/>
    <w:rsid w:val="000E3B31"/>
    <w:rsid w:val="000E504D"/>
    <w:rsid w:val="000F2133"/>
    <w:rsid w:val="000F2F92"/>
    <w:rsid w:val="000F6D85"/>
    <w:rsid w:val="000F7CEE"/>
    <w:rsid w:val="000F7D84"/>
    <w:rsid w:val="001041ED"/>
    <w:rsid w:val="001104BA"/>
    <w:rsid w:val="00112676"/>
    <w:rsid w:val="00112A5F"/>
    <w:rsid w:val="0011373A"/>
    <w:rsid w:val="00114511"/>
    <w:rsid w:val="00116BAB"/>
    <w:rsid w:val="00125F9A"/>
    <w:rsid w:val="00126026"/>
    <w:rsid w:val="00130A0C"/>
    <w:rsid w:val="00133EA9"/>
    <w:rsid w:val="00137B22"/>
    <w:rsid w:val="00140FED"/>
    <w:rsid w:val="00141D7A"/>
    <w:rsid w:val="001420D1"/>
    <w:rsid w:val="001444A2"/>
    <w:rsid w:val="00151F92"/>
    <w:rsid w:val="0015258E"/>
    <w:rsid w:val="00152ECC"/>
    <w:rsid w:val="001532E4"/>
    <w:rsid w:val="00154790"/>
    <w:rsid w:val="00156A48"/>
    <w:rsid w:val="00157614"/>
    <w:rsid w:val="00157AFE"/>
    <w:rsid w:val="00157C0F"/>
    <w:rsid w:val="001737F7"/>
    <w:rsid w:val="001744E7"/>
    <w:rsid w:val="00176375"/>
    <w:rsid w:val="001766A9"/>
    <w:rsid w:val="00181339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60"/>
    <w:rsid w:val="002002CE"/>
    <w:rsid w:val="0020066F"/>
    <w:rsid w:val="0020107A"/>
    <w:rsid w:val="0020135D"/>
    <w:rsid w:val="00201FED"/>
    <w:rsid w:val="00202EAD"/>
    <w:rsid w:val="00203A6F"/>
    <w:rsid w:val="00206E22"/>
    <w:rsid w:val="00211816"/>
    <w:rsid w:val="00217B1B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535F"/>
    <w:rsid w:val="00242061"/>
    <w:rsid w:val="002435FC"/>
    <w:rsid w:val="002442D9"/>
    <w:rsid w:val="00244BA7"/>
    <w:rsid w:val="0024593F"/>
    <w:rsid w:val="002476B6"/>
    <w:rsid w:val="00253242"/>
    <w:rsid w:val="00254590"/>
    <w:rsid w:val="00257D8A"/>
    <w:rsid w:val="00262359"/>
    <w:rsid w:val="0026362E"/>
    <w:rsid w:val="002639CA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686D"/>
    <w:rsid w:val="00276DC0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40F"/>
    <w:rsid w:val="002A190F"/>
    <w:rsid w:val="002A2129"/>
    <w:rsid w:val="002A3B3F"/>
    <w:rsid w:val="002A6CE6"/>
    <w:rsid w:val="002B409B"/>
    <w:rsid w:val="002B4392"/>
    <w:rsid w:val="002B56C3"/>
    <w:rsid w:val="002B5AD5"/>
    <w:rsid w:val="002B5C5A"/>
    <w:rsid w:val="002B6422"/>
    <w:rsid w:val="002B71BA"/>
    <w:rsid w:val="002C208E"/>
    <w:rsid w:val="002C506F"/>
    <w:rsid w:val="002C7B61"/>
    <w:rsid w:val="002C7B6D"/>
    <w:rsid w:val="002D1637"/>
    <w:rsid w:val="002D1688"/>
    <w:rsid w:val="002D1BA5"/>
    <w:rsid w:val="002D35F5"/>
    <w:rsid w:val="002D47FE"/>
    <w:rsid w:val="002D532D"/>
    <w:rsid w:val="002D739A"/>
    <w:rsid w:val="002D76AB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F104B"/>
    <w:rsid w:val="002F1C09"/>
    <w:rsid w:val="002F4696"/>
    <w:rsid w:val="002F5F3B"/>
    <w:rsid w:val="002F693C"/>
    <w:rsid w:val="002F7C6D"/>
    <w:rsid w:val="003020F4"/>
    <w:rsid w:val="003025C7"/>
    <w:rsid w:val="0030360F"/>
    <w:rsid w:val="00303790"/>
    <w:rsid w:val="00303984"/>
    <w:rsid w:val="00304A73"/>
    <w:rsid w:val="003057F7"/>
    <w:rsid w:val="003069F9"/>
    <w:rsid w:val="00310208"/>
    <w:rsid w:val="0031058F"/>
    <w:rsid w:val="0031089E"/>
    <w:rsid w:val="00310D69"/>
    <w:rsid w:val="003147B7"/>
    <w:rsid w:val="003149A9"/>
    <w:rsid w:val="00317E59"/>
    <w:rsid w:val="00322AE7"/>
    <w:rsid w:val="00325246"/>
    <w:rsid w:val="003275E4"/>
    <w:rsid w:val="00330069"/>
    <w:rsid w:val="0033244F"/>
    <w:rsid w:val="00337E16"/>
    <w:rsid w:val="00340E66"/>
    <w:rsid w:val="00340F10"/>
    <w:rsid w:val="00342A44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487"/>
    <w:rsid w:val="00361661"/>
    <w:rsid w:val="00372E83"/>
    <w:rsid w:val="00377407"/>
    <w:rsid w:val="00381780"/>
    <w:rsid w:val="003824E4"/>
    <w:rsid w:val="00383CFE"/>
    <w:rsid w:val="003853FF"/>
    <w:rsid w:val="00385609"/>
    <w:rsid w:val="00385DAB"/>
    <w:rsid w:val="0038696B"/>
    <w:rsid w:val="00387CBD"/>
    <w:rsid w:val="0039039F"/>
    <w:rsid w:val="00390ED6"/>
    <w:rsid w:val="00391B5C"/>
    <w:rsid w:val="00392509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304"/>
    <w:rsid w:val="003B043F"/>
    <w:rsid w:val="003B155C"/>
    <w:rsid w:val="003B1E19"/>
    <w:rsid w:val="003B2E10"/>
    <w:rsid w:val="003B33CE"/>
    <w:rsid w:val="003B343D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153E"/>
    <w:rsid w:val="00412CEF"/>
    <w:rsid w:val="004141A8"/>
    <w:rsid w:val="004169D8"/>
    <w:rsid w:val="004201AF"/>
    <w:rsid w:val="00420BD6"/>
    <w:rsid w:val="00425FF9"/>
    <w:rsid w:val="00427B3B"/>
    <w:rsid w:val="00427EBF"/>
    <w:rsid w:val="00431085"/>
    <w:rsid w:val="00435269"/>
    <w:rsid w:val="004362AB"/>
    <w:rsid w:val="00441101"/>
    <w:rsid w:val="004415FB"/>
    <w:rsid w:val="00441CE3"/>
    <w:rsid w:val="004421F5"/>
    <w:rsid w:val="0044434A"/>
    <w:rsid w:val="0044437F"/>
    <w:rsid w:val="00445E76"/>
    <w:rsid w:val="00446606"/>
    <w:rsid w:val="004471BC"/>
    <w:rsid w:val="00447217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6D8"/>
    <w:rsid w:val="004837C6"/>
    <w:rsid w:val="00483998"/>
    <w:rsid w:val="00484E4C"/>
    <w:rsid w:val="00491438"/>
    <w:rsid w:val="00492E3F"/>
    <w:rsid w:val="00493F5C"/>
    <w:rsid w:val="00495DB3"/>
    <w:rsid w:val="004A171B"/>
    <w:rsid w:val="004A2385"/>
    <w:rsid w:val="004A2D91"/>
    <w:rsid w:val="004B0194"/>
    <w:rsid w:val="004B1113"/>
    <w:rsid w:val="004B1DC3"/>
    <w:rsid w:val="004B36AE"/>
    <w:rsid w:val="004C61A3"/>
    <w:rsid w:val="004C6E03"/>
    <w:rsid w:val="004C780C"/>
    <w:rsid w:val="004D03BA"/>
    <w:rsid w:val="004D3441"/>
    <w:rsid w:val="004D6A38"/>
    <w:rsid w:val="004D6C65"/>
    <w:rsid w:val="004D708E"/>
    <w:rsid w:val="004D760C"/>
    <w:rsid w:val="004D7C91"/>
    <w:rsid w:val="004E26E4"/>
    <w:rsid w:val="004E357A"/>
    <w:rsid w:val="004E5000"/>
    <w:rsid w:val="004E65EB"/>
    <w:rsid w:val="004F3D4A"/>
    <w:rsid w:val="004F7174"/>
    <w:rsid w:val="00500DD0"/>
    <w:rsid w:val="005012AA"/>
    <w:rsid w:val="005012CF"/>
    <w:rsid w:val="0050355D"/>
    <w:rsid w:val="005055B5"/>
    <w:rsid w:val="00506619"/>
    <w:rsid w:val="00510D1D"/>
    <w:rsid w:val="00511BBF"/>
    <w:rsid w:val="00515E7B"/>
    <w:rsid w:val="005217F8"/>
    <w:rsid w:val="0052267A"/>
    <w:rsid w:val="005239DD"/>
    <w:rsid w:val="00523CA1"/>
    <w:rsid w:val="005266F4"/>
    <w:rsid w:val="0052675C"/>
    <w:rsid w:val="00531143"/>
    <w:rsid w:val="005340EA"/>
    <w:rsid w:val="00534A44"/>
    <w:rsid w:val="00536332"/>
    <w:rsid w:val="00542821"/>
    <w:rsid w:val="00543514"/>
    <w:rsid w:val="005438A1"/>
    <w:rsid w:val="00543B81"/>
    <w:rsid w:val="00543EB8"/>
    <w:rsid w:val="00543F41"/>
    <w:rsid w:val="00544550"/>
    <w:rsid w:val="00544FCF"/>
    <w:rsid w:val="00545A47"/>
    <w:rsid w:val="00545FC7"/>
    <w:rsid w:val="0054634E"/>
    <w:rsid w:val="00546B67"/>
    <w:rsid w:val="00554A33"/>
    <w:rsid w:val="0055716D"/>
    <w:rsid w:val="005571A6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3D3B"/>
    <w:rsid w:val="00575CC3"/>
    <w:rsid w:val="00580F26"/>
    <w:rsid w:val="00581A7C"/>
    <w:rsid w:val="0058427E"/>
    <w:rsid w:val="005864FA"/>
    <w:rsid w:val="00590907"/>
    <w:rsid w:val="0059346F"/>
    <w:rsid w:val="00594A7B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C1A79"/>
    <w:rsid w:val="005C7644"/>
    <w:rsid w:val="005C7BF4"/>
    <w:rsid w:val="005D2B0F"/>
    <w:rsid w:val="005D3352"/>
    <w:rsid w:val="005E12DD"/>
    <w:rsid w:val="005E269C"/>
    <w:rsid w:val="005E3586"/>
    <w:rsid w:val="005E3EC0"/>
    <w:rsid w:val="005E4DEE"/>
    <w:rsid w:val="005E5FF1"/>
    <w:rsid w:val="005F01CE"/>
    <w:rsid w:val="005F135B"/>
    <w:rsid w:val="005F4E54"/>
    <w:rsid w:val="005F70B6"/>
    <w:rsid w:val="005F7A87"/>
    <w:rsid w:val="00601F0A"/>
    <w:rsid w:val="00604DBE"/>
    <w:rsid w:val="006063E1"/>
    <w:rsid w:val="006065E4"/>
    <w:rsid w:val="00610039"/>
    <w:rsid w:val="00610381"/>
    <w:rsid w:val="00611C07"/>
    <w:rsid w:val="00611E07"/>
    <w:rsid w:val="00612045"/>
    <w:rsid w:val="00612F12"/>
    <w:rsid w:val="00613AC9"/>
    <w:rsid w:val="00615808"/>
    <w:rsid w:val="00620E86"/>
    <w:rsid w:val="006219DD"/>
    <w:rsid w:val="00622521"/>
    <w:rsid w:val="00623DAF"/>
    <w:rsid w:val="006242BF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532C3"/>
    <w:rsid w:val="00666285"/>
    <w:rsid w:val="00670FEA"/>
    <w:rsid w:val="00671DC9"/>
    <w:rsid w:val="0067252D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6F75"/>
    <w:rsid w:val="00697477"/>
    <w:rsid w:val="006A037E"/>
    <w:rsid w:val="006A2019"/>
    <w:rsid w:val="006A3D41"/>
    <w:rsid w:val="006A7796"/>
    <w:rsid w:val="006B0495"/>
    <w:rsid w:val="006B0DCB"/>
    <w:rsid w:val="006B2408"/>
    <w:rsid w:val="006B3AF9"/>
    <w:rsid w:val="006B414C"/>
    <w:rsid w:val="006B4AF2"/>
    <w:rsid w:val="006B4B0F"/>
    <w:rsid w:val="006C32CF"/>
    <w:rsid w:val="006C335E"/>
    <w:rsid w:val="006C3A1F"/>
    <w:rsid w:val="006C5C6C"/>
    <w:rsid w:val="006C7DE0"/>
    <w:rsid w:val="006D3DC7"/>
    <w:rsid w:val="006D4245"/>
    <w:rsid w:val="006E0A93"/>
    <w:rsid w:val="006E4064"/>
    <w:rsid w:val="006E58EA"/>
    <w:rsid w:val="006F0036"/>
    <w:rsid w:val="006F2F67"/>
    <w:rsid w:val="006F4DE0"/>
    <w:rsid w:val="006F4FB2"/>
    <w:rsid w:val="006F5E2D"/>
    <w:rsid w:val="006F6483"/>
    <w:rsid w:val="006F7332"/>
    <w:rsid w:val="0070385B"/>
    <w:rsid w:val="0070407E"/>
    <w:rsid w:val="0070494F"/>
    <w:rsid w:val="00705758"/>
    <w:rsid w:val="0070717A"/>
    <w:rsid w:val="00707244"/>
    <w:rsid w:val="00712CCC"/>
    <w:rsid w:val="007136E9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0292"/>
    <w:rsid w:val="007415AB"/>
    <w:rsid w:val="00742B07"/>
    <w:rsid w:val="0075064C"/>
    <w:rsid w:val="00755956"/>
    <w:rsid w:val="00756AA0"/>
    <w:rsid w:val="00757CE6"/>
    <w:rsid w:val="00764CB0"/>
    <w:rsid w:val="007671B6"/>
    <w:rsid w:val="007671DA"/>
    <w:rsid w:val="00770C72"/>
    <w:rsid w:val="007719A8"/>
    <w:rsid w:val="00773CAE"/>
    <w:rsid w:val="00774593"/>
    <w:rsid w:val="00775B13"/>
    <w:rsid w:val="00776EDA"/>
    <w:rsid w:val="00777599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3F28"/>
    <w:rsid w:val="007B5018"/>
    <w:rsid w:val="007B65B3"/>
    <w:rsid w:val="007C08AB"/>
    <w:rsid w:val="007C4E99"/>
    <w:rsid w:val="007C5151"/>
    <w:rsid w:val="007C546B"/>
    <w:rsid w:val="007C670D"/>
    <w:rsid w:val="007C7359"/>
    <w:rsid w:val="007D0ED0"/>
    <w:rsid w:val="007D1F01"/>
    <w:rsid w:val="007D3E0E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22A5"/>
    <w:rsid w:val="007F5688"/>
    <w:rsid w:val="0080038A"/>
    <w:rsid w:val="0080065F"/>
    <w:rsid w:val="008051DE"/>
    <w:rsid w:val="00805659"/>
    <w:rsid w:val="00810CC2"/>
    <w:rsid w:val="0081324B"/>
    <w:rsid w:val="0081440E"/>
    <w:rsid w:val="00816193"/>
    <w:rsid w:val="008165E4"/>
    <w:rsid w:val="008234BD"/>
    <w:rsid w:val="00824A8C"/>
    <w:rsid w:val="00825155"/>
    <w:rsid w:val="00825EB9"/>
    <w:rsid w:val="008303E2"/>
    <w:rsid w:val="00833A8F"/>
    <w:rsid w:val="008341F8"/>
    <w:rsid w:val="008359F3"/>
    <w:rsid w:val="00835DB6"/>
    <w:rsid w:val="00836AC2"/>
    <w:rsid w:val="008406D5"/>
    <w:rsid w:val="00843BED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4E"/>
    <w:rsid w:val="00861B74"/>
    <w:rsid w:val="008652C9"/>
    <w:rsid w:val="00866992"/>
    <w:rsid w:val="00866CA9"/>
    <w:rsid w:val="00867E3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7082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188B"/>
    <w:rsid w:val="009021A4"/>
    <w:rsid w:val="00904305"/>
    <w:rsid w:val="00904EC5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F7E"/>
    <w:rsid w:val="009440DE"/>
    <w:rsid w:val="009444E6"/>
    <w:rsid w:val="00944A8E"/>
    <w:rsid w:val="009455E6"/>
    <w:rsid w:val="0094589B"/>
    <w:rsid w:val="00953B70"/>
    <w:rsid w:val="00956BA7"/>
    <w:rsid w:val="00956FD8"/>
    <w:rsid w:val="009575F7"/>
    <w:rsid w:val="00957E4B"/>
    <w:rsid w:val="0096021A"/>
    <w:rsid w:val="00960F73"/>
    <w:rsid w:val="009642CA"/>
    <w:rsid w:val="0096655D"/>
    <w:rsid w:val="00971139"/>
    <w:rsid w:val="00972B10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5D6F"/>
    <w:rsid w:val="009B62AF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E04DC"/>
    <w:rsid w:val="009E0FB3"/>
    <w:rsid w:val="009E3B5A"/>
    <w:rsid w:val="009E5105"/>
    <w:rsid w:val="009E59A1"/>
    <w:rsid w:val="009E66EE"/>
    <w:rsid w:val="009F4326"/>
    <w:rsid w:val="00A0082F"/>
    <w:rsid w:val="00A0244C"/>
    <w:rsid w:val="00A033FF"/>
    <w:rsid w:val="00A0409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6A1"/>
    <w:rsid w:val="00A239A8"/>
    <w:rsid w:val="00A30683"/>
    <w:rsid w:val="00A3115F"/>
    <w:rsid w:val="00A33030"/>
    <w:rsid w:val="00A378A2"/>
    <w:rsid w:val="00A407B6"/>
    <w:rsid w:val="00A40CDE"/>
    <w:rsid w:val="00A43FBD"/>
    <w:rsid w:val="00A43FD4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49AF"/>
    <w:rsid w:val="00AA4F2F"/>
    <w:rsid w:val="00AA57CE"/>
    <w:rsid w:val="00AA7540"/>
    <w:rsid w:val="00AB3E6B"/>
    <w:rsid w:val="00AB51C8"/>
    <w:rsid w:val="00AB7B25"/>
    <w:rsid w:val="00AC0BAE"/>
    <w:rsid w:val="00AC126F"/>
    <w:rsid w:val="00AC3256"/>
    <w:rsid w:val="00AC4B34"/>
    <w:rsid w:val="00AD05A6"/>
    <w:rsid w:val="00AE05EA"/>
    <w:rsid w:val="00AE0EDF"/>
    <w:rsid w:val="00AE1128"/>
    <w:rsid w:val="00AE1AB0"/>
    <w:rsid w:val="00AE2609"/>
    <w:rsid w:val="00AE29A8"/>
    <w:rsid w:val="00AE439A"/>
    <w:rsid w:val="00AE617A"/>
    <w:rsid w:val="00AE713F"/>
    <w:rsid w:val="00AF09C7"/>
    <w:rsid w:val="00AF4BF4"/>
    <w:rsid w:val="00B0025D"/>
    <w:rsid w:val="00B006D8"/>
    <w:rsid w:val="00B03D35"/>
    <w:rsid w:val="00B05065"/>
    <w:rsid w:val="00B05194"/>
    <w:rsid w:val="00B06B45"/>
    <w:rsid w:val="00B10AD8"/>
    <w:rsid w:val="00B17303"/>
    <w:rsid w:val="00B21343"/>
    <w:rsid w:val="00B219AA"/>
    <w:rsid w:val="00B21A5B"/>
    <w:rsid w:val="00B25143"/>
    <w:rsid w:val="00B2585D"/>
    <w:rsid w:val="00B266FA"/>
    <w:rsid w:val="00B26C40"/>
    <w:rsid w:val="00B27359"/>
    <w:rsid w:val="00B33FC2"/>
    <w:rsid w:val="00B347F1"/>
    <w:rsid w:val="00B3502B"/>
    <w:rsid w:val="00B35755"/>
    <w:rsid w:val="00B3599F"/>
    <w:rsid w:val="00B35C3E"/>
    <w:rsid w:val="00B36473"/>
    <w:rsid w:val="00B40BEA"/>
    <w:rsid w:val="00B44029"/>
    <w:rsid w:val="00B44FFA"/>
    <w:rsid w:val="00B45428"/>
    <w:rsid w:val="00B47943"/>
    <w:rsid w:val="00B50446"/>
    <w:rsid w:val="00B50A6E"/>
    <w:rsid w:val="00B512D2"/>
    <w:rsid w:val="00B527BF"/>
    <w:rsid w:val="00B530FD"/>
    <w:rsid w:val="00B53C9C"/>
    <w:rsid w:val="00B558FE"/>
    <w:rsid w:val="00B5639B"/>
    <w:rsid w:val="00B60C3E"/>
    <w:rsid w:val="00B615CB"/>
    <w:rsid w:val="00B63E30"/>
    <w:rsid w:val="00B645FA"/>
    <w:rsid w:val="00B64775"/>
    <w:rsid w:val="00B663CD"/>
    <w:rsid w:val="00B67B4F"/>
    <w:rsid w:val="00B81718"/>
    <w:rsid w:val="00B86AF6"/>
    <w:rsid w:val="00B86E2A"/>
    <w:rsid w:val="00B877AA"/>
    <w:rsid w:val="00B91555"/>
    <w:rsid w:val="00B9389E"/>
    <w:rsid w:val="00B96EA4"/>
    <w:rsid w:val="00B97282"/>
    <w:rsid w:val="00B97A3E"/>
    <w:rsid w:val="00BA2F02"/>
    <w:rsid w:val="00BA2FFD"/>
    <w:rsid w:val="00BA428A"/>
    <w:rsid w:val="00BA58B6"/>
    <w:rsid w:val="00BA62AD"/>
    <w:rsid w:val="00BB0267"/>
    <w:rsid w:val="00BB078B"/>
    <w:rsid w:val="00BB37AF"/>
    <w:rsid w:val="00BB4769"/>
    <w:rsid w:val="00BB4C08"/>
    <w:rsid w:val="00BB61BE"/>
    <w:rsid w:val="00BB779D"/>
    <w:rsid w:val="00BC1DBD"/>
    <w:rsid w:val="00BC5737"/>
    <w:rsid w:val="00BD1747"/>
    <w:rsid w:val="00BD3C68"/>
    <w:rsid w:val="00BD421D"/>
    <w:rsid w:val="00BD6B87"/>
    <w:rsid w:val="00BD73FC"/>
    <w:rsid w:val="00BD79B1"/>
    <w:rsid w:val="00BE04D9"/>
    <w:rsid w:val="00BE4614"/>
    <w:rsid w:val="00BE4E6F"/>
    <w:rsid w:val="00BE5100"/>
    <w:rsid w:val="00BE529D"/>
    <w:rsid w:val="00BE53DD"/>
    <w:rsid w:val="00BE6637"/>
    <w:rsid w:val="00BF10E8"/>
    <w:rsid w:val="00BF3158"/>
    <w:rsid w:val="00BF3169"/>
    <w:rsid w:val="00BF51B7"/>
    <w:rsid w:val="00C03312"/>
    <w:rsid w:val="00C039A5"/>
    <w:rsid w:val="00C03A04"/>
    <w:rsid w:val="00C046F7"/>
    <w:rsid w:val="00C10C0B"/>
    <w:rsid w:val="00C10DD5"/>
    <w:rsid w:val="00C11F76"/>
    <w:rsid w:val="00C15A27"/>
    <w:rsid w:val="00C1776A"/>
    <w:rsid w:val="00C22519"/>
    <w:rsid w:val="00C2305C"/>
    <w:rsid w:val="00C233D0"/>
    <w:rsid w:val="00C2380D"/>
    <w:rsid w:val="00C24162"/>
    <w:rsid w:val="00C24E78"/>
    <w:rsid w:val="00C2509D"/>
    <w:rsid w:val="00C34ABD"/>
    <w:rsid w:val="00C353CF"/>
    <w:rsid w:val="00C35F43"/>
    <w:rsid w:val="00C37088"/>
    <w:rsid w:val="00C3715E"/>
    <w:rsid w:val="00C408D5"/>
    <w:rsid w:val="00C41D3C"/>
    <w:rsid w:val="00C43801"/>
    <w:rsid w:val="00C44A07"/>
    <w:rsid w:val="00C44BDC"/>
    <w:rsid w:val="00C45BFB"/>
    <w:rsid w:val="00C45DCE"/>
    <w:rsid w:val="00C50FF9"/>
    <w:rsid w:val="00C54B14"/>
    <w:rsid w:val="00C6352A"/>
    <w:rsid w:val="00C65B2D"/>
    <w:rsid w:val="00C65C5D"/>
    <w:rsid w:val="00C6656A"/>
    <w:rsid w:val="00C66C03"/>
    <w:rsid w:val="00C711E5"/>
    <w:rsid w:val="00C730CB"/>
    <w:rsid w:val="00C73782"/>
    <w:rsid w:val="00C80D90"/>
    <w:rsid w:val="00C81B05"/>
    <w:rsid w:val="00C83AEE"/>
    <w:rsid w:val="00C85563"/>
    <w:rsid w:val="00C85AC7"/>
    <w:rsid w:val="00C9045E"/>
    <w:rsid w:val="00C906CD"/>
    <w:rsid w:val="00C934E0"/>
    <w:rsid w:val="00CA0FB8"/>
    <w:rsid w:val="00CA15F3"/>
    <w:rsid w:val="00CA2680"/>
    <w:rsid w:val="00CA4D23"/>
    <w:rsid w:val="00CA6716"/>
    <w:rsid w:val="00CB0D34"/>
    <w:rsid w:val="00CB79F7"/>
    <w:rsid w:val="00CC1939"/>
    <w:rsid w:val="00CC42D4"/>
    <w:rsid w:val="00CC64E3"/>
    <w:rsid w:val="00CC7712"/>
    <w:rsid w:val="00CD179A"/>
    <w:rsid w:val="00CD2536"/>
    <w:rsid w:val="00CD407F"/>
    <w:rsid w:val="00CD5740"/>
    <w:rsid w:val="00CD7420"/>
    <w:rsid w:val="00CE6ACB"/>
    <w:rsid w:val="00CE6D09"/>
    <w:rsid w:val="00CF0E4D"/>
    <w:rsid w:val="00CF230D"/>
    <w:rsid w:val="00CF5489"/>
    <w:rsid w:val="00CF7615"/>
    <w:rsid w:val="00CF7823"/>
    <w:rsid w:val="00D003F8"/>
    <w:rsid w:val="00D01AFE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3801"/>
    <w:rsid w:val="00D25AEC"/>
    <w:rsid w:val="00D25B2F"/>
    <w:rsid w:val="00D341C9"/>
    <w:rsid w:val="00D3447D"/>
    <w:rsid w:val="00D3488B"/>
    <w:rsid w:val="00D361DE"/>
    <w:rsid w:val="00D37427"/>
    <w:rsid w:val="00D3793E"/>
    <w:rsid w:val="00D37FB2"/>
    <w:rsid w:val="00D41A6A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0900"/>
    <w:rsid w:val="00D71B77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3ECD"/>
    <w:rsid w:val="00DB4717"/>
    <w:rsid w:val="00DC12C8"/>
    <w:rsid w:val="00DC6F31"/>
    <w:rsid w:val="00DC7FFD"/>
    <w:rsid w:val="00DD1B11"/>
    <w:rsid w:val="00DD6D82"/>
    <w:rsid w:val="00DE045E"/>
    <w:rsid w:val="00DE1240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4E34"/>
    <w:rsid w:val="00DF75EC"/>
    <w:rsid w:val="00E0133D"/>
    <w:rsid w:val="00E019ED"/>
    <w:rsid w:val="00E02392"/>
    <w:rsid w:val="00E0312F"/>
    <w:rsid w:val="00E04C48"/>
    <w:rsid w:val="00E06065"/>
    <w:rsid w:val="00E079C6"/>
    <w:rsid w:val="00E1273C"/>
    <w:rsid w:val="00E1434A"/>
    <w:rsid w:val="00E146CF"/>
    <w:rsid w:val="00E17711"/>
    <w:rsid w:val="00E23C05"/>
    <w:rsid w:val="00E2425F"/>
    <w:rsid w:val="00E245B0"/>
    <w:rsid w:val="00E247E2"/>
    <w:rsid w:val="00E304EB"/>
    <w:rsid w:val="00E329D0"/>
    <w:rsid w:val="00E33746"/>
    <w:rsid w:val="00E342B3"/>
    <w:rsid w:val="00E3451F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73271"/>
    <w:rsid w:val="00E735DA"/>
    <w:rsid w:val="00E74214"/>
    <w:rsid w:val="00E74762"/>
    <w:rsid w:val="00E74D52"/>
    <w:rsid w:val="00E75855"/>
    <w:rsid w:val="00E7609C"/>
    <w:rsid w:val="00E82556"/>
    <w:rsid w:val="00E85CBE"/>
    <w:rsid w:val="00E86566"/>
    <w:rsid w:val="00E875F5"/>
    <w:rsid w:val="00E92527"/>
    <w:rsid w:val="00E92A93"/>
    <w:rsid w:val="00E97045"/>
    <w:rsid w:val="00EA270C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05C2"/>
    <w:rsid w:val="00EE30EE"/>
    <w:rsid w:val="00EE3C6D"/>
    <w:rsid w:val="00EE4C6E"/>
    <w:rsid w:val="00EE61BE"/>
    <w:rsid w:val="00EE6DE6"/>
    <w:rsid w:val="00EF057C"/>
    <w:rsid w:val="00EF1D14"/>
    <w:rsid w:val="00EF4FEE"/>
    <w:rsid w:val="00EF6873"/>
    <w:rsid w:val="00F00BE1"/>
    <w:rsid w:val="00F01B31"/>
    <w:rsid w:val="00F03AB9"/>
    <w:rsid w:val="00F06479"/>
    <w:rsid w:val="00F076C5"/>
    <w:rsid w:val="00F120D9"/>
    <w:rsid w:val="00F124BE"/>
    <w:rsid w:val="00F125DE"/>
    <w:rsid w:val="00F24232"/>
    <w:rsid w:val="00F2601B"/>
    <w:rsid w:val="00F27170"/>
    <w:rsid w:val="00F30016"/>
    <w:rsid w:val="00F31C75"/>
    <w:rsid w:val="00F32543"/>
    <w:rsid w:val="00F33277"/>
    <w:rsid w:val="00F340CD"/>
    <w:rsid w:val="00F341CC"/>
    <w:rsid w:val="00F36D10"/>
    <w:rsid w:val="00F40CAB"/>
    <w:rsid w:val="00F47C5C"/>
    <w:rsid w:val="00F54856"/>
    <w:rsid w:val="00F57650"/>
    <w:rsid w:val="00F579FC"/>
    <w:rsid w:val="00F60C74"/>
    <w:rsid w:val="00F61AE6"/>
    <w:rsid w:val="00F62773"/>
    <w:rsid w:val="00F64F51"/>
    <w:rsid w:val="00F66122"/>
    <w:rsid w:val="00F666FD"/>
    <w:rsid w:val="00F67A35"/>
    <w:rsid w:val="00F759AD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3FA"/>
    <w:rsid w:val="00FB3BA6"/>
    <w:rsid w:val="00FB4D65"/>
    <w:rsid w:val="00FB5954"/>
    <w:rsid w:val="00FB6695"/>
    <w:rsid w:val="00FC0253"/>
    <w:rsid w:val="00FC0CDF"/>
    <w:rsid w:val="00FC0D7C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0CE6"/>
    <w:rsid w:val="00FE28C8"/>
    <w:rsid w:val="00FE79EF"/>
    <w:rsid w:val="00FF025A"/>
    <w:rsid w:val="00FF088B"/>
    <w:rsid w:val="00FF0AC4"/>
    <w:rsid w:val="00FF10AF"/>
    <w:rsid w:val="00FF334E"/>
    <w:rsid w:val="00FF4A52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E6D7864-A6E4-4F95-915B-FDCBDC7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4231</Words>
  <Characters>22848</Characters>
  <Application>Microsoft Office Word</Application>
  <DocSecurity>4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27025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2011-06-10T14:49:00Z</cp:lastPrinted>
  <dcterms:created xsi:type="dcterms:W3CDTF">2015-05-07T12:39:00Z</dcterms:created>
  <dcterms:modified xsi:type="dcterms:W3CDTF">2015-05-07T12:39:00Z</dcterms:modified>
</cp:coreProperties>
</file>