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AA4F2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805659">
        <w:rPr>
          <w:rFonts w:ascii="Times New Roman" w:hAnsi="Times New Roman"/>
          <w:b/>
          <w:i w:val="0"/>
          <w:color w:val="000000"/>
          <w:sz w:val="22"/>
          <w:szCs w:val="22"/>
        </w:rPr>
        <w:t>3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F01B31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805659">
        <w:rPr>
          <w:rFonts w:ascii="Times New Roman" w:hAnsi="Times New Roman"/>
          <w:b/>
          <w:i w:val="0"/>
          <w:color w:val="000000"/>
          <w:sz w:val="22"/>
          <w:szCs w:val="22"/>
        </w:rPr>
        <w:t>4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805659">
        <w:rPr>
          <w:rFonts w:ascii="Times New Roman" w:hAnsi="Times New Roman"/>
          <w:b/>
          <w:i w:val="0"/>
          <w:color w:val="000000"/>
          <w:sz w:val="22"/>
          <w:szCs w:val="22"/>
        </w:rPr>
        <w:t>maio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AA4F2F">
      <w:pPr>
        <w:pBdr>
          <w:top w:val="threeDEmboss" w:sz="24" w:space="2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391B5C" w:rsidRDefault="009444E6" w:rsidP="00391B5C">
      <w:pPr>
        <w:pStyle w:val="tita"/>
        <w:tabs>
          <w:tab w:val="left" w:pos="2590"/>
        </w:tabs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391B5C">
        <w:rPr>
          <w:i w:val="0"/>
          <w:iCs w:val="0"/>
          <w:sz w:val="22"/>
          <w:szCs w:val="22"/>
        </w:rPr>
        <w:t>Plenário</w:t>
      </w:r>
    </w:p>
    <w:p w:rsidR="00D16754" w:rsidRPr="00391B5C" w:rsidRDefault="00391B5C" w:rsidP="00391B5C">
      <w:pPr>
        <w:pStyle w:val="TCU-RelVoto-demais"/>
        <w:tabs>
          <w:tab w:val="left" w:pos="2590"/>
        </w:tabs>
        <w:spacing w:before="60" w:after="60"/>
        <w:rPr>
          <w:sz w:val="22"/>
        </w:rPr>
      </w:pPr>
      <w:r w:rsidRPr="00391B5C">
        <w:rPr>
          <w:sz w:val="22"/>
        </w:rPr>
        <w:t>Para o fim de enquadramento na hipótese de dispensa de licitação prevista no inc. IV do art. 24 da Lei 8.666/1993 não há que se fazer distinção entre a emergência resultante de fato imprevisível e a decorrente da incúria ou desídia administrativa, desde que devidamente caracterizada a urgência de atendimento à situação que possa ocasionar prejuízo ou comprometer a segurança de pessoas, obras, serviços, equipamentos e outros bens, públicos ou particulares</w:t>
      </w:r>
    </w:p>
    <w:p w:rsidR="006242BF" w:rsidRPr="006242BF" w:rsidRDefault="006242BF" w:rsidP="00391B5C">
      <w:pPr>
        <w:pStyle w:val="Corpodetexto"/>
        <w:tabs>
          <w:tab w:val="left" w:pos="1134"/>
          <w:tab w:val="left" w:pos="2590"/>
        </w:tabs>
        <w:spacing w:before="60" w:after="60"/>
        <w:ind w:left="0"/>
        <w:rPr>
          <w:sz w:val="22"/>
          <w:szCs w:val="22"/>
        </w:rPr>
      </w:pPr>
      <w:r w:rsidRPr="006242BF">
        <w:rPr>
          <w:sz w:val="22"/>
          <w:szCs w:val="22"/>
        </w:rPr>
        <w:t xml:space="preserve">Pregão para aquisição de bens: </w:t>
      </w:r>
    </w:p>
    <w:p w:rsidR="006242BF" w:rsidRPr="006242BF" w:rsidRDefault="006242BF" w:rsidP="00391B5C">
      <w:pPr>
        <w:pStyle w:val="Corpodetexto"/>
        <w:tabs>
          <w:tab w:val="left" w:pos="851"/>
          <w:tab w:val="left" w:pos="2590"/>
        </w:tabs>
        <w:spacing w:before="60" w:after="60"/>
        <w:ind w:left="0"/>
        <w:rPr>
          <w:sz w:val="22"/>
          <w:szCs w:val="22"/>
        </w:rPr>
      </w:pPr>
      <w:r w:rsidRPr="006242BF">
        <w:rPr>
          <w:sz w:val="22"/>
          <w:szCs w:val="22"/>
        </w:rPr>
        <w:tab/>
      </w:r>
      <w:r>
        <w:rPr>
          <w:sz w:val="22"/>
          <w:szCs w:val="22"/>
        </w:rPr>
        <w:t xml:space="preserve">1 </w:t>
      </w:r>
      <w:r w:rsidRPr="006242BF">
        <w:rPr>
          <w:sz w:val="22"/>
          <w:szCs w:val="22"/>
        </w:rPr>
        <w:t xml:space="preserve">– A exigência de declaração de solidariedade do fabricante para </w:t>
      </w:r>
      <w:r w:rsidR="003B50F6">
        <w:rPr>
          <w:sz w:val="22"/>
          <w:szCs w:val="22"/>
        </w:rPr>
        <w:t>o fim de habilitação é indevida</w:t>
      </w:r>
    </w:p>
    <w:p w:rsidR="006242BF" w:rsidRPr="006242BF" w:rsidRDefault="006242BF" w:rsidP="00391B5C">
      <w:pPr>
        <w:pStyle w:val="Corpodetexto"/>
        <w:tabs>
          <w:tab w:val="left" w:pos="2590"/>
        </w:tabs>
        <w:spacing w:before="60" w:after="60"/>
        <w:ind w:left="0" w:firstLine="851"/>
        <w:rPr>
          <w:sz w:val="22"/>
          <w:szCs w:val="22"/>
        </w:rPr>
      </w:pPr>
      <w:r w:rsidRPr="006242B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6242BF">
        <w:rPr>
          <w:sz w:val="22"/>
          <w:szCs w:val="22"/>
        </w:rPr>
        <w:t>– A exigência de apresentação de declaração de idoneidade financeira por parte do licitan</w:t>
      </w:r>
      <w:r w:rsidR="003B50F6">
        <w:rPr>
          <w:sz w:val="22"/>
          <w:szCs w:val="22"/>
        </w:rPr>
        <w:t>te não encontra amparo jurídico</w:t>
      </w:r>
    </w:p>
    <w:p w:rsidR="006242BF" w:rsidRPr="006242BF" w:rsidRDefault="006242BF" w:rsidP="00391B5C">
      <w:pPr>
        <w:pStyle w:val="Default"/>
        <w:spacing w:before="60" w:after="60"/>
        <w:ind w:firstLine="851"/>
        <w:jc w:val="both"/>
        <w:rPr>
          <w:sz w:val="22"/>
          <w:szCs w:val="22"/>
        </w:rPr>
      </w:pPr>
      <w:r w:rsidRPr="006242BF">
        <w:rPr>
          <w:sz w:val="22"/>
          <w:szCs w:val="22"/>
        </w:rPr>
        <w:t>3</w:t>
      </w:r>
      <w:r w:rsidRPr="006242BF">
        <w:rPr>
          <w:color w:val="auto"/>
          <w:sz w:val="22"/>
          <w:szCs w:val="22"/>
        </w:rPr>
        <w:t xml:space="preserve"> </w:t>
      </w:r>
      <w:r w:rsidRPr="006242BF">
        <w:rPr>
          <w:sz w:val="22"/>
          <w:szCs w:val="22"/>
        </w:rPr>
        <w:t>– No caso de exigência de realização de visita técnica pelos licitantes, o prazo estabelecido para tanto deve ser suficiente para que se tome conhecimento das peculiaridades que possam influenciar no fornecimento do objeto licitad</w:t>
      </w:r>
      <w:r w:rsidR="003B50F6">
        <w:rPr>
          <w:sz w:val="22"/>
          <w:szCs w:val="22"/>
        </w:rPr>
        <w:t>o e na formulação das propostas</w:t>
      </w:r>
    </w:p>
    <w:p w:rsidR="006242BF" w:rsidRPr="00137B22" w:rsidRDefault="006242BF" w:rsidP="003B50F6">
      <w:pPr>
        <w:pStyle w:val="Corpodetexto"/>
        <w:tabs>
          <w:tab w:val="left" w:pos="2590"/>
        </w:tabs>
        <w:spacing w:before="60" w:after="60"/>
        <w:rPr>
          <w:b/>
          <w:color w:val="FF0000"/>
          <w:sz w:val="22"/>
          <w:szCs w:val="22"/>
        </w:rPr>
      </w:pPr>
    </w:p>
    <w:p w:rsidR="003C6DEB" w:rsidRPr="006242BF" w:rsidRDefault="003C6DEB" w:rsidP="006242BF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6242BF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6242BF" w:rsidRDefault="003C6DEB" w:rsidP="006242BF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543514" w:rsidRPr="006242BF" w:rsidRDefault="00A40CDE" w:rsidP="006242BF">
      <w:pPr>
        <w:pStyle w:val="TCU-RelVoto-demais"/>
        <w:tabs>
          <w:tab w:val="left" w:pos="2590"/>
        </w:tabs>
        <w:spacing w:after="0"/>
        <w:rPr>
          <w:b/>
          <w:sz w:val="22"/>
        </w:rPr>
      </w:pPr>
      <w:r>
        <w:rPr>
          <w:b/>
          <w:sz w:val="22"/>
        </w:rPr>
        <w:t xml:space="preserve">Para o fim de enquadramento na hipótese de dispensa de licitação prevista no inc. IV do art. 24 da Lei 8.666/1993 não há que se fazer distinção entre a emergência resultante de fato imprevisível e a decorrente da incúria ou desídia administrativa, </w:t>
      </w:r>
      <w:r w:rsidRPr="00A40CDE">
        <w:rPr>
          <w:b/>
          <w:sz w:val="22"/>
        </w:rPr>
        <w:t xml:space="preserve">desde que devidamente caracterizada a urgência de atendimento </w:t>
      </w:r>
      <w:r>
        <w:rPr>
          <w:b/>
          <w:sz w:val="22"/>
        </w:rPr>
        <w:t>à</w:t>
      </w:r>
      <w:r w:rsidRPr="00A40CDE">
        <w:rPr>
          <w:b/>
          <w:sz w:val="22"/>
        </w:rPr>
        <w:t xml:space="preserve"> situação que possa ocasionar prejuízo ou comprometer a segurança de pessoas, obras, serviços, equipamentos e outros bens, públicos ou particulares</w:t>
      </w:r>
    </w:p>
    <w:p w:rsidR="006242BF" w:rsidRPr="006242BF" w:rsidRDefault="00B10AD8" w:rsidP="006242BF">
      <w:pPr>
        <w:pStyle w:val="TCU-Epgrafe"/>
        <w:tabs>
          <w:tab w:val="left" w:pos="1134"/>
        </w:tabs>
        <w:ind w:left="0"/>
        <w:rPr>
          <w:b/>
          <w:i/>
          <w:sz w:val="22"/>
          <w:szCs w:val="22"/>
        </w:rPr>
      </w:pPr>
      <w:r w:rsidRPr="006242BF">
        <w:rPr>
          <w:sz w:val="22"/>
          <w:szCs w:val="22"/>
        </w:rPr>
        <w:t>“</w:t>
      </w:r>
      <w:r w:rsidR="00D01AFE" w:rsidRPr="006242BF">
        <w:rPr>
          <w:i/>
          <w:sz w:val="22"/>
          <w:szCs w:val="22"/>
        </w:rPr>
        <w:t>A situação prevista no art. 24, IV, da Lei n° 8.666/93 não distingue a emergência real, resultante do imprevisível, daquela resultante da incúria ou inércia administrativa, sendo cabível, em ambas as hipóteses, a contratação direta, desde que devidamente caracterizada a urgência de atendimento a situação que possa ocasionar prejuízo ou comprometer a segurança de pessoas, obras, serviços, equipamentos e outros bens, públicos ou particulares</w:t>
      </w:r>
      <w:r w:rsidR="00D01AFE" w:rsidRPr="006242BF">
        <w:rPr>
          <w:sz w:val="22"/>
          <w:szCs w:val="22"/>
        </w:rPr>
        <w:t xml:space="preserve">”. </w:t>
      </w:r>
      <w:r w:rsidR="00387CBD" w:rsidRPr="006242BF">
        <w:rPr>
          <w:sz w:val="22"/>
          <w:szCs w:val="22"/>
        </w:rPr>
        <w:t>Com esse entendimento, o Tribunal julgou improcedente representação contra a Companhia Hidro Elétrica do São Francisco – (Chesf), acerca de irregularidades na contratação de empresa, para a prestação de serviços na área de propaganda e publicidade, por meio de processo de dispensa de licitação fundamentada no art. 24, inciso IV, da Lei n.º 8.666/1993 (situação emergencial). Para a unidade técnica, na espécie, o uso da dispensa de licitação teria se revelado indevido, pois “</w:t>
      </w:r>
      <w:r w:rsidR="00387CBD" w:rsidRPr="006242BF">
        <w:rPr>
          <w:i/>
          <w:sz w:val="22"/>
          <w:szCs w:val="22"/>
        </w:rPr>
        <w:t xml:space="preserve">a caracterização da suposta situação emergencial não restou fundamentada em fatos novos e imprevisíveis, mas em situação decorrente de omissão do agente público, que não providenciou a licitação em tempo hábil”. </w:t>
      </w:r>
      <w:r w:rsidR="00387CBD" w:rsidRPr="006242BF">
        <w:rPr>
          <w:sz w:val="22"/>
          <w:szCs w:val="22"/>
        </w:rPr>
        <w:t>Na instrução</w:t>
      </w:r>
      <w:r w:rsidR="009D5393" w:rsidRPr="006242BF">
        <w:rPr>
          <w:sz w:val="22"/>
          <w:szCs w:val="22"/>
        </w:rPr>
        <w:t xml:space="preserve"> do processo</w:t>
      </w:r>
      <w:r w:rsidR="00387CBD" w:rsidRPr="006242BF">
        <w:rPr>
          <w:sz w:val="22"/>
          <w:szCs w:val="22"/>
        </w:rPr>
        <w:t xml:space="preserve">, informou-se que serviços não relacionados a essas campanhas também teriam sido contratados por meio de dispensa de licitação, amparada na emergência. </w:t>
      </w:r>
      <w:r w:rsidR="0090188B" w:rsidRPr="006242BF">
        <w:rPr>
          <w:sz w:val="22"/>
          <w:szCs w:val="22"/>
        </w:rPr>
        <w:t>Propôs</w:t>
      </w:r>
      <w:r w:rsidR="00A40CDE">
        <w:rPr>
          <w:sz w:val="22"/>
          <w:szCs w:val="22"/>
        </w:rPr>
        <w:t>-se</w:t>
      </w:r>
      <w:r w:rsidR="0090188B" w:rsidRPr="006242BF">
        <w:rPr>
          <w:sz w:val="22"/>
          <w:szCs w:val="22"/>
        </w:rPr>
        <w:t>, então, que os responsáveis pela contratação emergencial, supostamente irregular, fossem apenados com multa. O relator, todavia, dissentiu do encaminhamento. Segundo ele, “</w:t>
      </w:r>
      <w:r w:rsidR="0090188B" w:rsidRPr="006242BF">
        <w:rPr>
          <w:i/>
          <w:sz w:val="22"/>
          <w:szCs w:val="22"/>
        </w:rPr>
        <w:t>há que se separar a ausência de planejamento da contratação emergencial propriamente dita, tratando-as como questões distintas</w:t>
      </w:r>
      <w:r w:rsidR="0090188B" w:rsidRPr="006242BF">
        <w:rPr>
          <w:sz w:val="22"/>
          <w:szCs w:val="22"/>
        </w:rPr>
        <w:t>”. Nesse quadro, a contratação emergencial ocorreria “</w:t>
      </w:r>
      <w:r w:rsidR="0090188B" w:rsidRPr="006242BF">
        <w:rPr>
          <w:i/>
          <w:sz w:val="22"/>
          <w:szCs w:val="22"/>
        </w:rPr>
        <w:t>em função da essencialidade do serviço ou bem que se pretende adquirir, pouco importando os motivos que tornam imperativa a imediata contratação</w:t>
      </w:r>
      <w:r w:rsidR="0090188B" w:rsidRPr="006242BF">
        <w:rPr>
          <w:sz w:val="22"/>
          <w:szCs w:val="22"/>
        </w:rPr>
        <w:t>”. Assim, “</w:t>
      </w:r>
      <w:r w:rsidR="0090188B" w:rsidRPr="006242BF">
        <w:rPr>
          <w:i/>
          <w:sz w:val="22"/>
          <w:szCs w:val="22"/>
        </w:rPr>
        <w:t>na análise de contratações emergenciais não se deve buscar a causa da emergência, mas os efeitos advindos de sua não realização</w:t>
      </w:r>
      <w:r w:rsidR="0090188B" w:rsidRPr="006242BF">
        <w:rPr>
          <w:sz w:val="22"/>
          <w:szCs w:val="22"/>
        </w:rPr>
        <w:t xml:space="preserve">”. A partir da verificação desses efeitos, caberia à Administração </w:t>
      </w:r>
      <w:r w:rsidR="006D3DC7" w:rsidRPr="006242BF">
        <w:rPr>
          <w:sz w:val="22"/>
          <w:szCs w:val="22"/>
        </w:rPr>
        <w:t>sopesar</w:t>
      </w:r>
      <w:r w:rsidR="0090188B" w:rsidRPr="006242BF">
        <w:rPr>
          <w:sz w:val="22"/>
          <w:szCs w:val="22"/>
        </w:rPr>
        <w:t xml:space="preserve"> a imperatividade da contratação emergencial e avalia</w:t>
      </w:r>
      <w:r w:rsidR="006D3DC7" w:rsidRPr="006242BF">
        <w:rPr>
          <w:sz w:val="22"/>
          <w:szCs w:val="22"/>
        </w:rPr>
        <w:t>r</w:t>
      </w:r>
      <w:r w:rsidR="0090188B" w:rsidRPr="006242BF">
        <w:rPr>
          <w:sz w:val="22"/>
          <w:szCs w:val="22"/>
        </w:rPr>
        <w:t xml:space="preserve"> a pertinência da aplicação</w:t>
      </w:r>
      <w:r w:rsidR="006D3DC7" w:rsidRPr="006242BF">
        <w:rPr>
          <w:sz w:val="22"/>
          <w:szCs w:val="22"/>
        </w:rPr>
        <w:t xml:space="preserve"> </w:t>
      </w:r>
      <w:r w:rsidR="0090188B" w:rsidRPr="006242BF">
        <w:rPr>
          <w:sz w:val="22"/>
          <w:szCs w:val="22"/>
        </w:rPr>
        <w:t>da excepcionalidade permitida pelo art. 24, IV, da Lei de Licitações.</w:t>
      </w:r>
      <w:r w:rsidR="006D3DC7" w:rsidRPr="006242BF">
        <w:rPr>
          <w:sz w:val="22"/>
          <w:szCs w:val="22"/>
        </w:rPr>
        <w:t xml:space="preserve"> </w:t>
      </w:r>
      <w:r w:rsidR="006F5E2D" w:rsidRPr="006242BF">
        <w:rPr>
          <w:sz w:val="22"/>
          <w:szCs w:val="22"/>
        </w:rPr>
        <w:t xml:space="preserve">No caso concreto, </w:t>
      </w:r>
      <w:r w:rsidR="009D5393" w:rsidRPr="006242BF">
        <w:rPr>
          <w:sz w:val="22"/>
          <w:szCs w:val="22"/>
        </w:rPr>
        <w:t xml:space="preserve">o relator </w:t>
      </w:r>
      <w:r w:rsidR="004D03BA" w:rsidRPr="006242BF">
        <w:rPr>
          <w:sz w:val="22"/>
          <w:szCs w:val="22"/>
        </w:rPr>
        <w:t>entende</w:t>
      </w:r>
      <w:r w:rsidR="009D5393" w:rsidRPr="006242BF">
        <w:rPr>
          <w:sz w:val="22"/>
          <w:szCs w:val="22"/>
        </w:rPr>
        <w:t xml:space="preserve">u que </w:t>
      </w:r>
      <w:r w:rsidR="004D03BA" w:rsidRPr="006242BF">
        <w:rPr>
          <w:sz w:val="22"/>
          <w:szCs w:val="22"/>
        </w:rPr>
        <w:t>“</w:t>
      </w:r>
      <w:r w:rsidR="004D03BA" w:rsidRPr="006242BF">
        <w:rPr>
          <w:i/>
          <w:sz w:val="22"/>
          <w:szCs w:val="22"/>
        </w:rPr>
        <w:t>a contratação emergencial se caracterizou, sobretudo, pela necessidade de não interrupção dos serviços de publicidade de utilidade pública</w:t>
      </w:r>
      <w:r w:rsidR="004D03BA" w:rsidRPr="006242BF">
        <w:rPr>
          <w:sz w:val="22"/>
          <w:szCs w:val="22"/>
        </w:rPr>
        <w:t xml:space="preserve">”, os quais, para, ele, dizem respeito a uma </w:t>
      </w:r>
      <w:r w:rsidR="00391B5C">
        <w:rPr>
          <w:sz w:val="22"/>
          <w:szCs w:val="22"/>
        </w:rPr>
        <w:t xml:space="preserve">área </w:t>
      </w:r>
      <w:r w:rsidR="004D03BA" w:rsidRPr="006242BF">
        <w:rPr>
          <w:sz w:val="22"/>
          <w:szCs w:val="22"/>
        </w:rPr>
        <w:t>que “</w:t>
      </w:r>
      <w:r w:rsidR="004D03BA" w:rsidRPr="006242BF">
        <w:rPr>
          <w:i/>
          <w:sz w:val="22"/>
          <w:szCs w:val="22"/>
        </w:rPr>
        <w:t>está relacionada com a divulgação de serviços que tenham como objetivo informar, orientar, avisar, prevenir ou alertar segmento ou toda a população para adotar comportamentos que lhe tragam benefícios sociais, visando à melhoria em sua qualidade de vida</w:t>
      </w:r>
      <w:r w:rsidR="004D03BA" w:rsidRPr="006242BF">
        <w:rPr>
          <w:sz w:val="22"/>
          <w:szCs w:val="22"/>
        </w:rPr>
        <w:t xml:space="preserve">”. Aditou que a principal atividade prevista na área </w:t>
      </w:r>
      <w:r w:rsidR="00391B5C">
        <w:rPr>
          <w:sz w:val="22"/>
          <w:szCs w:val="22"/>
        </w:rPr>
        <w:t xml:space="preserve">de serviços de publicidade </w:t>
      </w:r>
      <w:r w:rsidR="004D03BA" w:rsidRPr="006242BF">
        <w:rPr>
          <w:sz w:val="22"/>
          <w:szCs w:val="22"/>
        </w:rPr>
        <w:t xml:space="preserve">de utilidade pública era a campanha de prevenção de queimadas, </w:t>
      </w:r>
      <w:r w:rsidR="00391B5C">
        <w:rPr>
          <w:sz w:val="22"/>
          <w:szCs w:val="22"/>
        </w:rPr>
        <w:t>destacando</w:t>
      </w:r>
      <w:r w:rsidR="004D03BA" w:rsidRPr="006242BF">
        <w:rPr>
          <w:sz w:val="22"/>
          <w:szCs w:val="22"/>
        </w:rPr>
        <w:t xml:space="preserve"> que “</w:t>
      </w:r>
      <w:r w:rsidR="004D03BA" w:rsidRPr="006242BF">
        <w:rPr>
          <w:i/>
          <w:sz w:val="22"/>
          <w:szCs w:val="22"/>
        </w:rPr>
        <w:t>incêndios em canaviais existentes sob linhas de transmissão da Chesf têm provocado, no período da colheita, interrupção no fornecimento de energia elétrica, principalmente em Pernambuco e Alagoas. A campanha que a Chesf vem fazendo nas últimas décadas, através de emissoras de rádio e televisão, contribui decisivamente para a redução dos desligamentos</w:t>
      </w:r>
      <w:r w:rsidR="004D03BA" w:rsidRPr="006242BF">
        <w:rPr>
          <w:sz w:val="22"/>
          <w:szCs w:val="22"/>
        </w:rPr>
        <w:t>”. Consignou o relator, ainda, que à época da queima dos canaviais no nordeste do país</w:t>
      </w:r>
      <w:r w:rsidR="006242BF" w:rsidRPr="006242BF">
        <w:rPr>
          <w:sz w:val="22"/>
          <w:szCs w:val="22"/>
        </w:rPr>
        <w:t>, os desligamentos de linhas de transmissão</w:t>
      </w:r>
      <w:r w:rsidR="00391B5C">
        <w:rPr>
          <w:sz w:val="22"/>
          <w:szCs w:val="22"/>
        </w:rPr>
        <w:t>,</w:t>
      </w:r>
      <w:r w:rsidR="006242BF" w:rsidRPr="006242BF">
        <w:rPr>
          <w:sz w:val="22"/>
          <w:szCs w:val="22"/>
        </w:rPr>
        <w:t xml:space="preserve"> em decorrência de tais queimadas</w:t>
      </w:r>
      <w:r w:rsidR="00391B5C">
        <w:rPr>
          <w:sz w:val="22"/>
          <w:szCs w:val="22"/>
        </w:rPr>
        <w:t>,</w:t>
      </w:r>
      <w:r w:rsidR="006242BF" w:rsidRPr="006242BF">
        <w:rPr>
          <w:sz w:val="22"/>
          <w:szCs w:val="22"/>
        </w:rPr>
        <w:t xml:space="preserve"> apresenta</w:t>
      </w:r>
      <w:r w:rsidR="00A40CDE">
        <w:rPr>
          <w:sz w:val="22"/>
          <w:szCs w:val="22"/>
        </w:rPr>
        <w:t>ria</w:t>
      </w:r>
      <w:r w:rsidR="006242BF" w:rsidRPr="006242BF">
        <w:rPr>
          <w:sz w:val="22"/>
          <w:szCs w:val="22"/>
        </w:rPr>
        <w:t xml:space="preserve"> acentuado crescimento, caracterizando situação que poderia ocasionar prejuízo ou comprometer a segurança de pessoas, obras, serviços, equipamentos e outros bens, públicos ou particulares, fato que autorizaria a utilização da contratação direta prevista no art. 24, IV, da Lei n° 8.666/93. Em face do exposto, o Plenário manifestou sua anuência, acompanhando o relator no entendimento de que a representação não mereceria ser provida. </w:t>
      </w:r>
      <w:r w:rsidR="006242BF" w:rsidRPr="006242BF">
        <w:rPr>
          <w:b/>
          <w:i/>
          <w:sz w:val="22"/>
          <w:szCs w:val="22"/>
        </w:rPr>
        <w:t>Acórdão n.º 1138/2011-Plenário, TC-006.399/2008-2, rel. Min. Ubiratan Aguiar, 04.05.2011.</w:t>
      </w:r>
    </w:p>
    <w:p w:rsidR="0090188B" w:rsidRPr="00AB3E6B" w:rsidRDefault="0090188B" w:rsidP="006242BF">
      <w:pPr>
        <w:pStyle w:val="TCU-RelVoto-demais"/>
        <w:spacing w:after="0"/>
        <w:rPr>
          <w:sz w:val="22"/>
        </w:rPr>
      </w:pPr>
    </w:p>
    <w:p w:rsidR="00EE05C2" w:rsidRPr="00137B22" w:rsidRDefault="00544550" w:rsidP="006242BF">
      <w:pPr>
        <w:pStyle w:val="Corpodetexto"/>
        <w:tabs>
          <w:tab w:val="left" w:pos="1134"/>
          <w:tab w:val="left" w:pos="2590"/>
        </w:tabs>
        <w:spacing w:after="0"/>
        <w:ind w:left="0"/>
        <w:rPr>
          <w:b/>
          <w:color w:val="FF0000"/>
          <w:sz w:val="22"/>
          <w:szCs w:val="22"/>
        </w:rPr>
      </w:pPr>
      <w:r w:rsidRPr="00AB3E6B">
        <w:rPr>
          <w:b/>
          <w:sz w:val="22"/>
          <w:szCs w:val="22"/>
        </w:rPr>
        <w:t>Pregão para aquisição</w:t>
      </w:r>
      <w:r w:rsidRPr="00137B22">
        <w:rPr>
          <w:b/>
          <w:sz w:val="22"/>
          <w:szCs w:val="22"/>
        </w:rPr>
        <w:t xml:space="preserve"> de bens: 1 - </w:t>
      </w:r>
      <w:r w:rsidR="00137B22" w:rsidRPr="00137B22">
        <w:rPr>
          <w:b/>
          <w:sz w:val="22"/>
          <w:szCs w:val="22"/>
        </w:rPr>
        <w:t>A exigência de declaração de solidariedade do fabricante para o fim de habilitação é indevida</w:t>
      </w:r>
    </w:p>
    <w:p w:rsidR="00506619" w:rsidRPr="00544550" w:rsidRDefault="00506619" w:rsidP="00544550">
      <w:pPr>
        <w:pStyle w:val="Default"/>
        <w:jc w:val="both"/>
        <w:rPr>
          <w:b/>
          <w:i/>
          <w:sz w:val="22"/>
          <w:szCs w:val="22"/>
        </w:rPr>
      </w:pPr>
      <w:r w:rsidRPr="00544550">
        <w:rPr>
          <w:sz w:val="22"/>
          <w:szCs w:val="22"/>
        </w:rPr>
        <w:t xml:space="preserve">Por intermédio de representação, licitante insurgiu-se contra o Pregão Eletrônico n° 1/2011, realizado pela Escola de Comando e Estado Maior do Exército - </w:t>
      </w:r>
      <w:r w:rsidR="000622E0" w:rsidRPr="00544550">
        <w:rPr>
          <w:sz w:val="22"/>
          <w:szCs w:val="22"/>
        </w:rPr>
        <w:t>(ECEME)</w:t>
      </w:r>
      <w:r w:rsidRPr="00544550">
        <w:rPr>
          <w:sz w:val="22"/>
          <w:szCs w:val="22"/>
        </w:rPr>
        <w:t xml:space="preserve">, para Aquisição de Material Permanente </w:t>
      </w:r>
      <w:r w:rsidR="000622E0" w:rsidRPr="00544550">
        <w:rPr>
          <w:sz w:val="22"/>
          <w:szCs w:val="22"/>
        </w:rPr>
        <w:t>–</w:t>
      </w:r>
      <w:r w:rsidRPr="00544550">
        <w:rPr>
          <w:sz w:val="22"/>
          <w:szCs w:val="22"/>
        </w:rPr>
        <w:t xml:space="preserve"> Mobiliário</w:t>
      </w:r>
      <w:r w:rsidR="000622E0" w:rsidRPr="00544550">
        <w:rPr>
          <w:sz w:val="22"/>
          <w:szCs w:val="22"/>
        </w:rPr>
        <w:t>, com a formação de registro de preços pelo prazo de 12 (doze) meses</w:t>
      </w:r>
      <w:r w:rsidRPr="00544550">
        <w:rPr>
          <w:sz w:val="22"/>
          <w:szCs w:val="22"/>
        </w:rPr>
        <w:t xml:space="preserve">. </w:t>
      </w:r>
      <w:r w:rsidR="000622E0" w:rsidRPr="00544550">
        <w:rPr>
          <w:sz w:val="22"/>
          <w:szCs w:val="22"/>
        </w:rPr>
        <w:t xml:space="preserve">Dentre as irregularidades que levaram ao inconformismo da representante, constou </w:t>
      </w:r>
      <w:r w:rsidR="00C15A27" w:rsidRPr="00544550">
        <w:rPr>
          <w:sz w:val="22"/>
          <w:szCs w:val="22"/>
        </w:rPr>
        <w:t>a exigência de declaração de solidariedade do fabricante</w:t>
      </w:r>
      <w:r w:rsidR="00891FCC" w:rsidRPr="00544550">
        <w:rPr>
          <w:sz w:val="22"/>
          <w:szCs w:val="22"/>
        </w:rPr>
        <w:t xml:space="preserve">, como condição de habilitação. </w:t>
      </w:r>
      <w:r w:rsidR="00544550">
        <w:rPr>
          <w:sz w:val="22"/>
          <w:szCs w:val="22"/>
        </w:rPr>
        <w:t>Para a</w:t>
      </w:r>
      <w:r w:rsidR="00891FCC" w:rsidRPr="00544550">
        <w:rPr>
          <w:sz w:val="22"/>
          <w:szCs w:val="22"/>
        </w:rPr>
        <w:t xml:space="preserve"> representante, </w:t>
      </w:r>
      <w:r w:rsidR="00544550">
        <w:rPr>
          <w:sz w:val="22"/>
          <w:szCs w:val="22"/>
        </w:rPr>
        <w:t xml:space="preserve">tal exigência, </w:t>
      </w:r>
      <w:r w:rsidR="00891FCC" w:rsidRPr="00544550">
        <w:rPr>
          <w:sz w:val="22"/>
          <w:szCs w:val="22"/>
        </w:rPr>
        <w:t>além de extrapolar os limites da Lei 8.666/1993, “</w:t>
      </w:r>
      <w:r w:rsidR="00891FCC" w:rsidRPr="00544550">
        <w:rPr>
          <w:i/>
          <w:sz w:val="22"/>
          <w:szCs w:val="22"/>
        </w:rPr>
        <w:t>restringe a participação e é inconstitucional, uma vez que não é indispensável à garantia do cumprimento das obrigações, no caso do fornecimento</w:t>
      </w:r>
      <w:r w:rsidR="00891FCC" w:rsidRPr="00544550">
        <w:rPr>
          <w:sz w:val="22"/>
          <w:szCs w:val="22"/>
        </w:rPr>
        <w:t>”, esta</w:t>
      </w:r>
      <w:r w:rsidR="00544550">
        <w:rPr>
          <w:sz w:val="22"/>
          <w:szCs w:val="22"/>
        </w:rPr>
        <w:t>ndo, ainda,</w:t>
      </w:r>
      <w:r w:rsidR="00891FCC" w:rsidRPr="00544550">
        <w:rPr>
          <w:sz w:val="22"/>
          <w:szCs w:val="22"/>
        </w:rPr>
        <w:t xml:space="preserve"> em desconformidade com a jurisprudência do Tribunal. Ao concordar com o argumento da representante, o relator, a partir de decisão anterior do Tribunal, destacou que é “</w:t>
      </w:r>
      <w:r w:rsidR="00891FCC" w:rsidRPr="00544550">
        <w:rPr>
          <w:i/>
          <w:sz w:val="22"/>
          <w:szCs w:val="22"/>
        </w:rPr>
        <w:t>farto entendimento no âmbito desta Corte de Contas, o qual tem abalizado pronunciamentos contrários à fixação de exigência, como condição de habilitação, de declaração de solidariedade do fabricante do produto ofertado</w:t>
      </w:r>
      <w:r w:rsidR="00891FCC" w:rsidRPr="00544550">
        <w:rPr>
          <w:sz w:val="22"/>
          <w:szCs w:val="22"/>
        </w:rPr>
        <w:t xml:space="preserve">”. </w:t>
      </w:r>
      <w:r w:rsidR="00A709BB" w:rsidRPr="00544550">
        <w:rPr>
          <w:sz w:val="22"/>
          <w:szCs w:val="22"/>
        </w:rPr>
        <w:t xml:space="preserve">Por consequência, propôs o relator a suspensão cautelar do certame, até que o TCU deliberasse, no mérito, a respeito desta e de outras irregularidades apontadas e que deveriam ser esclarecidas pelos responsáveis </w:t>
      </w:r>
      <w:r w:rsidR="00544550">
        <w:rPr>
          <w:sz w:val="22"/>
          <w:szCs w:val="22"/>
        </w:rPr>
        <w:t>d</w:t>
      </w:r>
      <w:r w:rsidR="00A709BB" w:rsidRPr="00544550">
        <w:rPr>
          <w:sz w:val="22"/>
          <w:szCs w:val="22"/>
        </w:rPr>
        <w:t xml:space="preserve">a ECEME, apresentando proposta nesse sentido, </w:t>
      </w:r>
      <w:r w:rsidR="00544550">
        <w:rPr>
          <w:sz w:val="22"/>
          <w:szCs w:val="22"/>
        </w:rPr>
        <w:t xml:space="preserve">a qual </w:t>
      </w:r>
      <w:r w:rsidR="00A709BB" w:rsidRPr="00544550">
        <w:rPr>
          <w:sz w:val="22"/>
          <w:szCs w:val="22"/>
        </w:rPr>
        <w:t xml:space="preserve">foi referendada pelo Plenário. </w:t>
      </w:r>
      <w:r w:rsidR="00257D8A" w:rsidRPr="00544550">
        <w:rPr>
          <w:color w:val="auto"/>
          <w:sz w:val="22"/>
          <w:szCs w:val="22"/>
        </w:rPr>
        <w:t>Precedente</w:t>
      </w:r>
      <w:r w:rsidR="00544550">
        <w:rPr>
          <w:color w:val="auto"/>
          <w:sz w:val="22"/>
          <w:szCs w:val="22"/>
        </w:rPr>
        <w:t>s</w:t>
      </w:r>
      <w:r w:rsidR="00D25AEC" w:rsidRPr="00544550">
        <w:rPr>
          <w:color w:val="auto"/>
          <w:sz w:val="22"/>
          <w:szCs w:val="22"/>
        </w:rPr>
        <w:t xml:space="preserve"> citado</w:t>
      </w:r>
      <w:r w:rsidR="00544550">
        <w:rPr>
          <w:color w:val="auto"/>
          <w:sz w:val="22"/>
          <w:szCs w:val="22"/>
        </w:rPr>
        <w:t>s</w:t>
      </w:r>
      <w:r w:rsidR="00D25AEC" w:rsidRPr="00544550">
        <w:rPr>
          <w:color w:val="auto"/>
          <w:sz w:val="22"/>
          <w:szCs w:val="22"/>
        </w:rPr>
        <w:t>: Acórdão</w:t>
      </w:r>
      <w:r w:rsidR="00891FCC" w:rsidRPr="00544550">
        <w:rPr>
          <w:color w:val="auto"/>
          <w:sz w:val="22"/>
          <w:szCs w:val="22"/>
        </w:rPr>
        <w:t>s</w:t>
      </w:r>
      <w:r w:rsidR="00D25AEC" w:rsidRPr="00544550">
        <w:rPr>
          <w:color w:val="auto"/>
          <w:sz w:val="22"/>
          <w:szCs w:val="22"/>
        </w:rPr>
        <w:t xml:space="preserve"> n</w:t>
      </w:r>
      <w:r w:rsidR="00D25AEC" w:rsidRPr="00544550">
        <w:rPr>
          <w:color w:val="auto"/>
          <w:sz w:val="22"/>
          <w:szCs w:val="22"/>
          <w:u w:val="single"/>
          <w:vertAlign w:val="superscript"/>
        </w:rPr>
        <w:t>o</w:t>
      </w:r>
      <w:r w:rsidR="00891FCC" w:rsidRPr="00544550">
        <w:rPr>
          <w:color w:val="auto"/>
          <w:sz w:val="22"/>
          <w:szCs w:val="22"/>
          <w:u w:val="single"/>
          <w:vertAlign w:val="superscript"/>
        </w:rPr>
        <w:t>s</w:t>
      </w:r>
      <w:r w:rsidR="00257D8A" w:rsidRPr="00544550">
        <w:rPr>
          <w:color w:val="auto"/>
          <w:sz w:val="22"/>
          <w:szCs w:val="22"/>
        </w:rPr>
        <w:t xml:space="preserve"> </w:t>
      </w:r>
      <w:r w:rsidR="00891FCC" w:rsidRPr="00544550">
        <w:rPr>
          <w:color w:val="auto"/>
          <w:sz w:val="22"/>
          <w:szCs w:val="22"/>
        </w:rPr>
        <w:t>1729</w:t>
      </w:r>
      <w:r w:rsidR="00257D8A" w:rsidRPr="00544550">
        <w:rPr>
          <w:color w:val="auto"/>
          <w:sz w:val="22"/>
          <w:szCs w:val="22"/>
        </w:rPr>
        <w:t>/200</w:t>
      </w:r>
      <w:r w:rsidR="00891FCC" w:rsidRPr="00544550">
        <w:rPr>
          <w:color w:val="auto"/>
          <w:sz w:val="22"/>
          <w:szCs w:val="22"/>
        </w:rPr>
        <w:t>8, 1622/2010</w:t>
      </w:r>
      <w:r w:rsidR="00257D8A" w:rsidRPr="00544550">
        <w:rPr>
          <w:color w:val="auto"/>
          <w:sz w:val="22"/>
          <w:szCs w:val="22"/>
        </w:rPr>
        <w:t xml:space="preserve">, </w:t>
      </w:r>
      <w:r w:rsidR="00D25AEC" w:rsidRPr="00544550">
        <w:rPr>
          <w:color w:val="auto"/>
          <w:sz w:val="22"/>
          <w:szCs w:val="22"/>
        </w:rPr>
        <w:t xml:space="preserve">do Plenário. </w:t>
      </w:r>
      <w:r w:rsidRPr="00544550">
        <w:rPr>
          <w:b/>
          <w:i/>
          <w:color w:val="auto"/>
          <w:sz w:val="22"/>
          <w:szCs w:val="22"/>
        </w:rPr>
        <w:t>Decisão monocrática no TC-</w:t>
      </w:r>
      <w:r w:rsidRPr="00544550">
        <w:rPr>
          <w:b/>
          <w:i/>
          <w:sz w:val="22"/>
          <w:szCs w:val="22"/>
        </w:rPr>
        <w:t>006.795/2011-0, rel. Min.-Subst. Weder de Oliveira, 04.05.2011.</w:t>
      </w:r>
    </w:p>
    <w:p w:rsidR="00A709BB" w:rsidRDefault="00A709BB" w:rsidP="00891FCC">
      <w:pPr>
        <w:pStyle w:val="Default"/>
        <w:jc w:val="both"/>
        <w:rPr>
          <w:b/>
          <w:i/>
          <w:sz w:val="22"/>
          <w:szCs w:val="22"/>
        </w:rPr>
      </w:pPr>
    </w:p>
    <w:p w:rsidR="00AB3E6B" w:rsidRPr="00137B22" w:rsidRDefault="00AB3E6B" w:rsidP="00AB3E6B">
      <w:pPr>
        <w:pStyle w:val="Corpodetexto"/>
        <w:tabs>
          <w:tab w:val="left" w:pos="1134"/>
          <w:tab w:val="left" w:pos="2590"/>
        </w:tabs>
        <w:spacing w:after="0"/>
        <w:ind w:left="0"/>
        <w:rPr>
          <w:b/>
          <w:color w:val="FF0000"/>
          <w:sz w:val="22"/>
          <w:szCs w:val="22"/>
        </w:rPr>
      </w:pPr>
      <w:r w:rsidRPr="00137B22">
        <w:rPr>
          <w:b/>
          <w:sz w:val="22"/>
          <w:szCs w:val="22"/>
        </w:rPr>
        <w:t xml:space="preserve">Pregão para aquisição de bens: </w:t>
      </w:r>
      <w:r>
        <w:rPr>
          <w:b/>
          <w:sz w:val="22"/>
          <w:szCs w:val="22"/>
        </w:rPr>
        <w:t>2</w:t>
      </w:r>
      <w:r w:rsidRPr="00137B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137B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exigência de apresentação de </w:t>
      </w:r>
      <w:r w:rsidRPr="00AB3E6B">
        <w:rPr>
          <w:b/>
          <w:sz w:val="22"/>
          <w:szCs w:val="22"/>
        </w:rPr>
        <w:t>declaração de idoneidade financeira por parte do licitante não encontra amparo jurídico</w:t>
      </w:r>
    </w:p>
    <w:p w:rsidR="00A709BB" w:rsidRPr="00EE05C2" w:rsidRDefault="00A709BB" w:rsidP="00A709BB">
      <w:pPr>
        <w:pStyle w:val="Default"/>
        <w:jc w:val="both"/>
        <w:rPr>
          <w:sz w:val="22"/>
          <w:szCs w:val="22"/>
        </w:rPr>
      </w:pPr>
      <w:r>
        <w:t>Ainda na representação</w:t>
      </w:r>
      <w:r>
        <w:rPr>
          <w:sz w:val="22"/>
          <w:szCs w:val="22"/>
        </w:rPr>
        <w:t xml:space="preserve"> contra o Pregão Eletrônico n° 1/2011, realizado pela Escola de Comando e Estado Maior do Exército - </w:t>
      </w:r>
      <w:r>
        <w:t>(</w:t>
      </w:r>
      <w:r>
        <w:rPr>
          <w:sz w:val="22"/>
          <w:szCs w:val="22"/>
        </w:rPr>
        <w:t xml:space="preserve">ECEME), </w:t>
      </w:r>
      <w:r w:rsidR="003149A9">
        <w:rPr>
          <w:sz w:val="22"/>
          <w:szCs w:val="22"/>
        </w:rPr>
        <w:t xml:space="preserve">outra possível irregularidade seria a </w:t>
      </w:r>
      <w:r w:rsidR="00AB3E6B">
        <w:rPr>
          <w:sz w:val="22"/>
          <w:szCs w:val="22"/>
        </w:rPr>
        <w:t xml:space="preserve">exigência de apresentação de </w:t>
      </w:r>
      <w:r w:rsidR="003149A9">
        <w:rPr>
          <w:sz w:val="22"/>
          <w:szCs w:val="22"/>
        </w:rPr>
        <w:t xml:space="preserve">declaração de idoneidade financeira </w:t>
      </w:r>
      <w:r w:rsidR="00AB3E6B">
        <w:rPr>
          <w:sz w:val="22"/>
          <w:szCs w:val="22"/>
        </w:rPr>
        <w:t>pel</w:t>
      </w:r>
      <w:r w:rsidR="003149A9">
        <w:rPr>
          <w:sz w:val="22"/>
          <w:szCs w:val="22"/>
        </w:rPr>
        <w:t xml:space="preserve">o licitante, a ser emitida pela agência bancária na qual </w:t>
      </w:r>
      <w:r w:rsidR="00AB3E6B">
        <w:rPr>
          <w:sz w:val="22"/>
          <w:szCs w:val="22"/>
        </w:rPr>
        <w:t>este</w:t>
      </w:r>
      <w:r w:rsidR="003149A9">
        <w:rPr>
          <w:sz w:val="22"/>
          <w:szCs w:val="22"/>
        </w:rPr>
        <w:t xml:space="preserve"> tivesse conta</w:t>
      </w:r>
      <w:r w:rsidR="00AB3E6B">
        <w:rPr>
          <w:sz w:val="22"/>
          <w:szCs w:val="22"/>
        </w:rPr>
        <w:t xml:space="preserve"> corrente</w:t>
      </w:r>
      <w:r w:rsidR="003149A9">
        <w:rPr>
          <w:sz w:val="22"/>
          <w:szCs w:val="22"/>
        </w:rPr>
        <w:t>, o que, para a representante, careceria de amparo jurídico. Para o relator, “</w:t>
      </w:r>
      <w:r w:rsidR="003149A9" w:rsidRPr="003149A9">
        <w:rPr>
          <w:i/>
          <w:sz w:val="22"/>
          <w:szCs w:val="22"/>
        </w:rPr>
        <w:t>para habilitação em Pregão Eletrônico deve ser exigido dos licitantes exclusivamente a documentação mencionado no art. 14 do Decreto 5.450/2005 c/c os arts. 27 a 31 da Lei 8.666/1993</w:t>
      </w:r>
      <w:r w:rsidR="003149A9">
        <w:rPr>
          <w:sz w:val="22"/>
          <w:szCs w:val="22"/>
        </w:rPr>
        <w:t>”, o que significaria que “</w:t>
      </w:r>
      <w:r w:rsidR="003149A9" w:rsidRPr="003149A9">
        <w:rPr>
          <w:i/>
          <w:sz w:val="22"/>
          <w:szCs w:val="22"/>
        </w:rPr>
        <w:t>nada mais poderá ser exigido, a não ser que a exigência refira-se a leis especiais, o que não é o caso</w:t>
      </w:r>
      <w:r w:rsidR="003149A9">
        <w:rPr>
          <w:sz w:val="22"/>
          <w:szCs w:val="22"/>
        </w:rPr>
        <w:t xml:space="preserve">”. </w:t>
      </w:r>
      <w:r w:rsidR="00544550" w:rsidRPr="00544550">
        <w:rPr>
          <w:sz w:val="22"/>
          <w:szCs w:val="22"/>
        </w:rPr>
        <w:t xml:space="preserve">Por consequência, propôs o relator a suspensão cautelar do certame, até que o TCU deliberasse, no mérito, a respeito desta e de outras irregularidades apontadas e que deveriam ser esclarecidas pelos responsáveis </w:t>
      </w:r>
      <w:r w:rsidR="00544550">
        <w:rPr>
          <w:sz w:val="22"/>
          <w:szCs w:val="22"/>
        </w:rPr>
        <w:t>d</w:t>
      </w:r>
      <w:r w:rsidR="00544550" w:rsidRPr="00544550">
        <w:rPr>
          <w:sz w:val="22"/>
          <w:szCs w:val="22"/>
        </w:rPr>
        <w:t xml:space="preserve">a ECEME, apresentando proposta nesse sentido, </w:t>
      </w:r>
      <w:r w:rsidR="00544550">
        <w:rPr>
          <w:sz w:val="22"/>
          <w:szCs w:val="22"/>
        </w:rPr>
        <w:t xml:space="preserve">a qual </w:t>
      </w:r>
      <w:r w:rsidR="00544550" w:rsidRPr="00544550">
        <w:rPr>
          <w:sz w:val="22"/>
          <w:szCs w:val="22"/>
        </w:rPr>
        <w:t>foi referendada pelo Plenário</w:t>
      </w:r>
      <w:r w:rsidRPr="003149A9">
        <w:rPr>
          <w:color w:val="auto"/>
          <w:sz w:val="22"/>
          <w:szCs w:val="22"/>
        </w:rPr>
        <w:t>. Precedente citado: Acórdão n</w:t>
      </w:r>
      <w:r w:rsidRPr="003149A9">
        <w:rPr>
          <w:color w:val="auto"/>
          <w:sz w:val="22"/>
          <w:szCs w:val="22"/>
          <w:u w:val="single"/>
          <w:vertAlign w:val="superscript"/>
        </w:rPr>
        <w:t>o</w:t>
      </w:r>
      <w:r w:rsidRPr="003149A9">
        <w:rPr>
          <w:color w:val="auto"/>
          <w:sz w:val="22"/>
          <w:szCs w:val="22"/>
        </w:rPr>
        <w:t xml:space="preserve"> </w:t>
      </w:r>
      <w:r w:rsidR="003149A9" w:rsidRPr="003149A9">
        <w:rPr>
          <w:color w:val="auto"/>
          <w:sz w:val="22"/>
          <w:szCs w:val="22"/>
        </w:rPr>
        <w:t>2056</w:t>
      </w:r>
      <w:r w:rsidRPr="003149A9">
        <w:rPr>
          <w:color w:val="auto"/>
          <w:sz w:val="22"/>
          <w:szCs w:val="22"/>
        </w:rPr>
        <w:t>/2008, do Plenário.</w:t>
      </w:r>
      <w:r w:rsidRPr="00A709BB">
        <w:rPr>
          <w:color w:val="auto"/>
          <w:sz w:val="22"/>
          <w:szCs w:val="22"/>
        </w:rPr>
        <w:t xml:space="preserve"> </w:t>
      </w:r>
      <w:r w:rsidRPr="00A709BB">
        <w:rPr>
          <w:b/>
          <w:i/>
          <w:color w:val="auto"/>
          <w:sz w:val="22"/>
          <w:szCs w:val="22"/>
        </w:rPr>
        <w:t>Decisão monocrática no TC-</w:t>
      </w:r>
      <w:r>
        <w:rPr>
          <w:b/>
          <w:i/>
          <w:sz w:val="22"/>
          <w:szCs w:val="22"/>
        </w:rPr>
        <w:t>006</w:t>
      </w:r>
      <w:r w:rsidRPr="007A2166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795</w:t>
      </w:r>
      <w:r w:rsidRPr="007A2166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1</w:t>
      </w:r>
      <w:r w:rsidRPr="007A2166">
        <w:rPr>
          <w:b/>
          <w:i/>
          <w:sz w:val="22"/>
          <w:szCs w:val="22"/>
        </w:rPr>
        <w:t>-0</w:t>
      </w:r>
      <w:r w:rsidRPr="00EE05C2">
        <w:rPr>
          <w:b/>
          <w:i/>
          <w:sz w:val="22"/>
          <w:szCs w:val="22"/>
        </w:rPr>
        <w:t xml:space="preserve">, rel. Min.-Subst. </w:t>
      </w:r>
      <w:r>
        <w:rPr>
          <w:b/>
          <w:i/>
          <w:sz w:val="22"/>
          <w:szCs w:val="22"/>
        </w:rPr>
        <w:t xml:space="preserve">Weder de Oliveira, </w:t>
      </w:r>
      <w:r w:rsidRPr="00EE05C2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4</w:t>
      </w:r>
      <w:r w:rsidRPr="00EE05C2">
        <w:rPr>
          <w:b/>
          <w:i/>
          <w:sz w:val="22"/>
          <w:szCs w:val="22"/>
        </w:rPr>
        <w:t>.0</w:t>
      </w:r>
      <w:r>
        <w:rPr>
          <w:b/>
          <w:i/>
          <w:sz w:val="22"/>
          <w:szCs w:val="22"/>
        </w:rPr>
        <w:t>5</w:t>
      </w:r>
      <w:r w:rsidRPr="00EE05C2">
        <w:rPr>
          <w:b/>
          <w:i/>
          <w:sz w:val="22"/>
          <w:szCs w:val="22"/>
        </w:rPr>
        <w:t>.2011.</w:t>
      </w:r>
    </w:p>
    <w:p w:rsidR="00A709BB" w:rsidRDefault="00A709BB" w:rsidP="00891FCC">
      <w:pPr>
        <w:pStyle w:val="Default"/>
        <w:jc w:val="both"/>
        <w:rPr>
          <w:sz w:val="22"/>
          <w:szCs w:val="22"/>
        </w:rPr>
      </w:pPr>
    </w:p>
    <w:p w:rsidR="009D5393" w:rsidRPr="009D5393" w:rsidRDefault="009D5393" w:rsidP="003149A9">
      <w:pPr>
        <w:pStyle w:val="Default"/>
        <w:jc w:val="both"/>
        <w:rPr>
          <w:b/>
          <w:sz w:val="22"/>
          <w:szCs w:val="22"/>
        </w:rPr>
      </w:pPr>
      <w:r w:rsidRPr="00137B22">
        <w:rPr>
          <w:b/>
          <w:color w:val="auto"/>
          <w:sz w:val="22"/>
          <w:szCs w:val="22"/>
        </w:rPr>
        <w:t xml:space="preserve">Pregão para aquisição de bens: </w:t>
      </w:r>
      <w:r>
        <w:rPr>
          <w:b/>
          <w:sz w:val="22"/>
          <w:szCs w:val="22"/>
        </w:rPr>
        <w:t>3</w:t>
      </w:r>
      <w:r w:rsidRPr="00137B22">
        <w:rPr>
          <w:b/>
          <w:color w:val="auto"/>
          <w:sz w:val="22"/>
          <w:szCs w:val="22"/>
        </w:rPr>
        <w:t xml:space="preserve"> </w:t>
      </w:r>
      <w:r>
        <w:rPr>
          <w:b/>
          <w:sz w:val="22"/>
          <w:szCs w:val="22"/>
        </w:rPr>
        <w:t>– No caso de exigência de realização de visita técnica pelos licitantes, o prazo estabelecido para tanto deve ser suficiente para que se tome conhecimento das</w:t>
      </w:r>
      <w:r w:rsidRPr="009D5393">
        <w:rPr>
          <w:b/>
          <w:sz w:val="22"/>
          <w:szCs w:val="22"/>
        </w:rPr>
        <w:t xml:space="preserve"> peculiaridades que p</w:t>
      </w:r>
      <w:r>
        <w:rPr>
          <w:b/>
          <w:sz w:val="22"/>
          <w:szCs w:val="22"/>
        </w:rPr>
        <w:t>ossa</w:t>
      </w:r>
      <w:r w:rsidRPr="009D5393">
        <w:rPr>
          <w:b/>
          <w:sz w:val="22"/>
          <w:szCs w:val="22"/>
        </w:rPr>
        <w:t xml:space="preserve">m influenciar no fornecimento do objeto licitado e </w:t>
      </w:r>
      <w:r>
        <w:rPr>
          <w:b/>
          <w:sz w:val="22"/>
          <w:szCs w:val="22"/>
        </w:rPr>
        <w:t xml:space="preserve">na </w:t>
      </w:r>
      <w:r w:rsidRPr="009D5393">
        <w:rPr>
          <w:b/>
          <w:sz w:val="22"/>
          <w:szCs w:val="22"/>
        </w:rPr>
        <w:t>formula</w:t>
      </w:r>
      <w:r>
        <w:rPr>
          <w:b/>
          <w:sz w:val="22"/>
          <w:szCs w:val="22"/>
        </w:rPr>
        <w:t>ção</w:t>
      </w:r>
      <w:r w:rsidRPr="009D53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Pr="009D5393">
        <w:rPr>
          <w:b/>
          <w:sz w:val="22"/>
          <w:szCs w:val="22"/>
        </w:rPr>
        <w:t>as propostas</w:t>
      </w:r>
    </w:p>
    <w:p w:rsidR="003149A9" w:rsidRPr="00AB3E6B" w:rsidRDefault="003149A9" w:rsidP="003149A9">
      <w:pPr>
        <w:pStyle w:val="Default"/>
        <w:jc w:val="both"/>
        <w:rPr>
          <w:sz w:val="22"/>
          <w:szCs w:val="22"/>
        </w:rPr>
      </w:pPr>
      <w:r w:rsidRPr="00AB3E6B">
        <w:rPr>
          <w:sz w:val="22"/>
          <w:szCs w:val="22"/>
        </w:rPr>
        <w:t xml:space="preserve">Na mesma representação contra o Pregão Eletrônico n° 1/2011, realizado pela Escola de Comando e Estado Maior do Exército - (ECEME), outra irregularidade </w:t>
      </w:r>
      <w:r w:rsidR="000C02AD" w:rsidRPr="00AB3E6B">
        <w:rPr>
          <w:sz w:val="22"/>
          <w:szCs w:val="22"/>
        </w:rPr>
        <w:t>apontada pela representante seria a obrigatoriedade da realização de visita técnica por parte dos licitantes interessados. Para ela, “</w:t>
      </w:r>
      <w:r w:rsidR="000C02AD" w:rsidRPr="00AB3E6B">
        <w:rPr>
          <w:i/>
          <w:sz w:val="22"/>
          <w:szCs w:val="22"/>
        </w:rPr>
        <w:t>não se pode exigir nessa modalidade - pregão eletrônico para aquisição de bem comum - mobiliário - mediante registro de preços, qualquer visita técnica</w:t>
      </w:r>
      <w:r w:rsidR="004141A8" w:rsidRPr="00AB3E6B">
        <w:rPr>
          <w:sz w:val="22"/>
          <w:szCs w:val="22"/>
        </w:rPr>
        <w:t>”, pois</w:t>
      </w:r>
      <w:r w:rsidR="000C02AD" w:rsidRPr="00AB3E6B">
        <w:rPr>
          <w:sz w:val="22"/>
          <w:szCs w:val="22"/>
        </w:rPr>
        <w:t xml:space="preserve"> </w:t>
      </w:r>
      <w:r w:rsidR="004141A8" w:rsidRPr="00AB3E6B">
        <w:rPr>
          <w:sz w:val="22"/>
          <w:szCs w:val="22"/>
        </w:rPr>
        <w:t>“</w:t>
      </w:r>
      <w:r w:rsidR="004141A8" w:rsidRPr="00AB3E6B">
        <w:rPr>
          <w:i/>
          <w:sz w:val="22"/>
          <w:szCs w:val="22"/>
        </w:rPr>
        <w:t>t</w:t>
      </w:r>
      <w:r w:rsidR="000C02AD" w:rsidRPr="00AB3E6B">
        <w:rPr>
          <w:i/>
          <w:sz w:val="22"/>
          <w:szCs w:val="22"/>
        </w:rPr>
        <w:t>odos os elementos indispensáveis ao fornecimento do mobiliário deveriam constar do edital da licitação, compondo a descrição do objeto</w:t>
      </w:r>
      <w:r w:rsidR="004141A8" w:rsidRPr="00AB3E6B">
        <w:rPr>
          <w:sz w:val="22"/>
          <w:szCs w:val="22"/>
        </w:rPr>
        <w:t>”</w:t>
      </w:r>
      <w:r w:rsidR="000C02AD" w:rsidRPr="00AB3E6B">
        <w:rPr>
          <w:sz w:val="22"/>
          <w:szCs w:val="22"/>
        </w:rPr>
        <w:t>.</w:t>
      </w:r>
      <w:r w:rsidR="004141A8" w:rsidRPr="00AB3E6B">
        <w:rPr>
          <w:sz w:val="22"/>
          <w:szCs w:val="22"/>
        </w:rPr>
        <w:t xml:space="preserve"> Ao examinar a matéria, o relator destacou, inicialmente, a insuficiência do prazo para a realização do procedimento – visita técnica do licitante: apenas um dia antes da efetiva realização da sessão pública do pregão. </w:t>
      </w:r>
      <w:r w:rsidR="0039039F" w:rsidRPr="00AB3E6B">
        <w:rPr>
          <w:sz w:val="22"/>
          <w:szCs w:val="22"/>
        </w:rPr>
        <w:t>Para ele, se a visita técnica era imprescindível, “</w:t>
      </w:r>
      <w:r w:rsidR="0039039F" w:rsidRPr="00AB3E6B">
        <w:rPr>
          <w:i/>
          <w:sz w:val="22"/>
          <w:szCs w:val="22"/>
        </w:rPr>
        <w:t>deveria a Administração ter estabelecido prazo razoável para que os interessados vistoriassem o local, tomando conhecimento de peculiaridades que pudessem influenciar no fornecimento do objeto licitado, e formulassem suas propostas</w:t>
      </w:r>
      <w:r w:rsidR="0039039F" w:rsidRPr="00AB3E6B">
        <w:rPr>
          <w:sz w:val="22"/>
          <w:szCs w:val="22"/>
        </w:rPr>
        <w:t xml:space="preserve">”. Além disso, </w:t>
      </w:r>
      <w:r w:rsidR="00AB3E6B">
        <w:rPr>
          <w:sz w:val="22"/>
          <w:szCs w:val="22"/>
        </w:rPr>
        <w:t xml:space="preserve">entendeu o relator que, </w:t>
      </w:r>
      <w:r w:rsidR="0039039F" w:rsidRPr="00AB3E6B">
        <w:rPr>
          <w:sz w:val="22"/>
          <w:szCs w:val="22"/>
        </w:rPr>
        <w:t>considerando o objeto da licitação, “</w:t>
      </w:r>
      <w:r w:rsidR="0039039F" w:rsidRPr="00AB3E6B">
        <w:rPr>
          <w:i/>
          <w:sz w:val="22"/>
          <w:szCs w:val="22"/>
        </w:rPr>
        <w:t>exigir visita ao local da realização dos serviços do responsável técnico da empresa, parece-nos desnecessária, impertinente e dispensável à correta execução do objeto</w:t>
      </w:r>
      <w:r w:rsidR="0039039F" w:rsidRPr="00AB3E6B">
        <w:rPr>
          <w:sz w:val="22"/>
          <w:szCs w:val="22"/>
        </w:rPr>
        <w:t xml:space="preserve">”. </w:t>
      </w:r>
      <w:r w:rsidR="00544550" w:rsidRPr="00AB3E6B">
        <w:rPr>
          <w:sz w:val="22"/>
          <w:szCs w:val="22"/>
        </w:rPr>
        <w:t>Por consequência, propôs o relator a suspensão cautelar do certame, até que o TCU deliberasse, no mérito, a respeito desta e de outras irregularidades apontadas e que deveriam ser esclarecidas pelos responsáveis da ECEME, apresentando proposta nesse sentido, a qual foi referendada pelo Plenário</w:t>
      </w:r>
      <w:r w:rsidR="0039039F" w:rsidRPr="00AB3E6B">
        <w:rPr>
          <w:color w:val="auto"/>
          <w:sz w:val="22"/>
          <w:szCs w:val="22"/>
        </w:rPr>
        <w:t>.</w:t>
      </w:r>
      <w:r w:rsidRPr="00AB3E6B">
        <w:rPr>
          <w:sz w:val="22"/>
          <w:szCs w:val="22"/>
        </w:rPr>
        <w:t xml:space="preserve">  </w:t>
      </w:r>
      <w:r w:rsidRPr="00AB3E6B">
        <w:rPr>
          <w:color w:val="auto"/>
          <w:sz w:val="22"/>
          <w:szCs w:val="22"/>
        </w:rPr>
        <w:t>Precedente</w:t>
      </w:r>
      <w:r w:rsidR="0039039F" w:rsidRPr="00AB3E6B">
        <w:rPr>
          <w:color w:val="auto"/>
          <w:sz w:val="22"/>
          <w:szCs w:val="22"/>
        </w:rPr>
        <w:t>s</w:t>
      </w:r>
      <w:r w:rsidRPr="00AB3E6B">
        <w:rPr>
          <w:color w:val="auto"/>
          <w:sz w:val="22"/>
          <w:szCs w:val="22"/>
        </w:rPr>
        <w:t xml:space="preserve"> citado</w:t>
      </w:r>
      <w:r w:rsidR="0039039F" w:rsidRPr="00AB3E6B">
        <w:rPr>
          <w:color w:val="auto"/>
          <w:sz w:val="22"/>
          <w:szCs w:val="22"/>
        </w:rPr>
        <w:t>s</w:t>
      </w:r>
      <w:r w:rsidRPr="00AB3E6B">
        <w:rPr>
          <w:color w:val="auto"/>
          <w:sz w:val="22"/>
          <w:szCs w:val="22"/>
        </w:rPr>
        <w:t>: Acórdão</w:t>
      </w:r>
      <w:r w:rsidR="0039039F" w:rsidRPr="00AB3E6B">
        <w:rPr>
          <w:color w:val="auto"/>
          <w:sz w:val="22"/>
          <w:szCs w:val="22"/>
        </w:rPr>
        <w:t>s</w:t>
      </w:r>
      <w:r w:rsidRPr="00AB3E6B">
        <w:rPr>
          <w:color w:val="auto"/>
          <w:sz w:val="22"/>
          <w:szCs w:val="22"/>
        </w:rPr>
        <w:t xml:space="preserve"> n</w:t>
      </w:r>
      <w:r w:rsidRPr="00AB3E6B">
        <w:rPr>
          <w:color w:val="auto"/>
          <w:sz w:val="22"/>
          <w:szCs w:val="22"/>
          <w:u w:val="single"/>
          <w:vertAlign w:val="superscript"/>
        </w:rPr>
        <w:t>o</w:t>
      </w:r>
      <w:r w:rsidR="0039039F" w:rsidRPr="00AB3E6B">
        <w:rPr>
          <w:color w:val="auto"/>
          <w:sz w:val="22"/>
          <w:szCs w:val="22"/>
          <w:u w:val="single"/>
          <w:vertAlign w:val="superscript"/>
        </w:rPr>
        <w:t>s</w:t>
      </w:r>
      <w:r w:rsidRPr="00AB3E6B">
        <w:rPr>
          <w:color w:val="auto"/>
          <w:sz w:val="22"/>
          <w:szCs w:val="22"/>
        </w:rPr>
        <w:t xml:space="preserve"> </w:t>
      </w:r>
      <w:r w:rsidR="0039039F" w:rsidRPr="00AB3E6B">
        <w:rPr>
          <w:color w:val="auto"/>
          <w:sz w:val="22"/>
          <w:szCs w:val="22"/>
        </w:rPr>
        <w:t>2107/2009, da 2ª Câmara e 1924</w:t>
      </w:r>
      <w:r w:rsidRPr="00AB3E6B">
        <w:rPr>
          <w:color w:val="auto"/>
          <w:sz w:val="22"/>
          <w:szCs w:val="22"/>
        </w:rPr>
        <w:t>/20</w:t>
      </w:r>
      <w:r w:rsidR="0039039F" w:rsidRPr="00AB3E6B">
        <w:rPr>
          <w:color w:val="auto"/>
          <w:sz w:val="22"/>
          <w:szCs w:val="22"/>
        </w:rPr>
        <w:t>1</w:t>
      </w:r>
      <w:r w:rsidRPr="00AB3E6B">
        <w:rPr>
          <w:color w:val="auto"/>
          <w:sz w:val="22"/>
          <w:szCs w:val="22"/>
        </w:rPr>
        <w:t xml:space="preserve">0, do Plenário. </w:t>
      </w:r>
      <w:r w:rsidRPr="00AB3E6B">
        <w:rPr>
          <w:b/>
          <w:i/>
          <w:color w:val="auto"/>
          <w:sz w:val="22"/>
          <w:szCs w:val="22"/>
        </w:rPr>
        <w:t>Decisão monocrática no TC-006.795/2</w:t>
      </w:r>
      <w:r w:rsidRPr="00AB3E6B">
        <w:rPr>
          <w:b/>
          <w:i/>
          <w:sz w:val="22"/>
          <w:szCs w:val="22"/>
        </w:rPr>
        <w:t>011-0, rel. Min.-Subst. Weder de Oliveira, 04.05.2011.</w:t>
      </w:r>
    </w:p>
    <w:p w:rsidR="00457F93" w:rsidRPr="00805659" w:rsidRDefault="00457F93" w:rsidP="00805659">
      <w:pPr>
        <w:pStyle w:val="TCU-RelVoto-1"/>
        <w:tabs>
          <w:tab w:val="left" w:pos="2590"/>
        </w:tabs>
        <w:spacing w:after="0"/>
        <w:ind w:firstLine="0"/>
        <w:rPr>
          <w:color w:val="FF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805659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2E6712" w:rsidRDefault="00C10DD5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E6712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2E6712" w:rsidRDefault="007334B1" w:rsidP="00805659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2E6712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2E6712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805659" w:rsidRDefault="007334B1" w:rsidP="00805659">
      <w:pPr>
        <w:pStyle w:val="enter-3pt"/>
        <w:tabs>
          <w:tab w:val="left" w:pos="2590"/>
        </w:tabs>
        <w:spacing w:line="240" w:lineRule="auto"/>
        <w:jc w:val="center"/>
        <w:rPr>
          <w:b/>
          <w:color w:val="FF0000"/>
          <w:sz w:val="22"/>
          <w:szCs w:val="22"/>
        </w:rPr>
      </w:pPr>
    </w:p>
    <w:sectPr w:rsidR="007334B1" w:rsidRPr="00805659" w:rsidSect="00F340C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32" w:rsidRDefault="00914732" w:rsidP="008B0547">
      <w:pPr>
        <w:spacing w:after="0"/>
      </w:pPr>
      <w:r>
        <w:separator/>
      </w:r>
    </w:p>
  </w:endnote>
  <w:endnote w:type="continuationSeparator" w:id="0">
    <w:p w:rsidR="00914732" w:rsidRDefault="00914732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6E7BFD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32" w:rsidRDefault="00914732" w:rsidP="008B0547">
      <w:pPr>
        <w:spacing w:after="0"/>
      </w:pPr>
      <w:r>
        <w:separator/>
      </w:r>
    </w:p>
  </w:footnote>
  <w:footnote w:type="continuationSeparator" w:id="0">
    <w:p w:rsidR="00914732" w:rsidRDefault="00914732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742CD6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742CD6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B696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B10AD8">
      <w:rPr>
        <w:rFonts w:ascii="Arial" w:hAnsi="Arial" w:cs="Arial"/>
        <w:noProof/>
        <w:lang w:eastAsia="pt-BR"/>
      </w:rPr>
      <w:t>6</w:t>
    </w:r>
    <w:r w:rsidR="00805659">
      <w:rPr>
        <w:rFonts w:ascii="Arial" w:hAnsi="Arial" w:cs="Arial"/>
        <w:noProof/>
        <w:lang w:eastAsia="pt-BR"/>
      </w:rPr>
      <w:t>1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0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4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0"/>
  </w:num>
  <w:num w:numId="5">
    <w:abstractNumId w:val="10"/>
  </w:num>
  <w:num w:numId="6">
    <w:abstractNumId w:val="15"/>
  </w:num>
  <w:num w:numId="7">
    <w:abstractNumId w:val="22"/>
  </w:num>
  <w:num w:numId="8">
    <w:abstractNumId w:val="20"/>
  </w:num>
  <w:num w:numId="9">
    <w:abstractNumId w:val="17"/>
  </w:num>
  <w:num w:numId="10">
    <w:abstractNumId w:val="6"/>
  </w:num>
  <w:num w:numId="11">
    <w:abstractNumId w:val="24"/>
  </w:num>
  <w:num w:numId="12">
    <w:abstractNumId w:val="4"/>
  </w:num>
  <w:num w:numId="13">
    <w:abstractNumId w:val="1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23"/>
    <w:lvlOverride w:ilvl="0">
      <w:startOverride w:val="1"/>
    </w:lvlOverride>
  </w:num>
  <w:num w:numId="19">
    <w:abstractNumId w:val="18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2468"/>
    <w:rsid w:val="0001636D"/>
    <w:rsid w:val="00023D72"/>
    <w:rsid w:val="00025450"/>
    <w:rsid w:val="000271FA"/>
    <w:rsid w:val="00032198"/>
    <w:rsid w:val="00037DCE"/>
    <w:rsid w:val="00041450"/>
    <w:rsid w:val="0004660A"/>
    <w:rsid w:val="00052B15"/>
    <w:rsid w:val="0005412B"/>
    <w:rsid w:val="00054432"/>
    <w:rsid w:val="000562CD"/>
    <w:rsid w:val="00056D51"/>
    <w:rsid w:val="0006028E"/>
    <w:rsid w:val="00061C2E"/>
    <w:rsid w:val="000622E0"/>
    <w:rsid w:val="00065E95"/>
    <w:rsid w:val="00070785"/>
    <w:rsid w:val="0007259B"/>
    <w:rsid w:val="00074384"/>
    <w:rsid w:val="00074AC5"/>
    <w:rsid w:val="00077A56"/>
    <w:rsid w:val="00080148"/>
    <w:rsid w:val="000835D8"/>
    <w:rsid w:val="00084727"/>
    <w:rsid w:val="00087006"/>
    <w:rsid w:val="0009133A"/>
    <w:rsid w:val="000916AF"/>
    <w:rsid w:val="00092C2E"/>
    <w:rsid w:val="00094C5B"/>
    <w:rsid w:val="00095D98"/>
    <w:rsid w:val="00097863"/>
    <w:rsid w:val="000A0EF8"/>
    <w:rsid w:val="000A152A"/>
    <w:rsid w:val="000A1EBD"/>
    <w:rsid w:val="000A2C56"/>
    <w:rsid w:val="000A6269"/>
    <w:rsid w:val="000A62BD"/>
    <w:rsid w:val="000B0ECB"/>
    <w:rsid w:val="000B0FEA"/>
    <w:rsid w:val="000B2AFA"/>
    <w:rsid w:val="000C02AD"/>
    <w:rsid w:val="000C4A10"/>
    <w:rsid w:val="000D1878"/>
    <w:rsid w:val="000D1B91"/>
    <w:rsid w:val="000D1FD7"/>
    <w:rsid w:val="000D6418"/>
    <w:rsid w:val="000D7DB6"/>
    <w:rsid w:val="000D7DED"/>
    <w:rsid w:val="000E020F"/>
    <w:rsid w:val="000E2D47"/>
    <w:rsid w:val="000E3B31"/>
    <w:rsid w:val="000E504D"/>
    <w:rsid w:val="000F2F92"/>
    <w:rsid w:val="000F6D85"/>
    <w:rsid w:val="000F7CEE"/>
    <w:rsid w:val="000F7D84"/>
    <w:rsid w:val="001041ED"/>
    <w:rsid w:val="001104BA"/>
    <w:rsid w:val="00112676"/>
    <w:rsid w:val="00112A5F"/>
    <w:rsid w:val="0011373A"/>
    <w:rsid w:val="00114511"/>
    <w:rsid w:val="00122097"/>
    <w:rsid w:val="00126026"/>
    <w:rsid w:val="00130A0C"/>
    <w:rsid w:val="00133EA9"/>
    <w:rsid w:val="00137B22"/>
    <w:rsid w:val="00140FED"/>
    <w:rsid w:val="00141D7A"/>
    <w:rsid w:val="001420D1"/>
    <w:rsid w:val="001444A2"/>
    <w:rsid w:val="00151F92"/>
    <w:rsid w:val="0015258E"/>
    <w:rsid w:val="00152ECC"/>
    <w:rsid w:val="001532E4"/>
    <w:rsid w:val="00156A48"/>
    <w:rsid w:val="00157614"/>
    <w:rsid w:val="00157AFE"/>
    <w:rsid w:val="00157C0F"/>
    <w:rsid w:val="001744E7"/>
    <w:rsid w:val="00176375"/>
    <w:rsid w:val="00195F77"/>
    <w:rsid w:val="001A0CC1"/>
    <w:rsid w:val="001A330B"/>
    <w:rsid w:val="001A58D8"/>
    <w:rsid w:val="001A60A2"/>
    <w:rsid w:val="001A79D3"/>
    <w:rsid w:val="001B3E8E"/>
    <w:rsid w:val="001B4F90"/>
    <w:rsid w:val="001B6823"/>
    <w:rsid w:val="001B7F4F"/>
    <w:rsid w:val="001C0575"/>
    <w:rsid w:val="001C1568"/>
    <w:rsid w:val="001C437E"/>
    <w:rsid w:val="001C71E3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47D"/>
    <w:rsid w:val="001E7C3D"/>
    <w:rsid w:val="001F00DF"/>
    <w:rsid w:val="001F1E8F"/>
    <w:rsid w:val="00200260"/>
    <w:rsid w:val="002002CE"/>
    <w:rsid w:val="0020066F"/>
    <w:rsid w:val="0020107A"/>
    <w:rsid w:val="0020135D"/>
    <w:rsid w:val="00201FED"/>
    <w:rsid w:val="00202EAD"/>
    <w:rsid w:val="00203A6F"/>
    <w:rsid w:val="00211816"/>
    <w:rsid w:val="00225D42"/>
    <w:rsid w:val="00226AEF"/>
    <w:rsid w:val="00226D9D"/>
    <w:rsid w:val="00232158"/>
    <w:rsid w:val="002328F9"/>
    <w:rsid w:val="00233CE3"/>
    <w:rsid w:val="002343BF"/>
    <w:rsid w:val="0023535F"/>
    <w:rsid w:val="00242061"/>
    <w:rsid w:val="002435FC"/>
    <w:rsid w:val="002442D9"/>
    <w:rsid w:val="00244BA7"/>
    <w:rsid w:val="0024593F"/>
    <w:rsid w:val="002476B6"/>
    <w:rsid w:val="00253242"/>
    <w:rsid w:val="00254590"/>
    <w:rsid w:val="00257D8A"/>
    <w:rsid w:val="00262359"/>
    <w:rsid w:val="0026362E"/>
    <w:rsid w:val="002649A7"/>
    <w:rsid w:val="00264FC3"/>
    <w:rsid w:val="002663B7"/>
    <w:rsid w:val="002666C5"/>
    <w:rsid w:val="00271CD7"/>
    <w:rsid w:val="00271D81"/>
    <w:rsid w:val="0027213F"/>
    <w:rsid w:val="00273E72"/>
    <w:rsid w:val="00274068"/>
    <w:rsid w:val="0027498E"/>
    <w:rsid w:val="0027686D"/>
    <w:rsid w:val="00276DC0"/>
    <w:rsid w:val="00280F3D"/>
    <w:rsid w:val="002810D9"/>
    <w:rsid w:val="00281830"/>
    <w:rsid w:val="002830F6"/>
    <w:rsid w:val="00287326"/>
    <w:rsid w:val="0029043B"/>
    <w:rsid w:val="00290A06"/>
    <w:rsid w:val="0029211E"/>
    <w:rsid w:val="0029450E"/>
    <w:rsid w:val="00297A00"/>
    <w:rsid w:val="002A040F"/>
    <w:rsid w:val="002A190F"/>
    <w:rsid w:val="002A2129"/>
    <w:rsid w:val="002A3B3F"/>
    <w:rsid w:val="002B409B"/>
    <w:rsid w:val="002B4392"/>
    <w:rsid w:val="002B56C3"/>
    <w:rsid w:val="002B5AD5"/>
    <w:rsid w:val="002B5C5A"/>
    <w:rsid w:val="002B6422"/>
    <w:rsid w:val="002B71BA"/>
    <w:rsid w:val="002C208E"/>
    <w:rsid w:val="002C506F"/>
    <w:rsid w:val="002C7B61"/>
    <w:rsid w:val="002C7B6D"/>
    <w:rsid w:val="002D1688"/>
    <w:rsid w:val="002D35F5"/>
    <w:rsid w:val="002D47FE"/>
    <w:rsid w:val="002D532D"/>
    <w:rsid w:val="002D739A"/>
    <w:rsid w:val="002D76AB"/>
    <w:rsid w:val="002E134E"/>
    <w:rsid w:val="002E1545"/>
    <w:rsid w:val="002E1910"/>
    <w:rsid w:val="002E28BA"/>
    <w:rsid w:val="002E361C"/>
    <w:rsid w:val="002E3943"/>
    <w:rsid w:val="002E3F7C"/>
    <w:rsid w:val="002E4254"/>
    <w:rsid w:val="002E4F13"/>
    <w:rsid w:val="002E4FB7"/>
    <w:rsid w:val="002E6712"/>
    <w:rsid w:val="002F104B"/>
    <w:rsid w:val="002F1C09"/>
    <w:rsid w:val="002F5F3B"/>
    <w:rsid w:val="002F693C"/>
    <w:rsid w:val="002F7C6D"/>
    <w:rsid w:val="003020F4"/>
    <w:rsid w:val="003025C7"/>
    <w:rsid w:val="0030360F"/>
    <w:rsid w:val="00303790"/>
    <w:rsid w:val="00303984"/>
    <w:rsid w:val="00304A73"/>
    <w:rsid w:val="003057F7"/>
    <w:rsid w:val="003069F9"/>
    <w:rsid w:val="00310208"/>
    <w:rsid w:val="0031058F"/>
    <w:rsid w:val="0031089E"/>
    <w:rsid w:val="00310D69"/>
    <w:rsid w:val="003147B7"/>
    <w:rsid w:val="003149A9"/>
    <w:rsid w:val="00317E59"/>
    <w:rsid w:val="00322AE7"/>
    <w:rsid w:val="00325246"/>
    <w:rsid w:val="003275E4"/>
    <w:rsid w:val="0033244F"/>
    <w:rsid w:val="00337E16"/>
    <w:rsid w:val="00340E66"/>
    <w:rsid w:val="00340F10"/>
    <w:rsid w:val="00342A44"/>
    <w:rsid w:val="0034486B"/>
    <w:rsid w:val="00344D92"/>
    <w:rsid w:val="003455A2"/>
    <w:rsid w:val="00350E87"/>
    <w:rsid w:val="00353B7C"/>
    <w:rsid w:val="0035438E"/>
    <w:rsid w:val="00355828"/>
    <w:rsid w:val="00356E38"/>
    <w:rsid w:val="00357CBE"/>
    <w:rsid w:val="0036107B"/>
    <w:rsid w:val="00361487"/>
    <w:rsid w:val="00361661"/>
    <w:rsid w:val="00377407"/>
    <w:rsid w:val="00381780"/>
    <w:rsid w:val="003824E4"/>
    <w:rsid w:val="00383CFE"/>
    <w:rsid w:val="003853FF"/>
    <w:rsid w:val="00385609"/>
    <w:rsid w:val="00385DAB"/>
    <w:rsid w:val="0038696B"/>
    <w:rsid w:val="00387CBD"/>
    <w:rsid w:val="0039039F"/>
    <w:rsid w:val="00390ED6"/>
    <w:rsid w:val="00391B5C"/>
    <w:rsid w:val="00392509"/>
    <w:rsid w:val="003943E5"/>
    <w:rsid w:val="00397D8E"/>
    <w:rsid w:val="003A105C"/>
    <w:rsid w:val="003A2222"/>
    <w:rsid w:val="003A3262"/>
    <w:rsid w:val="003A5479"/>
    <w:rsid w:val="003A5C1B"/>
    <w:rsid w:val="003A7C7F"/>
    <w:rsid w:val="003B0304"/>
    <w:rsid w:val="003B043F"/>
    <w:rsid w:val="003B155C"/>
    <w:rsid w:val="003B1E19"/>
    <w:rsid w:val="003B2E10"/>
    <w:rsid w:val="003B33CE"/>
    <w:rsid w:val="003B343D"/>
    <w:rsid w:val="003B50F6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4FB"/>
    <w:rsid w:val="003F6D1F"/>
    <w:rsid w:val="00405316"/>
    <w:rsid w:val="00412CEF"/>
    <w:rsid w:val="004141A8"/>
    <w:rsid w:val="004169D8"/>
    <w:rsid w:val="004201AF"/>
    <w:rsid w:val="00425FF9"/>
    <w:rsid w:val="00427B3B"/>
    <w:rsid w:val="00427EBF"/>
    <w:rsid w:val="00431085"/>
    <w:rsid w:val="00435269"/>
    <w:rsid w:val="004362AB"/>
    <w:rsid w:val="00441101"/>
    <w:rsid w:val="004415FB"/>
    <w:rsid w:val="00441CE3"/>
    <w:rsid w:val="004421F5"/>
    <w:rsid w:val="0044434A"/>
    <w:rsid w:val="0044437F"/>
    <w:rsid w:val="00445E76"/>
    <w:rsid w:val="00446606"/>
    <w:rsid w:val="00447217"/>
    <w:rsid w:val="00452C60"/>
    <w:rsid w:val="00457F93"/>
    <w:rsid w:val="004617A9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491E"/>
    <w:rsid w:val="004837C6"/>
    <w:rsid w:val="00483998"/>
    <w:rsid w:val="00484E4C"/>
    <w:rsid w:val="00491438"/>
    <w:rsid w:val="00492E3F"/>
    <w:rsid w:val="00493F5C"/>
    <w:rsid w:val="004A171B"/>
    <w:rsid w:val="004A2385"/>
    <w:rsid w:val="004A2D91"/>
    <w:rsid w:val="004B0194"/>
    <w:rsid w:val="004B1113"/>
    <w:rsid w:val="004B1DC3"/>
    <w:rsid w:val="004B36AE"/>
    <w:rsid w:val="004C61A3"/>
    <w:rsid w:val="004C6E03"/>
    <w:rsid w:val="004C780C"/>
    <w:rsid w:val="004D03BA"/>
    <w:rsid w:val="004D3441"/>
    <w:rsid w:val="004D6A38"/>
    <w:rsid w:val="004D6C65"/>
    <w:rsid w:val="004D708E"/>
    <w:rsid w:val="004D760C"/>
    <w:rsid w:val="004D7C91"/>
    <w:rsid w:val="004E26E4"/>
    <w:rsid w:val="004E357A"/>
    <w:rsid w:val="004E5000"/>
    <w:rsid w:val="004E65EB"/>
    <w:rsid w:val="004F7174"/>
    <w:rsid w:val="00500DD0"/>
    <w:rsid w:val="005012AA"/>
    <w:rsid w:val="0050355D"/>
    <w:rsid w:val="005055B5"/>
    <w:rsid w:val="00506619"/>
    <w:rsid w:val="00510D1D"/>
    <w:rsid w:val="00511BBF"/>
    <w:rsid w:val="00515E7B"/>
    <w:rsid w:val="005217F8"/>
    <w:rsid w:val="0052267A"/>
    <w:rsid w:val="005239DD"/>
    <w:rsid w:val="00531143"/>
    <w:rsid w:val="00534A44"/>
    <w:rsid w:val="00536332"/>
    <w:rsid w:val="00542821"/>
    <w:rsid w:val="00543514"/>
    <w:rsid w:val="005438A1"/>
    <w:rsid w:val="00543B81"/>
    <w:rsid w:val="00543EB8"/>
    <w:rsid w:val="00544550"/>
    <w:rsid w:val="00544FCF"/>
    <w:rsid w:val="00545A47"/>
    <w:rsid w:val="00545FC7"/>
    <w:rsid w:val="0054634E"/>
    <w:rsid w:val="00546B67"/>
    <w:rsid w:val="00554A33"/>
    <w:rsid w:val="0055716D"/>
    <w:rsid w:val="00557953"/>
    <w:rsid w:val="00560E55"/>
    <w:rsid w:val="0056301A"/>
    <w:rsid w:val="005635AD"/>
    <w:rsid w:val="005640E1"/>
    <w:rsid w:val="00564EA1"/>
    <w:rsid w:val="0056534C"/>
    <w:rsid w:val="00567CEE"/>
    <w:rsid w:val="005713F4"/>
    <w:rsid w:val="00571E64"/>
    <w:rsid w:val="00575CC3"/>
    <w:rsid w:val="00580F26"/>
    <w:rsid w:val="00581A7C"/>
    <w:rsid w:val="0058427E"/>
    <w:rsid w:val="005864FA"/>
    <w:rsid w:val="00590907"/>
    <w:rsid w:val="0059346F"/>
    <w:rsid w:val="00594A7B"/>
    <w:rsid w:val="005A2D82"/>
    <w:rsid w:val="005A3835"/>
    <w:rsid w:val="005A3AEC"/>
    <w:rsid w:val="005A6858"/>
    <w:rsid w:val="005A72F2"/>
    <w:rsid w:val="005B2194"/>
    <w:rsid w:val="005B2BC3"/>
    <w:rsid w:val="005B4CFA"/>
    <w:rsid w:val="005B5B3D"/>
    <w:rsid w:val="005C1A79"/>
    <w:rsid w:val="005C7644"/>
    <w:rsid w:val="005C7BF4"/>
    <w:rsid w:val="005D3352"/>
    <w:rsid w:val="005E269C"/>
    <w:rsid w:val="005E3586"/>
    <w:rsid w:val="005E3EC0"/>
    <w:rsid w:val="005E4DEE"/>
    <w:rsid w:val="005E5FF1"/>
    <w:rsid w:val="005F01CE"/>
    <w:rsid w:val="005F135B"/>
    <w:rsid w:val="005F70B6"/>
    <w:rsid w:val="005F7A87"/>
    <w:rsid w:val="00601F0A"/>
    <w:rsid w:val="00604DBE"/>
    <w:rsid w:val="006063E1"/>
    <w:rsid w:val="006065E4"/>
    <w:rsid w:val="00610039"/>
    <w:rsid w:val="00610381"/>
    <w:rsid w:val="00611E07"/>
    <w:rsid w:val="00612045"/>
    <w:rsid w:val="00612F12"/>
    <w:rsid w:val="00613AC9"/>
    <w:rsid w:val="00615808"/>
    <w:rsid w:val="00620E86"/>
    <w:rsid w:val="006219DD"/>
    <w:rsid w:val="00623DAF"/>
    <w:rsid w:val="006242BF"/>
    <w:rsid w:val="00631FE7"/>
    <w:rsid w:val="00632ACC"/>
    <w:rsid w:val="006345C1"/>
    <w:rsid w:val="00637FDD"/>
    <w:rsid w:val="00641E57"/>
    <w:rsid w:val="006503A5"/>
    <w:rsid w:val="00650463"/>
    <w:rsid w:val="00651660"/>
    <w:rsid w:val="00652171"/>
    <w:rsid w:val="006532C3"/>
    <w:rsid w:val="00666285"/>
    <w:rsid w:val="00670FEA"/>
    <w:rsid w:val="00671DC9"/>
    <w:rsid w:val="006734AA"/>
    <w:rsid w:val="0067353C"/>
    <w:rsid w:val="00676163"/>
    <w:rsid w:val="00677C22"/>
    <w:rsid w:val="006808CC"/>
    <w:rsid w:val="00685899"/>
    <w:rsid w:val="00692D30"/>
    <w:rsid w:val="00695597"/>
    <w:rsid w:val="00696A89"/>
    <w:rsid w:val="00697477"/>
    <w:rsid w:val="006A037E"/>
    <w:rsid w:val="006A2019"/>
    <w:rsid w:val="006A3D41"/>
    <w:rsid w:val="006A7796"/>
    <w:rsid w:val="006B0495"/>
    <w:rsid w:val="006B0DCB"/>
    <w:rsid w:val="006B2408"/>
    <w:rsid w:val="006B3AF9"/>
    <w:rsid w:val="006B414C"/>
    <w:rsid w:val="006B4B0F"/>
    <w:rsid w:val="006C335E"/>
    <w:rsid w:val="006C5C6C"/>
    <w:rsid w:val="006C7DE0"/>
    <w:rsid w:val="006D34A3"/>
    <w:rsid w:val="006D3DC7"/>
    <w:rsid w:val="006D4245"/>
    <w:rsid w:val="006E0A93"/>
    <w:rsid w:val="006E4064"/>
    <w:rsid w:val="006E58EA"/>
    <w:rsid w:val="006E7BFD"/>
    <w:rsid w:val="006F0036"/>
    <w:rsid w:val="006F2F67"/>
    <w:rsid w:val="006F4DE0"/>
    <w:rsid w:val="006F4FB2"/>
    <w:rsid w:val="006F5E2D"/>
    <w:rsid w:val="006F6483"/>
    <w:rsid w:val="006F7332"/>
    <w:rsid w:val="0070385B"/>
    <w:rsid w:val="0070494F"/>
    <w:rsid w:val="00705758"/>
    <w:rsid w:val="0070717A"/>
    <w:rsid w:val="00707244"/>
    <w:rsid w:val="00712CCC"/>
    <w:rsid w:val="00713DE5"/>
    <w:rsid w:val="007174DA"/>
    <w:rsid w:val="00720910"/>
    <w:rsid w:val="00720F29"/>
    <w:rsid w:val="007224C2"/>
    <w:rsid w:val="00731409"/>
    <w:rsid w:val="007334B1"/>
    <w:rsid w:val="007339F3"/>
    <w:rsid w:val="00737FEC"/>
    <w:rsid w:val="00740292"/>
    <w:rsid w:val="00742B07"/>
    <w:rsid w:val="00742CD6"/>
    <w:rsid w:val="00755956"/>
    <w:rsid w:val="00756AA0"/>
    <w:rsid w:val="00757CE6"/>
    <w:rsid w:val="00764CB0"/>
    <w:rsid w:val="007671B6"/>
    <w:rsid w:val="007671DA"/>
    <w:rsid w:val="00770C72"/>
    <w:rsid w:val="007719A8"/>
    <w:rsid w:val="00773CAE"/>
    <w:rsid w:val="00774593"/>
    <w:rsid w:val="00776EDA"/>
    <w:rsid w:val="00777599"/>
    <w:rsid w:val="00785CF8"/>
    <w:rsid w:val="00796068"/>
    <w:rsid w:val="00796CC0"/>
    <w:rsid w:val="00796CF1"/>
    <w:rsid w:val="007979EA"/>
    <w:rsid w:val="007A1A35"/>
    <w:rsid w:val="007A2166"/>
    <w:rsid w:val="007A2B7F"/>
    <w:rsid w:val="007A5922"/>
    <w:rsid w:val="007B1ABA"/>
    <w:rsid w:val="007B259B"/>
    <w:rsid w:val="007B5018"/>
    <w:rsid w:val="007B65B3"/>
    <w:rsid w:val="007C4E99"/>
    <w:rsid w:val="007C5151"/>
    <w:rsid w:val="007C546B"/>
    <w:rsid w:val="007C670D"/>
    <w:rsid w:val="007C7359"/>
    <w:rsid w:val="007D0ED0"/>
    <w:rsid w:val="007D1F01"/>
    <w:rsid w:val="007D48CF"/>
    <w:rsid w:val="007D4A4A"/>
    <w:rsid w:val="007E0E05"/>
    <w:rsid w:val="007E1DD3"/>
    <w:rsid w:val="007E209F"/>
    <w:rsid w:val="007E2878"/>
    <w:rsid w:val="007E4655"/>
    <w:rsid w:val="007E55E0"/>
    <w:rsid w:val="007E5C50"/>
    <w:rsid w:val="007F0546"/>
    <w:rsid w:val="007F22A5"/>
    <w:rsid w:val="007F5688"/>
    <w:rsid w:val="0080065F"/>
    <w:rsid w:val="008051DE"/>
    <w:rsid w:val="00805659"/>
    <w:rsid w:val="00810CC2"/>
    <w:rsid w:val="0081324B"/>
    <w:rsid w:val="0081440E"/>
    <w:rsid w:val="00816193"/>
    <w:rsid w:val="008165E4"/>
    <w:rsid w:val="008234BD"/>
    <w:rsid w:val="00825155"/>
    <w:rsid w:val="00825EB9"/>
    <w:rsid w:val="008303E2"/>
    <w:rsid w:val="008341F8"/>
    <w:rsid w:val="008359F3"/>
    <w:rsid w:val="00835DB6"/>
    <w:rsid w:val="00836AC2"/>
    <w:rsid w:val="008406D5"/>
    <w:rsid w:val="00843BED"/>
    <w:rsid w:val="00844C5B"/>
    <w:rsid w:val="00847B37"/>
    <w:rsid w:val="008501A4"/>
    <w:rsid w:val="008505A1"/>
    <w:rsid w:val="00850817"/>
    <w:rsid w:val="00851D16"/>
    <w:rsid w:val="00854B32"/>
    <w:rsid w:val="00855F2B"/>
    <w:rsid w:val="00856252"/>
    <w:rsid w:val="00857634"/>
    <w:rsid w:val="0086124E"/>
    <w:rsid w:val="00861B74"/>
    <w:rsid w:val="008652C9"/>
    <w:rsid w:val="00866992"/>
    <w:rsid w:val="00872942"/>
    <w:rsid w:val="00875991"/>
    <w:rsid w:val="00875BB5"/>
    <w:rsid w:val="008771B6"/>
    <w:rsid w:val="00877FDD"/>
    <w:rsid w:val="00880B19"/>
    <w:rsid w:val="00880FED"/>
    <w:rsid w:val="0088186D"/>
    <w:rsid w:val="008841C8"/>
    <w:rsid w:val="00885367"/>
    <w:rsid w:val="00887082"/>
    <w:rsid w:val="00887DC7"/>
    <w:rsid w:val="00891FCC"/>
    <w:rsid w:val="00892BB8"/>
    <w:rsid w:val="00893014"/>
    <w:rsid w:val="0089513A"/>
    <w:rsid w:val="00896755"/>
    <w:rsid w:val="008A2417"/>
    <w:rsid w:val="008A5D49"/>
    <w:rsid w:val="008A751E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3A5B"/>
    <w:rsid w:val="008C5B71"/>
    <w:rsid w:val="008D2382"/>
    <w:rsid w:val="008D5667"/>
    <w:rsid w:val="008D6F5D"/>
    <w:rsid w:val="008E003A"/>
    <w:rsid w:val="008E15E3"/>
    <w:rsid w:val="008E2045"/>
    <w:rsid w:val="008E4C62"/>
    <w:rsid w:val="008E727E"/>
    <w:rsid w:val="008F2902"/>
    <w:rsid w:val="008F4593"/>
    <w:rsid w:val="008F660B"/>
    <w:rsid w:val="009005CE"/>
    <w:rsid w:val="00901376"/>
    <w:rsid w:val="0090188B"/>
    <w:rsid w:val="009021A4"/>
    <w:rsid w:val="00904EC5"/>
    <w:rsid w:val="00914732"/>
    <w:rsid w:val="00914B48"/>
    <w:rsid w:val="0091511B"/>
    <w:rsid w:val="00917B6F"/>
    <w:rsid w:val="009239AA"/>
    <w:rsid w:val="009245B5"/>
    <w:rsid w:val="00925EF2"/>
    <w:rsid w:val="00935C40"/>
    <w:rsid w:val="00935F4D"/>
    <w:rsid w:val="0093795C"/>
    <w:rsid w:val="00937F7E"/>
    <w:rsid w:val="009440DE"/>
    <w:rsid w:val="009444E6"/>
    <w:rsid w:val="00944A8E"/>
    <w:rsid w:val="009455E6"/>
    <w:rsid w:val="00956BA7"/>
    <w:rsid w:val="00956FD8"/>
    <w:rsid w:val="009575F7"/>
    <w:rsid w:val="00957E4B"/>
    <w:rsid w:val="0096021A"/>
    <w:rsid w:val="00960F73"/>
    <w:rsid w:val="0096655D"/>
    <w:rsid w:val="00971139"/>
    <w:rsid w:val="00972B10"/>
    <w:rsid w:val="0097401F"/>
    <w:rsid w:val="00981FA0"/>
    <w:rsid w:val="00984366"/>
    <w:rsid w:val="00984E80"/>
    <w:rsid w:val="0098690F"/>
    <w:rsid w:val="00987EE5"/>
    <w:rsid w:val="00991CD8"/>
    <w:rsid w:val="00991EBE"/>
    <w:rsid w:val="00993C2E"/>
    <w:rsid w:val="00997C8A"/>
    <w:rsid w:val="009A1339"/>
    <w:rsid w:val="009A3006"/>
    <w:rsid w:val="009A3994"/>
    <w:rsid w:val="009B62AF"/>
    <w:rsid w:val="009B7AB9"/>
    <w:rsid w:val="009C4B6D"/>
    <w:rsid w:val="009D0928"/>
    <w:rsid w:val="009D1B99"/>
    <w:rsid w:val="009D2884"/>
    <w:rsid w:val="009D5393"/>
    <w:rsid w:val="009D5445"/>
    <w:rsid w:val="009D565F"/>
    <w:rsid w:val="009D65B9"/>
    <w:rsid w:val="009E04DC"/>
    <w:rsid w:val="009E0FB3"/>
    <w:rsid w:val="009E5105"/>
    <w:rsid w:val="009E59A1"/>
    <w:rsid w:val="009E66EE"/>
    <w:rsid w:val="009F4326"/>
    <w:rsid w:val="00A0244C"/>
    <w:rsid w:val="00A033FF"/>
    <w:rsid w:val="00A0409E"/>
    <w:rsid w:val="00A06137"/>
    <w:rsid w:val="00A063FE"/>
    <w:rsid w:val="00A06EDB"/>
    <w:rsid w:val="00A07ACC"/>
    <w:rsid w:val="00A1329C"/>
    <w:rsid w:val="00A14E25"/>
    <w:rsid w:val="00A16A60"/>
    <w:rsid w:val="00A17A3D"/>
    <w:rsid w:val="00A2062A"/>
    <w:rsid w:val="00A2066E"/>
    <w:rsid w:val="00A21E19"/>
    <w:rsid w:val="00A239A8"/>
    <w:rsid w:val="00A30683"/>
    <w:rsid w:val="00A3115F"/>
    <w:rsid w:val="00A33030"/>
    <w:rsid w:val="00A378A2"/>
    <w:rsid w:val="00A407B6"/>
    <w:rsid w:val="00A40CDE"/>
    <w:rsid w:val="00A43FBD"/>
    <w:rsid w:val="00A43FD4"/>
    <w:rsid w:val="00A52DA1"/>
    <w:rsid w:val="00A5757E"/>
    <w:rsid w:val="00A60F52"/>
    <w:rsid w:val="00A61DFE"/>
    <w:rsid w:val="00A62AA8"/>
    <w:rsid w:val="00A63B4C"/>
    <w:rsid w:val="00A6526F"/>
    <w:rsid w:val="00A664E7"/>
    <w:rsid w:val="00A66E7F"/>
    <w:rsid w:val="00A70904"/>
    <w:rsid w:val="00A709BB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87C15"/>
    <w:rsid w:val="00A92706"/>
    <w:rsid w:val="00A9704A"/>
    <w:rsid w:val="00A97AD0"/>
    <w:rsid w:val="00AA1377"/>
    <w:rsid w:val="00AA49AF"/>
    <w:rsid w:val="00AA4F2F"/>
    <w:rsid w:val="00AA57CE"/>
    <w:rsid w:val="00AA7540"/>
    <w:rsid w:val="00AB3E6B"/>
    <w:rsid w:val="00AC0BAE"/>
    <w:rsid w:val="00AC126F"/>
    <w:rsid w:val="00AC4B34"/>
    <w:rsid w:val="00AD05A6"/>
    <w:rsid w:val="00AE05EA"/>
    <w:rsid w:val="00AE0EDF"/>
    <w:rsid w:val="00AE1128"/>
    <w:rsid w:val="00AE1AB0"/>
    <w:rsid w:val="00AE2609"/>
    <w:rsid w:val="00AE29A8"/>
    <w:rsid w:val="00AE439A"/>
    <w:rsid w:val="00AE617A"/>
    <w:rsid w:val="00AE713F"/>
    <w:rsid w:val="00AF09C7"/>
    <w:rsid w:val="00AF4BF4"/>
    <w:rsid w:val="00B006D8"/>
    <w:rsid w:val="00B03D35"/>
    <w:rsid w:val="00B05065"/>
    <w:rsid w:val="00B05194"/>
    <w:rsid w:val="00B10AD8"/>
    <w:rsid w:val="00B17303"/>
    <w:rsid w:val="00B21343"/>
    <w:rsid w:val="00B219AA"/>
    <w:rsid w:val="00B25143"/>
    <w:rsid w:val="00B2585D"/>
    <w:rsid w:val="00B266FA"/>
    <w:rsid w:val="00B26C40"/>
    <w:rsid w:val="00B27359"/>
    <w:rsid w:val="00B33FC2"/>
    <w:rsid w:val="00B347F1"/>
    <w:rsid w:val="00B3502B"/>
    <w:rsid w:val="00B3599F"/>
    <w:rsid w:val="00B35C3E"/>
    <w:rsid w:val="00B36473"/>
    <w:rsid w:val="00B40BEA"/>
    <w:rsid w:val="00B44029"/>
    <w:rsid w:val="00B44FFA"/>
    <w:rsid w:val="00B45428"/>
    <w:rsid w:val="00B47943"/>
    <w:rsid w:val="00B50446"/>
    <w:rsid w:val="00B50A6E"/>
    <w:rsid w:val="00B512D2"/>
    <w:rsid w:val="00B527BF"/>
    <w:rsid w:val="00B530FD"/>
    <w:rsid w:val="00B53C9C"/>
    <w:rsid w:val="00B5639B"/>
    <w:rsid w:val="00B60C3E"/>
    <w:rsid w:val="00B615CB"/>
    <w:rsid w:val="00B645FA"/>
    <w:rsid w:val="00B64775"/>
    <w:rsid w:val="00B67B4F"/>
    <w:rsid w:val="00B81718"/>
    <w:rsid w:val="00B86AF6"/>
    <w:rsid w:val="00B86E2A"/>
    <w:rsid w:val="00B877AA"/>
    <w:rsid w:val="00B9389E"/>
    <w:rsid w:val="00B96EA4"/>
    <w:rsid w:val="00B97A3E"/>
    <w:rsid w:val="00BA2F02"/>
    <w:rsid w:val="00BA2FFD"/>
    <w:rsid w:val="00BA58B6"/>
    <w:rsid w:val="00BA62AD"/>
    <w:rsid w:val="00BB0267"/>
    <w:rsid w:val="00BB37AF"/>
    <w:rsid w:val="00BB4C08"/>
    <w:rsid w:val="00BB61BE"/>
    <w:rsid w:val="00BC1DBD"/>
    <w:rsid w:val="00BC5737"/>
    <w:rsid w:val="00BD1747"/>
    <w:rsid w:val="00BD3C68"/>
    <w:rsid w:val="00BD421D"/>
    <w:rsid w:val="00BD6B87"/>
    <w:rsid w:val="00BD73FC"/>
    <w:rsid w:val="00BE04D9"/>
    <w:rsid w:val="00BE4614"/>
    <w:rsid w:val="00BE4E6F"/>
    <w:rsid w:val="00BE5100"/>
    <w:rsid w:val="00BE529D"/>
    <w:rsid w:val="00BE6637"/>
    <w:rsid w:val="00BF10E8"/>
    <w:rsid w:val="00BF3158"/>
    <w:rsid w:val="00BF51B7"/>
    <w:rsid w:val="00C03312"/>
    <w:rsid w:val="00C039A5"/>
    <w:rsid w:val="00C03A04"/>
    <w:rsid w:val="00C046F7"/>
    <w:rsid w:val="00C10C0B"/>
    <w:rsid w:val="00C10DD5"/>
    <w:rsid w:val="00C15A27"/>
    <w:rsid w:val="00C1776A"/>
    <w:rsid w:val="00C22519"/>
    <w:rsid w:val="00C2305C"/>
    <w:rsid w:val="00C233D0"/>
    <w:rsid w:val="00C2380D"/>
    <w:rsid w:val="00C24162"/>
    <w:rsid w:val="00C24E78"/>
    <w:rsid w:val="00C2509D"/>
    <w:rsid w:val="00C34ABD"/>
    <w:rsid w:val="00C353CF"/>
    <w:rsid w:val="00C35F43"/>
    <w:rsid w:val="00C37088"/>
    <w:rsid w:val="00C408D5"/>
    <w:rsid w:val="00C41D3C"/>
    <w:rsid w:val="00C43801"/>
    <w:rsid w:val="00C44A07"/>
    <w:rsid w:val="00C44BDC"/>
    <w:rsid w:val="00C45BFB"/>
    <w:rsid w:val="00C45DCE"/>
    <w:rsid w:val="00C50FF9"/>
    <w:rsid w:val="00C54B14"/>
    <w:rsid w:val="00C6352A"/>
    <w:rsid w:val="00C65B2D"/>
    <w:rsid w:val="00C65C5D"/>
    <w:rsid w:val="00C6656A"/>
    <w:rsid w:val="00C711E5"/>
    <w:rsid w:val="00C730CB"/>
    <w:rsid w:val="00C73782"/>
    <w:rsid w:val="00C80D90"/>
    <w:rsid w:val="00C81B05"/>
    <w:rsid w:val="00C83AEE"/>
    <w:rsid w:val="00C85563"/>
    <w:rsid w:val="00C85AC7"/>
    <w:rsid w:val="00C9045E"/>
    <w:rsid w:val="00C906CD"/>
    <w:rsid w:val="00CA0FB8"/>
    <w:rsid w:val="00CA15F3"/>
    <w:rsid w:val="00CA2680"/>
    <w:rsid w:val="00CA4D23"/>
    <w:rsid w:val="00CA6716"/>
    <w:rsid w:val="00CB0D34"/>
    <w:rsid w:val="00CC1939"/>
    <w:rsid w:val="00CC42D4"/>
    <w:rsid w:val="00CC64E3"/>
    <w:rsid w:val="00CC7712"/>
    <w:rsid w:val="00CD179A"/>
    <w:rsid w:val="00CD2536"/>
    <w:rsid w:val="00CD407F"/>
    <w:rsid w:val="00CE6D09"/>
    <w:rsid w:val="00CF0E4D"/>
    <w:rsid w:val="00CF230D"/>
    <w:rsid w:val="00CF5489"/>
    <w:rsid w:val="00CF7615"/>
    <w:rsid w:val="00D003F8"/>
    <w:rsid w:val="00D01AFE"/>
    <w:rsid w:val="00D02FB7"/>
    <w:rsid w:val="00D04613"/>
    <w:rsid w:val="00D05C77"/>
    <w:rsid w:val="00D10769"/>
    <w:rsid w:val="00D11642"/>
    <w:rsid w:val="00D116C7"/>
    <w:rsid w:val="00D13AC5"/>
    <w:rsid w:val="00D14E5F"/>
    <w:rsid w:val="00D14FB2"/>
    <w:rsid w:val="00D16754"/>
    <w:rsid w:val="00D17CC6"/>
    <w:rsid w:val="00D2041E"/>
    <w:rsid w:val="00D20454"/>
    <w:rsid w:val="00D20D10"/>
    <w:rsid w:val="00D23801"/>
    <w:rsid w:val="00D25AEC"/>
    <w:rsid w:val="00D25B2F"/>
    <w:rsid w:val="00D341C9"/>
    <w:rsid w:val="00D3447D"/>
    <w:rsid w:val="00D3488B"/>
    <w:rsid w:val="00D361DE"/>
    <w:rsid w:val="00D3793E"/>
    <w:rsid w:val="00D37FB2"/>
    <w:rsid w:val="00D41A6A"/>
    <w:rsid w:val="00D44B3D"/>
    <w:rsid w:val="00D46C4C"/>
    <w:rsid w:val="00D51F18"/>
    <w:rsid w:val="00D53537"/>
    <w:rsid w:val="00D551C8"/>
    <w:rsid w:val="00D564BB"/>
    <w:rsid w:val="00D565FA"/>
    <w:rsid w:val="00D568ED"/>
    <w:rsid w:val="00D6014E"/>
    <w:rsid w:val="00D630E7"/>
    <w:rsid w:val="00D700E5"/>
    <w:rsid w:val="00D70900"/>
    <w:rsid w:val="00D71B77"/>
    <w:rsid w:val="00D76186"/>
    <w:rsid w:val="00D771E9"/>
    <w:rsid w:val="00D86DD4"/>
    <w:rsid w:val="00D92529"/>
    <w:rsid w:val="00DA1613"/>
    <w:rsid w:val="00DA5AAB"/>
    <w:rsid w:val="00DA671A"/>
    <w:rsid w:val="00DA6858"/>
    <w:rsid w:val="00DB1CD7"/>
    <w:rsid w:val="00DB2651"/>
    <w:rsid w:val="00DB30B1"/>
    <w:rsid w:val="00DB4717"/>
    <w:rsid w:val="00DC12C8"/>
    <w:rsid w:val="00DC6F31"/>
    <w:rsid w:val="00DC7FFD"/>
    <w:rsid w:val="00DD6D82"/>
    <w:rsid w:val="00DE045E"/>
    <w:rsid w:val="00DE1240"/>
    <w:rsid w:val="00DE1AA5"/>
    <w:rsid w:val="00DE231A"/>
    <w:rsid w:val="00DE23D6"/>
    <w:rsid w:val="00DE2CB6"/>
    <w:rsid w:val="00DE2DDE"/>
    <w:rsid w:val="00DE395F"/>
    <w:rsid w:val="00DE5414"/>
    <w:rsid w:val="00DF0C37"/>
    <w:rsid w:val="00DF24FD"/>
    <w:rsid w:val="00DF2506"/>
    <w:rsid w:val="00DF301A"/>
    <w:rsid w:val="00DF3469"/>
    <w:rsid w:val="00DF3BE2"/>
    <w:rsid w:val="00DF4E2C"/>
    <w:rsid w:val="00DF4E34"/>
    <w:rsid w:val="00DF75EC"/>
    <w:rsid w:val="00E0133D"/>
    <w:rsid w:val="00E019ED"/>
    <w:rsid w:val="00E0312F"/>
    <w:rsid w:val="00E04C48"/>
    <w:rsid w:val="00E06065"/>
    <w:rsid w:val="00E079C6"/>
    <w:rsid w:val="00E1273C"/>
    <w:rsid w:val="00E146CF"/>
    <w:rsid w:val="00E17711"/>
    <w:rsid w:val="00E23C05"/>
    <w:rsid w:val="00E2425F"/>
    <w:rsid w:val="00E245B0"/>
    <w:rsid w:val="00E247E2"/>
    <w:rsid w:val="00E304EB"/>
    <w:rsid w:val="00E329D0"/>
    <w:rsid w:val="00E33746"/>
    <w:rsid w:val="00E342B3"/>
    <w:rsid w:val="00E3451F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662CD"/>
    <w:rsid w:val="00E67427"/>
    <w:rsid w:val="00E73271"/>
    <w:rsid w:val="00E735DA"/>
    <w:rsid w:val="00E74214"/>
    <w:rsid w:val="00E74762"/>
    <w:rsid w:val="00E74D52"/>
    <w:rsid w:val="00E75855"/>
    <w:rsid w:val="00E7609C"/>
    <w:rsid w:val="00E85CBE"/>
    <w:rsid w:val="00E86566"/>
    <w:rsid w:val="00E875F5"/>
    <w:rsid w:val="00E92527"/>
    <w:rsid w:val="00E92A93"/>
    <w:rsid w:val="00E97045"/>
    <w:rsid w:val="00EA270C"/>
    <w:rsid w:val="00EA5CF4"/>
    <w:rsid w:val="00EB09B9"/>
    <w:rsid w:val="00EB76F7"/>
    <w:rsid w:val="00EB7CB1"/>
    <w:rsid w:val="00EC0569"/>
    <w:rsid w:val="00EC0C7B"/>
    <w:rsid w:val="00EC1C35"/>
    <w:rsid w:val="00EC5E45"/>
    <w:rsid w:val="00ED0557"/>
    <w:rsid w:val="00ED0CF0"/>
    <w:rsid w:val="00ED34D4"/>
    <w:rsid w:val="00ED3D84"/>
    <w:rsid w:val="00ED766C"/>
    <w:rsid w:val="00ED76FB"/>
    <w:rsid w:val="00EE05C2"/>
    <w:rsid w:val="00EE30EE"/>
    <w:rsid w:val="00EE3C6D"/>
    <w:rsid w:val="00EE4C6E"/>
    <w:rsid w:val="00EE61BE"/>
    <w:rsid w:val="00EE6DE6"/>
    <w:rsid w:val="00EF057C"/>
    <w:rsid w:val="00EF1D14"/>
    <w:rsid w:val="00F01B31"/>
    <w:rsid w:val="00F03AB9"/>
    <w:rsid w:val="00F06479"/>
    <w:rsid w:val="00F076C5"/>
    <w:rsid w:val="00F120D9"/>
    <w:rsid w:val="00F124BE"/>
    <w:rsid w:val="00F125DE"/>
    <w:rsid w:val="00F24232"/>
    <w:rsid w:val="00F27170"/>
    <w:rsid w:val="00F30016"/>
    <w:rsid w:val="00F31C75"/>
    <w:rsid w:val="00F32543"/>
    <w:rsid w:val="00F33277"/>
    <w:rsid w:val="00F340CD"/>
    <w:rsid w:val="00F341CC"/>
    <w:rsid w:val="00F36D10"/>
    <w:rsid w:val="00F40CAB"/>
    <w:rsid w:val="00F47C5C"/>
    <w:rsid w:val="00F54856"/>
    <w:rsid w:val="00F57650"/>
    <w:rsid w:val="00F579FC"/>
    <w:rsid w:val="00F60C74"/>
    <w:rsid w:val="00F62773"/>
    <w:rsid w:val="00F64F51"/>
    <w:rsid w:val="00F67A35"/>
    <w:rsid w:val="00F765E8"/>
    <w:rsid w:val="00F8200C"/>
    <w:rsid w:val="00F85D77"/>
    <w:rsid w:val="00F86D88"/>
    <w:rsid w:val="00F87FA7"/>
    <w:rsid w:val="00F90898"/>
    <w:rsid w:val="00F914C8"/>
    <w:rsid w:val="00F9473C"/>
    <w:rsid w:val="00FA40A3"/>
    <w:rsid w:val="00FA45CD"/>
    <w:rsid w:val="00FA5B17"/>
    <w:rsid w:val="00FB3BA6"/>
    <w:rsid w:val="00FB4D65"/>
    <w:rsid w:val="00FB5954"/>
    <w:rsid w:val="00FB6695"/>
    <w:rsid w:val="00FC0253"/>
    <w:rsid w:val="00FC0CDF"/>
    <w:rsid w:val="00FC0D7C"/>
    <w:rsid w:val="00FC183A"/>
    <w:rsid w:val="00FC19F5"/>
    <w:rsid w:val="00FC3D1C"/>
    <w:rsid w:val="00FD08A7"/>
    <w:rsid w:val="00FD1295"/>
    <w:rsid w:val="00FD2E55"/>
    <w:rsid w:val="00FD2FA9"/>
    <w:rsid w:val="00FD3572"/>
    <w:rsid w:val="00FD54CC"/>
    <w:rsid w:val="00FE06A2"/>
    <w:rsid w:val="00FE0CE6"/>
    <w:rsid w:val="00FE79EF"/>
    <w:rsid w:val="00FF025A"/>
    <w:rsid w:val="00FF088B"/>
    <w:rsid w:val="00FF0AC4"/>
    <w:rsid w:val="00FF10AF"/>
    <w:rsid w:val="00FF334E"/>
    <w:rsid w:val="00FF62DD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5788E11-2474-4E92-B695-5E6F33C8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1765</Words>
  <Characters>9534</Characters>
  <Application>Microsoft Office Word</Application>
  <DocSecurity>4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11277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2011-02-04T20:41:00Z</cp:lastPrinted>
  <dcterms:created xsi:type="dcterms:W3CDTF">2015-05-07T12:38:00Z</dcterms:created>
  <dcterms:modified xsi:type="dcterms:W3CDTF">2015-05-07T12:38:00Z</dcterms:modified>
</cp:coreProperties>
</file>