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62" w:rsidRPr="00097863" w:rsidRDefault="009444E6" w:rsidP="00AA4F2F">
      <w:pPr>
        <w:pStyle w:val="Ttulo8"/>
        <w:tabs>
          <w:tab w:val="right" w:pos="4423"/>
        </w:tabs>
        <w:spacing w:before="0" w:after="0"/>
        <w:ind w:left="0"/>
        <w:rPr>
          <w:rFonts w:ascii="Times New Roman" w:hAnsi="Times New Roman"/>
          <w:b/>
          <w:i w:val="0"/>
          <w:color w:val="000000"/>
          <w:sz w:val="22"/>
          <w:szCs w:val="22"/>
        </w:rPr>
      </w:pPr>
      <w:bookmarkStart w:id="0" w:name="_GoBack"/>
      <w:bookmarkEnd w:id="0"/>
      <w:r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Sessões: </w:t>
      </w:r>
      <w:r w:rsidR="00B10AD8">
        <w:rPr>
          <w:rFonts w:ascii="Times New Roman" w:hAnsi="Times New Roman"/>
          <w:b/>
          <w:i w:val="0"/>
          <w:color w:val="000000"/>
          <w:sz w:val="22"/>
          <w:szCs w:val="22"/>
        </w:rPr>
        <w:t>26</w:t>
      </w:r>
      <w:r w:rsidR="00467815"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</w:t>
      </w:r>
      <w:r w:rsidR="00F01B31"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e </w:t>
      </w:r>
      <w:r w:rsidR="00B10AD8">
        <w:rPr>
          <w:rFonts w:ascii="Times New Roman" w:hAnsi="Times New Roman"/>
          <w:b/>
          <w:i w:val="0"/>
          <w:color w:val="000000"/>
          <w:sz w:val="22"/>
          <w:szCs w:val="22"/>
        </w:rPr>
        <w:t>27</w:t>
      </w:r>
      <w:r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de </w:t>
      </w:r>
      <w:r w:rsidR="005012AA">
        <w:rPr>
          <w:rFonts w:ascii="Times New Roman" w:hAnsi="Times New Roman"/>
          <w:b/>
          <w:i w:val="0"/>
          <w:color w:val="000000"/>
          <w:sz w:val="22"/>
          <w:szCs w:val="22"/>
        </w:rPr>
        <w:t>abril</w:t>
      </w:r>
      <w:r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de 201</w:t>
      </w:r>
      <w:r w:rsidR="00467815" w:rsidRPr="00097863">
        <w:rPr>
          <w:rFonts w:ascii="Times New Roman" w:hAnsi="Times New Roman"/>
          <w:b/>
          <w:i w:val="0"/>
          <w:color w:val="000000"/>
          <w:sz w:val="22"/>
          <w:szCs w:val="22"/>
        </w:rPr>
        <w:t>1</w:t>
      </w:r>
    </w:p>
    <w:p w:rsidR="002D35F5" w:rsidRPr="00097863" w:rsidRDefault="002D35F5" w:rsidP="00AA4F2F">
      <w:pPr>
        <w:pStyle w:val="Corpodetexto2"/>
        <w:spacing w:after="0" w:line="240" w:lineRule="auto"/>
        <w:ind w:left="0"/>
        <w:rPr>
          <w:sz w:val="22"/>
          <w:szCs w:val="22"/>
        </w:rPr>
      </w:pPr>
      <w:r w:rsidRPr="00097863">
        <w:rPr>
          <w:sz w:val="22"/>
          <w:szCs w:val="22"/>
        </w:rPr>
        <w:t>Este Informativo, elaborado a partir das deliberações tomadas pelo Tribunal nas sessões de julgamento das Câmaras e do Plenário, contém resumos de algumas decisões proferidas nas datas acima indicadas, relativas a licitações e contratos, e tem por finalidade facilitar o acompanhamento, pelo leitor, da jurisprudência do TCU quanto aos aspectos relevantes que envolvem o tema. Por esse motivo, a seleção das decisões que constam do Informativo é feita pela Secretaria das Sessões, levando em consideração ao menos um dos seguintes fatores: ineditismo da deliberação, discussão no colegiado ou reiteração de entendimento importante. Os resumos apresentados no Informativo não são repositórios oficiais de jurisprudência.</w:t>
      </w:r>
    </w:p>
    <w:p w:rsidR="00FF7C62" w:rsidRPr="00097863" w:rsidRDefault="00FF7C62" w:rsidP="00AA4F2F">
      <w:pPr>
        <w:pStyle w:val="Corpodetexto2"/>
        <w:spacing w:after="0" w:line="240" w:lineRule="auto"/>
        <w:ind w:left="0"/>
        <w:rPr>
          <w:sz w:val="22"/>
          <w:szCs w:val="22"/>
        </w:rPr>
      </w:pPr>
    </w:p>
    <w:p w:rsidR="002D35F5" w:rsidRPr="00D53537" w:rsidRDefault="002D35F5" w:rsidP="00AA4F2F">
      <w:pPr>
        <w:pBdr>
          <w:top w:val="threeDEmboss" w:sz="24" w:space="2" w:color="auto"/>
        </w:pBdr>
        <w:tabs>
          <w:tab w:val="left" w:pos="284"/>
        </w:tabs>
        <w:spacing w:after="0"/>
        <w:ind w:left="0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D53537">
        <w:rPr>
          <w:rFonts w:ascii="Cambria" w:hAnsi="Cambria"/>
          <w:b/>
          <w:bCs/>
          <w:smallCaps/>
          <w:sz w:val="22"/>
          <w:szCs w:val="22"/>
        </w:rPr>
        <w:t>S</w:t>
      </w:r>
      <w:r w:rsidR="00FF7C62" w:rsidRPr="00D53537">
        <w:rPr>
          <w:rFonts w:ascii="Cambria" w:hAnsi="Cambria"/>
          <w:b/>
          <w:bCs/>
          <w:smallCaps/>
          <w:sz w:val="22"/>
          <w:szCs w:val="22"/>
        </w:rPr>
        <w:t>UMÁRIO</w:t>
      </w:r>
    </w:p>
    <w:p w:rsidR="009444E6" w:rsidRPr="00D16754" w:rsidRDefault="009444E6" w:rsidP="00D16754">
      <w:pPr>
        <w:pStyle w:val="tita"/>
        <w:spacing w:before="60" w:after="60" w:line="240" w:lineRule="auto"/>
        <w:jc w:val="both"/>
        <w:rPr>
          <w:i w:val="0"/>
          <w:iCs w:val="0"/>
          <w:sz w:val="22"/>
          <w:szCs w:val="22"/>
        </w:rPr>
      </w:pPr>
      <w:r w:rsidRPr="00D16754">
        <w:rPr>
          <w:i w:val="0"/>
          <w:iCs w:val="0"/>
          <w:sz w:val="22"/>
          <w:szCs w:val="22"/>
        </w:rPr>
        <w:t>Plenário</w:t>
      </w:r>
    </w:p>
    <w:p w:rsidR="00D16754" w:rsidRPr="00D16754" w:rsidRDefault="00D16754" w:rsidP="00D16754">
      <w:pPr>
        <w:pStyle w:val="TCU-RelVoto-demais"/>
        <w:spacing w:before="60" w:after="60"/>
        <w:rPr>
          <w:sz w:val="22"/>
        </w:rPr>
      </w:pPr>
      <w:r w:rsidRPr="00D16754">
        <w:rPr>
          <w:sz w:val="22"/>
        </w:rPr>
        <w:t>Licitação com previsão de entrega de maquinário em diversos municípios do país: é válida a instituição de sistema de registro de preços para a aquisição de bens, em quantidades globais estimadas, para entrega em diferentes locais da federação.</w:t>
      </w:r>
    </w:p>
    <w:p w:rsidR="00D16754" w:rsidRPr="00D16754" w:rsidRDefault="00D16754" w:rsidP="00D16754">
      <w:pPr>
        <w:pStyle w:val="Corpodetexto"/>
        <w:tabs>
          <w:tab w:val="left" w:pos="1134"/>
        </w:tabs>
        <w:spacing w:before="60" w:after="60"/>
        <w:ind w:left="0"/>
        <w:rPr>
          <w:sz w:val="22"/>
          <w:szCs w:val="22"/>
        </w:rPr>
      </w:pPr>
      <w:r w:rsidRPr="00D16754">
        <w:rPr>
          <w:sz w:val="22"/>
          <w:szCs w:val="22"/>
        </w:rPr>
        <w:t xml:space="preserve">Não é possível a exigência de </w:t>
      </w:r>
      <w:r w:rsidRPr="00D16754">
        <w:rPr>
          <w:sz w:val="22"/>
          <w:szCs w:val="22"/>
          <w:lang w:eastAsia="pt-BR"/>
        </w:rPr>
        <w:t>certificação ISO, e outras semelhantes, com o fim de habilitação de licitantes ou como critério para a qualificação de propostas.</w:t>
      </w:r>
    </w:p>
    <w:p w:rsidR="006C7DE0" w:rsidRPr="00087006" w:rsidRDefault="006C7DE0" w:rsidP="00E1273C">
      <w:pPr>
        <w:pStyle w:val="TCU-RelVoto-1"/>
        <w:tabs>
          <w:tab w:val="left" w:pos="1134"/>
        </w:tabs>
        <w:spacing w:before="60" w:after="60"/>
        <w:ind w:firstLine="0"/>
        <w:rPr>
          <w:b/>
          <w:color w:val="FF0000"/>
          <w:sz w:val="22"/>
          <w:lang w:eastAsia="pt-BR"/>
        </w:rPr>
      </w:pPr>
    </w:p>
    <w:p w:rsidR="003C6DEB" w:rsidRPr="00A6526F" w:rsidRDefault="003C6DEB" w:rsidP="00D16754">
      <w:pPr>
        <w:pBdr>
          <w:top w:val="threeDEmboss" w:sz="24" w:space="0" w:color="auto"/>
        </w:pBdr>
        <w:tabs>
          <w:tab w:val="left" w:pos="284"/>
        </w:tabs>
        <w:spacing w:after="0"/>
        <w:ind w:left="0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A6526F">
        <w:rPr>
          <w:rFonts w:ascii="Cambria" w:hAnsi="Cambria"/>
          <w:b/>
          <w:bCs/>
          <w:smallCaps/>
          <w:sz w:val="22"/>
          <w:szCs w:val="22"/>
        </w:rPr>
        <w:t>PLENÁRIO</w:t>
      </w:r>
    </w:p>
    <w:p w:rsidR="003C6DEB" w:rsidRPr="00087006" w:rsidRDefault="003C6DEB" w:rsidP="00D16754">
      <w:pPr>
        <w:pStyle w:val="tita"/>
        <w:spacing w:before="0" w:after="0" w:line="240" w:lineRule="auto"/>
        <w:jc w:val="both"/>
        <w:rPr>
          <w:i w:val="0"/>
          <w:iCs w:val="0"/>
          <w:color w:val="FF0000"/>
          <w:sz w:val="22"/>
          <w:szCs w:val="22"/>
        </w:rPr>
      </w:pPr>
    </w:p>
    <w:p w:rsidR="00543514" w:rsidRPr="00D37FB2" w:rsidRDefault="00543514" w:rsidP="00D16754">
      <w:pPr>
        <w:pStyle w:val="TCU-RelVoto-demais"/>
        <w:spacing w:after="0"/>
        <w:rPr>
          <w:b/>
          <w:sz w:val="22"/>
        </w:rPr>
      </w:pPr>
      <w:r w:rsidRPr="00B006D8">
        <w:rPr>
          <w:b/>
          <w:sz w:val="22"/>
        </w:rPr>
        <w:t xml:space="preserve">Licitação com previsão de entrega de maquinário em diversos municípios do país: </w:t>
      </w:r>
      <w:r w:rsidR="00D37FB2" w:rsidRPr="00D37FB2">
        <w:rPr>
          <w:b/>
          <w:sz w:val="22"/>
        </w:rPr>
        <w:t>é válida a instituição de sistema de registro de preços para a aquisição de bens, em quantidades globais estimadas, para entrega em diferentes locais da federação</w:t>
      </w:r>
    </w:p>
    <w:p w:rsidR="006A3D41" w:rsidRPr="00D37FB2" w:rsidRDefault="00B10AD8" w:rsidP="00D16754">
      <w:pPr>
        <w:pStyle w:val="TCU-RelVoto-demais"/>
        <w:spacing w:after="0"/>
        <w:rPr>
          <w:b/>
          <w:i/>
          <w:sz w:val="22"/>
        </w:rPr>
      </w:pPr>
      <w:r w:rsidRPr="00B006D8">
        <w:rPr>
          <w:sz w:val="22"/>
        </w:rPr>
        <w:t>“</w:t>
      </w:r>
      <w:r w:rsidRPr="00B006D8">
        <w:rPr>
          <w:i/>
          <w:sz w:val="22"/>
        </w:rPr>
        <w:t>É válida a instituição de sistema de registro de preços para a aquisição de bens, em quantidades globais estimadas, para entrega em diferentes locais da federação</w:t>
      </w:r>
      <w:r w:rsidRPr="00B006D8">
        <w:rPr>
          <w:sz w:val="22"/>
        </w:rPr>
        <w:t xml:space="preserve">”. </w:t>
      </w:r>
      <w:r w:rsidR="00D37FB2">
        <w:rPr>
          <w:sz w:val="22"/>
        </w:rPr>
        <w:t>E</w:t>
      </w:r>
      <w:r w:rsidRPr="00B006D8">
        <w:rPr>
          <w:sz w:val="22"/>
        </w:rPr>
        <w:t xml:space="preserve">sse </w:t>
      </w:r>
      <w:r w:rsidR="00D37FB2">
        <w:rPr>
          <w:sz w:val="22"/>
        </w:rPr>
        <w:t xml:space="preserve">foi </w:t>
      </w:r>
      <w:r w:rsidRPr="00B006D8">
        <w:rPr>
          <w:sz w:val="22"/>
        </w:rPr>
        <w:t xml:space="preserve">entendimento </w:t>
      </w:r>
      <w:r w:rsidR="00D37FB2">
        <w:rPr>
          <w:sz w:val="22"/>
        </w:rPr>
        <w:t>do Tribunal ao apreciar</w:t>
      </w:r>
      <w:r w:rsidRPr="00B006D8">
        <w:rPr>
          <w:sz w:val="22"/>
        </w:rPr>
        <w:t xml:space="preserve"> representação formulada por licitante, </w:t>
      </w:r>
      <w:r w:rsidRPr="00B006D8">
        <w:rPr>
          <w:color w:val="000000"/>
          <w:sz w:val="22"/>
        </w:rPr>
        <w:t xml:space="preserve">em face de supostas irregularidades ocorridas no </w:t>
      </w:r>
      <w:r w:rsidRPr="00B006D8">
        <w:rPr>
          <w:sz w:val="22"/>
        </w:rPr>
        <w:t>Pregão Eletrônico, para Registro de Preços, nº 32/2010, promovido pelo Ministério da Pesca e Aquicultura – (MPA</w:t>
      </w:r>
      <w:r w:rsidRPr="00B006D8">
        <w:rPr>
          <w:color w:val="1F1F1F"/>
          <w:sz w:val="22"/>
        </w:rPr>
        <w:t xml:space="preserve">), e cujo objeto </w:t>
      </w:r>
      <w:r w:rsidR="00D37FB2">
        <w:rPr>
          <w:color w:val="1F1F1F"/>
          <w:sz w:val="22"/>
        </w:rPr>
        <w:t xml:space="preserve">consistiu </w:t>
      </w:r>
      <w:r w:rsidR="00DF4E34" w:rsidRPr="00B006D8">
        <w:rPr>
          <w:color w:val="1F1F1F"/>
          <w:sz w:val="22"/>
        </w:rPr>
        <w:t>n</w:t>
      </w:r>
      <w:r w:rsidR="00DF4E34" w:rsidRPr="00B006D8">
        <w:rPr>
          <w:color w:val="000000"/>
          <w:sz w:val="22"/>
        </w:rPr>
        <w:t xml:space="preserve">a contratação de empresa especializada no fornecimento de máquinas agrícolas para formação de patrulhas mecanizadas, </w:t>
      </w:r>
      <w:r w:rsidR="00D37FB2">
        <w:rPr>
          <w:color w:val="000000"/>
          <w:sz w:val="22"/>
        </w:rPr>
        <w:t>com vistas à</w:t>
      </w:r>
      <w:r w:rsidR="00DF4E34" w:rsidRPr="00B006D8">
        <w:rPr>
          <w:color w:val="000000"/>
          <w:sz w:val="22"/>
        </w:rPr>
        <w:t xml:space="preserve"> implementação do Subprograma de Fomento à Aquicultura Familiar em Módulos Rurais. </w:t>
      </w:r>
      <w:r w:rsidR="00671DC9" w:rsidRPr="00B006D8">
        <w:rPr>
          <w:sz w:val="22"/>
        </w:rPr>
        <w:t xml:space="preserve">Em linhas gerais, argumentou a representante que o subitem 4.2.1 do Edital do Pregão 32/2010 (item 4 – estimativa de custos; subitem 4.2 – locais de entrega) não especificara quais os municípios e os endereços para entrega do objeto licitado, assim como não determinara o quantitativo de equipamentos que deveriam ser entregues em cada municipalidade, </w:t>
      </w:r>
      <w:r w:rsidR="00095D98" w:rsidRPr="00B006D8">
        <w:rPr>
          <w:sz w:val="22"/>
        </w:rPr>
        <w:t xml:space="preserve">situação que, inclusive, levou </w:t>
      </w:r>
      <w:r w:rsidR="00671DC9" w:rsidRPr="00B006D8">
        <w:rPr>
          <w:sz w:val="22"/>
        </w:rPr>
        <w:t xml:space="preserve">o relator </w:t>
      </w:r>
      <w:r w:rsidR="00095D98" w:rsidRPr="00B006D8">
        <w:rPr>
          <w:sz w:val="22"/>
        </w:rPr>
        <w:t>a conceder</w:t>
      </w:r>
      <w:r w:rsidR="00D37FB2">
        <w:rPr>
          <w:sz w:val="22"/>
        </w:rPr>
        <w:t>,</w:t>
      </w:r>
      <w:r w:rsidR="00095D98" w:rsidRPr="00B006D8">
        <w:rPr>
          <w:sz w:val="22"/>
        </w:rPr>
        <w:t xml:space="preserve"> anteriormente, medida cautelar, referendada pelo Plenário (ver informativo 47). Na presente </w:t>
      </w:r>
      <w:r w:rsidR="00D37FB2">
        <w:rPr>
          <w:sz w:val="22"/>
        </w:rPr>
        <w:t>etapa processual</w:t>
      </w:r>
      <w:r w:rsidR="00095D98" w:rsidRPr="00B006D8">
        <w:rPr>
          <w:sz w:val="22"/>
        </w:rPr>
        <w:t>, o relator entendeu necessário</w:t>
      </w:r>
      <w:r w:rsidR="00D37FB2">
        <w:rPr>
          <w:sz w:val="22"/>
        </w:rPr>
        <w:t>, entretanto,</w:t>
      </w:r>
      <w:r w:rsidR="00095D98" w:rsidRPr="00B006D8">
        <w:rPr>
          <w:sz w:val="22"/>
        </w:rPr>
        <w:t xml:space="preserve"> retificar seu entendimento</w:t>
      </w:r>
      <w:r w:rsidR="00D37FB2">
        <w:rPr>
          <w:sz w:val="22"/>
        </w:rPr>
        <w:t xml:space="preserve"> anterior</w:t>
      </w:r>
      <w:r w:rsidR="002C506F" w:rsidRPr="00B006D8">
        <w:rPr>
          <w:sz w:val="22"/>
        </w:rPr>
        <w:t xml:space="preserve">. Para ele, a partir das informações apresentadas pelo MPA, a </w:t>
      </w:r>
      <w:r w:rsidR="002C506F" w:rsidRPr="00B006D8">
        <w:rPr>
          <w:sz w:val="22"/>
          <w:lang w:eastAsia="pt-BR"/>
        </w:rPr>
        <w:t xml:space="preserve">opção </w:t>
      </w:r>
      <w:r w:rsidR="00D37FB2">
        <w:rPr>
          <w:sz w:val="22"/>
          <w:lang w:eastAsia="pt-BR"/>
        </w:rPr>
        <w:t xml:space="preserve">de se realizar um pregão </w:t>
      </w:r>
      <w:r w:rsidR="002C506F" w:rsidRPr="00B006D8">
        <w:rPr>
          <w:sz w:val="22"/>
          <w:lang w:eastAsia="pt-BR"/>
        </w:rPr>
        <w:t>pelo sistema de registro de preços se deveu, fundamentalmente, à inconstância no fluxo das aquisições das máquinas agrícolas, a serem destinadas a diversos municípios e estados da federação. Assim, o MPA optara por adquirir, ele mesmo, o maquinário, para posterior distribuição às diferentes localidades, o que, para relator, seria medida acertada, “</w:t>
      </w:r>
      <w:r w:rsidR="002C506F" w:rsidRPr="00B006D8">
        <w:rPr>
          <w:i/>
          <w:sz w:val="22"/>
          <w:lang w:eastAsia="pt-BR"/>
        </w:rPr>
        <w:t>uma vez que propicia a existência de maior padronização nos atendimentos, racionalização nas compras e, ainda, ganhos de economia de escala a serem efetuadas</w:t>
      </w:r>
      <w:r w:rsidR="002C506F" w:rsidRPr="00B006D8">
        <w:rPr>
          <w:sz w:val="22"/>
          <w:lang w:eastAsia="pt-BR"/>
        </w:rPr>
        <w:t xml:space="preserve">”, além do que </w:t>
      </w:r>
      <w:r w:rsidR="00D74A6F">
        <w:rPr>
          <w:sz w:val="22"/>
          <w:lang w:eastAsia="pt-BR"/>
        </w:rPr>
        <w:t>possibilitaria</w:t>
      </w:r>
      <w:r w:rsidR="002C506F" w:rsidRPr="00B006D8">
        <w:rPr>
          <w:sz w:val="22"/>
          <w:lang w:eastAsia="pt-BR"/>
        </w:rPr>
        <w:t xml:space="preserve"> o atendimento a municípios de menor capacidade técnico-operacional, dotados de estrutura insuficiente para a realização de licitações da espécie. </w:t>
      </w:r>
      <w:r w:rsidR="00543514" w:rsidRPr="00B006D8">
        <w:rPr>
          <w:sz w:val="22"/>
          <w:lang w:eastAsia="pt-BR"/>
        </w:rPr>
        <w:t xml:space="preserve">Especificamente quanto à alegada </w:t>
      </w:r>
      <w:r w:rsidR="00543514" w:rsidRPr="00B006D8">
        <w:rPr>
          <w:sz w:val="22"/>
        </w:rPr>
        <w:t xml:space="preserve">ausência da indicação dos quantitativos de máquinas previstas para cada localidade, afirmou o relator não vislumbrar prejuízo ao erário em tal situação, pois, a partir de uma alteração do edital realizada pelo MPA, passou-se a prever que a entrega das máquinas deveria ser efetuada nas capitais dos 26 estados do país e no Distrito Federal. </w:t>
      </w:r>
      <w:r w:rsidR="00F125DE" w:rsidRPr="00B006D8">
        <w:rPr>
          <w:sz w:val="22"/>
        </w:rPr>
        <w:t xml:space="preserve">Ressaltou, ainda, que aquisições semelhantes à realizada pelo MPA por intermédio do Pregão Eletrônico nº 32/2010 foram efetuadas por outros ministérios, que, da mesma maneira, utilizam-se do registro de preços, </w:t>
      </w:r>
      <w:r w:rsidR="00D37FB2">
        <w:rPr>
          <w:sz w:val="22"/>
        </w:rPr>
        <w:t>em algumas situações</w:t>
      </w:r>
      <w:r w:rsidR="00F125DE" w:rsidRPr="00B006D8">
        <w:rPr>
          <w:sz w:val="22"/>
        </w:rPr>
        <w:t xml:space="preserve"> </w:t>
      </w:r>
      <w:r w:rsidR="00F125DE" w:rsidRPr="00D37FB2">
        <w:rPr>
          <w:sz w:val="22"/>
        </w:rPr>
        <w:t>discriminando estados para e</w:t>
      </w:r>
      <w:r w:rsidR="00887DC7" w:rsidRPr="00D37FB2">
        <w:rPr>
          <w:sz w:val="22"/>
        </w:rPr>
        <w:t>ntrega dos quantitativos adquiridos, mas sem haver discriminação por município</w:t>
      </w:r>
      <w:r w:rsidR="00D37FB2" w:rsidRPr="00D37FB2">
        <w:rPr>
          <w:sz w:val="22"/>
        </w:rPr>
        <w:t>. Em outras situações,</w:t>
      </w:r>
      <w:r w:rsidR="00887DC7" w:rsidRPr="00D37FB2">
        <w:rPr>
          <w:sz w:val="22"/>
        </w:rPr>
        <w:t xml:space="preserve"> </w:t>
      </w:r>
      <w:r w:rsidR="00D37FB2" w:rsidRPr="00D37FB2">
        <w:rPr>
          <w:sz w:val="22"/>
        </w:rPr>
        <w:t>estabeleceu-se</w:t>
      </w:r>
      <w:r w:rsidR="00887DC7" w:rsidRPr="00D37FB2">
        <w:rPr>
          <w:sz w:val="22"/>
        </w:rPr>
        <w:t xml:space="preserve"> </w:t>
      </w:r>
      <w:r w:rsidR="00D37FB2" w:rsidRPr="00D37FB2">
        <w:rPr>
          <w:sz w:val="22"/>
        </w:rPr>
        <w:t xml:space="preserve">a entrega </w:t>
      </w:r>
      <w:r w:rsidR="00887DC7" w:rsidRPr="00D37FB2">
        <w:rPr>
          <w:sz w:val="22"/>
        </w:rPr>
        <w:t>apenas por regiões do país, sequer mencionando os estados da federação</w:t>
      </w:r>
      <w:r w:rsidR="00D37FB2" w:rsidRPr="00D37FB2">
        <w:rPr>
          <w:sz w:val="22"/>
        </w:rPr>
        <w:t>. E em</w:t>
      </w:r>
      <w:r w:rsidR="00887DC7" w:rsidRPr="00D37FB2">
        <w:rPr>
          <w:sz w:val="22"/>
        </w:rPr>
        <w:t xml:space="preserve"> diversos outros</w:t>
      </w:r>
      <w:r w:rsidR="00D37FB2" w:rsidRPr="00D37FB2">
        <w:rPr>
          <w:sz w:val="22"/>
        </w:rPr>
        <w:t xml:space="preserve"> casos,</w:t>
      </w:r>
      <w:r w:rsidR="00887DC7" w:rsidRPr="00D37FB2">
        <w:rPr>
          <w:sz w:val="22"/>
        </w:rPr>
        <w:t xml:space="preserve"> n</w:t>
      </w:r>
      <w:r w:rsidR="00D37FB2" w:rsidRPr="00D37FB2">
        <w:rPr>
          <w:sz w:val="22"/>
        </w:rPr>
        <w:t xml:space="preserve">ão teriam sido </w:t>
      </w:r>
      <w:r w:rsidR="00887DC7" w:rsidRPr="00D37FB2">
        <w:rPr>
          <w:sz w:val="22"/>
        </w:rPr>
        <w:t>apresentadas estimativas por regiões</w:t>
      </w:r>
      <w:r w:rsidR="00D37FB2" w:rsidRPr="00D37FB2">
        <w:rPr>
          <w:sz w:val="22"/>
        </w:rPr>
        <w:t>, isso tudo em função das características das aquisições, que não poderiam ser dimensionadas com precisão</w:t>
      </w:r>
      <w:r w:rsidR="00887DC7" w:rsidRPr="00D37FB2">
        <w:rPr>
          <w:sz w:val="22"/>
        </w:rPr>
        <w:t xml:space="preserve">. Nos termos do voto do relator, o Plenário manifestou sua anuência. </w:t>
      </w:r>
      <w:r w:rsidR="006A3D41" w:rsidRPr="00D37FB2">
        <w:rPr>
          <w:b/>
          <w:i/>
          <w:sz w:val="22"/>
        </w:rPr>
        <w:t xml:space="preserve">Acórdão n.º </w:t>
      </w:r>
      <w:r w:rsidRPr="00D37FB2">
        <w:rPr>
          <w:b/>
          <w:i/>
          <w:sz w:val="22"/>
        </w:rPr>
        <w:t>106</w:t>
      </w:r>
      <w:r w:rsidR="00431085" w:rsidRPr="00D37FB2">
        <w:rPr>
          <w:b/>
          <w:i/>
          <w:sz w:val="22"/>
        </w:rPr>
        <w:t>8</w:t>
      </w:r>
      <w:r w:rsidRPr="00D37FB2">
        <w:rPr>
          <w:b/>
          <w:i/>
          <w:sz w:val="22"/>
        </w:rPr>
        <w:t>/2011-Plenário, TC-033.048/2010-0</w:t>
      </w:r>
      <w:r w:rsidR="006A3D41" w:rsidRPr="00D37FB2">
        <w:rPr>
          <w:b/>
          <w:i/>
          <w:sz w:val="22"/>
        </w:rPr>
        <w:t xml:space="preserve">, rel. Min. </w:t>
      </w:r>
      <w:r w:rsidR="00431085" w:rsidRPr="00D37FB2">
        <w:rPr>
          <w:b/>
          <w:i/>
          <w:sz w:val="22"/>
        </w:rPr>
        <w:t>Ubiratan Aguiar</w:t>
      </w:r>
      <w:r w:rsidR="006A3D41" w:rsidRPr="00D37FB2">
        <w:rPr>
          <w:b/>
          <w:i/>
          <w:sz w:val="22"/>
        </w:rPr>
        <w:t xml:space="preserve">, </w:t>
      </w:r>
      <w:r w:rsidRPr="00D37FB2">
        <w:rPr>
          <w:b/>
          <w:i/>
          <w:sz w:val="22"/>
        </w:rPr>
        <w:t>27</w:t>
      </w:r>
      <w:r w:rsidR="006A3D41" w:rsidRPr="00D37FB2">
        <w:rPr>
          <w:b/>
          <w:i/>
          <w:sz w:val="22"/>
        </w:rPr>
        <w:t>.04.2011.</w:t>
      </w:r>
    </w:p>
    <w:p w:rsidR="006A3D41" w:rsidRPr="00D37FB2" w:rsidRDefault="006A3D41" w:rsidP="00D37FB2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b/>
          <w:color w:val="FF0000"/>
          <w:sz w:val="22"/>
          <w:szCs w:val="22"/>
        </w:rPr>
      </w:pPr>
    </w:p>
    <w:p w:rsidR="00EE05C2" w:rsidRPr="00D16754" w:rsidRDefault="00D37FB2" w:rsidP="00D37FB2">
      <w:pPr>
        <w:pStyle w:val="Corpodetexto"/>
        <w:tabs>
          <w:tab w:val="left" w:pos="1134"/>
        </w:tabs>
        <w:spacing w:after="0"/>
        <w:ind w:left="0"/>
        <w:rPr>
          <w:b/>
          <w:sz w:val="22"/>
          <w:szCs w:val="22"/>
        </w:rPr>
      </w:pPr>
      <w:r w:rsidRPr="00D16754">
        <w:rPr>
          <w:b/>
          <w:sz w:val="22"/>
          <w:szCs w:val="22"/>
        </w:rPr>
        <w:t xml:space="preserve">Não é possível a exigência </w:t>
      </w:r>
      <w:r w:rsidR="00D16754" w:rsidRPr="00D16754">
        <w:rPr>
          <w:b/>
          <w:sz w:val="22"/>
          <w:szCs w:val="22"/>
        </w:rPr>
        <w:t xml:space="preserve">de </w:t>
      </w:r>
      <w:r w:rsidR="00D16754" w:rsidRPr="00D16754">
        <w:rPr>
          <w:b/>
          <w:sz w:val="22"/>
          <w:szCs w:val="22"/>
          <w:lang w:eastAsia="pt-BR"/>
        </w:rPr>
        <w:t>certificação ISO</w:t>
      </w:r>
      <w:r w:rsidR="00D16754">
        <w:rPr>
          <w:b/>
          <w:sz w:val="22"/>
          <w:szCs w:val="22"/>
          <w:lang w:eastAsia="pt-BR"/>
        </w:rPr>
        <w:t>,</w:t>
      </w:r>
      <w:r w:rsidR="00D16754" w:rsidRPr="00D16754">
        <w:rPr>
          <w:b/>
          <w:sz w:val="22"/>
          <w:szCs w:val="22"/>
          <w:lang w:eastAsia="pt-BR"/>
        </w:rPr>
        <w:t xml:space="preserve"> e outras semelhantes, </w:t>
      </w:r>
      <w:r w:rsidR="00D16754">
        <w:rPr>
          <w:b/>
          <w:sz w:val="22"/>
          <w:szCs w:val="22"/>
          <w:lang w:eastAsia="pt-BR"/>
        </w:rPr>
        <w:t>com o fim</w:t>
      </w:r>
      <w:r w:rsidR="00D16754" w:rsidRPr="00D16754">
        <w:rPr>
          <w:b/>
          <w:sz w:val="22"/>
          <w:szCs w:val="22"/>
          <w:lang w:eastAsia="pt-BR"/>
        </w:rPr>
        <w:t xml:space="preserve"> </w:t>
      </w:r>
      <w:r w:rsidR="00D16754">
        <w:rPr>
          <w:b/>
          <w:sz w:val="22"/>
          <w:szCs w:val="22"/>
          <w:lang w:eastAsia="pt-BR"/>
        </w:rPr>
        <w:t>de</w:t>
      </w:r>
      <w:r w:rsidR="00D16754" w:rsidRPr="00D16754">
        <w:rPr>
          <w:b/>
          <w:sz w:val="22"/>
          <w:szCs w:val="22"/>
          <w:lang w:eastAsia="pt-BR"/>
        </w:rPr>
        <w:t xml:space="preserve"> habilitação d</w:t>
      </w:r>
      <w:r w:rsidR="00D16754">
        <w:rPr>
          <w:b/>
          <w:sz w:val="22"/>
          <w:szCs w:val="22"/>
          <w:lang w:eastAsia="pt-BR"/>
        </w:rPr>
        <w:t>e</w:t>
      </w:r>
      <w:r w:rsidR="00D16754" w:rsidRPr="00D16754">
        <w:rPr>
          <w:b/>
          <w:sz w:val="22"/>
          <w:szCs w:val="22"/>
          <w:lang w:eastAsia="pt-BR"/>
        </w:rPr>
        <w:t xml:space="preserve"> </w:t>
      </w:r>
      <w:r w:rsidR="00D16754">
        <w:rPr>
          <w:b/>
          <w:sz w:val="22"/>
          <w:szCs w:val="22"/>
          <w:lang w:eastAsia="pt-BR"/>
        </w:rPr>
        <w:t>licit</w:t>
      </w:r>
      <w:r w:rsidR="00D16754" w:rsidRPr="00D16754">
        <w:rPr>
          <w:b/>
          <w:sz w:val="22"/>
          <w:szCs w:val="22"/>
          <w:lang w:eastAsia="pt-BR"/>
        </w:rPr>
        <w:t>antes ou como critério para a qualificação de propostas</w:t>
      </w:r>
    </w:p>
    <w:p w:rsidR="00087006" w:rsidRPr="00D37FB2" w:rsidRDefault="00F36D10" w:rsidP="00D37FB2">
      <w:pPr>
        <w:widowControl w:val="0"/>
        <w:spacing w:after="0"/>
        <w:ind w:left="0"/>
        <w:rPr>
          <w:b/>
          <w:i/>
          <w:sz w:val="22"/>
          <w:szCs w:val="22"/>
        </w:rPr>
      </w:pPr>
      <w:r w:rsidRPr="00D37FB2">
        <w:rPr>
          <w:sz w:val="22"/>
          <w:szCs w:val="22"/>
          <w:lang w:eastAsia="pt-BR"/>
        </w:rPr>
        <w:t xml:space="preserve">Mediante pedido de reexame, a Centrais Elétricas do Norte do Brasil S.A. - (Eletronorte) manifestou seu inconformismo contra o Acórdão nº 1.612/2008, do Plenário, o qual lhe determinara que, </w:t>
      </w:r>
      <w:r w:rsidR="00D37FB2">
        <w:rPr>
          <w:sz w:val="22"/>
          <w:szCs w:val="22"/>
          <w:lang w:eastAsia="pt-BR"/>
        </w:rPr>
        <w:t xml:space="preserve">nos </w:t>
      </w:r>
      <w:r w:rsidR="002E1910" w:rsidRPr="00D37FB2">
        <w:rPr>
          <w:sz w:val="22"/>
          <w:szCs w:val="22"/>
          <w:lang w:eastAsia="pt-BR"/>
        </w:rPr>
        <w:t>editais de suas licitações, deixe de exigir a certificação expedida pela Organização Internacional de Normalização (</w:t>
      </w:r>
      <w:r w:rsidR="002E1910" w:rsidRPr="00D37FB2">
        <w:rPr>
          <w:b/>
          <w:sz w:val="22"/>
          <w:szCs w:val="22"/>
          <w:lang w:eastAsia="pt-BR"/>
        </w:rPr>
        <w:t xml:space="preserve">International Organization for Standardization </w:t>
      </w:r>
      <w:r w:rsidR="002E1910" w:rsidRPr="00D37FB2">
        <w:rPr>
          <w:sz w:val="22"/>
          <w:szCs w:val="22"/>
          <w:lang w:eastAsia="pt-BR"/>
        </w:rPr>
        <w:t>- ISO) e outras semelhantes, para a habilitação dos participantes ou como critério para a qualificação de propostas. Para a recorrente, “</w:t>
      </w:r>
      <w:r w:rsidR="002E1910" w:rsidRPr="00D37FB2">
        <w:rPr>
          <w:i/>
          <w:sz w:val="22"/>
          <w:szCs w:val="22"/>
          <w:lang w:eastAsia="pt-BR"/>
        </w:rPr>
        <w:t>a jurisprudência que serviu de base para a determinação contestada é relativa apenas a serviços de informática</w:t>
      </w:r>
      <w:r w:rsidR="002E1910" w:rsidRPr="00D37FB2">
        <w:rPr>
          <w:sz w:val="22"/>
          <w:szCs w:val="22"/>
          <w:lang w:eastAsia="pt-BR"/>
        </w:rPr>
        <w:t>”. Segundo o relator, no entanto, “</w:t>
      </w:r>
      <w:r w:rsidR="002E1910" w:rsidRPr="00D37FB2">
        <w:rPr>
          <w:i/>
          <w:sz w:val="22"/>
          <w:szCs w:val="22"/>
          <w:lang w:eastAsia="pt-BR"/>
        </w:rPr>
        <w:t>nenhum dos motivos que levaram à formação do entendimento deste Tribunal é exclusivo de certames dessa natureza</w:t>
      </w:r>
      <w:r w:rsidR="002E1910" w:rsidRPr="00D37FB2">
        <w:rPr>
          <w:sz w:val="22"/>
          <w:szCs w:val="22"/>
          <w:lang w:eastAsia="pt-BR"/>
        </w:rPr>
        <w:t xml:space="preserve">”. Para ele, as certificações nacionais correspondentes à família 9000 da </w:t>
      </w:r>
      <w:r w:rsidR="00D37FB2">
        <w:rPr>
          <w:sz w:val="22"/>
          <w:szCs w:val="22"/>
          <w:lang w:eastAsia="pt-BR"/>
        </w:rPr>
        <w:t>IS</w:t>
      </w:r>
      <w:r w:rsidR="002E1910" w:rsidRPr="00D37FB2">
        <w:rPr>
          <w:sz w:val="22"/>
          <w:szCs w:val="22"/>
          <w:lang w:eastAsia="pt-BR"/>
        </w:rPr>
        <w:t>O se referem, em linhas gerais, a critérios para implantação de sistemas de garantia da qualidade. Para obtê-los, a empresa deveria demonstrar a adequação de seus procedimentos de fabricação aos padrões estabelecidos na norma, o que garantiria, ao menos em tese, “</w:t>
      </w:r>
      <w:r w:rsidR="002E1910" w:rsidRPr="00D37FB2">
        <w:rPr>
          <w:i/>
          <w:sz w:val="22"/>
          <w:szCs w:val="22"/>
          <w:lang w:eastAsia="pt-BR"/>
        </w:rPr>
        <w:t>que os produtos oriundos dessa empresa tenham sempre as mesmas características</w:t>
      </w:r>
      <w:r w:rsidR="002E1910" w:rsidRPr="00D37FB2">
        <w:rPr>
          <w:sz w:val="22"/>
          <w:szCs w:val="22"/>
          <w:lang w:eastAsia="pt-BR"/>
        </w:rPr>
        <w:t>”. Todavia, ainda conforme o relator, “</w:t>
      </w:r>
      <w:r w:rsidR="002E1910" w:rsidRPr="00D37FB2">
        <w:rPr>
          <w:i/>
          <w:sz w:val="22"/>
          <w:szCs w:val="22"/>
          <w:lang w:eastAsia="pt-BR"/>
        </w:rPr>
        <w:t>isso não garante que eles tenham qualidade superior aos de uma empresa que não seja certificada</w:t>
      </w:r>
      <w:r w:rsidR="002E1910" w:rsidRPr="00D37FB2">
        <w:rPr>
          <w:sz w:val="22"/>
          <w:szCs w:val="22"/>
          <w:lang w:eastAsia="pt-BR"/>
        </w:rPr>
        <w:t xml:space="preserve">”. </w:t>
      </w:r>
      <w:r w:rsidR="00D16754">
        <w:rPr>
          <w:sz w:val="22"/>
          <w:szCs w:val="22"/>
          <w:lang w:eastAsia="pt-BR"/>
        </w:rPr>
        <w:t>A</w:t>
      </w:r>
      <w:r w:rsidR="00D16754" w:rsidRPr="00D37FB2">
        <w:rPr>
          <w:sz w:val="22"/>
          <w:szCs w:val="22"/>
          <w:lang w:eastAsia="pt-BR"/>
        </w:rPr>
        <w:t>lém do que, no ponto de vista do relator, “</w:t>
      </w:r>
      <w:r w:rsidR="00D16754" w:rsidRPr="00D37FB2">
        <w:rPr>
          <w:i/>
          <w:sz w:val="22"/>
          <w:szCs w:val="22"/>
          <w:lang w:eastAsia="pt-BR"/>
        </w:rPr>
        <w:t>obter a certificação ISO é faculdade das empresas – não há lei que a indique como condição para exercício de qualquer atividade</w:t>
      </w:r>
      <w:r w:rsidR="00D16754" w:rsidRPr="00D37FB2">
        <w:rPr>
          <w:sz w:val="22"/>
          <w:szCs w:val="22"/>
          <w:lang w:eastAsia="pt-BR"/>
        </w:rPr>
        <w:t xml:space="preserve">”. </w:t>
      </w:r>
      <w:r w:rsidR="002E1910" w:rsidRPr="00D37FB2">
        <w:rPr>
          <w:sz w:val="22"/>
          <w:szCs w:val="22"/>
          <w:lang w:eastAsia="pt-BR"/>
        </w:rPr>
        <w:t>Restritiv</w:t>
      </w:r>
      <w:r w:rsidR="00D16754">
        <w:rPr>
          <w:sz w:val="22"/>
          <w:szCs w:val="22"/>
          <w:lang w:eastAsia="pt-BR"/>
        </w:rPr>
        <w:t>a</w:t>
      </w:r>
      <w:r w:rsidR="002E1910" w:rsidRPr="00D37FB2">
        <w:rPr>
          <w:sz w:val="22"/>
          <w:szCs w:val="22"/>
          <w:lang w:eastAsia="pt-BR"/>
        </w:rPr>
        <w:t>, portanto, a exigência desse predicado como condição para qualificação em licitações, pois “</w:t>
      </w:r>
      <w:r w:rsidR="002E1910" w:rsidRPr="00D37FB2">
        <w:rPr>
          <w:i/>
          <w:sz w:val="22"/>
          <w:szCs w:val="22"/>
          <w:lang w:eastAsia="pt-BR"/>
        </w:rPr>
        <w:t>afastar os participantes não certificados reduz a possibilidade de alcance da melhor proposta para a Administração, sem que haja justificativa razoável para tanto</w:t>
      </w:r>
      <w:r w:rsidR="002E1910" w:rsidRPr="00D37FB2">
        <w:rPr>
          <w:sz w:val="22"/>
          <w:szCs w:val="22"/>
          <w:lang w:eastAsia="pt-BR"/>
        </w:rPr>
        <w:t xml:space="preserve">”. Por outro lado, não haveria óbice para a utilização do aludido certificado para atribuir pontuação a uma empresa licitante, </w:t>
      </w:r>
      <w:r w:rsidR="00D16754">
        <w:rPr>
          <w:sz w:val="22"/>
          <w:szCs w:val="22"/>
          <w:lang w:eastAsia="pt-BR"/>
        </w:rPr>
        <w:t>dado que</w:t>
      </w:r>
      <w:r w:rsidR="002E1910" w:rsidRPr="00D37FB2">
        <w:rPr>
          <w:sz w:val="22"/>
          <w:szCs w:val="22"/>
          <w:lang w:eastAsia="pt-BR"/>
        </w:rPr>
        <w:t xml:space="preserve"> isso permitiria reconhecer seu diferencial em relação a outras que não comprovaram a adequação de seu sistema de produção aos critérios de qualidade estabelecidos </w:t>
      </w:r>
      <w:r w:rsidR="002A040F" w:rsidRPr="00D37FB2">
        <w:rPr>
          <w:sz w:val="22"/>
          <w:szCs w:val="22"/>
          <w:lang w:eastAsia="pt-BR"/>
        </w:rPr>
        <w:t>em tais normas</w:t>
      </w:r>
      <w:r w:rsidR="00D16754">
        <w:rPr>
          <w:sz w:val="22"/>
          <w:szCs w:val="22"/>
          <w:lang w:eastAsia="pt-BR"/>
        </w:rPr>
        <w:t>.</w:t>
      </w:r>
      <w:r w:rsidR="00257D8A" w:rsidRPr="00D37FB2">
        <w:rPr>
          <w:sz w:val="22"/>
          <w:szCs w:val="22"/>
          <w:lang w:eastAsia="pt-BR"/>
        </w:rPr>
        <w:t xml:space="preserve"> Por conseguinte, votou por que se negasse provimento ao pedido de reexame, mantendo-se os exatos termos do Acórdão nº 1.612/2008-Plenário, no que contou com a acolhida do Plenário. </w:t>
      </w:r>
      <w:r w:rsidR="00257D8A" w:rsidRPr="00D37FB2">
        <w:rPr>
          <w:sz w:val="22"/>
          <w:szCs w:val="22"/>
        </w:rPr>
        <w:t>Precedente</w:t>
      </w:r>
      <w:r w:rsidR="00D25AEC" w:rsidRPr="00D37FB2">
        <w:rPr>
          <w:sz w:val="22"/>
          <w:szCs w:val="22"/>
        </w:rPr>
        <w:t xml:space="preserve"> citado: Acórdão n</w:t>
      </w:r>
      <w:r w:rsidR="00D25AEC" w:rsidRPr="00D37FB2">
        <w:rPr>
          <w:sz w:val="22"/>
          <w:szCs w:val="22"/>
          <w:u w:val="single"/>
          <w:vertAlign w:val="superscript"/>
        </w:rPr>
        <w:t>o</w:t>
      </w:r>
      <w:r w:rsidR="00257D8A" w:rsidRPr="00D37FB2">
        <w:rPr>
          <w:sz w:val="22"/>
          <w:szCs w:val="22"/>
        </w:rPr>
        <w:t xml:space="preserve"> </w:t>
      </w:r>
      <w:r w:rsidR="00D25AEC" w:rsidRPr="00D37FB2">
        <w:rPr>
          <w:sz w:val="22"/>
          <w:szCs w:val="22"/>
        </w:rPr>
        <w:t>2</w:t>
      </w:r>
      <w:r w:rsidR="00257D8A" w:rsidRPr="00D37FB2">
        <w:rPr>
          <w:sz w:val="22"/>
          <w:szCs w:val="22"/>
        </w:rPr>
        <w:t xml:space="preserve">461/2007, </w:t>
      </w:r>
      <w:r w:rsidR="00D25AEC" w:rsidRPr="00D37FB2">
        <w:rPr>
          <w:sz w:val="22"/>
          <w:szCs w:val="22"/>
        </w:rPr>
        <w:t xml:space="preserve">do Plenário. </w:t>
      </w:r>
      <w:r w:rsidR="00087006" w:rsidRPr="00D37FB2">
        <w:rPr>
          <w:b/>
          <w:i/>
          <w:sz w:val="22"/>
          <w:szCs w:val="22"/>
        </w:rPr>
        <w:t xml:space="preserve">Acórdão n.º </w:t>
      </w:r>
      <w:r w:rsidRPr="00D37FB2">
        <w:rPr>
          <w:b/>
          <w:i/>
          <w:sz w:val="22"/>
          <w:szCs w:val="22"/>
        </w:rPr>
        <w:t>1085/2011-Plenário, TC-007</w:t>
      </w:r>
      <w:r w:rsidR="00087006" w:rsidRPr="00D37FB2">
        <w:rPr>
          <w:b/>
          <w:i/>
          <w:sz w:val="22"/>
          <w:szCs w:val="22"/>
        </w:rPr>
        <w:t>.</w:t>
      </w:r>
      <w:r w:rsidRPr="00D37FB2">
        <w:rPr>
          <w:b/>
          <w:i/>
          <w:sz w:val="22"/>
          <w:szCs w:val="22"/>
        </w:rPr>
        <w:t>924</w:t>
      </w:r>
      <w:r w:rsidR="00DC7FFD" w:rsidRPr="00D37FB2">
        <w:rPr>
          <w:b/>
          <w:i/>
          <w:sz w:val="22"/>
          <w:szCs w:val="22"/>
        </w:rPr>
        <w:t>/20</w:t>
      </w:r>
      <w:r w:rsidR="00087006" w:rsidRPr="00D37FB2">
        <w:rPr>
          <w:b/>
          <w:i/>
          <w:sz w:val="22"/>
          <w:szCs w:val="22"/>
        </w:rPr>
        <w:t>0</w:t>
      </w:r>
      <w:r w:rsidRPr="00D37FB2">
        <w:rPr>
          <w:b/>
          <w:i/>
          <w:sz w:val="22"/>
          <w:szCs w:val="22"/>
        </w:rPr>
        <w:t>7</w:t>
      </w:r>
      <w:r w:rsidR="00087006" w:rsidRPr="00D37FB2">
        <w:rPr>
          <w:b/>
          <w:i/>
          <w:sz w:val="22"/>
          <w:szCs w:val="22"/>
        </w:rPr>
        <w:t xml:space="preserve">-0, rel. Min. </w:t>
      </w:r>
      <w:r w:rsidRPr="00D37FB2">
        <w:rPr>
          <w:b/>
          <w:i/>
          <w:sz w:val="22"/>
          <w:szCs w:val="22"/>
        </w:rPr>
        <w:t>José Múcio</w:t>
      </w:r>
      <w:r w:rsidR="00DC7FFD" w:rsidRPr="00D37FB2">
        <w:rPr>
          <w:b/>
          <w:i/>
          <w:sz w:val="22"/>
          <w:szCs w:val="22"/>
        </w:rPr>
        <w:t>, 2</w:t>
      </w:r>
      <w:r w:rsidRPr="00D37FB2">
        <w:rPr>
          <w:b/>
          <w:i/>
          <w:sz w:val="22"/>
          <w:szCs w:val="22"/>
        </w:rPr>
        <w:t>7</w:t>
      </w:r>
      <w:r w:rsidR="00087006" w:rsidRPr="00D37FB2">
        <w:rPr>
          <w:b/>
          <w:i/>
          <w:sz w:val="22"/>
          <w:szCs w:val="22"/>
        </w:rPr>
        <w:t>.04.2011.</w:t>
      </w:r>
    </w:p>
    <w:p w:rsidR="00457F93" w:rsidRPr="00D37FB2" w:rsidRDefault="00457F93" w:rsidP="00B006D8">
      <w:pPr>
        <w:pStyle w:val="TCU-RelVoto-1"/>
        <w:spacing w:after="0"/>
        <w:ind w:firstLine="0"/>
        <w:rPr>
          <w:color w:val="FF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</w:tblGrid>
      <w:tr w:rsidR="007334B1" w:rsidRPr="007C2A55" w:rsidTr="0030360F">
        <w:trPr>
          <w:trHeight w:val="779"/>
          <w:jc w:val="center"/>
        </w:trPr>
        <w:tc>
          <w:tcPr>
            <w:tcW w:w="0" w:type="auto"/>
            <w:vAlign w:val="center"/>
          </w:tcPr>
          <w:p w:rsidR="007334B1" w:rsidRPr="007C2A55" w:rsidRDefault="00C10DD5" w:rsidP="0030360F">
            <w:pPr>
              <w:pStyle w:val="enter-3pt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Elaboração: Secretaria das Sessões</w:t>
            </w:r>
          </w:p>
          <w:p w:rsidR="007334B1" w:rsidRPr="007C2A55" w:rsidRDefault="007334B1" w:rsidP="0030360F">
            <w:pPr>
              <w:pStyle w:val="enter-3pt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7C2A55">
              <w:rPr>
                <w:b/>
                <w:i/>
                <w:sz w:val="18"/>
                <w:szCs w:val="18"/>
              </w:rPr>
              <w:t xml:space="preserve">Contato: </w:t>
            </w:r>
            <w:hyperlink r:id="rId7" w:history="1">
              <w:r w:rsidRPr="007C2A55">
                <w:rPr>
                  <w:rStyle w:val="Hyperlink"/>
                  <w:b/>
                  <w:i/>
                  <w:color w:val="auto"/>
                  <w:sz w:val="18"/>
                  <w:szCs w:val="18"/>
                </w:rPr>
                <w:t>infojuris@tcu.gov.br</w:t>
              </w:r>
            </w:hyperlink>
          </w:p>
        </w:tc>
      </w:tr>
    </w:tbl>
    <w:p w:rsidR="007334B1" w:rsidRPr="007C2A55" w:rsidRDefault="007334B1" w:rsidP="007334B1">
      <w:pPr>
        <w:pStyle w:val="enter-3pt"/>
        <w:spacing w:line="240" w:lineRule="auto"/>
        <w:jc w:val="center"/>
        <w:rPr>
          <w:b/>
          <w:sz w:val="22"/>
          <w:szCs w:val="22"/>
        </w:rPr>
      </w:pPr>
    </w:p>
    <w:sectPr w:rsidR="007334B1" w:rsidRPr="007C2A55" w:rsidSect="00F340CD">
      <w:headerReference w:type="default" r:id="rId8"/>
      <w:footerReference w:type="default" r:id="rId9"/>
      <w:pgSz w:w="11906" w:h="16838" w:code="9"/>
      <w:pgMar w:top="1134" w:right="851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CA" w:rsidRDefault="001F22CA" w:rsidP="008B0547">
      <w:pPr>
        <w:spacing w:after="0"/>
      </w:pPr>
      <w:r>
        <w:separator/>
      </w:r>
    </w:p>
  </w:endnote>
  <w:endnote w:type="continuationSeparator" w:id="0">
    <w:p w:rsidR="001F22CA" w:rsidRDefault="001F22CA" w:rsidP="008B0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7" w:rsidRPr="00C906CD" w:rsidRDefault="00C906CD" w:rsidP="004E357A">
    <w:pPr>
      <w:pStyle w:val="Rodap"/>
      <w:jc w:val="right"/>
      <w:rPr>
        <w:sz w:val="20"/>
        <w:szCs w:val="20"/>
      </w:rPr>
    </w:pPr>
    <w:r w:rsidRPr="00C906CD">
      <w:rPr>
        <w:sz w:val="20"/>
        <w:szCs w:val="20"/>
      </w:rPr>
      <w:fldChar w:fldCharType="begin"/>
    </w:r>
    <w:r w:rsidRPr="00C906CD">
      <w:rPr>
        <w:sz w:val="20"/>
        <w:szCs w:val="20"/>
      </w:rPr>
      <w:instrText xml:space="preserve"> PAGE   \* MERGEFORMAT </w:instrText>
    </w:r>
    <w:r w:rsidRPr="00C906CD">
      <w:rPr>
        <w:sz w:val="20"/>
        <w:szCs w:val="20"/>
      </w:rPr>
      <w:fldChar w:fldCharType="separate"/>
    </w:r>
    <w:r w:rsidR="00B537C2">
      <w:rPr>
        <w:noProof/>
        <w:sz w:val="20"/>
        <w:szCs w:val="20"/>
      </w:rPr>
      <w:t>1</w:t>
    </w:r>
    <w:r w:rsidRPr="00C906C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CA" w:rsidRDefault="001F22CA" w:rsidP="008B0547">
      <w:pPr>
        <w:spacing w:after="0"/>
      </w:pPr>
      <w:r>
        <w:separator/>
      </w:r>
    </w:p>
  </w:footnote>
  <w:footnote w:type="continuationSeparator" w:id="0">
    <w:p w:rsidR="001F22CA" w:rsidRDefault="001F22CA" w:rsidP="008B0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7" w:rsidRDefault="00064DF7" w:rsidP="00080148">
    <w:pPr>
      <w:spacing w:after="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-71120</wp:posOffset>
          </wp:positionV>
          <wp:extent cx="551815" cy="436880"/>
          <wp:effectExtent l="0" t="0" r="635" b="1270"/>
          <wp:wrapNone/>
          <wp:docPr id="2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547">
      <w:rPr>
        <w:rFonts w:ascii="Arial" w:hAnsi="Arial" w:cs="Arial"/>
        <w:b/>
      </w:rPr>
      <w:t>TRIBUNAL DE CONTAS DA UNIÃO</w:t>
    </w:r>
  </w:p>
  <w:p w:rsidR="008B0547" w:rsidRPr="00515E7B" w:rsidRDefault="00064DF7" w:rsidP="00080148">
    <w:pPr>
      <w:spacing w:after="0"/>
      <w:rPr>
        <w:rFonts w:ascii="Arial" w:hAnsi="Arial" w:cs="Arial"/>
        <w:b/>
      </w:rPr>
    </w:pPr>
    <w:r w:rsidRPr="00515E7B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243840</wp:posOffset>
              </wp:positionV>
              <wp:extent cx="6120130" cy="0"/>
              <wp:effectExtent l="8890" t="5715" r="508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3F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95pt,19.2pt" to="484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">
              <w10:wrap anchorx="margin"/>
            </v:line>
          </w:pict>
        </mc:Fallback>
      </mc:AlternateContent>
    </w:r>
    <w:r w:rsidR="00515E7B" w:rsidRPr="00515E7B">
      <w:rPr>
        <w:rFonts w:ascii="Arial" w:hAnsi="Arial" w:cs="Arial"/>
        <w:noProof/>
        <w:lang w:eastAsia="pt-BR"/>
      </w:rPr>
      <w:t>Info</w:t>
    </w:r>
    <w:r w:rsidR="006F4DE0">
      <w:rPr>
        <w:rFonts w:ascii="Arial" w:hAnsi="Arial" w:cs="Arial"/>
        <w:noProof/>
        <w:lang w:eastAsia="pt-BR"/>
      </w:rPr>
      <w:t>rmativo</w:t>
    </w:r>
    <w:r w:rsidR="00515E7B">
      <w:rPr>
        <w:rFonts w:ascii="Arial" w:hAnsi="Arial" w:cs="Arial"/>
        <w:noProof/>
        <w:lang w:eastAsia="pt-BR"/>
      </w:rPr>
      <w:t xml:space="preserve"> </w:t>
    </w:r>
    <w:r w:rsidR="002810D9">
      <w:rPr>
        <w:rFonts w:ascii="Arial" w:hAnsi="Arial" w:cs="Arial"/>
        <w:noProof/>
        <w:lang w:eastAsia="pt-BR"/>
      </w:rPr>
      <w:t>de Jurisprudência sobre</w:t>
    </w:r>
    <w:r w:rsidR="00515E7B">
      <w:rPr>
        <w:rFonts w:ascii="Arial" w:hAnsi="Arial" w:cs="Arial"/>
        <w:noProof/>
        <w:lang w:eastAsia="pt-BR"/>
      </w:rPr>
      <w:t xml:space="preserve"> </w:t>
    </w:r>
    <w:r w:rsidR="002810D9">
      <w:rPr>
        <w:rFonts w:ascii="Arial" w:hAnsi="Arial" w:cs="Arial"/>
        <w:noProof/>
        <w:lang w:eastAsia="pt-BR"/>
      </w:rPr>
      <w:t>L</w:t>
    </w:r>
    <w:r w:rsidR="00515E7B" w:rsidRPr="00515E7B">
      <w:rPr>
        <w:rFonts w:ascii="Arial" w:hAnsi="Arial" w:cs="Arial"/>
        <w:noProof/>
        <w:lang w:eastAsia="pt-BR"/>
      </w:rPr>
      <w:t xml:space="preserve">icitações e </w:t>
    </w:r>
    <w:r w:rsidR="002810D9">
      <w:rPr>
        <w:rFonts w:ascii="Arial" w:hAnsi="Arial" w:cs="Arial"/>
        <w:noProof/>
        <w:lang w:eastAsia="pt-BR"/>
      </w:rPr>
      <w:t>C</w:t>
    </w:r>
    <w:r w:rsidR="00515E7B" w:rsidRPr="00515E7B">
      <w:rPr>
        <w:rFonts w:ascii="Arial" w:hAnsi="Arial" w:cs="Arial"/>
        <w:noProof/>
        <w:lang w:eastAsia="pt-BR"/>
      </w:rPr>
      <w:t>ontratos</w:t>
    </w:r>
    <w:r w:rsidR="00FF7C62">
      <w:rPr>
        <w:rFonts w:ascii="Arial" w:hAnsi="Arial" w:cs="Arial"/>
        <w:noProof/>
        <w:lang w:eastAsia="pt-BR"/>
      </w:rPr>
      <w:t xml:space="preserve"> nº </w:t>
    </w:r>
    <w:r w:rsidR="00B10AD8">
      <w:rPr>
        <w:rFonts w:ascii="Arial" w:hAnsi="Arial" w:cs="Arial"/>
        <w:noProof/>
        <w:lang w:eastAsia="pt-BR"/>
      </w:rPr>
      <w:t>60</w:t>
    </w:r>
  </w:p>
  <w:p w:rsidR="008B0547" w:rsidRDefault="008B05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BB1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3D0350"/>
    <w:multiLevelType w:val="hybridMultilevel"/>
    <w:tmpl w:val="720CCA86"/>
    <w:lvl w:ilvl="0" w:tplc="E6D07442">
      <w:start w:val="2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F393A"/>
    <w:multiLevelType w:val="hybridMultilevel"/>
    <w:tmpl w:val="CC3EFE78"/>
    <w:lvl w:ilvl="0" w:tplc="F27285C2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538BA"/>
    <w:multiLevelType w:val="multilevel"/>
    <w:tmpl w:val="003A07F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11202DB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7844A58"/>
    <w:multiLevelType w:val="hybridMultilevel"/>
    <w:tmpl w:val="5A222BB8"/>
    <w:lvl w:ilvl="0" w:tplc="C8562B38">
      <w:start w:val="2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85F349C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9283672"/>
    <w:multiLevelType w:val="hybridMultilevel"/>
    <w:tmpl w:val="889899D2"/>
    <w:lvl w:ilvl="0" w:tplc="E45636D6">
      <w:start w:val="2"/>
      <w:numFmt w:val="decimal"/>
      <w:pStyle w:val="Normal-numerado-VOT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A666309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00E7711"/>
    <w:multiLevelType w:val="singleLevel"/>
    <w:tmpl w:val="1692631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</w:abstractNum>
  <w:abstractNum w:abstractNumId="10">
    <w:nsid w:val="214212D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22E7845"/>
    <w:multiLevelType w:val="multilevel"/>
    <w:tmpl w:val="90E2DA7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12">
    <w:nsid w:val="239C54D4"/>
    <w:multiLevelType w:val="hybridMultilevel"/>
    <w:tmpl w:val="EFBED870"/>
    <w:lvl w:ilvl="0" w:tplc="0416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3">
    <w:nsid w:val="2C6715D6"/>
    <w:multiLevelType w:val="singleLevel"/>
    <w:tmpl w:val="B478D55A"/>
    <w:lvl w:ilvl="0">
      <w:start w:val="2"/>
      <w:numFmt w:val="decimal"/>
      <w:pStyle w:val="votonumerado"/>
      <w:lvlText w:val="%1."/>
      <w:lvlJc w:val="left"/>
      <w:pPr>
        <w:tabs>
          <w:tab w:val="num" w:pos="360"/>
        </w:tabs>
      </w:pPr>
      <w:rPr>
        <w:rFonts w:ascii="Times New (W1)" w:hAnsi="Times New (W1)" w:cs="Times New Roman" w:hint="default"/>
        <w:b w:val="0"/>
        <w:i w:val="0"/>
        <w:sz w:val="24"/>
      </w:rPr>
    </w:lvl>
  </w:abstractNum>
  <w:abstractNum w:abstractNumId="14">
    <w:nsid w:val="39384A0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0318ED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25027A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576ABE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24A2369"/>
    <w:multiLevelType w:val="hybridMultilevel"/>
    <w:tmpl w:val="5FA23E98"/>
    <w:lvl w:ilvl="0" w:tplc="04160001">
      <w:start w:val="1"/>
      <w:numFmt w:val="lowerLetter"/>
      <w:pStyle w:val="tensletras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1A6E6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CFC6DCD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71316A9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E4770F8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585349A"/>
    <w:multiLevelType w:val="singleLevel"/>
    <w:tmpl w:val="4170D9F4"/>
    <w:lvl w:ilvl="0">
      <w:start w:val="1"/>
      <w:numFmt w:val="decimal"/>
      <w:pStyle w:val="CorpodeTextoResumo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E7641F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0"/>
  </w:num>
  <w:num w:numId="5">
    <w:abstractNumId w:val="10"/>
  </w:num>
  <w:num w:numId="6">
    <w:abstractNumId w:val="15"/>
  </w:num>
  <w:num w:numId="7">
    <w:abstractNumId w:val="22"/>
  </w:num>
  <w:num w:numId="8">
    <w:abstractNumId w:val="20"/>
  </w:num>
  <w:num w:numId="9">
    <w:abstractNumId w:val="17"/>
  </w:num>
  <w:num w:numId="10">
    <w:abstractNumId w:val="6"/>
  </w:num>
  <w:num w:numId="11">
    <w:abstractNumId w:val="24"/>
  </w:num>
  <w:num w:numId="12">
    <w:abstractNumId w:val="4"/>
  </w:num>
  <w:num w:numId="13">
    <w:abstractNumId w:val="1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23"/>
    <w:lvlOverride w:ilvl="0">
      <w:startOverride w:val="1"/>
    </w:lvlOverride>
  </w:num>
  <w:num w:numId="19">
    <w:abstractNumId w:val="18"/>
  </w:num>
  <w:num w:numId="20">
    <w:abstractNumId w:val="11"/>
  </w:num>
  <w:num w:numId="21">
    <w:abstractNumId w:val="7"/>
  </w:num>
  <w:num w:numId="22">
    <w:abstractNumId w:val="9"/>
  </w:num>
  <w:num w:numId="23">
    <w:abstractNumId w:val="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7"/>
    <w:rsid w:val="00000605"/>
    <w:rsid w:val="00001878"/>
    <w:rsid w:val="00003CEA"/>
    <w:rsid w:val="00004614"/>
    <w:rsid w:val="00005435"/>
    <w:rsid w:val="00005E1E"/>
    <w:rsid w:val="00012468"/>
    <w:rsid w:val="0001636D"/>
    <w:rsid w:val="00023D72"/>
    <w:rsid w:val="00025450"/>
    <w:rsid w:val="000271FA"/>
    <w:rsid w:val="00032198"/>
    <w:rsid w:val="00037DCE"/>
    <w:rsid w:val="00041450"/>
    <w:rsid w:val="0004660A"/>
    <w:rsid w:val="00052B15"/>
    <w:rsid w:val="0005412B"/>
    <w:rsid w:val="00054432"/>
    <w:rsid w:val="000562CD"/>
    <w:rsid w:val="00056D51"/>
    <w:rsid w:val="0006028E"/>
    <w:rsid w:val="00061C2E"/>
    <w:rsid w:val="00064DF7"/>
    <w:rsid w:val="00065E95"/>
    <w:rsid w:val="00070785"/>
    <w:rsid w:val="0007259B"/>
    <w:rsid w:val="00074384"/>
    <w:rsid w:val="00074AC5"/>
    <w:rsid w:val="00077A56"/>
    <w:rsid w:val="00080148"/>
    <w:rsid w:val="000835D8"/>
    <w:rsid w:val="00084727"/>
    <w:rsid w:val="00087006"/>
    <w:rsid w:val="0009133A"/>
    <w:rsid w:val="000916AF"/>
    <w:rsid w:val="00092C2E"/>
    <w:rsid w:val="00094C5B"/>
    <w:rsid w:val="00095D98"/>
    <w:rsid w:val="00097863"/>
    <w:rsid w:val="000A0EF8"/>
    <w:rsid w:val="000A152A"/>
    <w:rsid w:val="000A1EBD"/>
    <w:rsid w:val="000A2C56"/>
    <w:rsid w:val="000A6269"/>
    <w:rsid w:val="000A62BD"/>
    <w:rsid w:val="000B0ECB"/>
    <w:rsid w:val="000B0FEA"/>
    <w:rsid w:val="000B2AFA"/>
    <w:rsid w:val="000C4A10"/>
    <w:rsid w:val="000D1878"/>
    <w:rsid w:val="000D1B91"/>
    <w:rsid w:val="000D1FD7"/>
    <w:rsid w:val="000D6418"/>
    <w:rsid w:val="000D7DB6"/>
    <w:rsid w:val="000D7DED"/>
    <w:rsid w:val="000E020F"/>
    <w:rsid w:val="000E2D47"/>
    <w:rsid w:val="000E3B31"/>
    <w:rsid w:val="000E504D"/>
    <w:rsid w:val="000F2F92"/>
    <w:rsid w:val="000F6D85"/>
    <w:rsid w:val="000F7CEE"/>
    <w:rsid w:val="000F7D84"/>
    <w:rsid w:val="001041ED"/>
    <w:rsid w:val="001104BA"/>
    <w:rsid w:val="00112676"/>
    <w:rsid w:val="00112A5F"/>
    <w:rsid w:val="0011373A"/>
    <w:rsid w:val="00114511"/>
    <w:rsid w:val="00126026"/>
    <w:rsid w:val="00130A0C"/>
    <w:rsid w:val="00133EA9"/>
    <w:rsid w:val="00140FED"/>
    <w:rsid w:val="00141D7A"/>
    <w:rsid w:val="001420D1"/>
    <w:rsid w:val="001444A2"/>
    <w:rsid w:val="00151F92"/>
    <w:rsid w:val="0015258E"/>
    <w:rsid w:val="00152ECC"/>
    <w:rsid w:val="001532E4"/>
    <w:rsid w:val="00156A48"/>
    <w:rsid w:val="00157614"/>
    <w:rsid w:val="00157AFE"/>
    <w:rsid w:val="00157C0F"/>
    <w:rsid w:val="001744E7"/>
    <w:rsid w:val="00176375"/>
    <w:rsid w:val="00195F77"/>
    <w:rsid w:val="001A0CC1"/>
    <w:rsid w:val="001A330B"/>
    <w:rsid w:val="001A58D8"/>
    <w:rsid w:val="001A60A2"/>
    <w:rsid w:val="001A79D3"/>
    <w:rsid w:val="001B3E8E"/>
    <w:rsid w:val="001B4F90"/>
    <w:rsid w:val="001B6823"/>
    <w:rsid w:val="001B7F4F"/>
    <w:rsid w:val="001C0575"/>
    <w:rsid w:val="001C1568"/>
    <w:rsid w:val="001C437E"/>
    <w:rsid w:val="001C71E3"/>
    <w:rsid w:val="001D03C7"/>
    <w:rsid w:val="001D1478"/>
    <w:rsid w:val="001D1E52"/>
    <w:rsid w:val="001D56C3"/>
    <w:rsid w:val="001D74CE"/>
    <w:rsid w:val="001E0BF1"/>
    <w:rsid w:val="001E1E28"/>
    <w:rsid w:val="001E2620"/>
    <w:rsid w:val="001E4147"/>
    <w:rsid w:val="001E7019"/>
    <w:rsid w:val="001E747D"/>
    <w:rsid w:val="001E7C3D"/>
    <w:rsid w:val="001F00DF"/>
    <w:rsid w:val="001F1E8F"/>
    <w:rsid w:val="001F22CA"/>
    <w:rsid w:val="00200260"/>
    <w:rsid w:val="002002CE"/>
    <w:rsid w:val="0020066F"/>
    <w:rsid w:val="0020107A"/>
    <w:rsid w:val="0020135D"/>
    <w:rsid w:val="00201FED"/>
    <w:rsid w:val="00202EAD"/>
    <w:rsid w:val="00203A6F"/>
    <w:rsid w:val="00211816"/>
    <w:rsid w:val="00225D42"/>
    <w:rsid w:val="00226AEF"/>
    <w:rsid w:val="00226D9D"/>
    <w:rsid w:val="00232158"/>
    <w:rsid w:val="002328F9"/>
    <w:rsid w:val="00233CE3"/>
    <w:rsid w:val="002343BF"/>
    <w:rsid w:val="0023535F"/>
    <w:rsid w:val="00242061"/>
    <w:rsid w:val="002435FC"/>
    <w:rsid w:val="002442D9"/>
    <w:rsid w:val="00244BA7"/>
    <w:rsid w:val="0024593F"/>
    <w:rsid w:val="002476B6"/>
    <w:rsid w:val="00253242"/>
    <w:rsid w:val="00254590"/>
    <w:rsid w:val="00257D8A"/>
    <w:rsid w:val="00262359"/>
    <w:rsid w:val="0026362E"/>
    <w:rsid w:val="002649A7"/>
    <w:rsid w:val="00264FC3"/>
    <w:rsid w:val="002663B7"/>
    <w:rsid w:val="002666C5"/>
    <w:rsid w:val="00271CD7"/>
    <w:rsid w:val="00271D81"/>
    <w:rsid w:val="0027213F"/>
    <w:rsid w:val="00273E72"/>
    <w:rsid w:val="00274068"/>
    <w:rsid w:val="0027498E"/>
    <w:rsid w:val="0027686D"/>
    <w:rsid w:val="00276DC0"/>
    <w:rsid w:val="00280F3D"/>
    <w:rsid w:val="002810D9"/>
    <w:rsid w:val="00281830"/>
    <w:rsid w:val="002830F6"/>
    <w:rsid w:val="00287326"/>
    <w:rsid w:val="0029043B"/>
    <w:rsid w:val="00290A06"/>
    <w:rsid w:val="0029211E"/>
    <w:rsid w:val="0029450E"/>
    <w:rsid w:val="00297A00"/>
    <w:rsid w:val="002A040F"/>
    <w:rsid w:val="002A190F"/>
    <w:rsid w:val="002A2129"/>
    <w:rsid w:val="002A3B3F"/>
    <w:rsid w:val="002B409B"/>
    <w:rsid w:val="002B4392"/>
    <w:rsid w:val="002B56C3"/>
    <w:rsid w:val="002B5AD5"/>
    <w:rsid w:val="002B5C5A"/>
    <w:rsid w:val="002B6422"/>
    <w:rsid w:val="002B71BA"/>
    <w:rsid w:val="002C208E"/>
    <w:rsid w:val="002C506F"/>
    <w:rsid w:val="002C7B61"/>
    <w:rsid w:val="002C7B6D"/>
    <w:rsid w:val="002D1688"/>
    <w:rsid w:val="002D35F5"/>
    <w:rsid w:val="002D47FE"/>
    <w:rsid w:val="002D532D"/>
    <w:rsid w:val="002D739A"/>
    <w:rsid w:val="002D76AB"/>
    <w:rsid w:val="002E1545"/>
    <w:rsid w:val="002E1910"/>
    <w:rsid w:val="002E28BA"/>
    <w:rsid w:val="002E361C"/>
    <w:rsid w:val="002E3943"/>
    <w:rsid w:val="002E3F7C"/>
    <w:rsid w:val="002E4254"/>
    <w:rsid w:val="002E4F13"/>
    <w:rsid w:val="002E4FB7"/>
    <w:rsid w:val="002F104B"/>
    <w:rsid w:val="002F1C09"/>
    <w:rsid w:val="002F5F3B"/>
    <w:rsid w:val="002F693C"/>
    <w:rsid w:val="002F7C6D"/>
    <w:rsid w:val="003020F4"/>
    <w:rsid w:val="003025C7"/>
    <w:rsid w:val="0030360F"/>
    <w:rsid w:val="00303790"/>
    <w:rsid w:val="00303984"/>
    <w:rsid w:val="00304A73"/>
    <w:rsid w:val="003057F7"/>
    <w:rsid w:val="003069F9"/>
    <w:rsid w:val="00310208"/>
    <w:rsid w:val="0031058F"/>
    <w:rsid w:val="0031089E"/>
    <w:rsid w:val="00310D69"/>
    <w:rsid w:val="003147B7"/>
    <w:rsid w:val="00317E59"/>
    <w:rsid w:val="00322AE7"/>
    <w:rsid w:val="00325246"/>
    <w:rsid w:val="003275E4"/>
    <w:rsid w:val="0033244F"/>
    <w:rsid w:val="00337E16"/>
    <w:rsid w:val="00340E66"/>
    <w:rsid w:val="00340F10"/>
    <w:rsid w:val="00342A44"/>
    <w:rsid w:val="0034486B"/>
    <w:rsid w:val="00344D92"/>
    <w:rsid w:val="003455A2"/>
    <w:rsid w:val="00350E87"/>
    <w:rsid w:val="00353B7C"/>
    <w:rsid w:val="0035438E"/>
    <w:rsid w:val="00355828"/>
    <w:rsid w:val="00356E38"/>
    <w:rsid w:val="00357CBE"/>
    <w:rsid w:val="00361487"/>
    <w:rsid w:val="00361661"/>
    <w:rsid w:val="00377407"/>
    <w:rsid w:val="00381780"/>
    <w:rsid w:val="003824E4"/>
    <w:rsid w:val="00383CFE"/>
    <w:rsid w:val="003853FF"/>
    <w:rsid w:val="00385609"/>
    <w:rsid w:val="00385DAB"/>
    <w:rsid w:val="0038696B"/>
    <w:rsid w:val="00390ED6"/>
    <w:rsid w:val="00392509"/>
    <w:rsid w:val="003943E5"/>
    <w:rsid w:val="00397D8E"/>
    <w:rsid w:val="003A105C"/>
    <w:rsid w:val="003A2222"/>
    <w:rsid w:val="003A3262"/>
    <w:rsid w:val="003A5479"/>
    <w:rsid w:val="003A5C1B"/>
    <w:rsid w:val="003A7C7F"/>
    <w:rsid w:val="003B0304"/>
    <w:rsid w:val="003B043F"/>
    <w:rsid w:val="003B155C"/>
    <w:rsid w:val="003B1E19"/>
    <w:rsid w:val="003B2E10"/>
    <w:rsid w:val="003B33CE"/>
    <w:rsid w:val="003B343D"/>
    <w:rsid w:val="003B56D7"/>
    <w:rsid w:val="003C1911"/>
    <w:rsid w:val="003C1B4F"/>
    <w:rsid w:val="003C2288"/>
    <w:rsid w:val="003C3336"/>
    <w:rsid w:val="003C39E6"/>
    <w:rsid w:val="003C6DEB"/>
    <w:rsid w:val="003C7585"/>
    <w:rsid w:val="003C7A5C"/>
    <w:rsid w:val="003D660C"/>
    <w:rsid w:val="003D73BD"/>
    <w:rsid w:val="003D7CCE"/>
    <w:rsid w:val="003E0D8C"/>
    <w:rsid w:val="003E154A"/>
    <w:rsid w:val="003E1B68"/>
    <w:rsid w:val="003E65D7"/>
    <w:rsid w:val="003F1CE1"/>
    <w:rsid w:val="003F413A"/>
    <w:rsid w:val="003F54FB"/>
    <w:rsid w:val="003F6D1F"/>
    <w:rsid w:val="00405316"/>
    <w:rsid w:val="00412CEF"/>
    <w:rsid w:val="004169D8"/>
    <w:rsid w:val="004201AF"/>
    <w:rsid w:val="00425FF9"/>
    <w:rsid w:val="00427B3B"/>
    <w:rsid w:val="00427EBF"/>
    <w:rsid w:val="00431085"/>
    <w:rsid w:val="00435269"/>
    <w:rsid w:val="004362AB"/>
    <w:rsid w:val="004415FB"/>
    <w:rsid w:val="00441CE3"/>
    <w:rsid w:val="004421F5"/>
    <w:rsid w:val="0044434A"/>
    <w:rsid w:val="0044437F"/>
    <w:rsid w:val="00445E76"/>
    <w:rsid w:val="00446606"/>
    <w:rsid w:val="00447217"/>
    <w:rsid w:val="00452C60"/>
    <w:rsid w:val="00457F93"/>
    <w:rsid w:val="004617A9"/>
    <w:rsid w:val="0046384E"/>
    <w:rsid w:val="00464CF4"/>
    <w:rsid w:val="00466E73"/>
    <w:rsid w:val="0046706B"/>
    <w:rsid w:val="00467815"/>
    <w:rsid w:val="00471284"/>
    <w:rsid w:val="00472FB0"/>
    <w:rsid w:val="00473696"/>
    <w:rsid w:val="00473721"/>
    <w:rsid w:val="0047491E"/>
    <w:rsid w:val="004837C6"/>
    <w:rsid w:val="00483998"/>
    <w:rsid w:val="00484E4C"/>
    <w:rsid w:val="00491438"/>
    <w:rsid w:val="00492E3F"/>
    <w:rsid w:val="00493F5C"/>
    <w:rsid w:val="004A171B"/>
    <w:rsid w:val="004A2385"/>
    <w:rsid w:val="004A2D91"/>
    <w:rsid w:val="004B0194"/>
    <w:rsid w:val="004B1113"/>
    <w:rsid w:val="004B1DC3"/>
    <w:rsid w:val="004B36AE"/>
    <w:rsid w:val="004C61A3"/>
    <w:rsid w:val="004C6E03"/>
    <w:rsid w:val="004C780C"/>
    <w:rsid w:val="004D3441"/>
    <w:rsid w:val="004D6A38"/>
    <w:rsid w:val="004D6C65"/>
    <w:rsid w:val="004D708E"/>
    <w:rsid w:val="004D760C"/>
    <w:rsid w:val="004D7C91"/>
    <w:rsid w:val="004E26E4"/>
    <w:rsid w:val="004E357A"/>
    <w:rsid w:val="004E5000"/>
    <w:rsid w:val="004E65EB"/>
    <w:rsid w:val="004F7174"/>
    <w:rsid w:val="00500DD0"/>
    <w:rsid w:val="005012AA"/>
    <w:rsid w:val="0050355D"/>
    <w:rsid w:val="005055B5"/>
    <w:rsid w:val="00510D1D"/>
    <w:rsid w:val="00511BBF"/>
    <w:rsid w:val="00515E7B"/>
    <w:rsid w:val="005217F8"/>
    <w:rsid w:val="0052267A"/>
    <w:rsid w:val="00531143"/>
    <w:rsid w:val="00534A44"/>
    <w:rsid w:val="00536332"/>
    <w:rsid w:val="00542821"/>
    <w:rsid w:val="00543514"/>
    <w:rsid w:val="005438A1"/>
    <w:rsid w:val="00543B81"/>
    <w:rsid w:val="00543EB8"/>
    <w:rsid w:val="00544FCF"/>
    <w:rsid w:val="00545A47"/>
    <w:rsid w:val="00545FC7"/>
    <w:rsid w:val="0054634E"/>
    <w:rsid w:val="00546B67"/>
    <w:rsid w:val="00554A33"/>
    <w:rsid w:val="0055716D"/>
    <w:rsid w:val="00557953"/>
    <w:rsid w:val="00560E55"/>
    <w:rsid w:val="0056301A"/>
    <w:rsid w:val="005635AD"/>
    <w:rsid w:val="005640E1"/>
    <w:rsid w:val="00564EA1"/>
    <w:rsid w:val="0056534C"/>
    <w:rsid w:val="00567CEE"/>
    <w:rsid w:val="005713F4"/>
    <w:rsid w:val="00571E64"/>
    <w:rsid w:val="00575CC3"/>
    <w:rsid w:val="00580F26"/>
    <w:rsid w:val="00581A7C"/>
    <w:rsid w:val="0058427E"/>
    <w:rsid w:val="005864FA"/>
    <w:rsid w:val="00590907"/>
    <w:rsid w:val="0059346F"/>
    <w:rsid w:val="00594A7B"/>
    <w:rsid w:val="005A2D82"/>
    <w:rsid w:val="005A3835"/>
    <w:rsid w:val="005A3AEC"/>
    <w:rsid w:val="005A6858"/>
    <w:rsid w:val="005A72F2"/>
    <w:rsid w:val="005B2194"/>
    <w:rsid w:val="005B2BC3"/>
    <w:rsid w:val="005B4CFA"/>
    <w:rsid w:val="005B5B3D"/>
    <w:rsid w:val="005C1A79"/>
    <w:rsid w:val="005C7644"/>
    <w:rsid w:val="005C7BF4"/>
    <w:rsid w:val="005D3352"/>
    <w:rsid w:val="005E269C"/>
    <w:rsid w:val="005E3586"/>
    <w:rsid w:val="005E3EC0"/>
    <w:rsid w:val="005E4DEE"/>
    <w:rsid w:val="005E5FF1"/>
    <w:rsid w:val="005F01CE"/>
    <w:rsid w:val="005F135B"/>
    <w:rsid w:val="005F70B6"/>
    <w:rsid w:val="005F7A87"/>
    <w:rsid w:val="00601F0A"/>
    <w:rsid w:val="00604DBE"/>
    <w:rsid w:val="006063E1"/>
    <w:rsid w:val="006065E4"/>
    <w:rsid w:val="00610039"/>
    <w:rsid w:val="00610381"/>
    <w:rsid w:val="00611E07"/>
    <w:rsid w:val="00612045"/>
    <w:rsid w:val="00612F12"/>
    <w:rsid w:val="00613AC9"/>
    <w:rsid w:val="00615808"/>
    <w:rsid w:val="00620E86"/>
    <w:rsid w:val="006219DD"/>
    <w:rsid w:val="00623DAF"/>
    <w:rsid w:val="00631FE7"/>
    <w:rsid w:val="00632ACC"/>
    <w:rsid w:val="006345C1"/>
    <w:rsid w:val="00637FDD"/>
    <w:rsid w:val="00641E57"/>
    <w:rsid w:val="006503A5"/>
    <w:rsid w:val="00650463"/>
    <w:rsid w:val="00651660"/>
    <w:rsid w:val="00652171"/>
    <w:rsid w:val="006532C3"/>
    <w:rsid w:val="00666285"/>
    <w:rsid w:val="00670FEA"/>
    <w:rsid w:val="00671DC9"/>
    <w:rsid w:val="006734AA"/>
    <w:rsid w:val="0067353C"/>
    <w:rsid w:val="00676163"/>
    <w:rsid w:val="00677C22"/>
    <w:rsid w:val="006808CC"/>
    <w:rsid w:val="00685899"/>
    <w:rsid w:val="00692D30"/>
    <w:rsid w:val="00695597"/>
    <w:rsid w:val="00696A89"/>
    <w:rsid w:val="00697477"/>
    <w:rsid w:val="006A037E"/>
    <w:rsid w:val="006A2019"/>
    <w:rsid w:val="006A3D41"/>
    <w:rsid w:val="006A7796"/>
    <w:rsid w:val="006B0495"/>
    <w:rsid w:val="006B0DCB"/>
    <w:rsid w:val="006B2408"/>
    <w:rsid w:val="006B3AF9"/>
    <w:rsid w:val="006B414C"/>
    <w:rsid w:val="006B4B0F"/>
    <w:rsid w:val="006C335E"/>
    <w:rsid w:val="006C5C6C"/>
    <w:rsid w:val="006C7DE0"/>
    <w:rsid w:val="006D4245"/>
    <w:rsid w:val="006E0A93"/>
    <w:rsid w:val="006E4064"/>
    <w:rsid w:val="006E58EA"/>
    <w:rsid w:val="006F0036"/>
    <w:rsid w:val="006F2F67"/>
    <w:rsid w:val="006F4DE0"/>
    <w:rsid w:val="006F4FB2"/>
    <w:rsid w:val="006F6483"/>
    <w:rsid w:val="006F7332"/>
    <w:rsid w:val="0070385B"/>
    <w:rsid w:val="0070494F"/>
    <w:rsid w:val="00705758"/>
    <w:rsid w:val="0070717A"/>
    <w:rsid w:val="00707244"/>
    <w:rsid w:val="00712CCC"/>
    <w:rsid w:val="00713DE5"/>
    <w:rsid w:val="007174DA"/>
    <w:rsid w:val="00720910"/>
    <w:rsid w:val="00720F29"/>
    <w:rsid w:val="007224C2"/>
    <w:rsid w:val="00731409"/>
    <w:rsid w:val="007334B1"/>
    <w:rsid w:val="007339F3"/>
    <w:rsid w:val="00737FEC"/>
    <w:rsid w:val="00740292"/>
    <w:rsid w:val="00742B07"/>
    <w:rsid w:val="00755956"/>
    <w:rsid w:val="00756AA0"/>
    <w:rsid w:val="00757CE6"/>
    <w:rsid w:val="00764CB0"/>
    <w:rsid w:val="007671B6"/>
    <w:rsid w:val="007671DA"/>
    <w:rsid w:val="00770C72"/>
    <w:rsid w:val="007719A8"/>
    <w:rsid w:val="00773CAE"/>
    <w:rsid w:val="00774593"/>
    <w:rsid w:val="00776EDA"/>
    <w:rsid w:val="00777599"/>
    <w:rsid w:val="00785CF8"/>
    <w:rsid w:val="00791FF0"/>
    <w:rsid w:val="00796068"/>
    <w:rsid w:val="00796CC0"/>
    <w:rsid w:val="00796CF1"/>
    <w:rsid w:val="007979EA"/>
    <w:rsid w:val="007A1A35"/>
    <w:rsid w:val="007A2166"/>
    <w:rsid w:val="007A2B7F"/>
    <w:rsid w:val="007A5922"/>
    <w:rsid w:val="007B1ABA"/>
    <w:rsid w:val="007B259B"/>
    <w:rsid w:val="007B5018"/>
    <w:rsid w:val="007B65B3"/>
    <w:rsid w:val="007C4E99"/>
    <w:rsid w:val="007C5151"/>
    <w:rsid w:val="007C546B"/>
    <w:rsid w:val="007C670D"/>
    <w:rsid w:val="007C7359"/>
    <w:rsid w:val="007D0ED0"/>
    <w:rsid w:val="007D1F01"/>
    <w:rsid w:val="007D48CF"/>
    <w:rsid w:val="007D4A4A"/>
    <w:rsid w:val="007E0E05"/>
    <w:rsid w:val="007E1DD3"/>
    <w:rsid w:val="007E209F"/>
    <w:rsid w:val="007E2878"/>
    <w:rsid w:val="007E4655"/>
    <w:rsid w:val="007E55E0"/>
    <w:rsid w:val="007E5C50"/>
    <w:rsid w:val="007F0546"/>
    <w:rsid w:val="007F22A5"/>
    <w:rsid w:val="007F5688"/>
    <w:rsid w:val="0080065F"/>
    <w:rsid w:val="008051DE"/>
    <w:rsid w:val="00810CC2"/>
    <w:rsid w:val="0081324B"/>
    <w:rsid w:val="0081440E"/>
    <w:rsid w:val="00816193"/>
    <w:rsid w:val="008165E4"/>
    <w:rsid w:val="008234BD"/>
    <w:rsid w:val="00825155"/>
    <w:rsid w:val="00825EB9"/>
    <w:rsid w:val="008303E2"/>
    <w:rsid w:val="008341F8"/>
    <w:rsid w:val="008359F3"/>
    <w:rsid w:val="00835DB6"/>
    <w:rsid w:val="00836AC2"/>
    <w:rsid w:val="008406D5"/>
    <w:rsid w:val="00844C5B"/>
    <w:rsid w:val="00847B37"/>
    <w:rsid w:val="008501A4"/>
    <w:rsid w:val="008505A1"/>
    <w:rsid w:val="00850817"/>
    <w:rsid w:val="00851D16"/>
    <w:rsid w:val="00854B32"/>
    <w:rsid w:val="00855F2B"/>
    <w:rsid w:val="00856252"/>
    <w:rsid w:val="00857634"/>
    <w:rsid w:val="0086124E"/>
    <w:rsid w:val="00861B74"/>
    <w:rsid w:val="008652C9"/>
    <w:rsid w:val="00866992"/>
    <w:rsid w:val="00872942"/>
    <w:rsid w:val="00875991"/>
    <w:rsid w:val="00875BB5"/>
    <w:rsid w:val="008771B6"/>
    <w:rsid w:val="00877FDD"/>
    <w:rsid w:val="00880FED"/>
    <w:rsid w:val="0088186D"/>
    <w:rsid w:val="008841C8"/>
    <w:rsid w:val="00885367"/>
    <w:rsid w:val="00887082"/>
    <w:rsid w:val="00887DC7"/>
    <w:rsid w:val="00892BB8"/>
    <w:rsid w:val="00893014"/>
    <w:rsid w:val="0089513A"/>
    <w:rsid w:val="00896755"/>
    <w:rsid w:val="008A2417"/>
    <w:rsid w:val="008A5D49"/>
    <w:rsid w:val="008A751E"/>
    <w:rsid w:val="008B0547"/>
    <w:rsid w:val="008B11A3"/>
    <w:rsid w:val="008B1FE5"/>
    <w:rsid w:val="008B2AD7"/>
    <w:rsid w:val="008B3A74"/>
    <w:rsid w:val="008B3D72"/>
    <w:rsid w:val="008B434A"/>
    <w:rsid w:val="008B7B55"/>
    <w:rsid w:val="008C3A5B"/>
    <w:rsid w:val="008C5B71"/>
    <w:rsid w:val="008D2382"/>
    <w:rsid w:val="008D5667"/>
    <w:rsid w:val="008D6F5D"/>
    <w:rsid w:val="008E003A"/>
    <w:rsid w:val="008E15E3"/>
    <w:rsid w:val="008E2045"/>
    <w:rsid w:val="008E4C62"/>
    <w:rsid w:val="008E727E"/>
    <w:rsid w:val="008F2902"/>
    <w:rsid w:val="008F4593"/>
    <w:rsid w:val="008F660B"/>
    <w:rsid w:val="009005CE"/>
    <w:rsid w:val="00901376"/>
    <w:rsid w:val="009021A4"/>
    <w:rsid w:val="00904EC5"/>
    <w:rsid w:val="00914B48"/>
    <w:rsid w:val="0091511B"/>
    <w:rsid w:val="00917B6F"/>
    <w:rsid w:val="009239AA"/>
    <w:rsid w:val="009245B5"/>
    <w:rsid w:val="00925EF2"/>
    <w:rsid w:val="00935C40"/>
    <w:rsid w:val="00935F4D"/>
    <w:rsid w:val="0093795C"/>
    <w:rsid w:val="00937F7E"/>
    <w:rsid w:val="009440DE"/>
    <w:rsid w:val="009444E6"/>
    <w:rsid w:val="00944A8E"/>
    <w:rsid w:val="009455E6"/>
    <w:rsid w:val="00956BA7"/>
    <w:rsid w:val="00956FD8"/>
    <w:rsid w:val="009575F7"/>
    <w:rsid w:val="00957E4B"/>
    <w:rsid w:val="0096021A"/>
    <w:rsid w:val="00960F73"/>
    <w:rsid w:val="0096655D"/>
    <w:rsid w:val="00971139"/>
    <w:rsid w:val="00972B10"/>
    <w:rsid w:val="0097401F"/>
    <w:rsid w:val="00981FA0"/>
    <w:rsid w:val="00984366"/>
    <w:rsid w:val="00984E80"/>
    <w:rsid w:val="0098690F"/>
    <w:rsid w:val="00987EE5"/>
    <w:rsid w:val="00991CD8"/>
    <w:rsid w:val="00991EBE"/>
    <w:rsid w:val="00993C2E"/>
    <w:rsid w:val="00997C8A"/>
    <w:rsid w:val="009A1339"/>
    <w:rsid w:val="009A3006"/>
    <w:rsid w:val="009A3994"/>
    <w:rsid w:val="009B62AF"/>
    <w:rsid w:val="009B7AB9"/>
    <w:rsid w:val="009C4B6D"/>
    <w:rsid w:val="009D0928"/>
    <w:rsid w:val="009D1B99"/>
    <w:rsid w:val="009D2884"/>
    <w:rsid w:val="009D5445"/>
    <w:rsid w:val="009D565F"/>
    <w:rsid w:val="009D65B9"/>
    <w:rsid w:val="009E04DC"/>
    <w:rsid w:val="009E0FB3"/>
    <w:rsid w:val="009E5105"/>
    <w:rsid w:val="009E59A1"/>
    <w:rsid w:val="009E66EE"/>
    <w:rsid w:val="009F4326"/>
    <w:rsid w:val="00A0244C"/>
    <w:rsid w:val="00A033FF"/>
    <w:rsid w:val="00A0409E"/>
    <w:rsid w:val="00A06137"/>
    <w:rsid w:val="00A063FE"/>
    <w:rsid w:val="00A06EDB"/>
    <w:rsid w:val="00A07ACC"/>
    <w:rsid w:val="00A1329C"/>
    <w:rsid w:val="00A14E25"/>
    <w:rsid w:val="00A16A60"/>
    <w:rsid w:val="00A17A3D"/>
    <w:rsid w:val="00A2062A"/>
    <w:rsid w:val="00A2066E"/>
    <w:rsid w:val="00A21E19"/>
    <w:rsid w:val="00A239A8"/>
    <w:rsid w:val="00A30683"/>
    <w:rsid w:val="00A3115F"/>
    <w:rsid w:val="00A33030"/>
    <w:rsid w:val="00A378A2"/>
    <w:rsid w:val="00A407B6"/>
    <w:rsid w:val="00A43FBD"/>
    <w:rsid w:val="00A43FD4"/>
    <w:rsid w:val="00A52DA1"/>
    <w:rsid w:val="00A5757E"/>
    <w:rsid w:val="00A60F52"/>
    <w:rsid w:val="00A61DFE"/>
    <w:rsid w:val="00A62AA8"/>
    <w:rsid w:val="00A63B4C"/>
    <w:rsid w:val="00A6526F"/>
    <w:rsid w:val="00A664E7"/>
    <w:rsid w:val="00A66E7F"/>
    <w:rsid w:val="00A70904"/>
    <w:rsid w:val="00A75C52"/>
    <w:rsid w:val="00A767B2"/>
    <w:rsid w:val="00A81B11"/>
    <w:rsid w:val="00A82B9E"/>
    <w:rsid w:val="00A84186"/>
    <w:rsid w:val="00A846F1"/>
    <w:rsid w:val="00A857B4"/>
    <w:rsid w:val="00A85B14"/>
    <w:rsid w:val="00A875C0"/>
    <w:rsid w:val="00A87C15"/>
    <w:rsid w:val="00A92706"/>
    <w:rsid w:val="00A9704A"/>
    <w:rsid w:val="00A97AD0"/>
    <w:rsid w:val="00AA1377"/>
    <w:rsid w:val="00AA49AF"/>
    <w:rsid w:val="00AA4F2F"/>
    <w:rsid w:val="00AA57CE"/>
    <w:rsid w:val="00AA7540"/>
    <w:rsid w:val="00AC0BAE"/>
    <w:rsid w:val="00AC126F"/>
    <w:rsid w:val="00AC4B34"/>
    <w:rsid w:val="00AD05A6"/>
    <w:rsid w:val="00AE05EA"/>
    <w:rsid w:val="00AE0EDF"/>
    <w:rsid w:val="00AE1128"/>
    <w:rsid w:val="00AE1AB0"/>
    <w:rsid w:val="00AE2609"/>
    <w:rsid w:val="00AE29A8"/>
    <w:rsid w:val="00AE439A"/>
    <w:rsid w:val="00AE617A"/>
    <w:rsid w:val="00AE713F"/>
    <w:rsid w:val="00AF09C7"/>
    <w:rsid w:val="00AF4BF4"/>
    <w:rsid w:val="00B006D8"/>
    <w:rsid w:val="00B02E62"/>
    <w:rsid w:val="00B03D35"/>
    <w:rsid w:val="00B05065"/>
    <w:rsid w:val="00B05194"/>
    <w:rsid w:val="00B10AD8"/>
    <w:rsid w:val="00B17303"/>
    <w:rsid w:val="00B21343"/>
    <w:rsid w:val="00B219AA"/>
    <w:rsid w:val="00B25143"/>
    <w:rsid w:val="00B2585D"/>
    <w:rsid w:val="00B266FA"/>
    <w:rsid w:val="00B26C40"/>
    <w:rsid w:val="00B27359"/>
    <w:rsid w:val="00B33FC2"/>
    <w:rsid w:val="00B347F1"/>
    <w:rsid w:val="00B3502B"/>
    <w:rsid w:val="00B3599F"/>
    <w:rsid w:val="00B35C3E"/>
    <w:rsid w:val="00B36473"/>
    <w:rsid w:val="00B40BEA"/>
    <w:rsid w:val="00B44029"/>
    <w:rsid w:val="00B44FFA"/>
    <w:rsid w:val="00B45428"/>
    <w:rsid w:val="00B47943"/>
    <w:rsid w:val="00B50446"/>
    <w:rsid w:val="00B50A6E"/>
    <w:rsid w:val="00B512D2"/>
    <w:rsid w:val="00B527BF"/>
    <w:rsid w:val="00B530FD"/>
    <w:rsid w:val="00B537C2"/>
    <w:rsid w:val="00B53C9C"/>
    <w:rsid w:val="00B5639B"/>
    <w:rsid w:val="00B60C3E"/>
    <w:rsid w:val="00B615CB"/>
    <w:rsid w:val="00B645FA"/>
    <w:rsid w:val="00B64775"/>
    <w:rsid w:val="00B67B4F"/>
    <w:rsid w:val="00B81718"/>
    <w:rsid w:val="00B86AF6"/>
    <w:rsid w:val="00B86E2A"/>
    <w:rsid w:val="00B877AA"/>
    <w:rsid w:val="00B9389E"/>
    <w:rsid w:val="00B96EA4"/>
    <w:rsid w:val="00B97A3E"/>
    <w:rsid w:val="00BA2F02"/>
    <w:rsid w:val="00BA2FFD"/>
    <w:rsid w:val="00BA58B6"/>
    <w:rsid w:val="00BA62AD"/>
    <w:rsid w:val="00BB0267"/>
    <w:rsid w:val="00BB37AF"/>
    <w:rsid w:val="00BB4C08"/>
    <w:rsid w:val="00BB61BE"/>
    <w:rsid w:val="00BC1DBD"/>
    <w:rsid w:val="00BC5737"/>
    <w:rsid w:val="00BD1747"/>
    <w:rsid w:val="00BD3C68"/>
    <w:rsid w:val="00BD421D"/>
    <w:rsid w:val="00BD6B87"/>
    <w:rsid w:val="00BD73FC"/>
    <w:rsid w:val="00BE04D9"/>
    <w:rsid w:val="00BE4614"/>
    <w:rsid w:val="00BE4E6F"/>
    <w:rsid w:val="00BE5100"/>
    <w:rsid w:val="00BE529D"/>
    <w:rsid w:val="00BE6637"/>
    <w:rsid w:val="00BF10E8"/>
    <w:rsid w:val="00BF3158"/>
    <w:rsid w:val="00BF51B7"/>
    <w:rsid w:val="00C03312"/>
    <w:rsid w:val="00C039A5"/>
    <w:rsid w:val="00C03A04"/>
    <w:rsid w:val="00C046F7"/>
    <w:rsid w:val="00C10C0B"/>
    <w:rsid w:val="00C10DD5"/>
    <w:rsid w:val="00C1776A"/>
    <w:rsid w:val="00C22519"/>
    <w:rsid w:val="00C2305C"/>
    <w:rsid w:val="00C233D0"/>
    <w:rsid w:val="00C2380D"/>
    <w:rsid w:val="00C24162"/>
    <w:rsid w:val="00C2509D"/>
    <w:rsid w:val="00C34ABD"/>
    <w:rsid w:val="00C353CF"/>
    <w:rsid w:val="00C35F43"/>
    <w:rsid w:val="00C37088"/>
    <w:rsid w:val="00C408D5"/>
    <w:rsid w:val="00C41D3C"/>
    <w:rsid w:val="00C43801"/>
    <w:rsid w:val="00C44A07"/>
    <w:rsid w:val="00C44BDC"/>
    <w:rsid w:val="00C45BFB"/>
    <w:rsid w:val="00C45DCE"/>
    <w:rsid w:val="00C50FF9"/>
    <w:rsid w:val="00C54B14"/>
    <w:rsid w:val="00C6352A"/>
    <w:rsid w:val="00C65B2D"/>
    <w:rsid w:val="00C65C5D"/>
    <w:rsid w:val="00C6656A"/>
    <w:rsid w:val="00C711E5"/>
    <w:rsid w:val="00C730CB"/>
    <w:rsid w:val="00C73782"/>
    <w:rsid w:val="00C80D90"/>
    <w:rsid w:val="00C81B05"/>
    <w:rsid w:val="00C83AEE"/>
    <w:rsid w:val="00C85563"/>
    <w:rsid w:val="00C85AC7"/>
    <w:rsid w:val="00C9045E"/>
    <w:rsid w:val="00C906CD"/>
    <w:rsid w:val="00CA0FB8"/>
    <w:rsid w:val="00CA15F3"/>
    <w:rsid w:val="00CA2680"/>
    <w:rsid w:val="00CA4D23"/>
    <w:rsid w:val="00CA6716"/>
    <w:rsid w:val="00CB0D34"/>
    <w:rsid w:val="00CC1939"/>
    <w:rsid w:val="00CC42D4"/>
    <w:rsid w:val="00CC64E3"/>
    <w:rsid w:val="00CC7712"/>
    <w:rsid w:val="00CD179A"/>
    <w:rsid w:val="00CD2536"/>
    <w:rsid w:val="00CD39D5"/>
    <w:rsid w:val="00CD407F"/>
    <w:rsid w:val="00CE6D09"/>
    <w:rsid w:val="00CF0E4D"/>
    <w:rsid w:val="00CF230D"/>
    <w:rsid w:val="00CF5489"/>
    <w:rsid w:val="00CF7615"/>
    <w:rsid w:val="00D003F8"/>
    <w:rsid w:val="00D02FB7"/>
    <w:rsid w:val="00D04613"/>
    <w:rsid w:val="00D05C77"/>
    <w:rsid w:val="00D10769"/>
    <w:rsid w:val="00D11642"/>
    <w:rsid w:val="00D116C7"/>
    <w:rsid w:val="00D13AC5"/>
    <w:rsid w:val="00D14E5F"/>
    <w:rsid w:val="00D14FB2"/>
    <w:rsid w:val="00D16754"/>
    <w:rsid w:val="00D17CC6"/>
    <w:rsid w:val="00D2041E"/>
    <w:rsid w:val="00D20454"/>
    <w:rsid w:val="00D20D10"/>
    <w:rsid w:val="00D23801"/>
    <w:rsid w:val="00D25AEC"/>
    <w:rsid w:val="00D341C9"/>
    <w:rsid w:val="00D3447D"/>
    <w:rsid w:val="00D3488B"/>
    <w:rsid w:val="00D361DE"/>
    <w:rsid w:val="00D3793E"/>
    <w:rsid w:val="00D37FB2"/>
    <w:rsid w:val="00D41A6A"/>
    <w:rsid w:val="00D44B3D"/>
    <w:rsid w:val="00D46C4C"/>
    <w:rsid w:val="00D51F18"/>
    <w:rsid w:val="00D53537"/>
    <w:rsid w:val="00D551C8"/>
    <w:rsid w:val="00D564BB"/>
    <w:rsid w:val="00D565FA"/>
    <w:rsid w:val="00D568ED"/>
    <w:rsid w:val="00D6014E"/>
    <w:rsid w:val="00D630E7"/>
    <w:rsid w:val="00D700E5"/>
    <w:rsid w:val="00D70900"/>
    <w:rsid w:val="00D71B77"/>
    <w:rsid w:val="00D74A6F"/>
    <w:rsid w:val="00D76186"/>
    <w:rsid w:val="00D771E9"/>
    <w:rsid w:val="00D86DD4"/>
    <w:rsid w:val="00D92529"/>
    <w:rsid w:val="00DA1613"/>
    <w:rsid w:val="00DA5AAB"/>
    <w:rsid w:val="00DA671A"/>
    <w:rsid w:val="00DA6858"/>
    <w:rsid w:val="00DB1CD7"/>
    <w:rsid w:val="00DB2651"/>
    <w:rsid w:val="00DB30B1"/>
    <w:rsid w:val="00DB4717"/>
    <w:rsid w:val="00DC12C8"/>
    <w:rsid w:val="00DC6F31"/>
    <w:rsid w:val="00DC7FFD"/>
    <w:rsid w:val="00DD6D82"/>
    <w:rsid w:val="00DE045E"/>
    <w:rsid w:val="00DE1240"/>
    <w:rsid w:val="00DE1AA5"/>
    <w:rsid w:val="00DE231A"/>
    <w:rsid w:val="00DE23D6"/>
    <w:rsid w:val="00DE2CB6"/>
    <w:rsid w:val="00DE2DDE"/>
    <w:rsid w:val="00DE395F"/>
    <w:rsid w:val="00DE5414"/>
    <w:rsid w:val="00DF0C37"/>
    <w:rsid w:val="00DF24FD"/>
    <w:rsid w:val="00DF2506"/>
    <w:rsid w:val="00DF301A"/>
    <w:rsid w:val="00DF3469"/>
    <w:rsid w:val="00DF3BE2"/>
    <w:rsid w:val="00DF4E2C"/>
    <w:rsid w:val="00DF4E34"/>
    <w:rsid w:val="00DF75EC"/>
    <w:rsid w:val="00E0133D"/>
    <w:rsid w:val="00E019ED"/>
    <w:rsid w:val="00E0312F"/>
    <w:rsid w:val="00E04C48"/>
    <w:rsid w:val="00E06065"/>
    <w:rsid w:val="00E079C6"/>
    <w:rsid w:val="00E1273C"/>
    <w:rsid w:val="00E146CF"/>
    <w:rsid w:val="00E17711"/>
    <w:rsid w:val="00E23C05"/>
    <w:rsid w:val="00E2425F"/>
    <w:rsid w:val="00E245B0"/>
    <w:rsid w:val="00E247E2"/>
    <w:rsid w:val="00E304EB"/>
    <w:rsid w:val="00E329D0"/>
    <w:rsid w:val="00E33746"/>
    <w:rsid w:val="00E342B3"/>
    <w:rsid w:val="00E3451F"/>
    <w:rsid w:val="00E36ADF"/>
    <w:rsid w:val="00E36B53"/>
    <w:rsid w:val="00E37585"/>
    <w:rsid w:val="00E41B64"/>
    <w:rsid w:val="00E42C35"/>
    <w:rsid w:val="00E469D5"/>
    <w:rsid w:val="00E46CD5"/>
    <w:rsid w:val="00E500D9"/>
    <w:rsid w:val="00E51AB5"/>
    <w:rsid w:val="00E52345"/>
    <w:rsid w:val="00E52763"/>
    <w:rsid w:val="00E563AE"/>
    <w:rsid w:val="00E662CD"/>
    <w:rsid w:val="00E67427"/>
    <w:rsid w:val="00E67D1C"/>
    <w:rsid w:val="00E73271"/>
    <w:rsid w:val="00E735DA"/>
    <w:rsid w:val="00E74214"/>
    <w:rsid w:val="00E74762"/>
    <w:rsid w:val="00E74D52"/>
    <w:rsid w:val="00E75855"/>
    <w:rsid w:val="00E7609C"/>
    <w:rsid w:val="00E85CBE"/>
    <w:rsid w:val="00E86566"/>
    <w:rsid w:val="00E875F5"/>
    <w:rsid w:val="00E92527"/>
    <w:rsid w:val="00E92A93"/>
    <w:rsid w:val="00E97045"/>
    <w:rsid w:val="00EA270C"/>
    <w:rsid w:val="00EA5CF4"/>
    <w:rsid w:val="00EB09B9"/>
    <w:rsid w:val="00EB76F7"/>
    <w:rsid w:val="00EB7CB1"/>
    <w:rsid w:val="00EC0569"/>
    <w:rsid w:val="00EC0C7B"/>
    <w:rsid w:val="00EC1C35"/>
    <w:rsid w:val="00EC5E45"/>
    <w:rsid w:val="00ED0557"/>
    <w:rsid w:val="00ED0CF0"/>
    <w:rsid w:val="00ED34D4"/>
    <w:rsid w:val="00ED3D84"/>
    <w:rsid w:val="00ED766C"/>
    <w:rsid w:val="00ED76FB"/>
    <w:rsid w:val="00EE05C2"/>
    <w:rsid w:val="00EE30EE"/>
    <w:rsid w:val="00EE3C6D"/>
    <w:rsid w:val="00EE4C6E"/>
    <w:rsid w:val="00EE61BE"/>
    <w:rsid w:val="00EE6DE6"/>
    <w:rsid w:val="00EF057C"/>
    <w:rsid w:val="00EF1D14"/>
    <w:rsid w:val="00F01B31"/>
    <w:rsid w:val="00F03AB9"/>
    <w:rsid w:val="00F06479"/>
    <w:rsid w:val="00F076C5"/>
    <w:rsid w:val="00F120D9"/>
    <w:rsid w:val="00F124BE"/>
    <w:rsid w:val="00F125DE"/>
    <w:rsid w:val="00F24232"/>
    <w:rsid w:val="00F27170"/>
    <w:rsid w:val="00F30016"/>
    <w:rsid w:val="00F31C75"/>
    <w:rsid w:val="00F32543"/>
    <w:rsid w:val="00F33277"/>
    <w:rsid w:val="00F340CD"/>
    <w:rsid w:val="00F341CC"/>
    <w:rsid w:val="00F36D10"/>
    <w:rsid w:val="00F40CAB"/>
    <w:rsid w:val="00F47C5C"/>
    <w:rsid w:val="00F54856"/>
    <w:rsid w:val="00F57650"/>
    <w:rsid w:val="00F579FC"/>
    <w:rsid w:val="00F60C74"/>
    <w:rsid w:val="00F62773"/>
    <w:rsid w:val="00F64F51"/>
    <w:rsid w:val="00F67A35"/>
    <w:rsid w:val="00F765E8"/>
    <w:rsid w:val="00F8200C"/>
    <w:rsid w:val="00F85D77"/>
    <w:rsid w:val="00F86D88"/>
    <w:rsid w:val="00F87FA7"/>
    <w:rsid w:val="00F90898"/>
    <w:rsid w:val="00F914C8"/>
    <w:rsid w:val="00F9473C"/>
    <w:rsid w:val="00FA40A3"/>
    <w:rsid w:val="00FA45CD"/>
    <w:rsid w:val="00FA5B17"/>
    <w:rsid w:val="00FB3BA6"/>
    <w:rsid w:val="00FB4D65"/>
    <w:rsid w:val="00FB5954"/>
    <w:rsid w:val="00FB6695"/>
    <w:rsid w:val="00FC0253"/>
    <w:rsid w:val="00FC0CDF"/>
    <w:rsid w:val="00FC0D7C"/>
    <w:rsid w:val="00FC183A"/>
    <w:rsid w:val="00FC19F5"/>
    <w:rsid w:val="00FC3D1C"/>
    <w:rsid w:val="00FD08A7"/>
    <w:rsid w:val="00FD1295"/>
    <w:rsid w:val="00FD2E55"/>
    <w:rsid w:val="00FD2FA9"/>
    <w:rsid w:val="00FD3572"/>
    <w:rsid w:val="00FD54CC"/>
    <w:rsid w:val="00FE06A2"/>
    <w:rsid w:val="00FE0CE6"/>
    <w:rsid w:val="00FE79EF"/>
    <w:rsid w:val="00FF025A"/>
    <w:rsid w:val="00FF088B"/>
    <w:rsid w:val="00FF0AC4"/>
    <w:rsid w:val="00FF10AF"/>
    <w:rsid w:val="00FF334E"/>
    <w:rsid w:val="00FF6F14"/>
    <w:rsid w:val="00FF772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0AF56B5-0F4A-4ECE-9DE4-80650FDF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ind w:left="1134"/>
      <w:jc w:val="both"/>
    </w:pPr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E1AB0"/>
    <w:pPr>
      <w:keepNext/>
      <w:spacing w:after="0"/>
      <w:ind w:left="708" w:firstLine="708"/>
      <w:jc w:val="center"/>
      <w:outlineLvl w:val="1"/>
    </w:pPr>
    <w:rPr>
      <w:rFonts w:eastAsia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8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8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438A1"/>
    <w:pPr>
      <w:keepNext/>
      <w:keepLines/>
      <w:spacing w:before="200" w:after="0"/>
      <w:ind w:left="0"/>
      <w:jc w:val="left"/>
      <w:outlineLvl w:val="4"/>
    </w:pPr>
    <w:rPr>
      <w:rFonts w:ascii="Cambria" w:eastAsia="Times New Roman" w:hAnsi="Cambria"/>
      <w:color w:val="243F60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585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15E7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E7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B0547"/>
  </w:style>
  <w:style w:type="paragraph" w:styleId="Rodap">
    <w:name w:val="footer"/>
    <w:basedOn w:val="Normal"/>
    <w:link w:val="RodapChar"/>
    <w:uiPriority w:val="99"/>
    <w:semiHidden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B0547"/>
  </w:style>
  <w:style w:type="table" w:styleId="Tabelacomgrade">
    <w:name w:val="Table Grid"/>
    <w:basedOn w:val="Tabelanormal"/>
    <w:uiPriority w:val="59"/>
    <w:rsid w:val="00E23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PCorpo1">
    <w:name w:val="RUP Corpo 1"/>
    <w:rsid w:val="00E23C05"/>
    <w:pPr>
      <w:spacing w:before="120"/>
      <w:ind w:firstLine="425"/>
      <w:jc w:val="both"/>
    </w:pPr>
    <w:rPr>
      <w:rFonts w:ascii="Arial" w:eastAsia="Times New Roman" w:hAnsi="Arial"/>
    </w:rPr>
  </w:style>
  <w:style w:type="character" w:customStyle="1" w:styleId="Ttulo2Char">
    <w:name w:val="Título 2 Char"/>
    <w:basedOn w:val="Fontepargpadro"/>
    <w:link w:val="Ttulo2"/>
    <w:rsid w:val="00AE1AB0"/>
    <w:rPr>
      <w:rFonts w:eastAsia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AE1AB0"/>
    <w:pPr>
      <w:spacing w:after="0"/>
      <w:ind w:left="0" w:firstLine="1134"/>
      <w:jc w:val="left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1AB0"/>
    <w:rPr>
      <w:rFonts w:eastAsia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0060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00605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58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E75855"/>
  </w:style>
  <w:style w:type="character" w:customStyle="1" w:styleId="CorpodetextoChar">
    <w:name w:val="Corpo de texto Char"/>
    <w:basedOn w:val="Fontepargpadro"/>
    <w:link w:val="Corpodetexto"/>
    <w:rsid w:val="00E75855"/>
    <w:rPr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75855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5855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E7585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75855"/>
    <w:pPr>
      <w:spacing w:after="0" w:line="360" w:lineRule="auto"/>
      <w:ind w:left="0" w:firstLine="120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E75855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515E7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E7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indice">
    <w:name w:val="indice"/>
    <w:rsid w:val="00515E7B"/>
    <w:pPr>
      <w:autoSpaceDE w:val="0"/>
      <w:autoSpaceDN w:val="0"/>
      <w:adjustRightInd w:val="0"/>
      <w:spacing w:line="260" w:lineRule="atLeast"/>
      <w:jc w:val="both"/>
    </w:pPr>
    <w:rPr>
      <w:rFonts w:eastAsia="Times New Roman"/>
      <w:color w:val="000000"/>
      <w:sz w:val="22"/>
      <w:szCs w:val="22"/>
    </w:rPr>
  </w:style>
  <w:style w:type="paragraph" w:customStyle="1" w:styleId="tit1">
    <w:name w:val="tit1"/>
    <w:rsid w:val="00515E7B"/>
    <w:pPr>
      <w:autoSpaceDE w:val="0"/>
      <w:autoSpaceDN w:val="0"/>
      <w:adjustRightInd w:val="0"/>
      <w:spacing w:before="113" w:line="240" w:lineRule="atLeast"/>
    </w:pPr>
    <w:rPr>
      <w:rFonts w:eastAsia="Times New Roman"/>
      <w:b/>
      <w:bCs/>
      <w:i/>
      <w:iCs/>
      <w:sz w:val="22"/>
      <w:szCs w:val="22"/>
    </w:rPr>
  </w:style>
  <w:style w:type="paragraph" w:customStyle="1" w:styleId="enter-3pt">
    <w:name w:val="enter-3pt"/>
    <w:basedOn w:val="Normal"/>
    <w:rsid w:val="00515E7B"/>
    <w:pPr>
      <w:autoSpaceDE w:val="0"/>
      <w:autoSpaceDN w:val="0"/>
      <w:adjustRightInd w:val="0"/>
      <w:spacing w:after="0" w:line="60" w:lineRule="atLeast"/>
      <w:ind w:left="0"/>
    </w:pPr>
    <w:rPr>
      <w:rFonts w:eastAsia="Times New Roman"/>
      <w:sz w:val="8"/>
      <w:szCs w:val="8"/>
      <w:lang w:eastAsia="pt-BR"/>
    </w:rPr>
  </w:style>
  <w:style w:type="paragraph" w:customStyle="1" w:styleId="tita">
    <w:name w:val="tita"/>
    <w:rsid w:val="00515E7B"/>
    <w:pPr>
      <w:autoSpaceDE w:val="0"/>
      <w:autoSpaceDN w:val="0"/>
      <w:adjustRightInd w:val="0"/>
      <w:spacing w:before="170" w:after="57" w:line="240" w:lineRule="atLeast"/>
      <w:jc w:val="center"/>
    </w:pPr>
    <w:rPr>
      <w:rFonts w:eastAsia="Times New Roman"/>
      <w:b/>
      <w:bCs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E0"/>
    <w:rPr>
      <w:rFonts w:ascii="Tahoma" w:hAnsi="Tahoma" w:cs="Tahoma"/>
      <w:sz w:val="16"/>
      <w:szCs w:val="16"/>
      <w:lang w:eastAsia="en-US"/>
    </w:rPr>
  </w:style>
  <w:style w:type="paragraph" w:customStyle="1" w:styleId="TCU-RelVoto-demais">
    <w:name w:val="TCU - Rel/Voto - demais §§"/>
    <w:basedOn w:val="Normal"/>
    <w:qFormat/>
    <w:rsid w:val="0015258E"/>
    <w:pPr>
      <w:tabs>
        <w:tab w:val="left" w:pos="1134"/>
      </w:tabs>
      <w:spacing w:after="160"/>
      <w:ind w:left="0"/>
    </w:pPr>
    <w:rPr>
      <w:rFonts w:eastAsia="Times New Roman"/>
      <w:szCs w:val="22"/>
    </w:rPr>
  </w:style>
  <w:style w:type="paragraph" w:customStyle="1" w:styleId="votonumerado">
    <w:name w:val="voto numerado"/>
    <w:basedOn w:val="Normal"/>
    <w:rsid w:val="00BE6637"/>
    <w:pPr>
      <w:numPr>
        <w:numId w:val="15"/>
      </w:numPr>
      <w:tabs>
        <w:tab w:val="clear" w:pos="360"/>
        <w:tab w:val="left" w:pos="1134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Pargrafo">
    <w:name w:val="#Parágrafo"/>
    <w:basedOn w:val="Normal"/>
    <w:rsid w:val="001D74CE"/>
    <w:pPr>
      <w:widowControl w:val="0"/>
      <w:suppressAutoHyphens/>
      <w:spacing w:after="0"/>
      <w:ind w:left="0"/>
      <w:jc w:val="left"/>
    </w:pPr>
    <w:rPr>
      <w:rFonts w:eastAsia="Times New Roman"/>
      <w:szCs w:val="20"/>
      <w:lang w:eastAsia="pt-BR"/>
    </w:rPr>
  </w:style>
  <w:style w:type="paragraph" w:customStyle="1" w:styleId="Citao">
    <w:name w:val="#Citação"/>
    <w:uiPriority w:val="99"/>
    <w:rsid w:val="007174DA"/>
    <w:pPr>
      <w:spacing w:after="120"/>
      <w:ind w:left="1134" w:right="284" w:firstLine="567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-numerado-REL01">
    <w:name w:val="#Normal-numerado-REL_01"/>
    <w:qFormat/>
    <w:rsid w:val="007174DA"/>
    <w:pPr>
      <w:numPr>
        <w:numId w:val="16"/>
      </w:numPr>
      <w:tabs>
        <w:tab w:val="left" w:pos="1134"/>
      </w:tabs>
      <w:suppressAutoHyphens/>
      <w:spacing w:before="120" w:after="120"/>
      <w:jc w:val="both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8501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">
    <w:name w:val="B"/>
    <w:basedOn w:val="Normal"/>
    <w:rsid w:val="00B347F1"/>
    <w:pPr>
      <w:spacing w:after="0"/>
      <w:ind w:left="0" w:firstLine="1418"/>
    </w:pPr>
    <w:rPr>
      <w:rFonts w:eastAsia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86124E"/>
    <w:pPr>
      <w:spacing w:after="0"/>
      <w:ind w:left="0"/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6124E"/>
    <w:rPr>
      <w:rFonts w:ascii="Courier New" w:eastAsia="Times New Roman" w:hAnsi="Courier New"/>
    </w:rPr>
  </w:style>
  <w:style w:type="paragraph" w:customStyle="1" w:styleId="TCU-RelVoto-1">
    <w:name w:val="TCU - Rel/Voto - 1º §"/>
    <w:basedOn w:val="Normal"/>
    <w:qFormat/>
    <w:rsid w:val="00491438"/>
    <w:pPr>
      <w:spacing w:after="160"/>
      <w:ind w:left="0" w:firstLine="1134"/>
    </w:pPr>
    <w:rPr>
      <w:rFonts w:eastAsia="Times New Roman"/>
      <w:szCs w:val="22"/>
    </w:rPr>
  </w:style>
  <w:style w:type="paragraph" w:customStyle="1" w:styleId="TCU-Transcrio">
    <w:name w:val="TCU - Transcrição"/>
    <w:basedOn w:val="Normal"/>
    <w:qFormat/>
    <w:rsid w:val="00491438"/>
    <w:pPr>
      <w:ind w:left="284" w:firstLine="567"/>
    </w:pPr>
    <w:rPr>
      <w:rFonts w:eastAsia="Times New Roman"/>
      <w:i/>
      <w:szCs w:val="22"/>
    </w:rPr>
  </w:style>
  <w:style w:type="paragraph" w:customStyle="1" w:styleId="Indentado">
    <w:name w:val="Indentado"/>
    <w:basedOn w:val="Normal"/>
    <w:qFormat/>
    <w:rsid w:val="001A60A2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spacing w:after="0"/>
      <w:ind w:left="567" w:firstLine="851"/>
    </w:pPr>
    <w:rPr>
      <w:rFonts w:eastAsia="Times New Roman"/>
      <w:szCs w:val="22"/>
    </w:rPr>
  </w:style>
  <w:style w:type="paragraph" w:customStyle="1" w:styleId="TCU-Epgrafe">
    <w:name w:val="TCU - Epígrafe"/>
    <w:basedOn w:val="Normal"/>
    <w:qFormat/>
    <w:rsid w:val="00AA49AF"/>
    <w:pPr>
      <w:spacing w:after="0"/>
      <w:ind w:left="2835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A239A8"/>
    <w:pPr>
      <w:numPr>
        <w:numId w:val="18"/>
      </w:numPr>
      <w:spacing w:before="60" w:after="60"/>
      <w:ind w:left="644" w:hanging="360"/>
    </w:pPr>
    <w:rPr>
      <w:rFonts w:ascii="Times New (W1)" w:eastAsia="Times New Roman" w:hAnsi="Times New (W1)"/>
      <w:szCs w:val="20"/>
      <w:lang w:eastAsia="pt-BR"/>
    </w:rPr>
  </w:style>
  <w:style w:type="paragraph" w:customStyle="1" w:styleId="TCU-Ac-item9-">
    <w:name w:val="TCU - Ac - item 9 - §§"/>
    <w:basedOn w:val="TCU-RelVoto-1"/>
    <w:qFormat/>
    <w:rsid w:val="00A239A8"/>
    <w:pPr>
      <w:spacing w:after="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5438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8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5438A1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5438A1"/>
    <w:pPr>
      <w:spacing w:before="120"/>
      <w:ind w:left="0"/>
      <w:jc w:val="center"/>
    </w:pPr>
    <w:rPr>
      <w:rFonts w:eastAsia="Times New Roman"/>
      <w:szCs w:val="20"/>
      <w:lang w:eastAsia="pt-BR"/>
    </w:rPr>
  </w:style>
  <w:style w:type="paragraph" w:customStyle="1" w:styleId="tensletras">
    <w:name w:val="Ítens letras"/>
    <w:basedOn w:val="Normal"/>
    <w:rsid w:val="005438A1"/>
    <w:pPr>
      <w:numPr>
        <w:numId w:val="19"/>
      </w:numPr>
      <w:spacing w:before="60" w:after="60"/>
    </w:pPr>
    <w:rPr>
      <w:rFonts w:eastAsia="Times New Roman"/>
      <w:szCs w:val="20"/>
      <w:lang w:eastAsia="pt-BR"/>
    </w:rPr>
  </w:style>
  <w:style w:type="paragraph" w:customStyle="1" w:styleId="Propostaletras">
    <w:name w:val="Proposta letras"/>
    <w:basedOn w:val="tensletras"/>
    <w:rsid w:val="005438A1"/>
  </w:style>
  <w:style w:type="paragraph" w:customStyle="1" w:styleId="NormalCG">
    <w:name w:val="Normal CG"/>
    <w:basedOn w:val="Corpodetexto"/>
    <w:rsid w:val="00202EAD"/>
    <w:pPr>
      <w:spacing w:before="120"/>
      <w:ind w:left="0" w:firstLine="1418"/>
    </w:pPr>
    <w:rPr>
      <w:rFonts w:eastAsia="Times New Roman"/>
      <w:szCs w:val="20"/>
      <w:lang w:eastAsia="pt-BR"/>
    </w:rPr>
  </w:style>
  <w:style w:type="paragraph" w:customStyle="1" w:styleId="Normal0">
    <w:name w:val="#Normal"/>
    <w:uiPriority w:val="99"/>
    <w:rsid w:val="00BD1747"/>
    <w:pPr>
      <w:spacing w:before="120" w:after="120"/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-numerado-VOT01">
    <w:name w:val="#Normal-numerado-VOT_01"/>
    <w:basedOn w:val="Normal-numerado-REL01"/>
    <w:uiPriority w:val="99"/>
    <w:rsid w:val="00BD1747"/>
    <w:pPr>
      <w:numPr>
        <w:numId w:val="21"/>
      </w:numPr>
    </w:pPr>
  </w:style>
  <w:style w:type="paragraph" w:customStyle="1" w:styleId="Acordao-VISTOS-em-diante">
    <w:name w:val="#Acordao-VISTOS-em-diante"/>
    <w:uiPriority w:val="99"/>
    <w:rsid w:val="00BD1747"/>
    <w:pPr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TCU-Recuo1Linha">
    <w:name w:val="TCU - Recuo 1ª Linha"/>
    <w:basedOn w:val="Normal"/>
    <w:rsid w:val="00412CEF"/>
    <w:pPr>
      <w:spacing w:after="160"/>
      <w:ind w:left="0" w:firstLine="1134"/>
    </w:pPr>
    <w:rPr>
      <w:rFonts w:eastAsia="Times New Roman"/>
      <w:szCs w:val="20"/>
      <w:lang w:eastAsia="pt-BR"/>
    </w:rPr>
  </w:style>
  <w:style w:type="paragraph" w:customStyle="1" w:styleId="TCU-SemRecuo">
    <w:name w:val="TCU - Sem Recuo"/>
    <w:basedOn w:val="Normal"/>
    <w:rsid w:val="004E5000"/>
    <w:pPr>
      <w:tabs>
        <w:tab w:val="left" w:pos="1134"/>
      </w:tabs>
      <w:spacing w:after="160"/>
      <w:ind w:left="0"/>
    </w:pPr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juris@tcu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7264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mailto:infojuris@tcu.gov.br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Porto</dc:creator>
  <cp:keywords/>
  <dc:description/>
  <cp:lastModifiedBy>LUIZ FELYPE TABOSA PORTO</cp:lastModifiedBy>
  <cp:revision>2</cp:revision>
  <cp:lastPrinted>2011-02-04T20:41:00Z</cp:lastPrinted>
  <dcterms:created xsi:type="dcterms:W3CDTF">2015-05-07T12:37:00Z</dcterms:created>
  <dcterms:modified xsi:type="dcterms:W3CDTF">2015-05-07T12:37:00Z</dcterms:modified>
</cp:coreProperties>
</file>