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C62" w:rsidRPr="00097863" w:rsidRDefault="009444E6" w:rsidP="00AA4F2F">
      <w:pPr>
        <w:pStyle w:val="Ttulo8"/>
        <w:tabs>
          <w:tab w:val="right" w:pos="4423"/>
        </w:tabs>
        <w:spacing w:before="0" w:after="0"/>
        <w:ind w:left="0"/>
        <w:rPr>
          <w:rFonts w:ascii="Times New Roman" w:hAnsi="Times New Roman"/>
          <w:b/>
          <w:i w:val="0"/>
          <w:color w:val="000000"/>
          <w:sz w:val="22"/>
          <w:szCs w:val="22"/>
        </w:rPr>
      </w:pPr>
      <w:bookmarkStart w:id="0" w:name="_GoBack"/>
      <w:bookmarkEnd w:id="0"/>
      <w:r w:rsidRPr="00097863">
        <w:rPr>
          <w:rFonts w:ascii="Times New Roman" w:hAnsi="Times New Roman"/>
          <w:b/>
          <w:i w:val="0"/>
          <w:color w:val="000000"/>
          <w:sz w:val="22"/>
          <w:szCs w:val="22"/>
        </w:rPr>
        <w:t xml:space="preserve">Sessões: </w:t>
      </w:r>
      <w:r w:rsidR="00A43FD4">
        <w:rPr>
          <w:rFonts w:ascii="Times New Roman" w:hAnsi="Times New Roman"/>
          <w:b/>
          <w:i w:val="0"/>
          <w:color w:val="000000"/>
          <w:sz w:val="22"/>
          <w:szCs w:val="22"/>
        </w:rPr>
        <w:t>19</w:t>
      </w:r>
      <w:r w:rsidR="00467815" w:rsidRPr="00097863">
        <w:rPr>
          <w:rFonts w:ascii="Times New Roman" w:hAnsi="Times New Roman"/>
          <w:b/>
          <w:i w:val="0"/>
          <w:color w:val="000000"/>
          <w:sz w:val="22"/>
          <w:szCs w:val="22"/>
        </w:rPr>
        <w:t xml:space="preserve"> </w:t>
      </w:r>
      <w:r w:rsidR="00F01B31" w:rsidRPr="00097863">
        <w:rPr>
          <w:rFonts w:ascii="Times New Roman" w:hAnsi="Times New Roman"/>
          <w:b/>
          <w:i w:val="0"/>
          <w:color w:val="000000"/>
          <w:sz w:val="22"/>
          <w:szCs w:val="22"/>
        </w:rPr>
        <w:t xml:space="preserve">e </w:t>
      </w:r>
      <w:r w:rsidR="00A43FD4">
        <w:rPr>
          <w:rFonts w:ascii="Times New Roman" w:hAnsi="Times New Roman"/>
          <w:b/>
          <w:i w:val="0"/>
          <w:color w:val="000000"/>
          <w:sz w:val="22"/>
          <w:szCs w:val="22"/>
        </w:rPr>
        <w:t>20</w:t>
      </w:r>
      <w:r w:rsidRPr="00097863">
        <w:rPr>
          <w:rFonts w:ascii="Times New Roman" w:hAnsi="Times New Roman"/>
          <w:b/>
          <w:i w:val="0"/>
          <w:color w:val="000000"/>
          <w:sz w:val="22"/>
          <w:szCs w:val="22"/>
        </w:rPr>
        <w:t xml:space="preserve"> de </w:t>
      </w:r>
      <w:r w:rsidR="005012AA">
        <w:rPr>
          <w:rFonts w:ascii="Times New Roman" w:hAnsi="Times New Roman"/>
          <w:b/>
          <w:i w:val="0"/>
          <w:color w:val="000000"/>
          <w:sz w:val="22"/>
          <w:szCs w:val="22"/>
        </w:rPr>
        <w:t>abril</w:t>
      </w:r>
      <w:r w:rsidRPr="00097863">
        <w:rPr>
          <w:rFonts w:ascii="Times New Roman" w:hAnsi="Times New Roman"/>
          <w:b/>
          <w:i w:val="0"/>
          <w:color w:val="000000"/>
          <w:sz w:val="22"/>
          <w:szCs w:val="22"/>
        </w:rPr>
        <w:t xml:space="preserve"> de 201</w:t>
      </w:r>
      <w:r w:rsidR="00467815" w:rsidRPr="00097863">
        <w:rPr>
          <w:rFonts w:ascii="Times New Roman" w:hAnsi="Times New Roman"/>
          <w:b/>
          <w:i w:val="0"/>
          <w:color w:val="000000"/>
          <w:sz w:val="22"/>
          <w:szCs w:val="22"/>
        </w:rPr>
        <w:t>1</w:t>
      </w:r>
    </w:p>
    <w:p w:rsidR="002D35F5" w:rsidRPr="00097863" w:rsidRDefault="002D35F5" w:rsidP="00AA4F2F">
      <w:pPr>
        <w:pStyle w:val="Corpodetexto2"/>
        <w:spacing w:after="0" w:line="240" w:lineRule="auto"/>
        <w:ind w:left="0"/>
        <w:rPr>
          <w:sz w:val="22"/>
          <w:szCs w:val="22"/>
        </w:rPr>
      </w:pPr>
      <w:r w:rsidRPr="00097863">
        <w:rPr>
          <w:sz w:val="22"/>
          <w:szCs w:val="22"/>
        </w:rPr>
        <w:t>Este Informativo, elaborado a partir das deliberações tomadas pelo Tribunal nas sessões de julgamento das Câmaras e do Plenário, contém resumos de algumas decisões proferidas nas datas acima indicadas, relativas a licitações e contratos, e tem por finalidade facilitar o acompanhamento, pelo leitor, da jurisprudência do TCU quanto aos aspectos relevantes que envolvem o tema. Por esse motivo, a seleção das decisões que constam do Informativo é feita pela Secretaria das Sessões, levando em consideração ao menos um dos seguintes fatores: ineditismo da deliberação, discussão no colegiado ou reiteração de entendimento importante. Os resumos apresentados no Informativo não são repositórios oficiais de jurisprudência.</w:t>
      </w:r>
    </w:p>
    <w:p w:rsidR="00FF7C62" w:rsidRPr="00097863" w:rsidRDefault="00FF7C62" w:rsidP="00AA4F2F">
      <w:pPr>
        <w:pStyle w:val="Corpodetexto2"/>
        <w:spacing w:after="0" w:line="240" w:lineRule="auto"/>
        <w:ind w:left="0"/>
        <w:rPr>
          <w:sz w:val="22"/>
          <w:szCs w:val="22"/>
        </w:rPr>
      </w:pPr>
    </w:p>
    <w:p w:rsidR="002D35F5" w:rsidRPr="00D53537" w:rsidRDefault="002D35F5" w:rsidP="00AA4F2F">
      <w:pPr>
        <w:pBdr>
          <w:top w:val="threeDEmboss" w:sz="24" w:space="2" w:color="auto"/>
        </w:pBdr>
        <w:tabs>
          <w:tab w:val="left" w:pos="284"/>
        </w:tabs>
        <w:spacing w:after="0"/>
        <w:ind w:left="0"/>
        <w:jc w:val="center"/>
        <w:rPr>
          <w:rFonts w:ascii="Cambria" w:hAnsi="Cambria"/>
          <w:b/>
          <w:bCs/>
          <w:smallCaps/>
          <w:sz w:val="22"/>
          <w:szCs w:val="22"/>
        </w:rPr>
      </w:pPr>
      <w:r w:rsidRPr="00D53537">
        <w:rPr>
          <w:rFonts w:ascii="Cambria" w:hAnsi="Cambria"/>
          <w:b/>
          <w:bCs/>
          <w:smallCaps/>
          <w:sz w:val="22"/>
          <w:szCs w:val="22"/>
        </w:rPr>
        <w:t>S</w:t>
      </w:r>
      <w:r w:rsidR="00FF7C62" w:rsidRPr="00D53537">
        <w:rPr>
          <w:rFonts w:ascii="Cambria" w:hAnsi="Cambria"/>
          <w:b/>
          <w:bCs/>
          <w:smallCaps/>
          <w:sz w:val="22"/>
          <w:szCs w:val="22"/>
        </w:rPr>
        <w:t>UMÁRIO</w:t>
      </w:r>
    </w:p>
    <w:p w:rsidR="009444E6" w:rsidRPr="005012AA" w:rsidRDefault="009444E6" w:rsidP="00AA4F2F">
      <w:pPr>
        <w:pStyle w:val="tita"/>
        <w:spacing w:before="60" w:after="60" w:line="240" w:lineRule="auto"/>
        <w:jc w:val="both"/>
        <w:rPr>
          <w:i w:val="0"/>
          <w:iCs w:val="0"/>
          <w:color w:val="000000"/>
          <w:sz w:val="22"/>
          <w:szCs w:val="22"/>
        </w:rPr>
      </w:pPr>
      <w:r w:rsidRPr="005012AA">
        <w:rPr>
          <w:i w:val="0"/>
          <w:iCs w:val="0"/>
          <w:color w:val="000000"/>
          <w:sz w:val="22"/>
          <w:szCs w:val="22"/>
        </w:rPr>
        <w:t>Plenário</w:t>
      </w:r>
    </w:p>
    <w:p w:rsidR="00E1273C" w:rsidRPr="00E1273C" w:rsidRDefault="00E1273C" w:rsidP="00E1273C">
      <w:pPr>
        <w:pStyle w:val="TCU-Recuo1Linha"/>
        <w:tabs>
          <w:tab w:val="left" w:pos="1134"/>
        </w:tabs>
        <w:spacing w:before="60" w:after="60"/>
        <w:ind w:firstLine="0"/>
        <w:rPr>
          <w:color w:val="FF0000"/>
          <w:sz w:val="22"/>
          <w:szCs w:val="22"/>
        </w:rPr>
      </w:pPr>
      <w:r w:rsidRPr="00E1273C">
        <w:rPr>
          <w:sz w:val="22"/>
          <w:szCs w:val="22"/>
        </w:rPr>
        <w:t>A firmatura de termo de parceria por órgãos ou entidades da Administração Pública com</w:t>
      </w:r>
      <w:r w:rsidRPr="00E1273C">
        <w:rPr>
          <w:color w:val="FF0000"/>
          <w:sz w:val="22"/>
          <w:szCs w:val="22"/>
        </w:rPr>
        <w:t xml:space="preserve"> </w:t>
      </w:r>
      <w:r w:rsidRPr="00E1273C">
        <w:rPr>
          <w:sz w:val="22"/>
          <w:szCs w:val="22"/>
        </w:rPr>
        <w:t xml:space="preserve">Organizações da Sociedade Civil de Interesse Público não demanda licitação </w:t>
      </w:r>
    </w:p>
    <w:p w:rsidR="00E1273C" w:rsidRPr="00E1273C" w:rsidRDefault="00E1273C" w:rsidP="00E1273C">
      <w:pPr>
        <w:pStyle w:val="TCU-Recuo1Linha"/>
        <w:tabs>
          <w:tab w:val="left" w:pos="1134"/>
        </w:tabs>
        <w:spacing w:before="60" w:after="60"/>
        <w:ind w:firstLine="0"/>
        <w:rPr>
          <w:sz w:val="22"/>
          <w:szCs w:val="22"/>
        </w:rPr>
      </w:pPr>
      <w:r w:rsidRPr="00E1273C">
        <w:rPr>
          <w:sz w:val="22"/>
          <w:szCs w:val="22"/>
        </w:rPr>
        <w:t>Não se admite, de modo geral, licitação com especificação de marca de produto, a não ser que tal exigência encontre-se técnica e juridicamente justificada</w:t>
      </w:r>
    </w:p>
    <w:p w:rsidR="00E1273C" w:rsidRPr="00E1273C" w:rsidRDefault="00E1273C" w:rsidP="00E1273C">
      <w:pPr>
        <w:pStyle w:val="Corpodetexto"/>
        <w:tabs>
          <w:tab w:val="left" w:pos="1134"/>
        </w:tabs>
        <w:spacing w:before="60" w:after="60"/>
        <w:ind w:left="0"/>
        <w:rPr>
          <w:sz w:val="22"/>
          <w:szCs w:val="22"/>
        </w:rPr>
      </w:pPr>
      <w:r w:rsidRPr="00E1273C">
        <w:rPr>
          <w:sz w:val="22"/>
          <w:szCs w:val="22"/>
        </w:rPr>
        <w:t>É necessário que o valor dos salários pagos aos profissionais contratados por empresas para prestação de serviços à Administração corresponda ao constante da proposta formulada na licitação</w:t>
      </w:r>
    </w:p>
    <w:p w:rsidR="00E1273C" w:rsidRPr="00E1273C" w:rsidRDefault="00E1273C" w:rsidP="00E1273C">
      <w:pPr>
        <w:spacing w:before="60" w:after="60"/>
        <w:ind w:left="0"/>
        <w:rPr>
          <w:sz w:val="22"/>
          <w:szCs w:val="22"/>
          <w:lang w:eastAsia="pt-BR"/>
        </w:rPr>
      </w:pPr>
      <w:r w:rsidRPr="00E1273C">
        <w:rPr>
          <w:sz w:val="22"/>
          <w:szCs w:val="22"/>
          <w:lang w:eastAsia="pt-BR"/>
        </w:rPr>
        <w:t xml:space="preserve">Contratação por inexigibilidade de licitação: </w:t>
      </w:r>
    </w:p>
    <w:p w:rsidR="00E1273C" w:rsidRPr="00E1273C" w:rsidRDefault="00E1273C" w:rsidP="00E1273C">
      <w:pPr>
        <w:spacing w:before="60" w:after="60"/>
        <w:ind w:left="0" w:firstLine="851"/>
        <w:rPr>
          <w:sz w:val="22"/>
          <w:szCs w:val="22"/>
        </w:rPr>
      </w:pPr>
      <w:r w:rsidRPr="00E1273C">
        <w:rPr>
          <w:sz w:val="22"/>
          <w:szCs w:val="22"/>
          <w:lang w:eastAsia="pt-BR"/>
        </w:rPr>
        <w:t xml:space="preserve">1 – Para a contratação, por inexigibilidade de licitação, de </w:t>
      </w:r>
      <w:r w:rsidRPr="00E1273C">
        <w:rPr>
          <w:sz w:val="22"/>
          <w:szCs w:val="22"/>
        </w:rPr>
        <w:t>serviço técnico profissional especializado deve estar demonstrado que este possui características singulares</w:t>
      </w:r>
      <w:r>
        <w:rPr>
          <w:sz w:val="22"/>
          <w:szCs w:val="22"/>
        </w:rPr>
        <w:t>,</w:t>
      </w:r>
      <w:r w:rsidRPr="00E1273C">
        <w:rPr>
          <w:sz w:val="22"/>
          <w:szCs w:val="22"/>
        </w:rPr>
        <w:t xml:space="preserve"> além da condição de notória especialização do prestador</w:t>
      </w:r>
    </w:p>
    <w:p w:rsidR="00E1273C" w:rsidRPr="00E1273C" w:rsidRDefault="00E1273C" w:rsidP="00E1273C">
      <w:pPr>
        <w:spacing w:before="60" w:after="60"/>
        <w:ind w:left="0" w:firstLine="851"/>
        <w:rPr>
          <w:sz w:val="22"/>
          <w:szCs w:val="22"/>
        </w:rPr>
      </w:pPr>
      <w:r w:rsidRPr="00E1273C">
        <w:rPr>
          <w:sz w:val="22"/>
          <w:szCs w:val="22"/>
          <w:lang w:eastAsia="pt-BR"/>
        </w:rPr>
        <w:t>2 – Mesmo em hipótese de contratações diretas, o preço a ser praticado pela Administração deve estar em conformidade</w:t>
      </w:r>
      <w:r w:rsidR="00415067">
        <w:rPr>
          <w:sz w:val="22"/>
          <w:szCs w:val="22"/>
          <w:lang w:eastAsia="pt-BR"/>
        </w:rPr>
        <w:t xml:space="preserve"> com os praticados pelo mercado</w:t>
      </w:r>
    </w:p>
    <w:p w:rsidR="006C7DE0" w:rsidRPr="00087006" w:rsidRDefault="006C7DE0" w:rsidP="00E1273C">
      <w:pPr>
        <w:pStyle w:val="TCU-RelVoto-1"/>
        <w:tabs>
          <w:tab w:val="left" w:pos="1134"/>
        </w:tabs>
        <w:spacing w:before="60" w:after="60"/>
        <w:ind w:firstLine="0"/>
        <w:rPr>
          <w:b/>
          <w:color w:val="FF0000"/>
          <w:sz w:val="22"/>
          <w:lang w:eastAsia="pt-BR"/>
        </w:rPr>
      </w:pPr>
    </w:p>
    <w:p w:rsidR="003C6DEB" w:rsidRPr="00A6526F" w:rsidRDefault="003C6DEB" w:rsidP="00AA4F2F">
      <w:pPr>
        <w:pBdr>
          <w:top w:val="threeDEmboss" w:sz="24" w:space="0" w:color="auto"/>
        </w:pBdr>
        <w:tabs>
          <w:tab w:val="left" w:pos="284"/>
        </w:tabs>
        <w:spacing w:after="0"/>
        <w:ind w:left="0"/>
        <w:jc w:val="center"/>
        <w:rPr>
          <w:rFonts w:ascii="Cambria" w:hAnsi="Cambria"/>
          <w:b/>
          <w:bCs/>
          <w:smallCaps/>
          <w:sz w:val="22"/>
          <w:szCs w:val="22"/>
        </w:rPr>
      </w:pPr>
      <w:r w:rsidRPr="00A6526F">
        <w:rPr>
          <w:rFonts w:ascii="Cambria" w:hAnsi="Cambria"/>
          <w:b/>
          <w:bCs/>
          <w:smallCaps/>
          <w:sz w:val="22"/>
          <w:szCs w:val="22"/>
        </w:rPr>
        <w:t>PLENÁRIO</w:t>
      </w:r>
    </w:p>
    <w:p w:rsidR="003C6DEB" w:rsidRPr="00087006" w:rsidRDefault="003C6DEB" w:rsidP="00E1273C">
      <w:pPr>
        <w:pStyle w:val="tita"/>
        <w:spacing w:before="0" w:after="0" w:line="240" w:lineRule="auto"/>
        <w:jc w:val="both"/>
        <w:rPr>
          <w:i w:val="0"/>
          <w:iCs w:val="0"/>
          <w:color w:val="FF0000"/>
          <w:sz w:val="22"/>
          <w:szCs w:val="22"/>
        </w:rPr>
      </w:pPr>
    </w:p>
    <w:p w:rsidR="00303790" w:rsidRPr="00E1273C" w:rsidRDefault="00D05C77" w:rsidP="00E1273C">
      <w:pPr>
        <w:pStyle w:val="TCU-Recuo1Linha"/>
        <w:tabs>
          <w:tab w:val="left" w:pos="1134"/>
        </w:tabs>
        <w:spacing w:after="0"/>
        <w:ind w:firstLine="0"/>
        <w:rPr>
          <w:b/>
          <w:color w:val="FF0000"/>
          <w:sz w:val="22"/>
          <w:szCs w:val="22"/>
        </w:rPr>
      </w:pPr>
      <w:r w:rsidRPr="00EE05C2">
        <w:rPr>
          <w:b/>
          <w:sz w:val="22"/>
          <w:szCs w:val="22"/>
        </w:rPr>
        <w:t>A firmatura de termo de parceria por órgãos ou entidades da Administraçã</w:t>
      </w:r>
      <w:r w:rsidR="00C353CF" w:rsidRPr="00EE05C2">
        <w:rPr>
          <w:b/>
          <w:sz w:val="22"/>
          <w:szCs w:val="22"/>
        </w:rPr>
        <w:t xml:space="preserve">o Pública </w:t>
      </w:r>
      <w:r w:rsidRPr="00EE05C2">
        <w:rPr>
          <w:b/>
          <w:sz w:val="22"/>
          <w:szCs w:val="22"/>
        </w:rPr>
        <w:t>com</w:t>
      </w:r>
      <w:r>
        <w:rPr>
          <w:b/>
          <w:color w:val="FF0000"/>
          <w:sz w:val="22"/>
          <w:szCs w:val="22"/>
        </w:rPr>
        <w:t xml:space="preserve"> </w:t>
      </w:r>
      <w:r w:rsidR="00C353CF" w:rsidRPr="00E1273C">
        <w:rPr>
          <w:b/>
          <w:sz w:val="22"/>
          <w:szCs w:val="22"/>
        </w:rPr>
        <w:t xml:space="preserve">Organizações da Sociedade Civil de Interesse Público não demanda licitação </w:t>
      </w:r>
    </w:p>
    <w:p w:rsidR="00303790" w:rsidRPr="005A6858" w:rsidRDefault="00303790" w:rsidP="00E1273C">
      <w:pPr>
        <w:pStyle w:val="TCU-Epgrafe"/>
        <w:tabs>
          <w:tab w:val="left" w:pos="1134"/>
        </w:tabs>
        <w:ind w:left="0"/>
        <w:rPr>
          <w:b/>
          <w:i/>
          <w:sz w:val="22"/>
          <w:szCs w:val="22"/>
        </w:rPr>
      </w:pPr>
      <w:r w:rsidRPr="005A6858">
        <w:rPr>
          <w:sz w:val="22"/>
          <w:szCs w:val="22"/>
        </w:rPr>
        <w:t>Em representação formulada ao Tribunal, foram apontadas diversas irregularidades em convênios firmados entre o Ministério do Trabalho e Emprego - (MTE) e uma Organização da Sociedade Civil de Interesse Público (Oscip). Em face de</w:t>
      </w:r>
      <w:r w:rsidR="00415067">
        <w:rPr>
          <w:sz w:val="22"/>
          <w:szCs w:val="22"/>
        </w:rPr>
        <w:t>las</w:t>
      </w:r>
      <w:r w:rsidRPr="005A6858">
        <w:rPr>
          <w:sz w:val="22"/>
          <w:szCs w:val="22"/>
        </w:rPr>
        <w:t xml:space="preserve">, sugeriu a unidade instrutiva que o Tribunal determinasse ao MTE e ao Ministério do Planejamento, Orçamento e Gestão que </w:t>
      </w:r>
      <w:r w:rsidR="00CC64E3" w:rsidRPr="005A6858">
        <w:rPr>
          <w:sz w:val="22"/>
          <w:szCs w:val="22"/>
        </w:rPr>
        <w:t>utilizassem o termo de parceria, previsto no art. 9º da Lei 9790/1999, para a execução de projetos ou programas, mediante serviços sociais prestados por entidades privadas, sempre que o objeto a ser executado se enquadrasse em um dos casos listados no art. 3º do referido normativo, sugerindo, ainda, para a firmatura do pacto</w:t>
      </w:r>
      <w:r w:rsidR="00D05C77">
        <w:rPr>
          <w:sz w:val="22"/>
          <w:szCs w:val="22"/>
        </w:rPr>
        <w:t>,</w:t>
      </w:r>
      <w:r w:rsidR="00CC64E3" w:rsidRPr="005A6858">
        <w:rPr>
          <w:sz w:val="22"/>
          <w:szCs w:val="22"/>
        </w:rPr>
        <w:t xml:space="preserve"> prévio e obrigatório procedimento licitatório para a escolha da entidade-parceira. O relator, todavia, deixou de acolher a parte final da proposta, </w:t>
      </w:r>
      <w:r w:rsidR="00D05C77">
        <w:rPr>
          <w:sz w:val="22"/>
          <w:szCs w:val="22"/>
        </w:rPr>
        <w:t>que</w:t>
      </w:r>
      <w:r w:rsidR="00CC64E3" w:rsidRPr="005A6858">
        <w:rPr>
          <w:sz w:val="22"/>
          <w:szCs w:val="22"/>
        </w:rPr>
        <w:t xml:space="preserve"> </w:t>
      </w:r>
      <w:r w:rsidR="00415067">
        <w:rPr>
          <w:sz w:val="22"/>
          <w:szCs w:val="22"/>
        </w:rPr>
        <w:t>exigia</w:t>
      </w:r>
      <w:r w:rsidR="00D05C77">
        <w:rPr>
          <w:sz w:val="22"/>
          <w:szCs w:val="22"/>
        </w:rPr>
        <w:t xml:space="preserve"> licitação para a firmatura de</w:t>
      </w:r>
      <w:r w:rsidR="00CC64E3" w:rsidRPr="005A6858">
        <w:rPr>
          <w:sz w:val="22"/>
          <w:szCs w:val="22"/>
        </w:rPr>
        <w:t xml:space="preserve"> termo de parceria. </w:t>
      </w:r>
      <w:r w:rsidR="00D05C77">
        <w:rPr>
          <w:sz w:val="22"/>
          <w:szCs w:val="22"/>
        </w:rPr>
        <w:t>Segundo o relator</w:t>
      </w:r>
      <w:r w:rsidR="00CC64E3" w:rsidRPr="005A6858">
        <w:rPr>
          <w:sz w:val="22"/>
          <w:szCs w:val="22"/>
        </w:rPr>
        <w:t>, “</w:t>
      </w:r>
      <w:r w:rsidR="00CC64E3" w:rsidRPr="005A6858">
        <w:rPr>
          <w:i/>
          <w:sz w:val="22"/>
          <w:szCs w:val="22"/>
        </w:rPr>
        <w:t>é certo que o ajuste a ser firmado entre um órgão público e uma Oscip é o termo de parceria</w:t>
      </w:r>
      <w:r w:rsidR="00CC64E3" w:rsidRPr="00D05C77">
        <w:rPr>
          <w:i/>
          <w:sz w:val="22"/>
          <w:szCs w:val="22"/>
        </w:rPr>
        <w:t xml:space="preserve">, nos termos da Lei nº 9.790, de 1999. </w:t>
      </w:r>
      <w:r w:rsidR="00CC64E3" w:rsidRPr="005A6858">
        <w:rPr>
          <w:sz w:val="22"/>
          <w:szCs w:val="22"/>
        </w:rPr>
        <w:t>Entretanto, “</w:t>
      </w:r>
      <w:r w:rsidR="00CC64E3" w:rsidRPr="005A6858">
        <w:rPr>
          <w:i/>
          <w:sz w:val="22"/>
          <w:szCs w:val="22"/>
        </w:rPr>
        <w:t>não há nessa lei, nem no decreto que a regulamenta (Decreto nº 3.100, de 30 de junho de 1999), qualquer disposição que obrigue os órgãos e entidades da Administração Pública a instaurar procedimento licitatório, nos termos da Lei nº 8.666, de 1993, para selecionar as Oscips interessadas em firmar o referido termo de parceria</w:t>
      </w:r>
      <w:r w:rsidR="00CC64E3" w:rsidRPr="005A6858">
        <w:rPr>
          <w:sz w:val="22"/>
          <w:szCs w:val="22"/>
        </w:rPr>
        <w:t xml:space="preserve">”. </w:t>
      </w:r>
      <w:r w:rsidR="00D05C77">
        <w:rPr>
          <w:sz w:val="22"/>
          <w:szCs w:val="22"/>
        </w:rPr>
        <w:t>Além disso, d</w:t>
      </w:r>
      <w:r w:rsidR="00CC64E3" w:rsidRPr="005A6858">
        <w:rPr>
          <w:sz w:val="22"/>
          <w:szCs w:val="22"/>
        </w:rPr>
        <w:t xml:space="preserve">estacou o relator disposição constante do art. 23 do </w:t>
      </w:r>
      <w:r w:rsidR="003B1E19" w:rsidRPr="005A6858">
        <w:rPr>
          <w:sz w:val="22"/>
          <w:szCs w:val="22"/>
        </w:rPr>
        <w:t>Decreto 3.100/1999, que fixa a realização, a depender de decisão discricionária do gestor, de concurso de projetos pelo órgão estatal interessado em construir parceria com Oscips para obtenção de bens e serviços e para a realização de atividades, eventos, consultorias, cooperação técnica e assessoria. Ainda para o relator, “</w:t>
      </w:r>
      <w:r w:rsidR="003B1E19" w:rsidRPr="005A6858">
        <w:rPr>
          <w:i/>
          <w:sz w:val="22"/>
          <w:szCs w:val="22"/>
        </w:rPr>
        <w:t>embora seja bastante recomendável a instauração desse procedimento - que privilegia os princípios constitucionais da moralidade e da impessoalidade -, não há como exigir que os gestores públicos promovam licitação para selecionar Oscips, visto que o ordenamento jurídico não traz esse tipo de mandamento</w:t>
      </w:r>
      <w:r w:rsidR="003B1E19" w:rsidRPr="005A6858">
        <w:rPr>
          <w:sz w:val="22"/>
          <w:szCs w:val="22"/>
        </w:rPr>
        <w:t>”.</w:t>
      </w:r>
      <w:r w:rsidR="005A6858" w:rsidRPr="005A6858">
        <w:rPr>
          <w:sz w:val="22"/>
          <w:szCs w:val="22"/>
        </w:rPr>
        <w:t xml:space="preserve"> Por conseguinte, em face, </w:t>
      </w:r>
      <w:r w:rsidR="00D05C77">
        <w:rPr>
          <w:sz w:val="22"/>
          <w:szCs w:val="22"/>
        </w:rPr>
        <w:t>também</w:t>
      </w:r>
      <w:r w:rsidR="005A6858" w:rsidRPr="005A6858">
        <w:rPr>
          <w:sz w:val="22"/>
          <w:szCs w:val="22"/>
        </w:rPr>
        <w:t xml:space="preserve">, do decidido nos Acórdãos 1777/2005 e 2066/2006, do Plenário, votou por que se dirigisse alerta ao MTE e ao MPOG, para que observem o correto instrumento (termo de parceria) ao firmarem ajustes com Oscips, nos termos da Lei nº 9.790, de 1999, preferencialmente precedido por concurso de projetos, o que foi acolhido pelo Plenário. </w:t>
      </w:r>
      <w:r w:rsidRPr="005A6858">
        <w:rPr>
          <w:sz w:val="22"/>
          <w:szCs w:val="22"/>
        </w:rPr>
        <w:t xml:space="preserve"> </w:t>
      </w:r>
      <w:r w:rsidRPr="005A6858">
        <w:rPr>
          <w:b/>
          <w:i/>
          <w:sz w:val="22"/>
          <w:szCs w:val="22"/>
        </w:rPr>
        <w:t xml:space="preserve">Acórdão n.º </w:t>
      </w:r>
      <w:r w:rsidR="00CC64E3" w:rsidRPr="005A6858">
        <w:rPr>
          <w:b/>
          <w:i/>
          <w:sz w:val="22"/>
          <w:szCs w:val="22"/>
        </w:rPr>
        <w:t>1006/2011-Plenário, TC-019</w:t>
      </w:r>
      <w:r w:rsidRPr="005A6858">
        <w:rPr>
          <w:b/>
          <w:i/>
          <w:sz w:val="22"/>
          <w:szCs w:val="22"/>
        </w:rPr>
        <w:t>.5</w:t>
      </w:r>
      <w:r w:rsidR="00CC64E3" w:rsidRPr="005A6858">
        <w:rPr>
          <w:b/>
          <w:i/>
          <w:sz w:val="22"/>
          <w:szCs w:val="22"/>
        </w:rPr>
        <w:t>38</w:t>
      </w:r>
      <w:r w:rsidRPr="005A6858">
        <w:rPr>
          <w:b/>
          <w:i/>
          <w:sz w:val="22"/>
          <w:szCs w:val="22"/>
        </w:rPr>
        <w:t>/200</w:t>
      </w:r>
      <w:r w:rsidR="00CC64E3" w:rsidRPr="005A6858">
        <w:rPr>
          <w:b/>
          <w:i/>
          <w:sz w:val="22"/>
          <w:szCs w:val="22"/>
        </w:rPr>
        <w:t>6</w:t>
      </w:r>
      <w:r w:rsidRPr="005A6858">
        <w:rPr>
          <w:b/>
          <w:i/>
          <w:sz w:val="22"/>
          <w:szCs w:val="22"/>
        </w:rPr>
        <w:t>-</w:t>
      </w:r>
      <w:r w:rsidR="00CC64E3" w:rsidRPr="005A6858">
        <w:rPr>
          <w:b/>
          <w:i/>
          <w:sz w:val="22"/>
          <w:szCs w:val="22"/>
        </w:rPr>
        <w:t>9</w:t>
      </w:r>
      <w:r w:rsidRPr="005A6858">
        <w:rPr>
          <w:b/>
          <w:i/>
          <w:sz w:val="22"/>
          <w:szCs w:val="22"/>
        </w:rPr>
        <w:t>, rel. Min. Ubiratan Aguiar, 20.04.2011.</w:t>
      </w:r>
    </w:p>
    <w:p w:rsidR="005A6858" w:rsidRDefault="005A6858" w:rsidP="00E1273C">
      <w:pPr>
        <w:pStyle w:val="TCU-Recuo1Linha"/>
        <w:tabs>
          <w:tab w:val="left" w:pos="1134"/>
        </w:tabs>
        <w:spacing w:after="0"/>
        <w:ind w:firstLine="0"/>
        <w:rPr>
          <w:b/>
          <w:color w:val="FF0000"/>
          <w:sz w:val="22"/>
          <w:szCs w:val="22"/>
        </w:rPr>
      </w:pPr>
    </w:p>
    <w:p w:rsidR="00B44FFA" w:rsidRPr="00C353CF" w:rsidRDefault="00C353CF" w:rsidP="00E1273C">
      <w:pPr>
        <w:pStyle w:val="TCU-Recuo1Linha"/>
        <w:tabs>
          <w:tab w:val="left" w:pos="1134"/>
        </w:tabs>
        <w:spacing w:after="0"/>
        <w:ind w:firstLine="0"/>
        <w:rPr>
          <w:b/>
          <w:sz w:val="22"/>
          <w:szCs w:val="22"/>
        </w:rPr>
      </w:pPr>
      <w:r w:rsidRPr="00C353CF">
        <w:rPr>
          <w:b/>
          <w:sz w:val="22"/>
          <w:szCs w:val="22"/>
        </w:rPr>
        <w:t>Não se admite, de modo geral, licitação com especificação de marca de produto, a não ser que tal exigência encontre-se técnica e juridicamente justificada</w:t>
      </w:r>
    </w:p>
    <w:p w:rsidR="006A3D41" w:rsidRPr="00C353CF" w:rsidRDefault="00431085" w:rsidP="00E1273C">
      <w:pPr>
        <w:pStyle w:val="TCU-RelVoto-1"/>
        <w:spacing w:after="0"/>
        <w:ind w:firstLine="0"/>
        <w:rPr>
          <w:b/>
          <w:i/>
          <w:sz w:val="22"/>
        </w:rPr>
      </w:pPr>
      <w:r w:rsidRPr="00C353CF">
        <w:rPr>
          <w:sz w:val="22"/>
        </w:rPr>
        <w:t xml:space="preserve">Mediante representação, licitante insurgiu-se contra </w:t>
      </w:r>
      <w:r w:rsidR="00C353CF">
        <w:rPr>
          <w:sz w:val="22"/>
        </w:rPr>
        <w:t xml:space="preserve">o </w:t>
      </w:r>
      <w:r w:rsidRPr="00C353CF">
        <w:rPr>
          <w:sz w:val="22"/>
        </w:rPr>
        <w:t>Pregão</w:t>
      </w:r>
      <w:r w:rsidR="008771B6" w:rsidRPr="00C353CF">
        <w:rPr>
          <w:sz w:val="22"/>
        </w:rPr>
        <w:t>, com registro de preços,</w:t>
      </w:r>
      <w:r w:rsidRPr="00C353CF">
        <w:rPr>
          <w:sz w:val="22"/>
        </w:rPr>
        <w:t xml:space="preserve"> n° 12/2010, promovido pela Unidade Regional de Atendimento da Advocacia-Geral da União no Rio Grande do Sul (URA/RS), cujo objeto consistiu na aquisição de suprimentos de informática. </w:t>
      </w:r>
      <w:r w:rsidR="008771B6" w:rsidRPr="00C353CF">
        <w:rPr>
          <w:sz w:val="22"/>
        </w:rPr>
        <w:t>A</w:t>
      </w:r>
      <w:r w:rsidRPr="00C353CF">
        <w:rPr>
          <w:sz w:val="22"/>
        </w:rPr>
        <w:t xml:space="preserve"> </w:t>
      </w:r>
      <w:r w:rsidR="00415067">
        <w:rPr>
          <w:sz w:val="22"/>
        </w:rPr>
        <w:t xml:space="preserve">inicial, apresentada pelo </w:t>
      </w:r>
      <w:r w:rsidR="00C353CF">
        <w:rPr>
          <w:sz w:val="22"/>
        </w:rPr>
        <w:t xml:space="preserve">representante e </w:t>
      </w:r>
      <w:r w:rsidRPr="00C353CF">
        <w:rPr>
          <w:sz w:val="22"/>
        </w:rPr>
        <w:t>distribuidor da empresa Samsung no Brasil</w:t>
      </w:r>
      <w:r w:rsidR="00415067">
        <w:rPr>
          <w:sz w:val="22"/>
        </w:rPr>
        <w:t>,</w:t>
      </w:r>
      <w:r w:rsidRPr="00C353CF">
        <w:rPr>
          <w:sz w:val="22"/>
        </w:rPr>
        <w:t xml:space="preserve"> contestou a aquisição de cartuchos de </w:t>
      </w:r>
      <w:r w:rsidRPr="00C353CF">
        <w:rPr>
          <w:b/>
          <w:sz w:val="22"/>
        </w:rPr>
        <w:t>toner</w:t>
      </w:r>
      <w:r w:rsidRPr="00C353CF">
        <w:rPr>
          <w:sz w:val="22"/>
        </w:rPr>
        <w:t xml:space="preserve"> para impressoras Samsung</w:t>
      </w:r>
      <w:r w:rsidR="008771B6" w:rsidRPr="00C353CF">
        <w:rPr>
          <w:sz w:val="22"/>
        </w:rPr>
        <w:t>,</w:t>
      </w:r>
      <w:r w:rsidRPr="00C353CF">
        <w:rPr>
          <w:sz w:val="22"/>
        </w:rPr>
        <w:t xml:space="preserve"> fundamentalmente sob o argumento de que o edital deveria exigir cartuchos originais do fabricante do equipamento, sob o risco de perda da garantia de manutenção. </w:t>
      </w:r>
      <w:r w:rsidR="008771B6" w:rsidRPr="00C353CF">
        <w:rPr>
          <w:sz w:val="22"/>
        </w:rPr>
        <w:t>Inicialmente, o relator observou que a jurisprudência do Tribunal seria firme em condenar</w:t>
      </w:r>
      <w:r w:rsidR="00C353CF">
        <w:rPr>
          <w:sz w:val="22"/>
        </w:rPr>
        <w:t>, de modo geral,</w:t>
      </w:r>
      <w:r w:rsidR="008771B6" w:rsidRPr="00C353CF">
        <w:rPr>
          <w:sz w:val="22"/>
        </w:rPr>
        <w:t xml:space="preserve"> a especificação de marca para a aquisição de </w:t>
      </w:r>
      <w:r w:rsidR="008771B6" w:rsidRPr="00C353CF">
        <w:rPr>
          <w:b/>
          <w:sz w:val="22"/>
        </w:rPr>
        <w:t xml:space="preserve">toner </w:t>
      </w:r>
      <w:r w:rsidR="008771B6" w:rsidRPr="00C353CF">
        <w:rPr>
          <w:sz w:val="22"/>
        </w:rPr>
        <w:t>de impressoras. Ressaltou, todavia, que o Tribunal tem admitido especificação de marca, “</w:t>
      </w:r>
      <w:r w:rsidR="008771B6" w:rsidRPr="00C353CF">
        <w:rPr>
          <w:i/>
          <w:sz w:val="22"/>
        </w:rPr>
        <w:t>desde que ela se encontre técnica e juridicamente justificada</w:t>
      </w:r>
      <w:r w:rsidR="008771B6" w:rsidRPr="00C353CF">
        <w:rPr>
          <w:sz w:val="22"/>
        </w:rPr>
        <w:t>”. No caso em exame, segundo o relator, “</w:t>
      </w:r>
      <w:r w:rsidR="008771B6" w:rsidRPr="00C353CF">
        <w:rPr>
          <w:i/>
          <w:sz w:val="22"/>
        </w:rPr>
        <w:t>poder-se-ia admitir como justificativa plausível a perda da garantia das impressoras em decorrência da utilização de cartuchos de outras marcas</w:t>
      </w:r>
      <w:r w:rsidR="008771B6" w:rsidRPr="00C353CF">
        <w:rPr>
          <w:sz w:val="22"/>
        </w:rPr>
        <w:t>”. Ainda quanto ao caso examinado, enfatizou que a restrição ao certame, mediante a exigência de cartuchos originais do fabricante, ainda que possível, “</w:t>
      </w:r>
      <w:r w:rsidR="008771B6" w:rsidRPr="00C353CF">
        <w:rPr>
          <w:i/>
          <w:sz w:val="22"/>
        </w:rPr>
        <w:t>constituía uma prerrogativa do gestor e não uma obrigação à qual se visse vinculado. Competia ao gestor avaliar as possibilidades e decidir-se por aquela que, em seu juízo, melhor se adequasse aos interesses públicos</w:t>
      </w:r>
      <w:r w:rsidR="008771B6" w:rsidRPr="00C353CF">
        <w:rPr>
          <w:sz w:val="22"/>
        </w:rPr>
        <w:t>”. E essa avaliação, segundo o relator, fora efetuada, tendo o gestor adotado precauções que, em princípio, estariam a resguardar a Administração, uma vez que foi exigido, no termo de referência anexo ao edital do pregão eletrônico, que as empresas licitantes comprovassem a qualidade dos cartuchos ofertados mediante a apresentação de laudos técnicos, “</w:t>
      </w:r>
      <w:r w:rsidR="008771B6" w:rsidRPr="00C353CF">
        <w:rPr>
          <w:i/>
          <w:sz w:val="22"/>
        </w:rPr>
        <w:t>emitidos por laboratório/entidade/instituto especializado, de reconhecida idoneidade e competência, pertencente a órgão da Administração Pública ou por ele credenciado, com acreditação do INMETRO, vinculado à Rede Brasileira de Laboratórios de Ensaio (RBLE), com escopo de acreditação na norma ABNT/NBR/ISO/IEC17025</w:t>
      </w:r>
      <w:r w:rsidR="008771B6" w:rsidRPr="00C353CF">
        <w:rPr>
          <w:sz w:val="22"/>
        </w:rPr>
        <w:t xml:space="preserve">”. Na sequência, </w:t>
      </w:r>
      <w:r w:rsidR="0059346F" w:rsidRPr="00C353CF">
        <w:rPr>
          <w:sz w:val="22"/>
        </w:rPr>
        <w:t>ressaltou o relator a providência adotada pelos gestores da URA/RS, quanto a</w:t>
      </w:r>
      <w:r w:rsidR="008771B6" w:rsidRPr="00C353CF">
        <w:rPr>
          <w:sz w:val="22"/>
        </w:rPr>
        <w:t xml:space="preserve"> avaliações e ensaios diversos que deveriam constar dos referidos laudos, dentre eles “</w:t>
      </w:r>
      <w:r w:rsidR="008771B6" w:rsidRPr="00C353CF">
        <w:rPr>
          <w:i/>
          <w:sz w:val="22"/>
        </w:rPr>
        <w:t>ensaio comparativo, utilizando como parâmetro os valores publicados pelo fabricante da impressora, comprovando a situação da similaridade do produto com relação ao original em termos de bom funcionamento, qualidade, desempenho, consumo de toner e rendimento, (...)</w:t>
      </w:r>
      <w:r w:rsidR="008771B6" w:rsidRPr="00C353CF">
        <w:rPr>
          <w:sz w:val="22"/>
        </w:rPr>
        <w:t>”, “</w:t>
      </w:r>
      <w:r w:rsidR="008771B6" w:rsidRPr="00C353CF">
        <w:rPr>
          <w:i/>
          <w:sz w:val="22"/>
        </w:rPr>
        <w:t>ensaio para verificação de densidade óptica dos cartuchos</w:t>
      </w:r>
      <w:r w:rsidR="008771B6" w:rsidRPr="00C353CF">
        <w:rPr>
          <w:sz w:val="22"/>
        </w:rPr>
        <w:t>” e “</w:t>
      </w:r>
      <w:r w:rsidR="008771B6" w:rsidRPr="00C353CF">
        <w:rPr>
          <w:i/>
          <w:sz w:val="22"/>
        </w:rPr>
        <w:t>avaliação atestando a qualidade das condições de apresentação e acabamento dos cartuchos, não podendo apresentar vazamentos, trincas ou defeitos que comprometam a segurança em sua utilização</w:t>
      </w:r>
      <w:r w:rsidR="0059346F" w:rsidRPr="00C353CF">
        <w:rPr>
          <w:sz w:val="22"/>
        </w:rPr>
        <w:t>”. Assim, no ponto de vista do relator, “</w:t>
      </w:r>
      <w:r w:rsidR="0059346F" w:rsidRPr="00C353CF">
        <w:rPr>
          <w:i/>
          <w:sz w:val="22"/>
        </w:rPr>
        <w:t>não se pode questionar, portanto, a opção efetuada pela URA/RS, uma vez que atendeu aos requisitos legais e foi devidamente motivada</w:t>
      </w:r>
      <w:r w:rsidR="0059346F" w:rsidRPr="00C353CF">
        <w:rPr>
          <w:sz w:val="22"/>
        </w:rPr>
        <w:t>”</w:t>
      </w:r>
      <w:r w:rsidR="00C353CF">
        <w:rPr>
          <w:sz w:val="22"/>
        </w:rPr>
        <w:t>.</w:t>
      </w:r>
      <w:r w:rsidR="0059346F" w:rsidRPr="00C353CF">
        <w:rPr>
          <w:color w:val="FF0000"/>
          <w:sz w:val="22"/>
        </w:rPr>
        <w:t xml:space="preserve"> </w:t>
      </w:r>
      <w:r w:rsidR="00875BB5" w:rsidRPr="00C353CF">
        <w:rPr>
          <w:sz w:val="22"/>
        </w:rPr>
        <w:t xml:space="preserve">Votou, então, por que </w:t>
      </w:r>
      <w:r w:rsidR="0059346F" w:rsidRPr="00C353CF">
        <w:rPr>
          <w:sz w:val="22"/>
        </w:rPr>
        <w:t>se negasse provimento à representação</w:t>
      </w:r>
      <w:r w:rsidR="00875BB5" w:rsidRPr="00C353CF">
        <w:rPr>
          <w:sz w:val="22"/>
          <w:lang w:eastAsia="pt-BR"/>
        </w:rPr>
        <w:t xml:space="preserve">, no que foi acompanhado pelos demais membros do Plenário. </w:t>
      </w:r>
      <w:r w:rsidR="008771B6" w:rsidRPr="00C353CF">
        <w:rPr>
          <w:sz w:val="22"/>
          <w:lang w:eastAsia="pt-BR"/>
        </w:rPr>
        <w:t xml:space="preserve">Precedentes citados: </w:t>
      </w:r>
      <w:r w:rsidR="008771B6" w:rsidRPr="00C353CF">
        <w:rPr>
          <w:sz w:val="22"/>
        </w:rPr>
        <w:t>Acórdãos n</w:t>
      </w:r>
      <w:r w:rsidR="008771B6" w:rsidRPr="00C353CF">
        <w:rPr>
          <w:sz w:val="22"/>
          <w:u w:val="single"/>
          <w:vertAlign w:val="superscript"/>
        </w:rPr>
        <w:t>os</w:t>
      </w:r>
      <w:r w:rsidR="00415067">
        <w:rPr>
          <w:sz w:val="22"/>
        </w:rPr>
        <w:t xml:space="preserve"> 3129/2009 </w:t>
      </w:r>
      <w:r w:rsidR="008771B6" w:rsidRPr="00C353CF">
        <w:rPr>
          <w:sz w:val="22"/>
        </w:rPr>
        <w:t>e 2154/2008, da 1ª Câmara, 3233/2007</w:t>
      </w:r>
      <w:r w:rsidR="00415067">
        <w:rPr>
          <w:sz w:val="22"/>
        </w:rPr>
        <w:t xml:space="preserve"> e</w:t>
      </w:r>
      <w:r w:rsidR="008771B6" w:rsidRPr="00C353CF">
        <w:rPr>
          <w:sz w:val="22"/>
        </w:rPr>
        <w:t xml:space="preserve"> 354/2007, da 2ª Câmara, 520/2005, 1010/2005</w:t>
      </w:r>
      <w:r w:rsidR="00415067">
        <w:rPr>
          <w:sz w:val="22"/>
        </w:rPr>
        <w:t xml:space="preserve"> e</w:t>
      </w:r>
      <w:r w:rsidR="008771B6" w:rsidRPr="00C353CF">
        <w:rPr>
          <w:sz w:val="22"/>
        </w:rPr>
        <w:t xml:space="preserve"> 696/2010, do Plenário. </w:t>
      </w:r>
      <w:r w:rsidR="006A3D41" w:rsidRPr="00C353CF">
        <w:rPr>
          <w:b/>
          <w:i/>
          <w:sz w:val="22"/>
        </w:rPr>
        <w:t xml:space="preserve">Acórdão n.º </w:t>
      </w:r>
      <w:r w:rsidRPr="00C353CF">
        <w:rPr>
          <w:b/>
          <w:i/>
          <w:sz w:val="22"/>
        </w:rPr>
        <w:t>1008</w:t>
      </w:r>
      <w:r w:rsidR="006A3D41" w:rsidRPr="00C353CF">
        <w:rPr>
          <w:b/>
          <w:i/>
          <w:sz w:val="22"/>
        </w:rPr>
        <w:t xml:space="preserve">/2011-Plenário, TC-007.965/2008-1, rel. Min. </w:t>
      </w:r>
      <w:r w:rsidRPr="00C353CF">
        <w:rPr>
          <w:b/>
          <w:i/>
          <w:sz w:val="22"/>
        </w:rPr>
        <w:t>Ubiratan Aguiar</w:t>
      </w:r>
      <w:r w:rsidR="006A3D41" w:rsidRPr="00C353CF">
        <w:rPr>
          <w:b/>
          <w:i/>
          <w:sz w:val="22"/>
        </w:rPr>
        <w:t xml:space="preserve">, </w:t>
      </w:r>
      <w:r w:rsidRPr="00C353CF">
        <w:rPr>
          <w:b/>
          <w:i/>
          <w:sz w:val="22"/>
        </w:rPr>
        <w:t>20</w:t>
      </w:r>
      <w:r w:rsidR="006A3D41" w:rsidRPr="00C353CF">
        <w:rPr>
          <w:b/>
          <w:i/>
          <w:sz w:val="22"/>
        </w:rPr>
        <w:t>.04.2011.</w:t>
      </w:r>
    </w:p>
    <w:p w:rsidR="006A3D41" w:rsidRPr="00A43FD4" w:rsidRDefault="006A3D41" w:rsidP="00E1273C">
      <w:pPr>
        <w:widowControl w:val="0"/>
        <w:tabs>
          <w:tab w:val="left" w:pos="90"/>
        </w:tabs>
        <w:autoSpaceDE w:val="0"/>
        <w:autoSpaceDN w:val="0"/>
        <w:adjustRightInd w:val="0"/>
        <w:spacing w:after="0"/>
        <w:ind w:left="0"/>
        <w:rPr>
          <w:b/>
          <w:color w:val="FF0000"/>
          <w:sz w:val="22"/>
          <w:szCs w:val="22"/>
        </w:rPr>
      </w:pPr>
    </w:p>
    <w:p w:rsidR="00EE05C2" w:rsidRPr="00EE05C2" w:rsidRDefault="00EE05C2" w:rsidP="00E1273C">
      <w:pPr>
        <w:pStyle w:val="Corpodetexto"/>
        <w:tabs>
          <w:tab w:val="left" w:pos="1134"/>
        </w:tabs>
        <w:spacing w:after="0"/>
        <w:ind w:left="0"/>
        <w:rPr>
          <w:b/>
          <w:sz w:val="22"/>
          <w:szCs w:val="22"/>
        </w:rPr>
      </w:pPr>
      <w:r w:rsidRPr="00EE05C2">
        <w:rPr>
          <w:b/>
          <w:sz w:val="22"/>
          <w:szCs w:val="22"/>
        </w:rPr>
        <w:t xml:space="preserve">É necessário que o valor dos salários pagos aos profissionais contratados por empresas para prestação de serviços à Administração corresponda ao </w:t>
      </w:r>
      <w:r w:rsidR="00E1273C">
        <w:rPr>
          <w:b/>
          <w:sz w:val="22"/>
          <w:szCs w:val="22"/>
        </w:rPr>
        <w:t>constante da proposta</w:t>
      </w:r>
      <w:r w:rsidRPr="00EE05C2">
        <w:rPr>
          <w:b/>
          <w:sz w:val="22"/>
          <w:szCs w:val="22"/>
        </w:rPr>
        <w:t xml:space="preserve"> </w:t>
      </w:r>
      <w:r w:rsidR="00E1273C">
        <w:rPr>
          <w:b/>
          <w:sz w:val="22"/>
          <w:szCs w:val="22"/>
        </w:rPr>
        <w:t>formulada na licitação</w:t>
      </w:r>
    </w:p>
    <w:p w:rsidR="00087006" w:rsidRPr="00C353CF" w:rsidRDefault="00DC7FFD" w:rsidP="00E1273C">
      <w:pPr>
        <w:pStyle w:val="TCU-RelVoto-1"/>
        <w:tabs>
          <w:tab w:val="left" w:pos="851"/>
        </w:tabs>
        <w:spacing w:after="0"/>
        <w:ind w:firstLine="0"/>
        <w:rPr>
          <w:b/>
          <w:i/>
          <w:color w:val="000000"/>
          <w:sz w:val="22"/>
        </w:rPr>
      </w:pPr>
      <w:r w:rsidRPr="00C353CF">
        <w:rPr>
          <w:sz w:val="22"/>
        </w:rPr>
        <w:t xml:space="preserve">Representação encaminhada ao Tribunal tratou de possíveis irregularidades ocorridas na execução do Contrato nº 34/2009-MI, celebrado entre o Ministério da Integração Nacional - (MI) e o Consórcio Logos-Concremat 2, cujo objeto </w:t>
      </w:r>
      <w:r w:rsidR="00C353CF">
        <w:rPr>
          <w:sz w:val="22"/>
        </w:rPr>
        <w:t>refer</w:t>
      </w:r>
      <w:r w:rsidRPr="00C353CF">
        <w:rPr>
          <w:sz w:val="22"/>
        </w:rPr>
        <w:t>iu</w:t>
      </w:r>
      <w:r w:rsidR="00C353CF">
        <w:rPr>
          <w:sz w:val="22"/>
        </w:rPr>
        <w:t>-se</w:t>
      </w:r>
      <w:r w:rsidRPr="00C353CF">
        <w:rPr>
          <w:sz w:val="22"/>
        </w:rPr>
        <w:t xml:space="preserve"> </w:t>
      </w:r>
      <w:r w:rsidR="00C353CF">
        <w:rPr>
          <w:sz w:val="22"/>
        </w:rPr>
        <w:t>à</w:t>
      </w:r>
      <w:r w:rsidRPr="00C353CF">
        <w:rPr>
          <w:sz w:val="22"/>
        </w:rPr>
        <w:t xml:space="preserve"> prestação de serviços de Consultoria Especializada para o Gerenciamento e Apoio Técnico da continuidade da implantação da 1ª Etapa e da implantação da 2ª Etapa do Projeto de Integração do Rio São Francisco com as Bacias Hidrográficas do Nordeste Setentrional – </w:t>
      </w:r>
      <w:r w:rsidR="00446606" w:rsidRPr="00C353CF">
        <w:rPr>
          <w:sz w:val="22"/>
        </w:rPr>
        <w:t>(</w:t>
      </w:r>
      <w:r w:rsidRPr="00C353CF">
        <w:rPr>
          <w:sz w:val="22"/>
        </w:rPr>
        <w:t>PISF</w:t>
      </w:r>
      <w:r w:rsidR="00446606" w:rsidRPr="00C353CF">
        <w:rPr>
          <w:sz w:val="22"/>
        </w:rPr>
        <w:t>)</w:t>
      </w:r>
      <w:r w:rsidRPr="00C353CF">
        <w:rPr>
          <w:sz w:val="22"/>
        </w:rPr>
        <w:t>.</w:t>
      </w:r>
      <w:r w:rsidR="00623DAF" w:rsidRPr="00C353CF">
        <w:rPr>
          <w:sz w:val="22"/>
        </w:rPr>
        <w:t xml:space="preserve"> Dentre tais irregularidades, constou a ausência </w:t>
      </w:r>
      <w:r w:rsidR="00623DAF" w:rsidRPr="00C353CF">
        <w:rPr>
          <w:snapToGrid w:val="0"/>
          <w:color w:val="000000"/>
          <w:sz w:val="22"/>
        </w:rPr>
        <w:t>de critérios de comprovação do recolhimento mensal do INSS e do FGTS, nominal por empregado, o que poderia resultar em falhas na fiscalização da mão de obra medida e paga. O relator, ao analisar a matéria, ressaltou que essa situação foi de igual maneira verificada em outros processos que cuidaram de contratações do MI, sendo um deles também referente a contrato firmado com o Consórcio Logos-Concremat para o mesmo serviço, qual seja, gerenciamento e apoio técnico para a implantação de etapa do PISF</w:t>
      </w:r>
      <w:r w:rsidR="00446606" w:rsidRPr="00C353CF">
        <w:rPr>
          <w:snapToGrid w:val="0"/>
          <w:color w:val="000000"/>
          <w:sz w:val="22"/>
        </w:rPr>
        <w:t xml:space="preserve">. Na oportunidade, a unidade </w:t>
      </w:r>
      <w:r w:rsidR="00EE05C2">
        <w:rPr>
          <w:snapToGrid w:val="0"/>
          <w:color w:val="000000"/>
          <w:sz w:val="22"/>
        </w:rPr>
        <w:t>instrutiva</w:t>
      </w:r>
      <w:r w:rsidR="00446606" w:rsidRPr="00C353CF">
        <w:rPr>
          <w:snapToGrid w:val="0"/>
          <w:color w:val="000000"/>
          <w:sz w:val="22"/>
        </w:rPr>
        <w:t xml:space="preserve"> </w:t>
      </w:r>
      <w:r w:rsidR="00446606" w:rsidRPr="00C353CF">
        <w:rPr>
          <w:sz w:val="22"/>
        </w:rPr>
        <w:t xml:space="preserve">promovera o cruzamento de informações constantes dos Boletins de Medição expedidos pelo Consórcio Logos-Concremat com os dados provenientes da Guia de Recolhimento do Fundo de Garantia do Tempo de Serviço e Informações à Previdência Social – (GFIP), constantes do Cadastro Nacional de Informações Sociais – (CNIS), resultando, dessa operação, a constatação de divergências que sinalizariam para o ressarcimento de valores pagos indevidamente pelo MI, pois os </w:t>
      </w:r>
      <w:r w:rsidR="00EE05C2">
        <w:rPr>
          <w:sz w:val="22"/>
        </w:rPr>
        <w:t xml:space="preserve">salários </w:t>
      </w:r>
      <w:r w:rsidR="00446606" w:rsidRPr="00C353CF">
        <w:rPr>
          <w:sz w:val="22"/>
        </w:rPr>
        <w:t xml:space="preserve">pelo Consórcio aos profissionais constantes da GFIP teriam sido menores que os </w:t>
      </w:r>
      <w:r w:rsidR="00D25AEC" w:rsidRPr="00C353CF">
        <w:rPr>
          <w:sz w:val="22"/>
        </w:rPr>
        <w:t>estipulados na proposta da licitação oferecida pelo mencionado Consórcio e no subsequente contrato. O relator, a partir de julgado anterior do Tribunal, enfatizou não haver argumento a suportar que “</w:t>
      </w:r>
      <w:r w:rsidR="00D25AEC" w:rsidRPr="00C353CF">
        <w:rPr>
          <w:i/>
          <w:sz w:val="22"/>
        </w:rPr>
        <w:t>uma empresa participante de licitação que ofereça proposta especificando os salários que serão pagos aos seus profissionais em virtude do contrato de supervisão de obra, neste caso as obras da Primeira Etapa de implantação do Projeto de Integração do Rio São Francisco – PISF, uma vez vencedora do certame, cujo julgamento baseou-se, entre outros, nos valores desses salários, possa, ao seu alvitre, quando da execução do contrato, remunerar esses profissionais em patamares inferiores, apesar de receber do órgão contratante - Ministério da Integração Nacional/MI -, exatamente aqueles valores que foram os balizadores da sua proposta, conforme ficou comprovado a partir da comparação entre as remunerações de profissionais oriundas dos boletins de medição e as constantes da planilha GFIP da empresa fornecida pelo Ministério da Previdência Social.”</w:t>
      </w:r>
      <w:r w:rsidR="00D25AEC" w:rsidRPr="00C353CF">
        <w:rPr>
          <w:sz w:val="22"/>
        </w:rPr>
        <w:t xml:space="preserve">. Diante dos fatos, </w:t>
      </w:r>
      <w:r w:rsidR="00FF6F14" w:rsidRPr="00C353CF">
        <w:rPr>
          <w:sz w:val="22"/>
        </w:rPr>
        <w:t xml:space="preserve">encaminhou proposta de determinação corretiva quanto ao contrato examinado, o que foi aprovado pelo Plenário. </w:t>
      </w:r>
      <w:r w:rsidR="00D25AEC" w:rsidRPr="00C353CF">
        <w:rPr>
          <w:sz w:val="22"/>
        </w:rPr>
        <w:t xml:space="preserve">Precedentes citados: Acórdãos nos 1233/2008 e 446/2011, ambos do Plenário. </w:t>
      </w:r>
      <w:r w:rsidR="00087006" w:rsidRPr="00C353CF">
        <w:rPr>
          <w:b/>
          <w:i/>
          <w:color w:val="000000"/>
          <w:sz w:val="22"/>
        </w:rPr>
        <w:t xml:space="preserve">Acórdão n.º </w:t>
      </w:r>
      <w:r w:rsidRPr="00C353CF">
        <w:rPr>
          <w:b/>
          <w:i/>
          <w:color w:val="000000"/>
          <w:sz w:val="22"/>
        </w:rPr>
        <w:t>1009/2011-Plenário, TC-022</w:t>
      </w:r>
      <w:r w:rsidR="00087006" w:rsidRPr="00C353CF">
        <w:rPr>
          <w:b/>
          <w:i/>
          <w:color w:val="000000"/>
          <w:sz w:val="22"/>
        </w:rPr>
        <w:t>.</w:t>
      </w:r>
      <w:r w:rsidRPr="00C353CF">
        <w:rPr>
          <w:b/>
          <w:i/>
          <w:color w:val="000000"/>
          <w:sz w:val="22"/>
        </w:rPr>
        <w:t>745/20</w:t>
      </w:r>
      <w:r w:rsidR="00087006" w:rsidRPr="00C353CF">
        <w:rPr>
          <w:b/>
          <w:i/>
          <w:color w:val="000000"/>
          <w:sz w:val="22"/>
        </w:rPr>
        <w:t>0</w:t>
      </w:r>
      <w:r w:rsidRPr="00C353CF">
        <w:rPr>
          <w:b/>
          <w:i/>
          <w:color w:val="000000"/>
          <w:sz w:val="22"/>
        </w:rPr>
        <w:t>9</w:t>
      </w:r>
      <w:r w:rsidR="00087006" w:rsidRPr="00C353CF">
        <w:rPr>
          <w:b/>
          <w:i/>
          <w:color w:val="000000"/>
          <w:sz w:val="22"/>
        </w:rPr>
        <w:t>-0, rel. Min. Ubiratan Agui</w:t>
      </w:r>
      <w:r w:rsidRPr="00C353CF">
        <w:rPr>
          <w:b/>
          <w:i/>
          <w:color w:val="000000"/>
          <w:sz w:val="22"/>
        </w:rPr>
        <w:t>ar, 20</w:t>
      </w:r>
      <w:r w:rsidR="00087006" w:rsidRPr="00C353CF">
        <w:rPr>
          <w:b/>
          <w:i/>
          <w:color w:val="000000"/>
          <w:sz w:val="22"/>
        </w:rPr>
        <w:t>.04.2011.</w:t>
      </w:r>
    </w:p>
    <w:p w:rsidR="00457F93" w:rsidRPr="00A43FD4" w:rsidRDefault="00457F93" w:rsidP="00E1273C">
      <w:pPr>
        <w:pStyle w:val="TCU-RelVoto-1"/>
        <w:spacing w:after="0"/>
        <w:ind w:firstLine="0"/>
        <w:rPr>
          <w:color w:val="FF0000"/>
          <w:sz w:val="22"/>
        </w:rPr>
      </w:pPr>
    </w:p>
    <w:p w:rsidR="00A6526F" w:rsidRPr="00EE05C2" w:rsidRDefault="000D1B91" w:rsidP="00E1273C">
      <w:pPr>
        <w:spacing w:after="0"/>
        <w:ind w:left="0"/>
        <w:rPr>
          <w:b/>
          <w:sz w:val="22"/>
          <w:szCs w:val="22"/>
        </w:rPr>
      </w:pPr>
      <w:r w:rsidRPr="00EE05C2">
        <w:rPr>
          <w:b/>
          <w:sz w:val="22"/>
          <w:szCs w:val="22"/>
          <w:lang w:eastAsia="pt-BR"/>
        </w:rPr>
        <w:t>Contratação por inexigibilidade de licitação:</w:t>
      </w:r>
      <w:r w:rsidR="000E020F" w:rsidRPr="00EE05C2">
        <w:rPr>
          <w:b/>
          <w:sz w:val="22"/>
          <w:szCs w:val="22"/>
          <w:lang w:eastAsia="pt-BR"/>
        </w:rPr>
        <w:t xml:space="preserve"> </w:t>
      </w:r>
      <w:r w:rsidRPr="00E1273C">
        <w:rPr>
          <w:b/>
          <w:sz w:val="22"/>
          <w:szCs w:val="22"/>
          <w:lang w:eastAsia="pt-BR"/>
        </w:rPr>
        <w:t xml:space="preserve">1 </w:t>
      </w:r>
      <w:r w:rsidR="00EE05C2" w:rsidRPr="00E1273C">
        <w:rPr>
          <w:b/>
          <w:sz w:val="22"/>
          <w:szCs w:val="22"/>
          <w:lang w:eastAsia="pt-BR"/>
        </w:rPr>
        <w:t>–</w:t>
      </w:r>
      <w:r w:rsidRPr="00E1273C">
        <w:rPr>
          <w:b/>
          <w:sz w:val="22"/>
          <w:szCs w:val="22"/>
          <w:lang w:eastAsia="pt-BR"/>
        </w:rPr>
        <w:t xml:space="preserve"> </w:t>
      </w:r>
      <w:r w:rsidR="00E1273C" w:rsidRPr="00E1273C">
        <w:rPr>
          <w:b/>
          <w:sz w:val="22"/>
          <w:szCs w:val="22"/>
          <w:lang w:eastAsia="pt-BR"/>
        </w:rPr>
        <w:t xml:space="preserve">Para a contratação, por inexigibilidade de licitação, de </w:t>
      </w:r>
      <w:r w:rsidR="00E1273C" w:rsidRPr="00E1273C">
        <w:rPr>
          <w:b/>
          <w:sz w:val="22"/>
          <w:szCs w:val="22"/>
        </w:rPr>
        <w:t>serviço técnico profissional especializado deve estar demonstrado que este possui características singulares, além da condição de notória especialização do prestador</w:t>
      </w:r>
    </w:p>
    <w:p w:rsidR="00472FB0" w:rsidRPr="00EE05C2" w:rsidRDefault="00755956" w:rsidP="00E1273C">
      <w:pPr>
        <w:spacing w:after="0"/>
        <w:ind w:left="0"/>
        <w:rPr>
          <w:color w:val="000000"/>
          <w:sz w:val="22"/>
          <w:szCs w:val="22"/>
        </w:rPr>
      </w:pPr>
      <w:r w:rsidRPr="00EE05C2">
        <w:rPr>
          <w:color w:val="000000"/>
          <w:sz w:val="22"/>
          <w:szCs w:val="22"/>
        </w:rPr>
        <w:t xml:space="preserve">Mediante denúncia, foram relatados ao Tribunal indícios de irregularidades que estariam ocorrendo no âmbito do </w:t>
      </w:r>
      <w:r w:rsidRPr="00EE05C2">
        <w:rPr>
          <w:sz w:val="22"/>
          <w:szCs w:val="22"/>
        </w:rPr>
        <w:t>Conselho Regional de Engenharia, Arquitetura e Agronomia do Piauí – (</w:t>
      </w:r>
      <w:r w:rsidR="00D70900" w:rsidRPr="00EE05C2">
        <w:rPr>
          <w:color w:val="000000"/>
          <w:sz w:val="22"/>
          <w:szCs w:val="22"/>
        </w:rPr>
        <w:t>CREA</w:t>
      </w:r>
      <w:r w:rsidRPr="00EE05C2">
        <w:rPr>
          <w:color w:val="000000"/>
          <w:sz w:val="22"/>
          <w:szCs w:val="22"/>
        </w:rPr>
        <w:t xml:space="preserve">/PI), nos exercícios de 2006 a 2008, dentre elas, a contratação direta, por inexigibilidade de licitação, de escritórios </w:t>
      </w:r>
      <w:r w:rsidR="00D70900" w:rsidRPr="00EE05C2">
        <w:rPr>
          <w:color w:val="000000"/>
          <w:sz w:val="22"/>
          <w:szCs w:val="22"/>
        </w:rPr>
        <w:t>de advocacia</w:t>
      </w:r>
      <w:r w:rsidR="0088186D" w:rsidRPr="00EE05C2">
        <w:rPr>
          <w:color w:val="000000"/>
          <w:sz w:val="22"/>
          <w:szCs w:val="22"/>
        </w:rPr>
        <w:t>,</w:t>
      </w:r>
      <w:r w:rsidR="00D70900" w:rsidRPr="00EE05C2">
        <w:rPr>
          <w:color w:val="000000"/>
          <w:sz w:val="22"/>
          <w:szCs w:val="22"/>
        </w:rPr>
        <w:t xml:space="preserve"> para defesa do CREA/PI</w:t>
      </w:r>
      <w:r w:rsidR="0088186D" w:rsidRPr="00EE05C2">
        <w:rPr>
          <w:color w:val="000000"/>
          <w:sz w:val="22"/>
          <w:szCs w:val="22"/>
        </w:rPr>
        <w:t>,</w:t>
      </w:r>
      <w:r w:rsidR="00D70900" w:rsidRPr="00EE05C2">
        <w:rPr>
          <w:color w:val="000000"/>
          <w:sz w:val="22"/>
          <w:szCs w:val="22"/>
        </w:rPr>
        <w:t xml:space="preserve"> em causas trabalhistas. Para a unidade técnica, não restaram comprovados os </w:t>
      </w:r>
      <w:r w:rsidR="00D70900" w:rsidRPr="00EE05C2">
        <w:rPr>
          <w:sz w:val="22"/>
          <w:szCs w:val="22"/>
        </w:rPr>
        <w:t xml:space="preserve">requisitos da natureza singular do serviço técnico e da notória especialização dos contratados, o que contou com a concordância do relator, o qual, ainda, refutou a justificativa dos responsáveis de que contratados deteriam notória e larga experiência em suas áreas de atuações, que poderia ser comprovada a partir de seus os currículos profissionais. Segundo o relator, desde a </w:t>
      </w:r>
      <w:r w:rsidR="00D70900" w:rsidRPr="00EE05C2">
        <w:rPr>
          <w:color w:val="000000"/>
          <w:sz w:val="22"/>
          <w:szCs w:val="22"/>
        </w:rPr>
        <w:t>Súmula nº 39</w:t>
      </w:r>
      <w:r w:rsidR="00EE05C2">
        <w:rPr>
          <w:color w:val="000000"/>
          <w:sz w:val="22"/>
          <w:szCs w:val="22"/>
        </w:rPr>
        <w:t>,</w:t>
      </w:r>
      <w:r w:rsidR="00D70900" w:rsidRPr="00EE05C2">
        <w:rPr>
          <w:color w:val="000000"/>
          <w:sz w:val="22"/>
          <w:szCs w:val="22"/>
        </w:rPr>
        <w:t xml:space="preserve"> de 1973, “</w:t>
      </w:r>
      <w:r w:rsidR="00D70900" w:rsidRPr="00EE05C2">
        <w:rPr>
          <w:i/>
          <w:color w:val="000000"/>
          <w:sz w:val="22"/>
          <w:szCs w:val="22"/>
        </w:rPr>
        <w:t>a jurisprudência deste Tribunal tem se consolidado quanto à necessidade de se demonstrar, nas contratações diretas de serviço técnico profissional especializado, que tal serviço tenha características singulares (incomum, anômalo, não usual), aliada à condição de notória especialização do prestador (que reúna competências que o diferenciem de outros profissionais, a ponto de tornar inviável a competição)”.</w:t>
      </w:r>
      <w:r w:rsidR="00D70900" w:rsidRPr="00EE05C2">
        <w:rPr>
          <w:color w:val="000000"/>
          <w:sz w:val="22"/>
          <w:szCs w:val="22"/>
        </w:rPr>
        <w:t xml:space="preserve"> </w:t>
      </w:r>
      <w:r w:rsidR="000D1B91" w:rsidRPr="00EE05C2">
        <w:rPr>
          <w:color w:val="000000"/>
          <w:sz w:val="22"/>
          <w:szCs w:val="22"/>
        </w:rPr>
        <w:t xml:space="preserve">Assim, quanto a este ponto, o relator apresentou proposta pela procedência da denúncia, sem prejuízo da adoção de outras medidas necessárias ao bom andamento de futuras licitações a serem procedidas pelo CREA/PI. </w:t>
      </w:r>
      <w:r w:rsidR="00280F3D" w:rsidRPr="00EE05C2">
        <w:rPr>
          <w:color w:val="000000"/>
          <w:sz w:val="22"/>
          <w:szCs w:val="22"/>
        </w:rPr>
        <w:t>Precedentes citados:</w:t>
      </w:r>
      <w:r w:rsidR="00280F3D" w:rsidRPr="00EE05C2">
        <w:rPr>
          <w:color w:val="FF0000"/>
          <w:sz w:val="22"/>
          <w:szCs w:val="22"/>
        </w:rPr>
        <w:t xml:space="preserve"> </w:t>
      </w:r>
      <w:r w:rsidR="00D70900" w:rsidRPr="00EE05C2">
        <w:rPr>
          <w:color w:val="000000"/>
          <w:sz w:val="22"/>
          <w:szCs w:val="22"/>
        </w:rPr>
        <w:t>Acórdãos n</w:t>
      </w:r>
      <w:r w:rsidR="00D70900" w:rsidRPr="00EE05C2">
        <w:rPr>
          <w:color w:val="000000"/>
          <w:sz w:val="22"/>
          <w:szCs w:val="22"/>
          <w:u w:val="single"/>
          <w:vertAlign w:val="superscript"/>
        </w:rPr>
        <w:t>os</w:t>
      </w:r>
      <w:r w:rsidR="00D70900" w:rsidRPr="00EE05C2">
        <w:rPr>
          <w:color w:val="000000"/>
          <w:sz w:val="22"/>
          <w:szCs w:val="22"/>
        </w:rPr>
        <w:t>: 817/2010</w:t>
      </w:r>
      <w:r w:rsidR="00415067">
        <w:rPr>
          <w:color w:val="000000"/>
          <w:sz w:val="22"/>
          <w:szCs w:val="22"/>
        </w:rPr>
        <w:t xml:space="preserve">, da </w:t>
      </w:r>
      <w:r w:rsidR="00D70900" w:rsidRPr="00EE05C2">
        <w:rPr>
          <w:color w:val="000000"/>
          <w:sz w:val="22"/>
          <w:szCs w:val="22"/>
        </w:rPr>
        <w:t>1ª Câmara, 250/2002</w:t>
      </w:r>
      <w:r w:rsidR="00415067">
        <w:rPr>
          <w:color w:val="000000"/>
          <w:sz w:val="22"/>
          <w:szCs w:val="22"/>
        </w:rPr>
        <w:t xml:space="preserve">, da </w:t>
      </w:r>
      <w:r w:rsidR="00D70900" w:rsidRPr="00EE05C2">
        <w:rPr>
          <w:color w:val="000000"/>
          <w:sz w:val="22"/>
          <w:szCs w:val="22"/>
        </w:rPr>
        <w:t>2ª Câmara, 596/2007, 1.299/2008 e 1.602/2010</w:t>
      </w:r>
      <w:r w:rsidR="000D1B91" w:rsidRPr="00EE05C2">
        <w:rPr>
          <w:color w:val="000000"/>
          <w:sz w:val="22"/>
          <w:szCs w:val="22"/>
        </w:rPr>
        <w:t>,</w:t>
      </w:r>
      <w:r w:rsidR="00D70900" w:rsidRPr="00EE05C2">
        <w:rPr>
          <w:color w:val="000000"/>
          <w:sz w:val="22"/>
          <w:szCs w:val="22"/>
        </w:rPr>
        <w:t xml:space="preserve"> do Plenário.</w:t>
      </w:r>
      <w:r w:rsidR="000D1B91" w:rsidRPr="00EE05C2">
        <w:rPr>
          <w:color w:val="000000"/>
          <w:sz w:val="22"/>
          <w:szCs w:val="22"/>
        </w:rPr>
        <w:t xml:space="preserve"> </w:t>
      </w:r>
      <w:r w:rsidR="00472FB0" w:rsidRPr="00EE05C2">
        <w:rPr>
          <w:b/>
          <w:i/>
          <w:color w:val="000000"/>
          <w:sz w:val="22"/>
          <w:szCs w:val="22"/>
        </w:rPr>
        <w:t xml:space="preserve">Acórdão nº </w:t>
      </w:r>
      <w:r w:rsidRPr="00EE05C2">
        <w:rPr>
          <w:b/>
          <w:i/>
          <w:color w:val="000000"/>
          <w:sz w:val="22"/>
          <w:szCs w:val="22"/>
        </w:rPr>
        <w:t>1038</w:t>
      </w:r>
      <w:r w:rsidR="00472FB0" w:rsidRPr="00EE05C2">
        <w:rPr>
          <w:b/>
          <w:i/>
          <w:color w:val="000000"/>
          <w:sz w:val="22"/>
          <w:szCs w:val="22"/>
        </w:rPr>
        <w:t>/20</w:t>
      </w:r>
      <w:r w:rsidRPr="00EE05C2">
        <w:rPr>
          <w:b/>
          <w:i/>
          <w:color w:val="000000"/>
          <w:sz w:val="22"/>
          <w:szCs w:val="22"/>
        </w:rPr>
        <w:t>11-Plenário, TC-003</w:t>
      </w:r>
      <w:r w:rsidR="00472FB0" w:rsidRPr="00EE05C2">
        <w:rPr>
          <w:b/>
          <w:i/>
          <w:color w:val="000000"/>
          <w:sz w:val="22"/>
          <w:szCs w:val="22"/>
        </w:rPr>
        <w:t>.</w:t>
      </w:r>
      <w:r w:rsidRPr="00EE05C2">
        <w:rPr>
          <w:b/>
          <w:i/>
          <w:color w:val="000000"/>
          <w:sz w:val="22"/>
          <w:szCs w:val="22"/>
        </w:rPr>
        <w:t>8</w:t>
      </w:r>
      <w:r w:rsidR="00472FB0" w:rsidRPr="00EE05C2">
        <w:rPr>
          <w:b/>
          <w:i/>
          <w:color w:val="000000"/>
          <w:sz w:val="22"/>
          <w:szCs w:val="22"/>
        </w:rPr>
        <w:t>3</w:t>
      </w:r>
      <w:r w:rsidRPr="00EE05C2">
        <w:rPr>
          <w:b/>
          <w:i/>
          <w:color w:val="000000"/>
          <w:sz w:val="22"/>
          <w:szCs w:val="22"/>
        </w:rPr>
        <w:t>2/2008-7</w:t>
      </w:r>
      <w:r w:rsidR="00472FB0" w:rsidRPr="00EE05C2">
        <w:rPr>
          <w:b/>
          <w:i/>
          <w:color w:val="000000"/>
          <w:sz w:val="22"/>
          <w:szCs w:val="22"/>
        </w:rPr>
        <w:t>, rel. Min</w:t>
      </w:r>
      <w:r w:rsidRPr="00EE05C2">
        <w:rPr>
          <w:b/>
          <w:i/>
          <w:color w:val="000000"/>
          <w:sz w:val="22"/>
          <w:szCs w:val="22"/>
        </w:rPr>
        <w:t>.</w:t>
      </w:r>
      <w:r w:rsidR="00472FB0" w:rsidRPr="00EE05C2">
        <w:rPr>
          <w:b/>
          <w:i/>
          <w:color w:val="000000"/>
          <w:sz w:val="22"/>
          <w:szCs w:val="22"/>
        </w:rPr>
        <w:t xml:space="preserve">-Subst. André Luís Carvalho, </w:t>
      </w:r>
      <w:r w:rsidRPr="00EE05C2">
        <w:rPr>
          <w:b/>
          <w:i/>
          <w:color w:val="000000"/>
          <w:sz w:val="22"/>
          <w:szCs w:val="22"/>
        </w:rPr>
        <w:t>20</w:t>
      </w:r>
      <w:r w:rsidR="00472FB0" w:rsidRPr="00EE05C2">
        <w:rPr>
          <w:b/>
          <w:i/>
          <w:color w:val="000000"/>
          <w:sz w:val="22"/>
          <w:szCs w:val="22"/>
        </w:rPr>
        <w:t>.04.2011.</w:t>
      </w:r>
    </w:p>
    <w:p w:rsidR="00A6526F" w:rsidRPr="00E1273C" w:rsidRDefault="00A6526F" w:rsidP="00E1273C">
      <w:pPr>
        <w:pStyle w:val="TCU-RelVoto-demais"/>
        <w:spacing w:after="0"/>
        <w:rPr>
          <w:sz w:val="22"/>
          <w:lang w:eastAsia="pt-BR"/>
        </w:rPr>
      </w:pPr>
    </w:p>
    <w:p w:rsidR="00E245B0" w:rsidRPr="00E1273C" w:rsidRDefault="000D1B91" w:rsidP="00E1273C">
      <w:pPr>
        <w:spacing w:after="0"/>
        <w:ind w:left="0"/>
        <w:rPr>
          <w:b/>
          <w:sz w:val="22"/>
          <w:szCs w:val="22"/>
          <w:lang w:eastAsia="pt-BR"/>
        </w:rPr>
      </w:pPr>
      <w:r w:rsidRPr="00E1273C">
        <w:rPr>
          <w:b/>
          <w:sz w:val="22"/>
          <w:szCs w:val="22"/>
          <w:lang w:eastAsia="pt-BR"/>
        </w:rPr>
        <w:t xml:space="preserve">Contratação por inexigibilidade de licitação: 2 </w:t>
      </w:r>
      <w:r w:rsidR="00E245B0" w:rsidRPr="00E1273C">
        <w:rPr>
          <w:b/>
          <w:sz w:val="22"/>
          <w:szCs w:val="22"/>
          <w:lang w:eastAsia="pt-BR"/>
        </w:rPr>
        <w:t>–</w:t>
      </w:r>
      <w:r w:rsidRPr="00E1273C">
        <w:rPr>
          <w:b/>
          <w:sz w:val="22"/>
          <w:szCs w:val="22"/>
          <w:lang w:eastAsia="pt-BR"/>
        </w:rPr>
        <w:t xml:space="preserve"> </w:t>
      </w:r>
      <w:r w:rsidR="00E1273C" w:rsidRPr="00E1273C">
        <w:rPr>
          <w:b/>
          <w:sz w:val="22"/>
          <w:szCs w:val="22"/>
          <w:lang w:eastAsia="pt-BR"/>
        </w:rPr>
        <w:t xml:space="preserve">Mesmo em hipótese de contratações diretas, o preço a ser praticado pela Administração deve estar em conformidade com os praticados pelo mercado </w:t>
      </w:r>
    </w:p>
    <w:p w:rsidR="000D1B91" w:rsidRPr="00EE05C2" w:rsidRDefault="000D1B91" w:rsidP="00E1273C">
      <w:pPr>
        <w:pStyle w:val="TCU-Epgrafe"/>
        <w:tabs>
          <w:tab w:val="left" w:pos="1134"/>
        </w:tabs>
        <w:ind w:left="0"/>
        <w:rPr>
          <w:color w:val="000000"/>
          <w:sz w:val="22"/>
          <w:szCs w:val="22"/>
        </w:rPr>
      </w:pPr>
      <w:r w:rsidRPr="00EE05C2">
        <w:rPr>
          <w:color w:val="000000"/>
          <w:sz w:val="22"/>
          <w:szCs w:val="22"/>
        </w:rPr>
        <w:t xml:space="preserve">Ainda na denúncia na qual foram relatados ao Tribunal indícios de irregularidades que estariam ocorrendo no âmbito do </w:t>
      </w:r>
      <w:r w:rsidRPr="00EE05C2">
        <w:rPr>
          <w:sz w:val="22"/>
          <w:szCs w:val="22"/>
        </w:rPr>
        <w:t>Conselho Regional de Engenharia, Arquitetura e Agronomia do Piauí – (</w:t>
      </w:r>
      <w:r w:rsidRPr="00EE05C2">
        <w:rPr>
          <w:color w:val="000000"/>
          <w:sz w:val="22"/>
          <w:szCs w:val="22"/>
        </w:rPr>
        <w:t xml:space="preserve">CREA/PI), nos exercícios de 2006 a 2008, </w:t>
      </w:r>
      <w:r w:rsidR="00E245B0" w:rsidRPr="00EE05C2">
        <w:rPr>
          <w:color w:val="000000"/>
          <w:sz w:val="22"/>
          <w:szCs w:val="22"/>
        </w:rPr>
        <w:t xml:space="preserve">a unidade técnica </w:t>
      </w:r>
      <w:r w:rsidRPr="00EE05C2">
        <w:rPr>
          <w:color w:val="000000"/>
          <w:sz w:val="22"/>
          <w:szCs w:val="22"/>
        </w:rPr>
        <w:t>apurou</w:t>
      </w:r>
      <w:r w:rsidR="00E245B0" w:rsidRPr="00EE05C2">
        <w:rPr>
          <w:color w:val="000000"/>
          <w:sz w:val="22"/>
          <w:szCs w:val="22"/>
        </w:rPr>
        <w:t>, além</w:t>
      </w:r>
      <w:r w:rsidRPr="00EE05C2">
        <w:rPr>
          <w:color w:val="000000"/>
          <w:sz w:val="22"/>
          <w:szCs w:val="22"/>
        </w:rPr>
        <w:t xml:space="preserve"> </w:t>
      </w:r>
      <w:r w:rsidR="00E245B0" w:rsidRPr="00EE05C2">
        <w:rPr>
          <w:color w:val="000000"/>
          <w:sz w:val="22"/>
          <w:szCs w:val="22"/>
        </w:rPr>
        <w:t>d</w:t>
      </w:r>
      <w:r w:rsidRPr="00EE05C2">
        <w:rPr>
          <w:color w:val="000000"/>
          <w:sz w:val="22"/>
          <w:szCs w:val="22"/>
        </w:rPr>
        <w:t>a não justificativa do preço praticado</w:t>
      </w:r>
      <w:r w:rsidR="00E245B0" w:rsidRPr="00EE05C2">
        <w:rPr>
          <w:color w:val="000000"/>
          <w:sz w:val="22"/>
          <w:szCs w:val="22"/>
        </w:rPr>
        <w:t>, potencial sobrepreço</w:t>
      </w:r>
      <w:r w:rsidRPr="00EE05C2">
        <w:rPr>
          <w:color w:val="000000"/>
          <w:sz w:val="22"/>
          <w:szCs w:val="22"/>
        </w:rPr>
        <w:t xml:space="preserve"> </w:t>
      </w:r>
      <w:r w:rsidRPr="00EE05C2">
        <w:rPr>
          <w:sz w:val="22"/>
          <w:szCs w:val="22"/>
        </w:rPr>
        <w:t>em contratações diretas, por inexigibilidade de licitação, de escritórios de advocacia</w:t>
      </w:r>
      <w:r w:rsidR="0088186D" w:rsidRPr="00EE05C2">
        <w:rPr>
          <w:sz w:val="22"/>
          <w:szCs w:val="22"/>
        </w:rPr>
        <w:t>,</w:t>
      </w:r>
      <w:r w:rsidRPr="00EE05C2">
        <w:rPr>
          <w:sz w:val="22"/>
          <w:szCs w:val="22"/>
        </w:rPr>
        <w:t xml:space="preserve"> para defesa do CREA/PI</w:t>
      </w:r>
      <w:r w:rsidR="0088186D" w:rsidRPr="00EE05C2">
        <w:rPr>
          <w:sz w:val="22"/>
          <w:szCs w:val="22"/>
        </w:rPr>
        <w:t>,</w:t>
      </w:r>
      <w:r w:rsidR="00E245B0" w:rsidRPr="00EE05C2">
        <w:rPr>
          <w:sz w:val="22"/>
          <w:szCs w:val="22"/>
        </w:rPr>
        <w:t xml:space="preserve"> em causas trabalhistas. Na espécie, os honorários pagos (R$ 175.000,00) equivaleram a 42% dos valores discutidos nas causas (R$ 420.000,00). A respeito disso, os responsáveis informaram que foram levados em consideração, na definição do preço ajustado, os altos valores envolvidos nas causas, o grau de dificuldade, com previsão de quantidade e tempo de duração dos serviços, além do percentual usualmente aceito para fixação dos honorários advocatícios.</w:t>
      </w:r>
      <w:r w:rsidR="0088186D" w:rsidRPr="00EE05C2">
        <w:rPr>
          <w:sz w:val="22"/>
          <w:szCs w:val="22"/>
        </w:rPr>
        <w:t xml:space="preserve"> Para a unidade técnica, tomando por base a tabela de honorários da OAB/PI, nas ações objeto dos contratos inquinados</w:t>
      </w:r>
      <w:r w:rsidR="00EE05C2">
        <w:rPr>
          <w:sz w:val="22"/>
          <w:szCs w:val="22"/>
        </w:rPr>
        <w:t>,</w:t>
      </w:r>
      <w:r w:rsidR="0088186D" w:rsidRPr="00EE05C2">
        <w:rPr>
          <w:sz w:val="22"/>
          <w:szCs w:val="22"/>
        </w:rPr>
        <w:t xml:space="preserve"> seria</w:t>
      </w:r>
      <w:r w:rsidR="00EE05C2">
        <w:rPr>
          <w:sz w:val="22"/>
          <w:szCs w:val="22"/>
        </w:rPr>
        <w:t>m</w:t>
      </w:r>
      <w:r w:rsidR="0088186D" w:rsidRPr="00EE05C2">
        <w:rPr>
          <w:sz w:val="22"/>
          <w:szCs w:val="22"/>
        </w:rPr>
        <w:t xml:space="preserve"> devidos honorários da ordem de 20% sobre o valor do pedido, do acordo ou da contestação, o que resultaria, no caso presente, em R$ 84.000,00 de honorários, ou seja, menos da metade dos valores efetivamente pagos pelo CREA/PI. </w:t>
      </w:r>
      <w:r w:rsidR="00EE05C2">
        <w:rPr>
          <w:sz w:val="22"/>
          <w:szCs w:val="22"/>
        </w:rPr>
        <w:t>Ainda para a unidade técnica, o</w:t>
      </w:r>
      <w:r w:rsidR="0088186D" w:rsidRPr="00EE05C2">
        <w:rPr>
          <w:sz w:val="22"/>
          <w:szCs w:val="22"/>
        </w:rPr>
        <w:t xml:space="preserve"> problema seria agravado em face de não haver, nos autos, elementos que justificassem a opção do Conselho pela contratação de serviços de terceiros, a despeito de possuir funcionários contratados para o cargo de advogado em seu quadro de pessoal. Por isso, </w:t>
      </w:r>
      <w:r w:rsidR="00201FED" w:rsidRPr="00EE05C2">
        <w:rPr>
          <w:sz w:val="22"/>
          <w:szCs w:val="22"/>
        </w:rPr>
        <w:t xml:space="preserve">a unidade técnica </w:t>
      </w:r>
      <w:r w:rsidR="00E1273C">
        <w:rPr>
          <w:sz w:val="22"/>
          <w:szCs w:val="22"/>
        </w:rPr>
        <w:t>sugeriu</w:t>
      </w:r>
      <w:r w:rsidR="0088186D" w:rsidRPr="00EE05C2">
        <w:rPr>
          <w:sz w:val="22"/>
          <w:szCs w:val="22"/>
        </w:rPr>
        <w:t xml:space="preserve"> a conversão processo em tomada de contas especial, com a citação solidária do presidente do CREA/PI e dos contratados, a fim de recolher ou apresentar alegações de defesa quanto ao débito apurado, relativo à diferença entre os valores efetivamente pagos e os mercadologicamente devidos, considerando os contratos isoladamente e usando a </w:t>
      </w:r>
      <w:r w:rsidR="00201FED" w:rsidRPr="00EE05C2">
        <w:rPr>
          <w:sz w:val="22"/>
          <w:szCs w:val="22"/>
        </w:rPr>
        <w:t xml:space="preserve">tabela de remuneração da OAB/PI, proposta </w:t>
      </w:r>
      <w:r w:rsidR="00EE05C2">
        <w:rPr>
          <w:sz w:val="22"/>
          <w:szCs w:val="22"/>
        </w:rPr>
        <w:t xml:space="preserve">que foi </w:t>
      </w:r>
      <w:r w:rsidR="00201FED" w:rsidRPr="00EE05C2">
        <w:rPr>
          <w:sz w:val="22"/>
          <w:szCs w:val="22"/>
        </w:rPr>
        <w:t xml:space="preserve">acolhida pelo relator e aprovada pelo Plenário. </w:t>
      </w:r>
      <w:r w:rsidRPr="00EE05C2">
        <w:rPr>
          <w:b/>
          <w:i/>
          <w:color w:val="000000"/>
          <w:sz w:val="22"/>
          <w:szCs w:val="22"/>
        </w:rPr>
        <w:t>Acórdão nº 1038/2011-Plenário, TC-003.832/2008-7, rel. Min.-Subst. André Luís Carvalho, 20.04.2011.</w:t>
      </w:r>
    </w:p>
    <w:p w:rsidR="006C7DE0" w:rsidRPr="00FA45CD" w:rsidRDefault="006C7DE0" w:rsidP="00FA45CD">
      <w:pPr>
        <w:pStyle w:val="TCU-RelVoto-demais"/>
        <w:spacing w:after="0"/>
        <w:rPr>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1"/>
      </w:tblGrid>
      <w:tr w:rsidR="007334B1" w:rsidRPr="007C2A55" w:rsidTr="0030360F">
        <w:trPr>
          <w:trHeight w:val="779"/>
          <w:jc w:val="center"/>
        </w:trPr>
        <w:tc>
          <w:tcPr>
            <w:tcW w:w="0" w:type="auto"/>
            <w:vAlign w:val="center"/>
          </w:tcPr>
          <w:p w:rsidR="007334B1" w:rsidRPr="007C2A55" w:rsidRDefault="00C10DD5" w:rsidP="0030360F">
            <w:pPr>
              <w:pStyle w:val="enter-3pt"/>
              <w:spacing w:line="240" w:lineRule="auto"/>
              <w:jc w:val="center"/>
              <w:rPr>
                <w:b/>
                <w:i/>
                <w:sz w:val="18"/>
                <w:szCs w:val="18"/>
              </w:rPr>
            </w:pPr>
            <w:r>
              <w:rPr>
                <w:b/>
                <w:i/>
                <w:sz w:val="18"/>
                <w:szCs w:val="18"/>
              </w:rPr>
              <w:t>Elaboração: Secretaria das Sessões</w:t>
            </w:r>
          </w:p>
          <w:p w:rsidR="007334B1" w:rsidRPr="007C2A55" w:rsidRDefault="007334B1" w:rsidP="0030360F">
            <w:pPr>
              <w:pStyle w:val="enter-3pt"/>
              <w:spacing w:line="240" w:lineRule="auto"/>
              <w:jc w:val="center"/>
              <w:rPr>
                <w:b/>
                <w:i/>
                <w:sz w:val="22"/>
                <w:szCs w:val="22"/>
              </w:rPr>
            </w:pPr>
            <w:r w:rsidRPr="007C2A55">
              <w:rPr>
                <w:b/>
                <w:i/>
                <w:sz w:val="18"/>
                <w:szCs w:val="18"/>
              </w:rPr>
              <w:t xml:space="preserve">Contato: </w:t>
            </w:r>
            <w:hyperlink r:id="rId7" w:history="1">
              <w:r w:rsidRPr="007C2A55">
                <w:rPr>
                  <w:rStyle w:val="Hyperlink"/>
                  <w:b/>
                  <w:i/>
                  <w:color w:val="auto"/>
                  <w:sz w:val="18"/>
                  <w:szCs w:val="18"/>
                </w:rPr>
                <w:t>infojuris@tcu.gov.br</w:t>
              </w:r>
            </w:hyperlink>
          </w:p>
        </w:tc>
      </w:tr>
    </w:tbl>
    <w:p w:rsidR="007334B1" w:rsidRPr="007C2A55" w:rsidRDefault="007334B1" w:rsidP="007334B1">
      <w:pPr>
        <w:pStyle w:val="enter-3pt"/>
        <w:spacing w:line="240" w:lineRule="auto"/>
        <w:jc w:val="center"/>
        <w:rPr>
          <w:b/>
          <w:sz w:val="22"/>
          <w:szCs w:val="22"/>
        </w:rPr>
      </w:pPr>
    </w:p>
    <w:sectPr w:rsidR="007334B1" w:rsidRPr="007C2A55" w:rsidSect="00F340CD">
      <w:headerReference w:type="default" r:id="rId8"/>
      <w:footerReference w:type="default" r:id="rId9"/>
      <w:pgSz w:w="11906" w:h="16838" w:code="9"/>
      <w:pgMar w:top="1134" w:right="851" w:bottom="851" w:left="1418"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CCA" w:rsidRDefault="00654CCA" w:rsidP="008B0547">
      <w:pPr>
        <w:spacing w:after="0"/>
      </w:pPr>
      <w:r>
        <w:separator/>
      </w:r>
    </w:p>
  </w:endnote>
  <w:endnote w:type="continuationSeparator" w:id="0">
    <w:p w:rsidR="00654CCA" w:rsidRDefault="00654CCA" w:rsidP="008B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547" w:rsidRPr="00C906CD" w:rsidRDefault="00C906CD" w:rsidP="004E357A">
    <w:pPr>
      <w:pStyle w:val="Rodap"/>
      <w:jc w:val="right"/>
      <w:rPr>
        <w:sz w:val="20"/>
        <w:szCs w:val="20"/>
      </w:rPr>
    </w:pPr>
    <w:r w:rsidRPr="00C906CD">
      <w:rPr>
        <w:sz w:val="20"/>
        <w:szCs w:val="20"/>
      </w:rPr>
      <w:fldChar w:fldCharType="begin"/>
    </w:r>
    <w:r w:rsidRPr="00C906CD">
      <w:rPr>
        <w:sz w:val="20"/>
        <w:szCs w:val="20"/>
      </w:rPr>
      <w:instrText xml:space="preserve"> PAGE   \* MERGEFORMAT </w:instrText>
    </w:r>
    <w:r w:rsidRPr="00C906CD">
      <w:rPr>
        <w:sz w:val="20"/>
        <w:szCs w:val="20"/>
      </w:rPr>
      <w:fldChar w:fldCharType="separate"/>
    </w:r>
    <w:r w:rsidR="00926B37">
      <w:rPr>
        <w:noProof/>
        <w:sz w:val="20"/>
        <w:szCs w:val="20"/>
      </w:rPr>
      <w:t>1</w:t>
    </w:r>
    <w:r w:rsidRPr="00C906C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CCA" w:rsidRDefault="00654CCA" w:rsidP="008B0547">
      <w:pPr>
        <w:spacing w:after="0"/>
      </w:pPr>
      <w:r>
        <w:separator/>
      </w:r>
    </w:p>
  </w:footnote>
  <w:footnote w:type="continuationSeparator" w:id="0">
    <w:p w:rsidR="00654CCA" w:rsidRDefault="00654CCA" w:rsidP="008B05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547" w:rsidRDefault="002E66C0" w:rsidP="00080148">
    <w:pPr>
      <w:spacing w:after="0"/>
      <w:rPr>
        <w:rFonts w:ascii="Arial" w:hAnsi="Arial" w:cs="Arial"/>
        <w:b/>
      </w:rPr>
    </w:pPr>
    <w:r>
      <w:rPr>
        <w:rFonts w:ascii="Arial" w:hAnsi="Arial" w:cs="Arial"/>
        <w:b/>
        <w:noProof/>
        <w:lang w:eastAsia="pt-BR"/>
      </w:rPr>
      <w:drawing>
        <wp:anchor distT="0" distB="0" distL="114300" distR="114300" simplePos="0" relativeHeight="251657216" behindDoc="0" locked="0" layoutInCell="1" allowOverlap="1">
          <wp:simplePos x="0" y="0"/>
          <wp:positionH relativeFrom="column">
            <wp:posOffset>-37465</wp:posOffset>
          </wp:positionH>
          <wp:positionV relativeFrom="paragraph">
            <wp:posOffset>-71120</wp:posOffset>
          </wp:positionV>
          <wp:extent cx="551815" cy="436880"/>
          <wp:effectExtent l="0" t="0" r="635" b="1270"/>
          <wp:wrapNone/>
          <wp:docPr id="2" name="Imagem 1" descr="LogoT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T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8B0547">
      <w:rPr>
        <w:rFonts w:ascii="Arial" w:hAnsi="Arial" w:cs="Arial"/>
        <w:b/>
      </w:rPr>
      <w:t>TRIBUNAL DE CONTAS DA UNIÃO</w:t>
    </w:r>
  </w:p>
  <w:p w:rsidR="008B0547" w:rsidRPr="00515E7B" w:rsidRDefault="002E66C0" w:rsidP="00080148">
    <w:pPr>
      <w:spacing w:after="0"/>
      <w:rPr>
        <w:rFonts w:ascii="Arial" w:hAnsi="Arial" w:cs="Arial"/>
        <w:b/>
      </w:rPr>
    </w:pPr>
    <w:r w:rsidRPr="00515E7B">
      <w:rPr>
        <w:rFonts w:ascii="Arial" w:hAnsi="Arial" w:cs="Arial"/>
        <w:noProof/>
        <w:lang w:eastAsia="pt-BR"/>
      </w:rPr>
      <mc:AlternateContent>
        <mc:Choice Requires="wps">
          <w:drawing>
            <wp:anchor distT="0" distB="0" distL="114300" distR="114300" simplePos="0" relativeHeight="251658240" behindDoc="0" locked="0" layoutInCell="1" allowOverlap="1">
              <wp:simplePos x="0" y="0"/>
              <wp:positionH relativeFrom="margin">
                <wp:posOffset>37465</wp:posOffset>
              </wp:positionH>
              <wp:positionV relativeFrom="paragraph">
                <wp:posOffset>243840</wp:posOffset>
              </wp:positionV>
              <wp:extent cx="6120130" cy="0"/>
              <wp:effectExtent l="8890" t="5715" r="5080"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F8614"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95pt,19.2pt" to="484.8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R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">
              <w10:wrap anchorx="margin"/>
            </v:line>
          </w:pict>
        </mc:Fallback>
      </mc:AlternateContent>
    </w:r>
    <w:r w:rsidR="00515E7B" w:rsidRPr="00515E7B">
      <w:rPr>
        <w:rFonts w:ascii="Arial" w:hAnsi="Arial" w:cs="Arial"/>
        <w:noProof/>
        <w:lang w:eastAsia="pt-BR"/>
      </w:rPr>
      <w:t>Info</w:t>
    </w:r>
    <w:r w:rsidR="006F4DE0">
      <w:rPr>
        <w:rFonts w:ascii="Arial" w:hAnsi="Arial" w:cs="Arial"/>
        <w:noProof/>
        <w:lang w:eastAsia="pt-BR"/>
      </w:rPr>
      <w:t>rmativo</w:t>
    </w:r>
    <w:r w:rsidR="00515E7B">
      <w:rPr>
        <w:rFonts w:ascii="Arial" w:hAnsi="Arial" w:cs="Arial"/>
        <w:noProof/>
        <w:lang w:eastAsia="pt-BR"/>
      </w:rPr>
      <w:t xml:space="preserve"> </w:t>
    </w:r>
    <w:r w:rsidR="002810D9">
      <w:rPr>
        <w:rFonts w:ascii="Arial" w:hAnsi="Arial" w:cs="Arial"/>
        <w:noProof/>
        <w:lang w:eastAsia="pt-BR"/>
      </w:rPr>
      <w:t>de Jurisprudência sobre</w:t>
    </w:r>
    <w:r w:rsidR="00515E7B">
      <w:rPr>
        <w:rFonts w:ascii="Arial" w:hAnsi="Arial" w:cs="Arial"/>
        <w:noProof/>
        <w:lang w:eastAsia="pt-BR"/>
      </w:rPr>
      <w:t xml:space="preserve"> </w:t>
    </w:r>
    <w:r w:rsidR="002810D9">
      <w:rPr>
        <w:rFonts w:ascii="Arial" w:hAnsi="Arial" w:cs="Arial"/>
        <w:noProof/>
        <w:lang w:eastAsia="pt-BR"/>
      </w:rPr>
      <w:t>L</w:t>
    </w:r>
    <w:r w:rsidR="00515E7B" w:rsidRPr="00515E7B">
      <w:rPr>
        <w:rFonts w:ascii="Arial" w:hAnsi="Arial" w:cs="Arial"/>
        <w:noProof/>
        <w:lang w:eastAsia="pt-BR"/>
      </w:rPr>
      <w:t xml:space="preserve">icitações e </w:t>
    </w:r>
    <w:r w:rsidR="002810D9">
      <w:rPr>
        <w:rFonts w:ascii="Arial" w:hAnsi="Arial" w:cs="Arial"/>
        <w:noProof/>
        <w:lang w:eastAsia="pt-BR"/>
      </w:rPr>
      <w:t>C</w:t>
    </w:r>
    <w:r w:rsidR="00515E7B" w:rsidRPr="00515E7B">
      <w:rPr>
        <w:rFonts w:ascii="Arial" w:hAnsi="Arial" w:cs="Arial"/>
        <w:noProof/>
        <w:lang w:eastAsia="pt-BR"/>
      </w:rPr>
      <w:t>ontratos</w:t>
    </w:r>
    <w:r w:rsidR="00FF7C62">
      <w:rPr>
        <w:rFonts w:ascii="Arial" w:hAnsi="Arial" w:cs="Arial"/>
        <w:noProof/>
        <w:lang w:eastAsia="pt-BR"/>
      </w:rPr>
      <w:t xml:space="preserve"> nº </w:t>
    </w:r>
    <w:r w:rsidR="00274068">
      <w:rPr>
        <w:rFonts w:ascii="Arial" w:hAnsi="Arial" w:cs="Arial"/>
        <w:noProof/>
        <w:lang w:eastAsia="pt-BR"/>
      </w:rPr>
      <w:t>5</w:t>
    </w:r>
    <w:r w:rsidR="000E020F">
      <w:rPr>
        <w:rFonts w:ascii="Arial" w:hAnsi="Arial" w:cs="Arial"/>
        <w:noProof/>
        <w:lang w:eastAsia="pt-BR"/>
      </w:rPr>
      <w:t>9</w:t>
    </w:r>
  </w:p>
  <w:p w:rsidR="008B0547" w:rsidRDefault="008B054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81BB1"/>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23D0350"/>
    <w:multiLevelType w:val="hybridMultilevel"/>
    <w:tmpl w:val="720CCA86"/>
    <w:lvl w:ilvl="0" w:tplc="E6D07442">
      <w:start w:val="2"/>
      <w:numFmt w:val="decimal"/>
      <w:lvlText w:val="%1."/>
      <w:lvlJc w:val="left"/>
      <w:pPr>
        <w:tabs>
          <w:tab w:val="num" w:pos="2061"/>
        </w:tabs>
        <w:ind w:left="2061"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B7538BA"/>
    <w:multiLevelType w:val="multilevel"/>
    <w:tmpl w:val="003A07FC"/>
    <w:lvl w:ilvl="0">
      <w:start w:val="2"/>
      <w:numFmt w:val="decimal"/>
      <w:lvlText w:val="%1."/>
      <w:lvlJc w:val="left"/>
      <w:pPr>
        <w:ind w:left="1080" w:hanging="360"/>
      </w:pPr>
      <w:rPr>
        <w:rFonts w:cs="Times New Roman" w:hint="default"/>
        <w:color w:val="000000"/>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4">
    <w:nsid w:val="11202DB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7844A58"/>
    <w:multiLevelType w:val="hybridMultilevel"/>
    <w:tmpl w:val="5A222BB8"/>
    <w:lvl w:ilvl="0" w:tplc="C8562B38">
      <w:start w:val="2"/>
      <w:numFmt w:val="decimal"/>
      <w:lvlText w:val="%1."/>
      <w:lvlJc w:val="left"/>
      <w:pPr>
        <w:ind w:left="1854" w:hanging="360"/>
      </w:pPr>
      <w:rPr>
        <w:rFonts w:cs="Times New Roman" w:hint="default"/>
      </w:rPr>
    </w:lvl>
    <w:lvl w:ilvl="1" w:tplc="04160019" w:tentative="1">
      <w:start w:val="1"/>
      <w:numFmt w:val="lowerLetter"/>
      <w:lvlText w:val="%2."/>
      <w:lvlJc w:val="left"/>
      <w:pPr>
        <w:ind w:left="2574" w:hanging="360"/>
      </w:pPr>
      <w:rPr>
        <w:rFonts w:cs="Times New Roman"/>
      </w:rPr>
    </w:lvl>
    <w:lvl w:ilvl="2" w:tplc="0416001B" w:tentative="1">
      <w:start w:val="1"/>
      <w:numFmt w:val="lowerRoman"/>
      <w:lvlText w:val="%3."/>
      <w:lvlJc w:val="right"/>
      <w:pPr>
        <w:ind w:left="3294" w:hanging="180"/>
      </w:pPr>
      <w:rPr>
        <w:rFonts w:cs="Times New Roman"/>
      </w:rPr>
    </w:lvl>
    <w:lvl w:ilvl="3" w:tplc="0416000F" w:tentative="1">
      <w:start w:val="1"/>
      <w:numFmt w:val="decimal"/>
      <w:lvlText w:val="%4."/>
      <w:lvlJc w:val="left"/>
      <w:pPr>
        <w:ind w:left="4014" w:hanging="360"/>
      </w:pPr>
      <w:rPr>
        <w:rFonts w:cs="Times New Roman"/>
      </w:rPr>
    </w:lvl>
    <w:lvl w:ilvl="4" w:tplc="04160019" w:tentative="1">
      <w:start w:val="1"/>
      <w:numFmt w:val="lowerLetter"/>
      <w:lvlText w:val="%5."/>
      <w:lvlJc w:val="left"/>
      <w:pPr>
        <w:ind w:left="4734" w:hanging="360"/>
      </w:pPr>
      <w:rPr>
        <w:rFonts w:cs="Times New Roman"/>
      </w:rPr>
    </w:lvl>
    <w:lvl w:ilvl="5" w:tplc="0416001B" w:tentative="1">
      <w:start w:val="1"/>
      <w:numFmt w:val="lowerRoman"/>
      <w:lvlText w:val="%6."/>
      <w:lvlJc w:val="right"/>
      <w:pPr>
        <w:ind w:left="5454" w:hanging="180"/>
      </w:pPr>
      <w:rPr>
        <w:rFonts w:cs="Times New Roman"/>
      </w:rPr>
    </w:lvl>
    <w:lvl w:ilvl="6" w:tplc="0416000F" w:tentative="1">
      <w:start w:val="1"/>
      <w:numFmt w:val="decimal"/>
      <w:lvlText w:val="%7."/>
      <w:lvlJc w:val="left"/>
      <w:pPr>
        <w:ind w:left="6174" w:hanging="360"/>
      </w:pPr>
      <w:rPr>
        <w:rFonts w:cs="Times New Roman"/>
      </w:rPr>
    </w:lvl>
    <w:lvl w:ilvl="7" w:tplc="04160019" w:tentative="1">
      <w:start w:val="1"/>
      <w:numFmt w:val="lowerLetter"/>
      <w:lvlText w:val="%8."/>
      <w:lvlJc w:val="left"/>
      <w:pPr>
        <w:ind w:left="6894" w:hanging="360"/>
      </w:pPr>
      <w:rPr>
        <w:rFonts w:cs="Times New Roman"/>
      </w:rPr>
    </w:lvl>
    <w:lvl w:ilvl="8" w:tplc="0416001B" w:tentative="1">
      <w:start w:val="1"/>
      <w:numFmt w:val="lowerRoman"/>
      <w:lvlText w:val="%9."/>
      <w:lvlJc w:val="right"/>
      <w:pPr>
        <w:ind w:left="7614" w:hanging="180"/>
      </w:pPr>
      <w:rPr>
        <w:rFonts w:cs="Times New Roman"/>
      </w:rPr>
    </w:lvl>
  </w:abstractNum>
  <w:abstractNum w:abstractNumId="6">
    <w:nsid w:val="185F349C"/>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19283672"/>
    <w:multiLevelType w:val="hybridMultilevel"/>
    <w:tmpl w:val="889899D2"/>
    <w:lvl w:ilvl="0" w:tplc="E45636D6">
      <w:start w:val="2"/>
      <w:numFmt w:val="decimal"/>
      <w:pStyle w:val="Normal-numerado-VOT01"/>
      <w:lvlText w:val="%1."/>
      <w:lvlJc w:val="left"/>
      <w:pPr>
        <w:ind w:left="720" w:hanging="360"/>
      </w:pPr>
      <w:rPr>
        <w:rFonts w:ascii="Times New Roman" w:hAnsi="Times New Roman" w:cs="Times New Roman"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8">
    <w:nsid w:val="1A66630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200E7711"/>
    <w:multiLevelType w:val="singleLevel"/>
    <w:tmpl w:val="16926312"/>
    <w:lvl w:ilvl="0">
      <w:start w:val="2"/>
      <w:numFmt w:val="decimal"/>
      <w:lvlText w:val="%1."/>
      <w:lvlJc w:val="left"/>
      <w:pPr>
        <w:tabs>
          <w:tab w:val="num" w:pos="360"/>
        </w:tabs>
        <w:ind w:left="0" w:firstLine="0"/>
      </w:pPr>
      <w:rPr>
        <w:sz w:val="24"/>
        <w:szCs w:val="24"/>
      </w:rPr>
    </w:lvl>
  </w:abstractNum>
  <w:abstractNum w:abstractNumId="10">
    <w:nsid w:val="214212D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222E7845"/>
    <w:multiLevelType w:val="multilevel"/>
    <w:tmpl w:val="90E2DA72"/>
    <w:lvl w:ilvl="0">
      <w:start w:val="9"/>
      <w:numFmt w:val="decimal"/>
      <w:lvlText w:val="%1."/>
      <w:lvlJc w:val="left"/>
      <w:pPr>
        <w:ind w:left="360" w:hanging="360"/>
      </w:pPr>
      <w:rPr>
        <w:rFonts w:cs="Times New Roman" w:hint="default"/>
      </w:rPr>
    </w:lvl>
    <w:lvl w:ilvl="1">
      <w:start w:val="2"/>
      <w:numFmt w:val="decimal"/>
      <w:lvlText w:val="%1.%2."/>
      <w:lvlJc w:val="left"/>
      <w:pPr>
        <w:ind w:left="1494" w:hanging="36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12">
    <w:nsid w:val="239C54D4"/>
    <w:multiLevelType w:val="hybridMultilevel"/>
    <w:tmpl w:val="EFBED870"/>
    <w:lvl w:ilvl="0" w:tplc="04160017">
      <w:start w:val="1"/>
      <w:numFmt w:val="lowerLetter"/>
      <w:lvlText w:val="%1)"/>
      <w:lvlJc w:val="left"/>
      <w:pPr>
        <w:ind w:left="1500" w:hanging="360"/>
      </w:pPr>
      <w:rPr>
        <w:rFonts w:cs="Times New Roman" w:hint="default"/>
        <w:b/>
        <w:color w:val="auto"/>
      </w:rPr>
    </w:lvl>
    <w:lvl w:ilvl="1" w:tplc="04160019" w:tentative="1">
      <w:start w:val="1"/>
      <w:numFmt w:val="lowerLetter"/>
      <w:lvlText w:val="%2."/>
      <w:lvlJc w:val="left"/>
      <w:pPr>
        <w:ind w:left="2220" w:hanging="360"/>
      </w:pPr>
      <w:rPr>
        <w:rFonts w:cs="Times New Roman"/>
      </w:rPr>
    </w:lvl>
    <w:lvl w:ilvl="2" w:tplc="0416001B" w:tentative="1">
      <w:start w:val="1"/>
      <w:numFmt w:val="lowerRoman"/>
      <w:lvlText w:val="%3."/>
      <w:lvlJc w:val="right"/>
      <w:pPr>
        <w:ind w:left="2940" w:hanging="180"/>
      </w:pPr>
      <w:rPr>
        <w:rFonts w:cs="Times New Roman"/>
      </w:rPr>
    </w:lvl>
    <w:lvl w:ilvl="3" w:tplc="0416000F" w:tentative="1">
      <w:start w:val="1"/>
      <w:numFmt w:val="decimal"/>
      <w:lvlText w:val="%4."/>
      <w:lvlJc w:val="left"/>
      <w:pPr>
        <w:ind w:left="3660" w:hanging="360"/>
      </w:pPr>
      <w:rPr>
        <w:rFonts w:cs="Times New Roman"/>
      </w:rPr>
    </w:lvl>
    <w:lvl w:ilvl="4" w:tplc="04160019" w:tentative="1">
      <w:start w:val="1"/>
      <w:numFmt w:val="lowerLetter"/>
      <w:lvlText w:val="%5."/>
      <w:lvlJc w:val="left"/>
      <w:pPr>
        <w:ind w:left="4380" w:hanging="360"/>
      </w:pPr>
      <w:rPr>
        <w:rFonts w:cs="Times New Roman"/>
      </w:rPr>
    </w:lvl>
    <w:lvl w:ilvl="5" w:tplc="0416001B" w:tentative="1">
      <w:start w:val="1"/>
      <w:numFmt w:val="lowerRoman"/>
      <w:lvlText w:val="%6."/>
      <w:lvlJc w:val="right"/>
      <w:pPr>
        <w:ind w:left="5100" w:hanging="180"/>
      </w:pPr>
      <w:rPr>
        <w:rFonts w:cs="Times New Roman"/>
      </w:rPr>
    </w:lvl>
    <w:lvl w:ilvl="6" w:tplc="0416000F" w:tentative="1">
      <w:start w:val="1"/>
      <w:numFmt w:val="decimal"/>
      <w:lvlText w:val="%7."/>
      <w:lvlJc w:val="left"/>
      <w:pPr>
        <w:ind w:left="5820" w:hanging="360"/>
      </w:pPr>
      <w:rPr>
        <w:rFonts w:cs="Times New Roman"/>
      </w:rPr>
    </w:lvl>
    <w:lvl w:ilvl="7" w:tplc="04160019" w:tentative="1">
      <w:start w:val="1"/>
      <w:numFmt w:val="lowerLetter"/>
      <w:lvlText w:val="%8."/>
      <w:lvlJc w:val="left"/>
      <w:pPr>
        <w:ind w:left="6540" w:hanging="360"/>
      </w:pPr>
      <w:rPr>
        <w:rFonts w:cs="Times New Roman"/>
      </w:rPr>
    </w:lvl>
    <w:lvl w:ilvl="8" w:tplc="0416001B" w:tentative="1">
      <w:start w:val="1"/>
      <w:numFmt w:val="lowerRoman"/>
      <w:lvlText w:val="%9."/>
      <w:lvlJc w:val="right"/>
      <w:pPr>
        <w:ind w:left="7260" w:hanging="180"/>
      </w:pPr>
      <w:rPr>
        <w:rFonts w:cs="Times New Roman"/>
      </w:rPr>
    </w:lvl>
  </w:abstractNum>
  <w:abstractNum w:abstractNumId="13">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14">
    <w:nsid w:val="39384A0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3B0318E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425027A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4C576ABE"/>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524A2369"/>
    <w:multiLevelType w:val="hybridMultilevel"/>
    <w:tmpl w:val="5FA23E98"/>
    <w:lvl w:ilvl="0" w:tplc="04160001">
      <w:start w:val="1"/>
      <w:numFmt w:val="lowerLetter"/>
      <w:pStyle w:val="tensletras"/>
      <w:lvlText w:val="%1)"/>
      <w:lvlJc w:val="left"/>
      <w:pPr>
        <w:tabs>
          <w:tab w:val="num" w:pos="360"/>
        </w:tabs>
        <w:ind w:left="360" w:hanging="360"/>
      </w:pPr>
      <w:rPr>
        <w:rFonts w:cs="Times New Roman" w:hint="default"/>
      </w:rPr>
    </w:lvl>
    <w:lvl w:ilvl="1" w:tplc="04160003" w:tentative="1">
      <w:start w:val="1"/>
      <w:numFmt w:val="lowerLetter"/>
      <w:lvlText w:val="%2."/>
      <w:lvlJc w:val="left"/>
      <w:pPr>
        <w:ind w:left="1440" w:hanging="360"/>
      </w:pPr>
      <w:rPr>
        <w:rFonts w:cs="Times New Roman"/>
      </w:rPr>
    </w:lvl>
    <w:lvl w:ilvl="2" w:tplc="04160005" w:tentative="1">
      <w:start w:val="1"/>
      <w:numFmt w:val="lowerRoman"/>
      <w:lvlText w:val="%3."/>
      <w:lvlJc w:val="right"/>
      <w:pPr>
        <w:ind w:left="2160" w:hanging="180"/>
      </w:pPr>
      <w:rPr>
        <w:rFonts w:cs="Times New Roman"/>
      </w:rPr>
    </w:lvl>
    <w:lvl w:ilvl="3" w:tplc="04160001" w:tentative="1">
      <w:start w:val="1"/>
      <w:numFmt w:val="decimal"/>
      <w:lvlText w:val="%4."/>
      <w:lvlJc w:val="left"/>
      <w:pPr>
        <w:ind w:left="2880" w:hanging="360"/>
      </w:pPr>
      <w:rPr>
        <w:rFonts w:cs="Times New Roman"/>
      </w:rPr>
    </w:lvl>
    <w:lvl w:ilvl="4" w:tplc="04160003" w:tentative="1">
      <w:start w:val="1"/>
      <w:numFmt w:val="lowerLetter"/>
      <w:lvlText w:val="%5."/>
      <w:lvlJc w:val="left"/>
      <w:pPr>
        <w:ind w:left="3600" w:hanging="360"/>
      </w:pPr>
      <w:rPr>
        <w:rFonts w:cs="Times New Roman"/>
      </w:rPr>
    </w:lvl>
    <w:lvl w:ilvl="5" w:tplc="04160005" w:tentative="1">
      <w:start w:val="1"/>
      <w:numFmt w:val="lowerRoman"/>
      <w:lvlText w:val="%6."/>
      <w:lvlJc w:val="right"/>
      <w:pPr>
        <w:ind w:left="4320" w:hanging="180"/>
      </w:pPr>
      <w:rPr>
        <w:rFonts w:cs="Times New Roman"/>
      </w:rPr>
    </w:lvl>
    <w:lvl w:ilvl="6" w:tplc="04160001" w:tentative="1">
      <w:start w:val="1"/>
      <w:numFmt w:val="decimal"/>
      <w:lvlText w:val="%7."/>
      <w:lvlJc w:val="left"/>
      <w:pPr>
        <w:ind w:left="5040" w:hanging="360"/>
      </w:pPr>
      <w:rPr>
        <w:rFonts w:cs="Times New Roman"/>
      </w:rPr>
    </w:lvl>
    <w:lvl w:ilvl="7" w:tplc="04160003" w:tentative="1">
      <w:start w:val="1"/>
      <w:numFmt w:val="lowerLetter"/>
      <w:lvlText w:val="%8."/>
      <w:lvlJc w:val="left"/>
      <w:pPr>
        <w:ind w:left="5760" w:hanging="360"/>
      </w:pPr>
      <w:rPr>
        <w:rFonts w:cs="Times New Roman"/>
      </w:rPr>
    </w:lvl>
    <w:lvl w:ilvl="8" w:tplc="04160005" w:tentative="1">
      <w:start w:val="1"/>
      <w:numFmt w:val="lowerRoman"/>
      <w:lvlText w:val="%9."/>
      <w:lvlJc w:val="right"/>
      <w:pPr>
        <w:ind w:left="6480" w:hanging="180"/>
      </w:pPr>
      <w:rPr>
        <w:rFonts w:cs="Times New Roman"/>
      </w:rPr>
    </w:lvl>
  </w:abstractNum>
  <w:abstractNum w:abstractNumId="19">
    <w:nsid w:val="561A6E6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5CFC6DC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671316A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6E4770F8"/>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7585349A"/>
    <w:multiLevelType w:val="singleLevel"/>
    <w:tmpl w:val="4170D9F4"/>
    <w:lvl w:ilvl="0">
      <w:start w:val="1"/>
      <w:numFmt w:val="decimal"/>
      <w:pStyle w:val="CorpodeTextoResumo"/>
      <w:lvlText w:val="%1."/>
      <w:lvlJc w:val="left"/>
      <w:pPr>
        <w:tabs>
          <w:tab w:val="num" w:pos="360"/>
        </w:tabs>
      </w:pPr>
      <w:rPr>
        <w:rFonts w:cs="Times New Roman"/>
      </w:rPr>
    </w:lvl>
  </w:abstractNum>
  <w:abstractNum w:abstractNumId="24">
    <w:nsid w:val="7E7641F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9"/>
  </w:num>
  <w:num w:numId="2">
    <w:abstractNumId w:val="16"/>
  </w:num>
  <w:num w:numId="3">
    <w:abstractNumId w:val="8"/>
  </w:num>
  <w:num w:numId="4">
    <w:abstractNumId w:val="0"/>
  </w:num>
  <w:num w:numId="5">
    <w:abstractNumId w:val="10"/>
  </w:num>
  <w:num w:numId="6">
    <w:abstractNumId w:val="15"/>
  </w:num>
  <w:num w:numId="7">
    <w:abstractNumId w:val="22"/>
  </w:num>
  <w:num w:numId="8">
    <w:abstractNumId w:val="20"/>
  </w:num>
  <w:num w:numId="9">
    <w:abstractNumId w:val="17"/>
  </w:num>
  <w:num w:numId="10">
    <w:abstractNumId w:val="6"/>
  </w:num>
  <w:num w:numId="11">
    <w:abstractNumId w:val="24"/>
  </w:num>
  <w:num w:numId="12">
    <w:abstractNumId w:val="4"/>
  </w:num>
  <w:num w:numId="13">
    <w:abstractNumId w:val="14"/>
  </w:num>
  <w:num w:numId="14">
    <w:abstractNumId w:val="21"/>
  </w:num>
  <w:num w:numId="15">
    <w:abstractNumId w:val="13"/>
  </w:num>
  <w:num w:numId="16">
    <w:abstractNumId w:val="2"/>
  </w:num>
  <w:num w:numId="17">
    <w:abstractNumId w:val="12"/>
  </w:num>
  <w:num w:numId="18">
    <w:abstractNumId w:val="23"/>
    <w:lvlOverride w:ilvl="0">
      <w:startOverride w:val="1"/>
    </w:lvlOverride>
  </w:num>
  <w:num w:numId="19">
    <w:abstractNumId w:val="18"/>
  </w:num>
  <w:num w:numId="20">
    <w:abstractNumId w:val="11"/>
  </w:num>
  <w:num w:numId="21">
    <w:abstractNumId w:val="7"/>
  </w:num>
  <w:num w:numId="22">
    <w:abstractNumId w:val="9"/>
  </w:num>
  <w:num w:numId="23">
    <w:abstractNumId w:val="1"/>
  </w:num>
  <w:num w:numId="24">
    <w:abstractNumId w:val="3"/>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7"/>
    <w:rsid w:val="00000605"/>
    <w:rsid w:val="00001878"/>
    <w:rsid w:val="00003CEA"/>
    <w:rsid w:val="00004614"/>
    <w:rsid w:val="00005435"/>
    <w:rsid w:val="00005E1E"/>
    <w:rsid w:val="00012468"/>
    <w:rsid w:val="0001636D"/>
    <w:rsid w:val="00023D72"/>
    <w:rsid w:val="00025450"/>
    <w:rsid w:val="000271FA"/>
    <w:rsid w:val="00032198"/>
    <w:rsid w:val="00037DCE"/>
    <w:rsid w:val="00041450"/>
    <w:rsid w:val="0004660A"/>
    <w:rsid w:val="00052B15"/>
    <w:rsid w:val="0005412B"/>
    <w:rsid w:val="00054432"/>
    <w:rsid w:val="000562CD"/>
    <w:rsid w:val="00056D51"/>
    <w:rsid w:val="0006028E"/>
    <w:rsid w:val="00061C2E"/>
    <w:rsid w:val="00065E95"/>
    <w:rsid w:val="00070785"/>
    <w:rsid w:val="0007259B"/>
    <w:rsid w:val="00074384"/>
    <w:rsid w:val="00074AC5"/>
    <w:rsid w:val="00077A56"/>
    <w:rsid w:val="00080148"/>
    <w:rsid w:val="000835D8"/>
    <w:rsid w:val="00084727"/>
    <w:rsid w:val="00087006"/>
    <w:rsid w:val="0009133A"/>
    <w:rsid w:val="000916AF"/>
    <w:rsid w:val="00092C2E"/>
    <w:rsid w:val="00094C5B"/>
    <w:rsid w:val="00097863"/>
    <w:rsid w:val="000A0EF8"/>
    <w:rsid w:val="000A152A"/>
    <w:rsid w:val="000A1EBD"/>
    <w:rsid w:val="000A2C56"/>
    <w:rsid w:val="000A6269"/>
    <w:rsid w:val="000A62BD"/>
    <w:rsid w:val="000B0ECB"/>
    <w:rsid w:val="000B0FEA"/>
    <w:rsid w:val="000B2AFA"/>
    <w:rsid w:val="000C4A10"/>
    <w:rsid w:val="000D1878"/>
    <w:rsid w:val="000D1B91"/>
    <w:rsid w:val="000D1FD7"/>
    <w:rsid w:val="000D6418"/>
    <w:rsid w:val="000D7DB6"/>
    <w:rsid w:val="000D7DED"/>
    <w:rsid w:val="000E020F"/>
    <w:rsid w:val="000E2D47"/>
    <w:rsid w:val="000E3B31"/>
    <w:rsid w:val="000E504D"/>
    <w:rsid w:val="000F2F92"/>
    <w:rsid w:val="000F6D85"/>
    <w:rsid w:val="000F7CEE"/>
    <w:rsid w:val="000F7D84"/>
    <w:rsid w:val="001041ED"/>
    <w:rsid w:val="001104BA"/>
    <w:rsid w:val="00112676"/>
    <w:rsid w:val="00112A5F"/>
    <w:rsid w:val="0011373A"/>
    <w:rsid w:val="00114511"/>
    <w:rsid w:val="00126026"/>
    <w:rsid w:val="00130A0C"/>
    <w:rsid w:val="00133EA9"/>
    <w:rsid w:val="00140FED"/>
    <w:rsid w:val="00141D7A"/>
    <w:rsid w:val="001420D1"/>
    <w:rsid w:val="001444A2"/>
    <w:rsid w:val="00151F92"/>
    <w:rsid w:val="0015258E"/>
    <w:rsid w:val="00152ECC"/>
    <w:rsid w:val="001532E4"/>
    <w:rsid w:val="00156A48"/>
    <w:rsid w:val="00157614"/>
    <w:rsid w:val="00157AFE"/>
    <w:rsid w:val="00157C0F"/>
    <w:rsid w:val="001744E7"/>
    <w:rsid w:val="00176375"/>
    <w:rsid w:val="00195F77"/>
    <w:rsid w:val="001A0CC1"/>
    <w:rsid w:val="001A330B"/>
    <w:rsid w:val="001A58D8"/>
    <w:rsid w:val="001A60A2"/>
    <w:rsid w:val="001A79D3"/>
    <w:rsid w:val="001B3E8E"/>
    <w:rsid w:val="001B4F90"/>
    <w:rsid w:val="001B6823"/>
    <w:rsid w:val="001B7F4F"/>
    <w:rsid w:val="001C0575"/>
    <w:rsid w:val="001C1568"/>
    <w:rsid w:val="001C437E"/>
    <w:rsid w:val="001C71E3"/>
    <w:rsid w:val="001D03C7"/>
    <w:rsid w:val="001D1478"/>
    <w:rsid w:val="001D1E52"/>
    <w:rsid w:val="001D56C3"/>
    <w:rsid w:val="001D74CE"/>
    <w:rsid w:val="001E0BF1"/>
    <w:rsid w:val="001E1E28"/>
    <w:rsid w:val="001E2620"/>
    <w:rsid w:val="001E4147"/>
    <w:rsid w:val="001E7019"/>
    <w:rsid w:val="001E747D"/>
    <w:rsid w:val="001E7C3D"/>
    <w:rsid w:val="001F00DF"/>
    <w:rsid w:val="001F1E8F"/>
    <w:rsid w:val="00200260"/>
    <w:rsid w:val="002002CE"/>
    <w:rsid w:val="0020066F"/>
    <w:rsid w:val="0020107A"/>
    <w:rsid w:val="0020135D"/>
    <w:rsid w:val="00201FED"/>
    <w:rsid w:val="00202EAD"/>
    <w:rsid w:val="00203A6F"/>
    <w:rsid w:val="00211816"/>
    <w:rsid w:val="00225D42"/>
    <w:rsid w:val="00226AEF"/>
    <w:rsid w:val="00226D9D"/>
    <w:rsid w:val="00232158"/>
    <w:rsid w:val="002328F9"/>
    <w:rsid w:val="00233CE3"/>
    <w:rsid w:val="002343BF"/>
    <w:rsid w:val="0023535F"/>
    <w:rsid w:val="00242061"/>
    <w:rsid w:val="002435FC"/>
    <w:rsid w:val="002442D9"/>
    <w:rsid w:val="00244BA7"/>
    <w:rsid w:val="0024593F"/>
    <w:rsid w:val="002476B6"/>
    <w:rsid w:val="00253242"/>
    <w:rsid w:val="00254590"/>
    <w:rsid w:val="00262359"/>
    <w:rsid w:val="0026362E"/>
    <w:rsid w:val="002649A7"/>
    <w:rsid w:val="00264FC3"/>
    <w:rsid w:val="002663B7"/>
    <w:rsid w:val="002666C5"/>
    <w:rsid w:val="00271CD7"/>
    <w:rsid w:val="00271D81"/>
    <w:rsid w:val="0027213F"/>
    <w:rsid w:val="00273E72"/>
    <w:rsid w:val="00274068"/>
    <w:rsid w:val="0027498E"/>
    <w:rsid w:val="0027686D"/>
    <w:rsid w:val="00276DC0"/>
    <w:rsid w:val="00280F3D"/>
    <w:rsid w:val="002810D9"/>
    <w:rsid w:val="00281830"/>
    <w:rsid w:val="002830F6"/>
    <w:rsid w:val="00287326"/>
    <w:rsid w:val="0029043B"/>
    <w:rsid w:val="00290A06"/>
    <w:rsid w:val="0029211E"/>
    <w:rsid w:val="0029450E"/>
    <w:rsid w:val="00297A00"/>
    <w:rsid w:val="002A190F"/>
    <w:rsid w:val="002A2129"/>
    <w:rsid w:val="002A3B3F"/>
    <w:rsid w:val="002A7741"/>
    <w:rsid w:val="002B409B"/>
    <w:rsid w:val="002B4392"/>
    <w:rsid w:val="002B56C3"/>
    <w:rsid w:val="002B5AD5"/>
    <w:rsid w:val="002B5C5A"/>
    <w:rsid w:val="002B6422"/>
    <w:rsid w:val="002B71BA"/>
    <w:rsid w:val="002C208E"/>
    <w:rsid w:val="002C7B61"/>
    <w:rsid w:val="002C7B6D"/>
    <w:rsid w:val="002D1688"/>
    <w:rsid w:val="002D35F5"/>
    <w:rsid w:val="002D47FE"/>
    <w:rsid w:val="002D532D"/>
    <w:rsid w:val="002D739A"/>
    <w:rsid w:val="002D76AB"/>
    <w:rsid w:val="002E1545"/>
    <w:rsid w:val="002E28BA"/>
    <w:rsid w:val="002E361C"/>
    <w:rsid w:val="002E3943"/>
    <w:rsid w:val="002E3F7C"/>
    <w:rsid w:val="002E4254"/>
    <w:rsid w:val="002E4F13"/>
    <w:rsid w:val="002E4FB7"/>
    <w:rsid w:val="002E66C0"/>
    <w:rsid w:val="002F104B"/>
    <w:rsid w:val="002F1C09"/>
    <w:rsid w:val="002F5F3B"/>
    <w:rsid w:val="002F693C"/>
    <w:rsid w:val="002F7C6D"/>
    <w:rsid w:val="003020F4"/>
    <w:rsid w:val="003025C7"/>
    <w:rsid w:val="0030360F"/>
    <w:rsid w:val="00303790"/>
    <w:rsid w:val="00303984"/>
    <w:rsid w:val="00304A73"/>
    <w:rsid w:val="003057F7"/>
    <w:rsid w:val="003069F9"/>
    <w:rsid w:val="00310208"/>
    <w:rsid w:val="0031058F"/>
    <w:rsid w:val="0031089E"/>
    <w:rsid w:val="00310D69"/>
    <w:rsid w:val="003147B7"/>
    <w:rsid w:val="00317E59"/>
    <w:rsid w:val="00322AE7"/>
    <w:rsid w:val="00325246"/>
    <w:rsid w:val="003275E4"/>
    <w:rsid w:val="0033244F"/>
    <w:rsid w:val="00337E16"/>
    <w:rsid w:val="00340E66"/>
    <w:rsid w:val="00340F10"/>
    <w:rsid w:val="00342A44"/>
    <w:rsid w:val="0034486B"/>
    <w:rsid w:val="00344D92"/>
    <w:rsid w:val="003455A2"/>
    <w:rsid w:val="00350E87"/>
    <w:rsid w:val="00353B7C"/>
    <w:rsid w:val="0035438E"/>
    <w:rsid w:val="0035533A"/>
    <w:rsid w:val="00355828"/>
    <w:rsid w:val="00356E38"/>
    <w:rsid w:val="00357CBE"/>
    <w:rsid w:val="00361487"/>
    <w:rsid w:val="00361661"/>
    <w:rsid w:val="00377407"/>
    <w:rsid w:val="00381780"/>
    <w:rsid w:val="003824E4"/>
    <w:rsid w:val="00383CFE"/>
    <w:rsid w:val="003853FF"/>
    <w:rsid w:val="00385609"/>
    <w:rsid w:val="00385DAB"/>
    <w:rsid w:val="0038696B"/>
    <w:rsid w:val="00390ED6"/>
    <w:rsid w:val="00392509"/>
    <w:rsid w:val="003943E5"/>
    <w:rsid w:val="00397D8E"/>
    <w:rsid w:val="003A105C"/>
    <w:rsid w:val="003A2222"/>
    <w:rsid w:val="003A3262"/>
    <w:rsid w:val="003A5479"/>
    <w:rsid w:val="003A5C1B"/>
    <w:rsid w:val="003A7C7F"/>
    <w:rsid w:val="003B0304"/>
    <w:rsid w:val="003B043F"/>
    <w:rsid w:val="003B155C"/>
    <w:rsid w:val="003B1E19"/>
    <w:rsid w:val="003B2E10"/>
    <w:rsid w:val="003B33CE"/>
    <w:rsid w:val="003B343D"/>
    <w:rsid w:val="003B56D7"/>
    <w:rsid w:val="003C1911"/>
    <w:rsid w:val="003C1B4F"/>
    <w:rsid w:val="003C2288"/>
    <w:rsid w:val="003C3336"/>
    <w:rsid w:val="003C39E6"/>
    <w:rsid w:val="003C6DEB"/>
    <w:rsid w:val="003C7585"/>
    <w:rsid w:val="003C7A5C"/>
    <w:rsid w:val="003D660C"/>
    <w:rsid w:val="003D73BD"/>
    <w:rsid w:val="003D7CCE"/>
    <w:rsid w:val="003E0D8C"/>
    <w:rsid w:val="003E154A"/>
    <w:rsid w:val="003E1B68"/>
    <w:rsid w:val="003E65D7"/>
    <w:rsid w:val="003F1CE1"/>
    <w:rsid w:val="003F413A"/>
    <w:rsid w:val="003F54FB"/>
    <w:rsid w:val="003F6D1F"/>
    <w:rsid w:val="00405316"/>
    <w:rsid w:val="00412CEF"/>
    <w:rsid w:val="00415067"/>
    <w:rsid w:val="004169D8"/>
    <w:rsid w:val="004201AF"/>
    <w:rsid w:val="00425FF9"/>
    <w:rsid w:val="00427B3B"/>
    <w:rsid w:val="00427EBF"/>
    <w:rsid w:val="00431085"/>
    <w:rsid w:val="00435269"/>
    <w:rsid w:val="004362AB"/>
    <w:rsid w:val="004415FB"/>
    <w:rsid w:val="00441CE3"/>
    <w:rsid w:val="004421F5"/>
    <w:rsid w:val="0044434A"/>
    <w:rsid w:val="0044437F"/>
    <w:rsid w:val="00445E76"/>
    <w:rsid w:val="00446606"/>
    <w:rsid w:val="00447217"/>
    <w:rsid w:val="00452C60"/>
    <w:rsid w:val="00457F93"/>
    <w:rsid w:val="004617A9"/>
    <w:rsid w:val="0046384E"/>
    <w:rsid w:val="00464CF4"/>
    <w:rsid w:val="00466E73"/>
    <w:rsid w:val="0046706B"/>
    <w:rsid w:val="00467815"/>
    <w:rsid w:val="00471284"/>
    <w:rsid w:val="00472FB0"/>
    <w:rsid w:val="00473696"/>
    <w:rsid w:val="00473721"/>
    <w:rsid w:val="0047491E"/>
    <w:rsid w:val="004837C6"/>
    <w:rsid w:val="00483998"/>
    <w:rsid w:val="00484E4C"/>
    <w:rsid w:val="00491438"/>
    <w:rsid w:val="00492E3F"/>
    <w:rsid w:val="00493F5C"/>
    <w:rsid w:val="004A171B"/>
    <w:rsid w:val="004B0194"/>
    <w:rsid w:val="004B1113"/>
    <w:rsid w:val="004B1DC3"/>
    <w:rsid w:val="004B36AE"/>
    <w:rsid w:val="004C61A3"/>
    <w:rsid w:val="004C6E03"/>
    <w:rsid w:val="004C780C"/>
    <w:rsid w:val="004D3441"/>
    <w:rsid w:val="004D6A38"/>
    <w:rsid w:val="004D6C65"/>
    <w:rsid w:val="004D708E"/>
    <w:rsid w:val="004D760C"/>
    <w:rsid w:val="004D7C91"/>
    <w:rsid w:val="004E26E4"/>
    <w:rsid w:val="004E357A"/>
    <w:rsid w:val="004E5000"/>
    <w:rsid w:val="004E65EB"/>
    <w:rsid w:val="004F7174"/>
    <w:rsid w:val="00500DD0"/>
    <w:rsid w:val="005012AA"/>
    <w:rsid w:val="0050355D"/>
    <w:rsid w:val="005055B5"/>
    <w:rsid w:val="00510D1D"/>
    <w:rsid w:val="00511BBF"/>
    <w:rsid w:val="00515E7B"/>
    <w:rsid w:val="005217F8"/>
    <w:rsid w:val="0052267A"/>
    <w:rsid w:val="00531143"/>
    <w:rsid w:val="00534A44"/>
    <w:rsid w:val="00536332"/>
    <w:rsid w:val="00542821"/>
    <w:rsid w:val="005438A1"/>
    <w:rsid w:val="00543B81"/>
    <w:rsid w:val="00543EB8"/>
    <w:rsid w:val="00544FCF"/>
    <w:rsid w:val="00545A47"/>
    <w:rsid w:val="00545FC7"/>
    <w:rsid w:val="0054634E"/>
    <w:rsid w:val="00546B67"/>
    <w:rsid w:val="00554A33"/>
    <w:rsid w:val="0055716D"/>
    <w:rsid w:val="00557953"/>
    <w:rsid w:val="00560E55"/>
    <w:rsid w:val="0056301A"/>
    <w:rsid w:val="005635AD"/>
    <w:rsid w:val="005640E1"/>
    <w:rsid w:val="00564EA1"/>
    <w:rsid w:val="0056534C"/>
    <w:rsid w:val="00567CEE"/>
    <w:rsid w:val="005713F4"/>
    <w:rsid w:val="00571E64"/>
    <w:rsid w:val="00575CC3"/>
    <w:rsid w:val="00580F26"/>
    <w:rsid w:val="00581A7C"/>
    <w:rsid w:val="0058427E"/>
    <w:rsid w:val="005864FA"/>
    <w:rsid w:val="00590907"/>
    <w:rsid w:val="0059346F"/>
    <w:rsid w:val="00594A7B"/>
    <w:rsid w:val="005A2D82"/>
    <w:rsid w:val="005A3835"/>
    <w:rsid w:val="005A3AEC"/>
    <w:rsid w:val="005A6858"/>
    <w:rsid w:val="005A72F2"/>
    <w:rsid w:val="005B2194"/>
    <w:rsid w:val="005B2BC3"/>
    <w:rsid w:val="005B4CFA"/>
    <w:rsid w:val="005B5B3D"/>
    <w:rsid w:val="005C1A79"/>
    <w:rsid w:val="005C7644"/>
    <w:rsid w:val="005C7BF4"/>
    <w:rsid w:val="005D3352"/>
    <w:rsid w:val="005E269C"/>
    <w:rsid w:val="005E3586"/>
    <w:rsid w:val="005E3EC0"/>
    <w:rsid w:val="005E4DEE"/>
    <w:rsid w:val="005E5FF1"/>
    <w:rsid w:val="005F01CE"/>
    <w:rsid w:val="005F135B"/>
    <w:rsid w:val="005F70B6"/>
    <w:rsid w:val="005F7A87"/>
    <w:rsid w:val="00601F0A"/>
    <w:rsid w:val="00604DBE"/>
    <w:rsid w:val="006063E1"/>
    <w:rsid w:val="006065E4"/>
    <w:rsid w:val="00610039"/>
    <w:rsid w:val="00610381"/>
    <w:rsid w:val="00611E07"/>
    <w:rsid w:val="00612045"/>
    <w:rsid w:val="00612F12"/>
    <w:rsid w:val="00613AC9"/>
    <w:rsid w:val="00615808"/>
    <w:rsid w:val="00620E86"/>
    <w:rsid w:val="006219DD"/>
    <w:rsid w:val="00623DAF"/>
    <w:rsid w:val="00631FE7"/>
    <w:rsid w:val="00632ACC"/>
    <w:rsid w:val="006345C1"/>
    <w:rsid w:val="00637FDD"/>
    <w:rsid w:val="00641E57"/>
    <w:rsid w:val="006503A5"/>
    <w:rsid w:val="00650463"/>
    <w:rsid w:val="00651660"/>
    <w:rsid w:val="00652171"/>
    <w:rsid w:val="006532C3"/>
    <w:rsid w:val="00654CCA"/>
    <w:rsid w:val="00666285"/>
    <w:rsid w:val="00670FEA"/>
    <w:rsid w:val="006734AA"/>
    <w:rsid w:val="0067353C"/>
    <w:rsid w:val="00676163"/>
    <w:rsid w:val="00677C22"/>
    <w:rsid w:val="006808CC"/>
    <w:rsid w:val="00685899"/>
    <w:rsid w:val="00692D30"/>
    <w:rsid w:val="00695597"/>
    <w:rsid w:val="00696A89"/>
    <w:rsid w:val="00697477"/>
    <w:rsid w:val="006A037E"/>
    <w:rsid w:val="006A2019"/>
    <w:rsid w:val="006A3D41"/>
    <w:rsid w:val="006A7796"/>
    <w:rsid w:val="006B0495"/>
    <w:rsid w:val="006B0DCB"/>
    <w:rsid w:val="006B2408"/>
    <w:rsid w:val="006B3AF9"/>
    <w:rsid w:val="006B414C"/>
    <w:rsid w:val="006B4B0F"/>
    <w:rsid w:val="006C335E"/>
    <w:rsid w:val="006C5C6C"/>
    <w:rsid w:val="006C7DE0"/>
    <w:rsid w:val="006D4245"/>
    <w:rsid w:val="006E0A93"/>
    <w:rsid w:val="006E4064"/>
    <w:rsid w:val="006E58EA"/>
    <w:rsid w:val="006F0036"/>
    <w:rsid w:val="006F2F67"/>
    <w:rsid w:val="006F4DE0"/>
    <w:rsid w:val="006F4FB2"/>
    <w:rsid w:val="006F6483"/>
    <w:rsid w:val="006F7332"/>
    <w:rsid w:val="0070385B"/>
    <w:rsid w:val="0070494F"/>
    <w:rsid w:val="00705758"/>
    <w:rsid w:val="0070717A"/>
    <w:rsid w:val="00707244"/>
    <w:rsid w:val="00712CCC"/>
    <w:rsid w:val="00713DE5"/>
    <w:rsid w:val="007174DA"/>
    <w:rsid w:val="00720910"/>
    <w:rsid w:val="00720F29"/>
    <w:rsid w:val="007224C2"/>
    <w:rsid w:val="00731409"/>
    <w:rsid w:val="007334B1"/>
    <w:rsid w:val="007339F3"/>
    <w:rsid w:val="00737FEC"/>
    <w:rsid w:val="00740292"/>
    <w:rsid w:val="00742B07"/>
    <w:rsid w:val="00755956"/>
    <w:rsid w:val="00756AA0"/>
    <w:rsid w:val="00757CE6"/>
    <w:rsid w:val="00764CB0"/>
    <w:rsid w:val="007671B6"/>
    <w:rsid w:val="007671DA"/>
    <w:rsid w:val="00770C72"/>
    <w:rsid w:val="007719A8"/>
    <w:rsid w:val="00773CAE"/>
    <w:rsid w:val="00774593"/>
    <w:rsid w:val="00776EDA"/>
    <w:rsid w:val="00777599"/>
    <w:rsid w:val="00785CF8"/>
    <w:rsid w:val="00796068"/>
    <w:rsid w:val="00796CC0"/>
    <w:rsid w:val="00796CF1"/>
    <w:rsid w:val="007979EA"/>
    <w:rsid w:val="007A1A35"/>
    <w:rsid w:val="007A2166"/>
    <w:rsid w:val="007A2B7F"/>
    <w:rsid w:val="007A5922"/>
    <w:rsid w:val="007A6967"/>
    <w:rsid w:val="007A7B05"/>
    <w:rsid w:val="007B1ABA"/>
    <w:rsid w:val="007B259B"/>
    <w:rsid w:val="007B5018"/>
    <w:rsid w:val="007B65B3"/>
    <w:rsid w:val="007C4E99"/>
    <w:rsid w:val="007C5151"/>
    <w:rsid w:val="007C546B"/>
    <w:rsid w:val="007C670D"/>
    <w:rsid w:val="007C7359"/>
    <w:rsid w:val="007D0ED0"/>
    <w:rsid w:val="007D1F01"/>
    <w:rsid w:val="007D48CF"/>
    <w:rsid w:val="007D4A4A"/>
    <w:rsid w:val="007E0E05"/>
    <w:rsid w:val="007E1DD3"/>
    <w:rsid w:val="007E209F"/>
    <w:rsid w:val="007E2878"/>
    <w:rsid w:val="007E4655"/>
    <w:rsid w:val="007E55E0"/>
    <w:rsid w:val="007E5C50"/>
    <w:rsid w:val="007F0546"/>
    <w:rsid w:val="007F22A5"/>
    <w:rsid w:val="007F5688"/>
    <w:rsid w:val="0080065F"/>
    <w:rsid w:val="008051DE"/>
    <w:rsid w:val="00810CC2"/>
    <w:rsid w:val="0081324B"/>
    <w:rsid w:val="0081440E"/>
    <w:rsid w:val="00816193"/>
    <w:rsid w:val="008165E4"/>
    <w:rsid w:val="008234BD"/>
    <w:rsid w:val="00825155"/>
    <w:rsid w:val="00825EB9"/>
    <w:rsid w:val="008303E2"/>
    <w:rsid w:val="008341F8"/>
    <w:rsid w:val="008359F3"/>
    <w:rsid w:val="00835DB6"/>
    <w:rsid w:val="00836AC2"/>
    <w:rsid w:val="008406D5"/>
    <w:rsid w:val="00844C5B"/>
    <w:rsid w:val="00847B37"/>
    <w:rsid w:val="008501A4"/>
    <w:rsid w:val="008505A1"/>
    <w:rsid w:val="00850817"/>
    <w:rsid w:val="00851D16"/>
    <w:rsid w:val="00854B32"/>
    <w:rsid w:val="00855F2B"/>
    <w:rsid w:val="00856252"/>
    <w:rsid w:val="00857634"/>
    <w:rsid w:val="0086124E"/>
    <w:rsid w:val="00861B74"/>
    <w:rsid w:val="008652C9"/>
    <w:rsid w:val="00866992"/>
    <w:rsid w:val="00872942"/>
    <w:rsid w:val="00875991"/>
    <w:rsid w:val="00875BB5"/>
    <w:rsid w:val="008771B6"/>
    <w:rsid w:val="00877FDD"/>
    <w:rsid w:val="00880FED"/>
    <w:rsid w:val="0088186D"/>
    <w:rsid w:val="008841C8"/>
    <w:rsid w:val="00885367"/>
    <w:rsid w:val="00887082"/>
    <w:rsid w:val="00892BB8"/>
    <w:rsid w:val="00893014"/>
    <w:rsid w:val="0089513A"/>
    <w:rsid w:val="00896755"/>
    <w:rsid w:val="008A2417"/>
    <w:rsid w:val="008A5D49"/>
    <w:rsid w:val="008A751E"/>
    <w:rsid w:val="008B0547"/>
    <w:rsid w:val="008B11A3"/>
    <w:rsid w:val="008B1FE5"/>
    <w:rsid w:val="008B2AD7"/>
    <w:rsid w:val="008B3A74"/>
    <w:rsid w:val="008B3D72"/>
    <w:rsid w:val="008B434A"/>
    <w:rsid w:val="008B7B55"/>
    <w:rsid w:val="008C3A5B"/>
    <w:rsid w:val="008C5B71"/>
    <w:rsid w:val="008D2382"/>
    <w:rsid w:val="008D5667"/>
    <w:rsid w:val="008D6F5D"/>
    <w:rsid w:val="008E003A"/>
    <w:rsid w:val="008E15E3"/>
    <w:rsid w:val="008E2045"/>
    <w:rsid w:val="008E4C62"/>
    <w:rsid w:val="008E727E"/>
    <w:rsid w:val="008F2902"/>
    <w:rsid w:val="008F4593"/>
    <w:rsid w:val="008F660B"/>
    <w:rsid w:val="009005CE"/>
    <w:rsid w:val="00901376"/>
    <w:rsid w:val="009021A4"/>
    <w:rsid w:val="00904EC5"/>
    <w:rsid w:val="00914B48"/>
    <w:rsid w:val="0091511B"/>
    <w:rsid w:val="00917B6F"/>
    <w:rsid w:val="009239AA"/>
    <w:rsid w:val="009245B5"/>
    <w:rsid w:val="00925EF2"/>
    <w:rsid w:val="00926B37"/>
    <w:rsid w:val="00935C40"/>
    <w:rsid w:val="00935F4D"/>
    <w:rsid w:val="0093795C"/>
    <w:rsid w:val="00937F7E"/>
    <w:rsid w:val="009440DE"/>
    <w:rsid w:val="009444E6"/>
    <w:rsid w:val="00944A8E"/>
    <w:rsid w:val="009455E6"/>
    <w:rsid w:val="00956BA7"/>
    <w:rsid w:val="00956FD8"/>
    <w:rsid w:val="009575F7"/>
    <w:rsid w:val="00957E4B"/>
    <w:rsid w:val="0096021A"/>
    <w:rsid w:val="00960F73"/>
    <w:rsid w:val="0096655D"/>
    <w:rsid w:val="00971139"/>
    <w:rsid w:val="00972B10"/>
    <w:rsid w:val="0097401F"/>
    <w:rsid w:val="00981FA0"/>
    <w:rsid w:val="00984366"/>
    <w:rsid w:val="00984E80"/>
    <w:rsid w:val="0098690F"/>
    <w:rsid w:val="00987EE5"/>
    <w:rsid w:val="00991CD8"/>
    <w:rsid w:val="00991EBE"/>
    <w:rsid w:val="00993C2E"/>
    <w:rsid w:val="00997C8A"/>
    <w:rsid w:val="009A1339"/>
    <w:rsid w:val="009A3006"/>
    <w:rsid w:val="009A3994"/>
    <w:rsid w:val="009B62AF"/>
    <w:rsid w:val="009B7AB9"/>
    <w:rsid w:val="009C4B6D"/>
    <w:rsid w:val="009D0928"/>
    <w:rsid w:val="009D1B99"/>
    <w:rsid w:val="009D2884"/>
    <w:rsid w:val="009D5445"/>
    <w:rsid w:val="009D565F"/>
    <w:rsid w:val="009D65B9"/>
    <w:rsid w:val="009E04DC"/>
    <w:rsid w:val="009E0FB3"/>
    <w:rsid w:val="009E5105"/>
    <w:rsid w:val="009E59A1"/>
    <w:rsid w:val="009E66EE"/>
    <w:rsid w:val="009F4326"/>
    <w:rsid w:val="00A0244C"/>
    <w:rsid w:val="00A033FF"/>
    <w:rsid w:val="00A0409E"/>
    <w:rsid w:val="00A06137"/>
    <w:rsid w:val="00A063FE"/>
    <w:rsid w:val="00A06EDB"/>
    <w:rsid w:val="00A07ACC"/>
    <w:rsid w:val="00A1329C"/>
    <w:rsid w:val="00A14E25"/>
    <w:rsid w:val="00A16A60"/>
    <w:rsid w:val="00A17A3D"/>
    <w:rsid w:val="00A2062A"/>
    <w:rsid w:val="00A2066E"/>
    <w:rsid w:val="00A21E19"/>
    <w:rsid w:val="00A239A8"/>
    <w:rsid w:val="00A30683"/>
    <w:rsid w:val="00A3115F"/>
    <w:rsid w:val="00A33030"/>
    <w:rsid w:val="00A378A2"/>
    <w:rsid w:val="00A407B6"/>
    <w:rsid w:val="00A43FBD"/>
    <w:rsid w:val="00A43FD4"/>
    <w:rsid w:val="00A52DA1"/>
    <w:rsid w:val="00A5757E"/>
    <w:rsid w:val="00A60F52"/>
    <w:rsid w:val="00A61DFE"/>
    <w:rsid w:val="00A62AA8"/>
    <w:rsid w:val="00A63B4C"/>
    <w:rsid w:val="00A6526F"/>
    <w:rsid w:val="00A664E7"/>
    <w:rsid w:val="00A66E7F"/>
    <w:rsid w:val="00A70904"/>
    <w:rsid w:val="00A75C52"/>
    <w:rsid w:val="00A767B2"/>
    <w:rsid w:val="00A81B11"/>
    <w:rsid w:val="00A82B9E"/>
    <w:rsid w:val="00A84186"/>
    <w:rsid w:val="00A846F1"/>
    <w:rsid w:val="00A857B4"/>
    <w:rsid w:val="00A85B14"/>
    <w:rsid w:val="00A875C0"/>
    <w:rsid w:val="00A87C15"/>
    <w:rsid w:val="00A92706"/>
    <w:rsid w:val="00A9704A"/>
    <w:rsid w:val="00A97AD0"/>
    <w:rsid w:val="00AA1377"/>
    <w:rsid w:val="00AA49AF"/>
    <w:rsid w:val="00AA4F2F"/>
    <w:rsid w:val="00AA57CE"/>
    <w:rsid w:val="00AA7540"/>
    <w:rsid w:val="00AC0BAE"/>
    <w:rsid w:val="00AC126F"/>
    <w:rsid w:val="00AC4B34"/>
    <w:rsid w:val="00AD05A6"/>
    <w:rsid w:val="00AE05EA"/>
    <w:rsid w:val="00AE0EDF"/>
    <w:rsid w:val="00AE1128"/>
    <w:rsid w:val="00AE1AB0"/>
    <w:rsid w:val="00AE2609"/>
    <w:rsid w:val="00AE29A8"/>
    <w:rsid w:val="00AE439A"/>
    <w:rsid w:val="00AE617A"/>
    <w:rsid w:val="00AE713F"/>
    <w:rsid w:val="00AF09C7"/>
    <w:rsid w:val="00AF4BF4"/>
    <w:rsid w:val="00B03D35"/>
    <w:rsid w:val="00B05065"/>
    <w:rsid w:val="00B05194"/>
    <w:rsid w:val="00B17303"/>
    <w:rsid w:val="00B21343"/>
    <w:rsid w:val="00B219AA"/>
    <w:rsid w:val="00B25143"/>
    <w:rsid w:val="00B2585D"/>
    <w:rsid w:val="00B266FA"/>
    <w:rsid w:val="00B26C40"/>
    <w:rsid w:val="00B27359"/>
    <w:rsid w:val="00B33FC2"/>
    <w:rsid w:val="00B347F1"/>
    <w:rsid w:val="00B3502B"/>
    <w:rsid w:val="00B3599F"/>
    <w:rsid w:val="00B35C3E"/>
    <w:rsid w:val="00B36473"/>
    <w:rsid w:val="00B40BEA"/>
    <w:rsid w:val="00B44029"/>
    <w:rsid w:val="00B44FFA"/>
    <w:rsid w:val="00B45428"/>
    <w:rsid w:val="00B47943"/>
    <w:rsid w:val="00B50446"/>
    <w:rsid w:val="00B50A6E"/>
    <w:rsid w:val="00B512D2"/>
    <w:rsid w:val="00B527BF"/>
    <w:rsid w:val="00B530FD"/>
    <w:rsid w:val="00B53C9C"/>
    <w:rsid w:val="00B5639B"/>
    <w:rsid w:val="00B60C3E"/>
    <w:rsid w:val="00B615CB"/>
    <w:rsid w:val="00B645FA"/>
    <w:rsid w:val="00B64775"/>
    <w:rsid w:val="00B67B4F"/>
    <w:rsid w:val="00B81718"/>
    <w:rsid w:val="00B86AF6"/>
    <w:rsid w:val="00B86E2A"/>
    <w:rsid w:val="00B877AA"/>
    <w:rsid w:val="00B9389E"/>
    <w:rsid w:val="00B96EA4"/>
    <w:rsid w:val="00B97A3E"/>
    <w:rsid w:val="00BA2F02"/>
    <w:rsid w:val="00BA2FFD"/>
    <w:rsid w:val="00BA58B6"/>
    <w:rsid w:val="00BA62AD"/>
    <w:rsid w:val="00BB0267"/>
    <w:rsid w:val="00BB37AF"/>
    <w:rsid w:val="00BB4C08"/>
    <w:rsid w:val="00BB61BE"/>
    <w:rsid w:val="00BC1DBD"/>
    <w:rsid w:val="00BC5737"/>
    <w:rsid w:val="00BD1747"/>
    <w:rsid w:val="00BD3C68"/>
    <w:rsid w:val="00BD421D"/>
    <w:rsid w:val="00BD6B87"/>
    <w:rsid w:val="00BD73FC"/>
    <w:rsid w:val="00BE04D9"/>
    <w:rsid w:val="00BE4614"/>
    <w:rsid w:val="00BE4E6F"/>
    <w:rsid w:val="00BE5100"/>
    <w:rsid w:val="00BE529D"/>
    <w:rsid w:val="00BE6637"/>
    <w:rsid w:val="00BF10E8"/>
    <w:rsid w:val="00BF3158"/>
    <w:rsid w:val="00BF51B7"/>
    <w:rsid w:val="00C03312"/>
    <w:rsid w:val="00C039A5"/>
    <w:rsid w:val="00C03A04"/>
    <w:rsid w:val="00C046F7"/>
    <w:rsid w:val="00C10C0B"/>
    <w:rsid w:val="00C10DD5"/>
    <w:rsid w:val="00C1776A"/>
    <w:rsid w:val="00C22519"/>
    <w:rsid w:val="00C2305C"/>
    <w:rsid w:val="00C233D0"/>
    <w:rsid w:val="00C2380D"/>
    <w:rsid w:val="00C24162"/>
    <w:rsid w:val="00C2509D"/>
    <w:rsid w:val="00C34ABD"/>
    <w:rsid w:val="00C353CF"/>
    <w:rsid w:val="00C35F43"/>
    <w:rsid w:val="00C37088"/>
    <w:rsid w:val="00C408D5"/>
    <w:rsid w:val="00C41D3C"/>
    <w:rsid w:val="00C43801"/>
    <w:rsid w:val="00C44A07"/>
    <w:rsid w:val="00C44BDC"/>
    <w:rsid w:val="00C45BFB"/>
    <w:rsid w:val="00C45DCE"/>
    <w:rsid w:val="00C50FF9"/>
    <w:rsid w:val="00C54B14"/>
    <w:rsid w:val="00C6352A"/>
    <w:rsid w:val="00C65B2D"/>
    <w:rsid w:val="00C65C5D"/>
    <w:rsid w:val="00C6656A"/>
    <w:rsid w:val="00C711E5"/>
    <w:rsid w:val="00C730CB"/>
    <w:rsid w:val="00C73782"/>
    <w:rsid w:val="00C80D90"/>
    <w:rsid w:val="00C81B05"/>
    <w:rsid w:val="00C83AEE"/>
    <w:rsid w:val="00C85563"/>
    <w:rsid w:val="00C85AC7"/>
    <w:rsid w:val="00C9045E"/>
    <w:rsid w:val="00C906CD"/>
    <w:rsid w:val="00CA0FB8"/>
    <w:rsid w:val="00CA15F3"/>
    <w:rsid w:val="00CA2680"/>
    <w:rsid w:val="00CA4D23"/>
    <w:rsid w:val="00CA6716"/>
    <w:rsid w:val="00CB0D34"/>
    <w:rsid w:val="00CC1939"/>
    <w:rsid w:val="00CC42D4"/>
    <w:rsid w:val="00CC64E3"/>
    <w:rsid w:val="00CC7712"/>
    <w:rsid w:val="00CD179A"/>
    <w:rsid w:val="00CD2536"/>
    <w:rsid w:val="00CD407F"/>
    <w:rsid w:val="00CE6D09"/>
    <w:rsid w:val="00CF0E4D"/>
    <w:rsid w:val="00CF230D"/>
    <w:rsid w:val="00CF5489"/>
    <w:rsid w:val="00CF7615"/>
    <w:rsid w:val="00D003F8"/>
    <w:rsid w:val="00D02FB7"/>
    <w:rsid w:val="00D04613"/>
    <w:rsid w:val="00D05C77"/>
    <w:rsid w:val="00D10769"/>
    <w:rsid w:val="00D11642"/>
    <w:rsid w:val="00D116C7"/>
    <w:rsid w:val="00D13AC5"/>
    <w:rsid w:val="00D14E5F"/>
    <w:rsid w:val="00D14FB2"/>
    <w:rsid w:val="00D17CC6"/>
    <w:rsid w:val="00D2041E"/>
    <w:rsid w:val="00D20454"/>
    <w:rsid w:val="00D20D10"/>
    <w:rsid w:val="00D23801"/>
    <w:rsid w:val="00D25AEC"/>
    <w:rsid w:val="00D341C9"/>
    <w:rsid w:val="00D3447D"/>
    <w:rsid w:val="00D3488B"/>
    <w:rsid w:val="00D361DE"/>
    <w:rsid w:val="00D3793E"/>
    <w:rsid w:val="00D41A6A"/>
    <w:rsid w:val="00D44B3D"/>
    <w:rsid w:val="00D46C4C"/>
    <w:rsid w:val="00D51F18"/>
    <w:rsid w:val="00D53537"/>
    <w:rsid w:val="00D551C8"/>
    <w:rsid w:val="00D564BB"/>
    <w:rsid w:val="00D565FA"/>
    <w:rsid w:val="00D568ED"/>
    <w:rsid w:val="00D6014E"/>
    <w:rsid w:val="00D630E7"/>
    <w:rsid w:val="00D700E5"/>
    <w:rsid w:val="00D70900"/>
    <w:rsid w:val="00D71B77"/>
    <w:rsid w:val="00D76186"/>
    <w:rsid w:val="00D771E9"/>
    <w:rsid w:val="00D86DD4"/>
    <w:rsid w:val="00D92529"/>
    <w:rsid w:val="00DA1613"/>
    <w:rsid w:val="00DA5AAB"/>
    <w:rsid w:val="00DA671A"/>
    <w:rsid w:val="00DA6858"/>
    <w:rsid w:val="00DB1CD7"/>
    <w:rsid w:val="00DB2651"/>
    <w:rsid w:val="00DB30B1"/>
    <w:rsid w:val="00DB4717"/>
    <w:rsid w:val="00DC12C8"/>
    <w:rsid w:val="00DC6F31"/>
    <w:rsid w:val="00DC7FFD"/>
    <w:rsid w:val="00DD6D82"/>
    <w:rsid w:val="00DE045E"/>
    <w:rsid w:val="00DE1240"/>
    <w:rsid w:val="00DE1AA5"/>
    <w:rsid w:val="00DE231A"/>
    <w:rsid w:val="00DE23D6"/>
    <w:rsid w:val="00DE2CB6"/>
    <w:rsid w:val="00DE2DDE"/>
    <w:rsid w:val="00DE395F"/>
    <w:rsid w:val="00DE5414"/>
    <w:rsid w:val="00DF0C37"/>
    <w:rsid w:val="00DF24FD"/>
    <w:rsid w:val="00DF2506"/>
    <w:rsid w:val="00DF301A"/>
    <w:rsid w:val="00DF3469"/>
    <w:rsid w:val="00DF3BE2"/>
    <w:rsid w:val="00DF4E2C"/>
    <w:rsid w:val="00DF75EC"/>
    <w:rsid w:val="00E0133D"/>
    <w:rsid w:val="00E019ED"/>
    <w:rsid w:val="00E0312F"/>
    <w:rsid w:val="00E04C48"/>
    <w:rsid w:val="00E06065"/>
    <w:rsid w:val="00E079C6"/>
    <w:rsid w:val="00E1273C"/>
    <w:rsid w:val="00E146CF"/>
    <w:rsid w:val="00E17711"/>
    <w:rsid w:val="00E23C05"/>
    <w:rsid w:val="00E2425F"/>
    <w:rsid w:val="00E245B0"/>
    <w:rsid w:val="00E247E2"/>
    <w:rsid w:val="00E304EB"/>
    <w:rsid w:val="00E329D0"/>
    <w:rsid w:val="00E33746"/>
    <w:rsid w:val="00E342B3"/>
    <w:rsid w:val="00E3451F"/>
    <w:rsid w:val="00E36ADF"/>
    <w:rsid w:val="00E36B53"/>
    <w:rsid w:val="00E37585"/>
    <w:rsid w:val="00E41B64"/>
    <w:rsid w:val="00E42C35"/>
    <w:rsid w:val="00E469D5"/>
    <w:rsid w:val="00E46CD5"/>
    <w:rsid w:val="00E500D9"/>
    <w:rsid w:val="00E51AB5"/>
    <w:rsid w:val="00E52345"/>
    <w:rsid w:val="00E52763"/>
    <w:rsid w:val="00E563AE"/>
    <w:rsid w:val="00E662CD"/>
    <w:rsid w:val="00E67427"/>
    <w:rsid w:val="00E73271"/>
    <w:rsid w:val="00E735DA"/>
    <w:rsid w:val="00E74214"/>
    <w:rsid w:val="00E74762"/>
    <w:rsid w:val="00E74D52"/>
    <w:rsid w:val="00E75855"/>
    <w:rsid w:val="00E7609C"/>
    <w:rsid w:val="00E85CBE"/>
    <w:rsid w:val="00E86566"/>
    <w:rsid w:val="00E875F5"/>
    <w:rsid w:val="00E92527"/>
    <w:rsid w:val="00E92A93"/>
    <w:rsid w:val="00E97045"/>
    <w:rsid w:val="00EA270C"/>
    <w:rsid w:val="00EA5CF4"/>
    <w:rsid w:val="00EB09B9"/>
    <w:rsid w:val="00EB76F7"/>
    <w:rsid w:val="00EB7CB1"/>
    <w:rsid w:val="00EC0569"/>
    <w:rsid w:val="00EC0C7B"/>
    <w:rsid w:val="00EC1C35"/>
    <w:rsid w:val="00EC5E45"/>
    <w:rsid w:val="00ED0557"/>
    <w:rsid w:val="00ED0CF0"/>
    <w:rsid w:val="00ED34D4"/>
    <w:rsid w:val="00ED3D84"/>
    <w:rsid w:val="00ED766C"/>
    <w:rsid w:val="00ED76FB"/>
    <w:rsid w:val="00EE05C2"/>
    <w:rsid w:val="00EE30EE"/>
    <w:rsid w:val="00EE3C6D"/>
    <w:rsid w:val="00EE4C6E"/>
    <w:rsid w:val="00EE61BE"/>
    <w:rsid w:val="00EE6DE6"/>
    <w:rsid w:val="00EF057C"/>
    <w:rsid w:val="00EF1D14"/>
    <w:rsid w:val="00F01B31"/>
    <w:rsid w:val="00F03AB9"/>
    <w:rsid w:val="00F06479"/>
    <w:rsid w:val="00F076C5"/>
    <w:rsid w:val="00F120D9"/>
    <w:rsid w:val="00F124BE"/>
    <w:rsid w:val="00F24232"/>
    <w:rsid w:val="00F27170"/>
    <w:rsid w:val="00F30016"/>
    <w:rsid w:val="00F31C75"/>
    <w:rsid w:val="00F32543"/>
    <w:rsid w:val="00F33277"/>
    <w:rsid w:val="00F340CD"/>
    <w:rsid w:val="00F341CC"/>
    <w:rsid w:val="00F40CAB"/>
    <w:rsid w:val="00F47C5C"/>
    <w:rsid w:val="00F54856"/>
    <w:rsid w:val="00F57650"/>
    <w:rsid w:val="00F579FC"/>
    <w:rsid w:val="00F60C74"/>
    <w:rsid w:val="00F62773"/>
    <w:rsid w:val="00F64F51"/>
    <w:rsid w:val="00F67A35"/>
    <w:rsid w:val="00F765E8"/>
    <w:rsid w:val="00F8200C"/>
    <w:rsid w:val="00F85D77"/>
    <w:rsid w:val="00F86D88"/>
    <w:rsid w:val="00F87FA7"/>
    <w:rsid w:val="00F90898"/>
    <w:rsid w:val="00F914C8"/>
    <w:rsid w:val="00F9473C"/>
    <w:rsid w:val="00FA40A3"/>
    <w:rsid w:val="00FA45CD"/>
    <w:rsid w:val="00FA5B17"/>
    <w:rsid w:val="00FB3BA6"/>
    <w:rsid w:val="00FB4D65"/>
    <w:rsid w:val="00FB5954"/>
    <w:rsid w:val="00FB6695"/>
    <w:rsid w:val="00FC0253"/>
    <w:rsid w:val="00FC0CDF"/>
    <w:rsid w:val="00FC0D7C"/>
    <w:rsid w:val="00FC183A"/>
    <w:rsid w:val="00FC19F5"/>
    <w:rsid w:val="00FC3D1C"/>
    <w:rsid w:val="00FD08A7"/>
    <w:rsid w:val="00FD1295"/>
    <w:rsid w:val="00FD2E55"/>
    <w:rsid w:val="00FD2FA9"/>
    <w:rsid w:val="00FD3572"/>
    <w:rsid w:val="00FD54CC"/>
    <w:rsid w:val="00FE06A2"/>
    <w:rsid w:val="00FE0CE6"/>
    <w:rsid w:val="00FE5B8D"/>
    <w:rsid w:val="00FE79EF"/>
    <w:rsid w:val="00FF025A"/>
    <w:rsid w:val="00FF088B"/>
    <w:rsid w:val="00FF0AC4"/>
    <w:rsid w:val="00FF10AF"/>
    <w:rsid w:val="00FF334E"/>
    <w:rsid w:val="00FF6F14"/>
    <w:rsid w:val="00FF772A"/>
    <w:rsid w:val="00FF7C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F741B891-364A-44CD-B493-7623A3163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A35"/>
    <w:pPr>
      <w:spacing w:after="120"/>
      <w:ind w:left="1134"/>
      <w:jc w:val="both"/>
    </w:pPr>
    <w:rPr>
      <w:sz w:val="24"/>
      <w:szCs w:val="24"/>
      <w:lang w:eastAsia="en-US"/>
    </w:rPr>
  </w:style>
  <w:style w:type="paragraph" w:styleId="Ttulo2">
    <w:name w:val="heading 2"/>
    <w:basedOn w:val="Normal"/>
    <w:next w:val="Normal"/>
    <w:link w:val="Ttulo2Char"/>
    <w:qFormat/>
    <w:rsid w:val="00AE1AB0"/>
    <w:pPr>
      <w:keepNext/>
      <w:spacing w:after="0"/>
      <w:ind w:left="708" w:firstLine="708"/>
      <w:jc w:val="center"/>
      <w:outlineLvl w:val="1"/>
    </w:pPr>
    <w:rPr>
      <w:rFonts w:eastAsia="Times New Roman"/>
      <w:szCs w:val="20"/>
      <w:lang w:eastAsia="pt-BR"/>
    </w:rPr>
  </w:style>
  <w:style w:type="paragraph" w:styleId="Ttulo3">
    <w:name w:val="heading 3"/>
    <w:basedOn w:val="Normal"/>
    <w:next w:val="Normal"/>
    <w:link w:val="Ttulo3Char"/>
    <w:uiPriority w:val="9"/>
    <w:semiHidden/>
    <w:unhideWhenUsed/>
    <w:qFormat/>
    <w:rsid w:val="005438A1"/>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5438A1"/>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har"/>
    <w:uiPriority w:val="9"/>
    <w:unhideWhenUsed/>
    <w:qFormat/>
    <w:rsid w:val="005438A1"/>
    <w:pPr>
      <w:keepNext/>
      <w:keepLines/>
      <w:spacing w:before="200" w:after="0"/>
      <w:ind w:left="0"/>
      <w:jc w:val="left"/>
      <w:outlineLvl w:val="4"/>
    </w:pPr>
    <w:rPr>
      <w:rFonts w:ascii="Cambria" w:eastAsia="Times New Roman" w:hAnsi="Cambria"/>
      <w:color w:val="243F60"/>
      <w:szCs w:val="22"/>
    </w:rPr>
  </w:style>
  <w:style w:type="paragraph" w:styleId="Ttulo6">
    <w:name w:val="heading 6"/>
    <w:basedOn w:val="Normal"/>
    <w:next w:val="Normal"/>
    <w:link w:val="Ttulo6Char"/>
    <w:uiPriority w:val="9"/>
    <w:semiHidden/>
    <w:unhideWhenUsed/>
    <w:qFormat/>
    <w:rsid w:val="00E75855"/>
    <w:pPr>
      <w:spacing w:before="240" w:after="60"/>
      <w:outlineLvl w:val="5"/>
    </w:pPr>
    <w:rPr>
      <w:rFonts w:ascii="Calibri" w:eastAsia="Times New Roman" w:hAnsi="Calibri"/>
      <w:b/>
      <w:bCs/>
      <w:sz w:val="22"/>
      <w:szCs w:val="22"/>
    </w:rPr>
  </w:style>
  <w:style w:type="paragraph" w:styleId="Ttulo8">
    <w:name w:val="heading 8"/>
    <w:basedOn w:val="Normal"/>
    <w:next w:val="Normal"/>
    <w:link w:val="Ttulo8Char"/>
    <w:uiPriority w:val="9"/>
    <w:unhideWhenUsed/>
    <w:qFormat/>
    <w:rsid w:val="00515E7B"/>
    <w:pPr>
      <w:spacing w:before="240" w:after="60"/>
      <w:outlineLvl w:val="7"/>
    </w:pPr>
    <w:rPr>
      <w:rFonts w:ascii="Calibri" w:eastAsia="Times New Roman" w:hAnsi="Calibri"/>
      <w:i/>
      <w:iCs/>
    </w:rPr>
  </w:style>
  <w:style w:type="paragraph" w:styleId="Ttulo9">
    <w:name w:val="heading 9"/>
    <w:basedOn w:val="Normal"/>
    <w:next w:val="Normal"/>
    <w:link w:val="Ttulo9Char"/>
    <w:uiPriority w:val="9"/>
    <w:semiHidden/>
    <w:unhideWhenUsed/>
    <w:qFormat/>
    <w:rsid w:val="00515E7B"/>
    <w:pPr>
      <w:spacing w:before="240" w:after="60"/>
      <w:outlineLvl w:val="8"/>
    </w:pPr>
    <w:rPr>
      <w:rFonts w:ascii="Cambria" w:eastAsia="Times New Roman"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B0547"/>
    <w:pPr>
      <w:tabs>
        <w:tab w:val="center" w:pos="4252"/>
        <w:tab w:val="right" w:pos="8504"/>
      </w:tabs>
      <w:spacing w:after="0"/>
    </w:pPr>
  </w:style>
  <w:style w:type="character" w:customStyle="1" w:styleId="CabealhoChar">
    <w:name w:val="Cabeçalho Char"/>
    <w:basedOn w:val="Fontepargpadro"/>
    <w:link w:val="Cabealho"/>
    <w:uiPriority w:val="99"/>
    <w:rsid w:val="008B0547"/>
  </w:style>
  <w:style w:type="paragraph" w:styleId="Rodap">
    <w:name w:val="footer"/>
    <w:basedOn w:val="Normal"/>
    <w:link w:val="RodapChar"/>
    <w:uiPriority w:val="99"/>
    <w:semiHidden/>
    <w:unhideWhenUsed/>
    <w:rsid w:val="008B0547"/>
    <w:pPr>
      <w:tabs>
        <w:tab w:val="center" w:pos="4252"/>
        <w:tab w:val="right" w:pos="8504"/>
      </w:tabs>
      <w:spacing w:after="0"/>
    </w:pPr>
  </w:style>
  <w:style w:type="character" w:customStyle="1" w:styleId="RodapChar">
    <w:name w:val="Rodapé Char"/>
    <w:basedOn w:val="Fontepargpadro"/>
    <w:link w:val="Rodap"/>
    <w:uiPriority w:val="99"/>
    <w:semiHidden/>
    <w:rsid w:val="008B0547"/>
  </w:style>
  <w:style w:type="table" w:styleId="Tabelacomgrade">
    <w:name w:val="Table Grid"/>
    <w:basedOn w:val="Tabelanormal"/>
    <w:uiPriority w:val="59"/>
    <w:rsid w:val="00E23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PCorpo1">
    <w:name w:val="RUP Corpo 1"/>
    <w:rsid w:val="00E23C05"/>
    <w:pPr>
      <w:spacing w:before="120"/>
      <w:ind w:firstLine="425"/>
      <w:jc w:val="both"/>
    </w:pPr>
    <w:rPr>
      <w:rFonts w:ascii="Arial" w:eastAsia="Times New Roman" w:hAnsi="Arial"/>
    </w:rPr>
  </w:style>
  <w:style w:type="character" w:customStyle="1" w:styleId="Ttulo2Char">
    <w:name w:val="Título 2 Char"/>
    <w:basedOn w:val="Fontepargpadro"/>
    <w:link w:val="Ttulo2"/>
    <w:rsid w:val="00AE1AB0"/>
    <w:rPr>
      <w:rFonts w:eastAsia="Times New Roman"/>
      <w:sz w:val="24"/>
    </w:rPr>
  </w:style>
  <w:style w:type="paragraph" w:styleId="Recuodecorpodetexto">
    <w:name w:val="Body Text Indent"/>
    <w:basedOn w:val="Normal"/>
    <w:link w:val="RecuodecorpodetextoChar"/>
    <w:semiHidden/>
    <w:rsid w:val="00AE1AB0"/>
    <w:pPr>
      <w:spacing w:after="0"/>
      <w:ind w:left="0" w:firstLine="1134"/>
      <w:jc w:val="left"/>
    </w:pPr>
    <w:rPr>
      <w:rFonts w:eastAsia="Times New Roman"/>
      <w:szCs w:val="20"/>
      <w:lang w:eastAsia="pt-BR"/>
    </w:rPr>
  </w:style>
  <w:style w:type="character" w:customStyle="1" w:styleId="RecuodecorpodetextoChar">
    <w:name w:val="Recuo de corpo de texto Char"/>
    <w:basedOn w:val="Fontepargpadro"/>
    <w:link w:val="Recuodecorpodetexto"/>
    <w:semiHidden/>
    <w:rsid w:val="00AE1AB0"/>
    <w:rPr>
      <w:rFonts w:eastAsia="Times New Roman"/>
      <w:sz w:val="24"/>
    </w:rPr>
  </w:style>
  <w:style w:type="paragraph" w:styleId="MapadoDocumento">
    <w:name w:val="Document Map"/>
    <w:basedOn w:val="Normal"/>
    <w:link w:val="MapadoDocumentoChar"/>
    <w:uiPriority w:val="99"/>
    <w:semiHidden/>
    <w:unhideWhenUsed/>
    <w:rsid w:val="00000605"/>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00605"/>
    <w:rPr>
      <w:rFonts w:ascii="Tahoma" w:hAnsi="Tahoma" w:cs="Tahoma"/>
      <w:sz w:val="16"/>
      <w:szCs w:val="16"/>
      <w:lang w:eastAsia="en-US"/>
    </w:rPr>
  </w:style>
  <w:style w:type="character" w:customStyle="1" w:styleId="Ttulo6Char">
    <w:name w:val="Título 6 Char"/>
    <w:basedOn w:val="Fontepargpadro"/>
    <w:link w:val="Ttulo6"/>
    <w:uiPriority w:val="9"/>
    <w:semiHidden/>
    <w:rsid w:val="00E75855"/>
    <w:rPr>
      <w:rFonts w:ascii="Calibri" w:eastAsia="Times New Roman" w:hAnsi="Calibri" w:cs="Times New Roman"/>
      <w:b/>
      <w:bCs/>
      <w:sz w:val="22"/>
      <w:szCs w:val="22"/>
      <w:lang w:eastAsia="en-US"/>
    </w:rPr>
  </w:style>
  <w:style w:type="paragraph" w:styleId="Corpodetexto">
    <w:name w:val="Body Text"/>
    <w:basedOn w:val="Normal"/>
    <w:link w:val="CorpodetextoChar"/>
    <w:unhideWhenUsed/>
    <w:rsid w:val="00E75855"/>
  </w:style>
  <w:style w:type="character" w:customStyle="1" w:styleId="CorpodetextoChar">
    <w:name w:val="Corpo de texto Char"/>
    <w:basedOn w:val="Fontepargpadro"/>
    <w:link w:val="Corpodetexto"/>
    <w:rsid w:val="00E75855"/>
    <w:rPr>
      <w:sz w:val="24"/>
      <w:szCs w:val="24"/>
      <w:lang w:eastAsia="en-US"/>
    </w:rPr>
  </w:style>
  <w:style w:type="paragraph" w:styleId="Corpodetexto2">
    <w:name w:val="Body Text 2"/>
    <w:basedOn w:val="Normal"/>
    <w:link w:val="Corpodetexto2Char"/>
    <w:uiPriority w:val="99"/>
    <w:semiHidden/>
    <w:unhideWhenUsed/>
    <w:rsid w:val="00E75855"/>
    <w:pPr>
      <w:spacing w:line="480" w:lineRule="auto"/>
    </w:pPr>
  </w:style>
  <w:style w:type="character" w:customStyle="1" w:styleId="Corpodetexto2Char">
    <w:name w:val="Corpo de texto 2 Char"/>
    <w:basedOn w:val="Fontepargpadro"/>
    <w:link w:val="Corpodetexto2"/>
    <w:uiPriority w:val="99"/>
    <w:semiHidden/>
    <w:rsid w:val="00E75855"/>
    <w:rPr>
      <w:sz w:val="24"/>
      <w:szCs w:val="24"/>
      <w:lang w:eastAsia="en-US"/>
    </w:rPr>
  </w:style>
  <w:style w:type="character" w:styleId="Hyperlink">
    <w:name w:val="Hyperlink"/>
    <w:basedOn w:val="Fontepargpadro"/>
    <w:uiPriority w:val="99"/>
    <w:unhideWhenUsed/>
    <w:rsid w:val="00E75855"/>
    <w:rPr>
      <w:strike w:val="0"/>
      <w:dstrike w:val="0"/>
      <w:color w:val="0000FF"/>
      <w:u w:val="none"/>
      <w:effect w:val="none"/>
    </w:rPr>
  </w:style>
  <w:style w:type="paragraph" w:styleId="NormalWeb">
    <w:name w:val="Normal (Web)"/>
    <w:basedOn w:val="Normal"/>
    <w:uiPriority w:val="99"/>
    <w:unhideWhenUsed/>
    <w:rsid w:val="00E75855"/>
    <w:pPr>
      <w:spacing w:after="0" w:line="360" w:lineRule="auto"/>
      <w:ind w:left="0" w:firstLine="1200"/>
      <w:jc w:val="left"/>
    </w:pPr>
    <w:rPr>
      <w:rFonts w:eastAsia="Times New Roman"/>
      <w:lang w:eastAsia="pt-BR"/>
    </w:rPr>
  </w:style>
  <w:style w:type="character" w:styleId="Forte">
    <w:name w:val="Strong"/>
    <w:basedOn w:val="Fontepargpadro"/>
    <w:uiPriority w:val="22"/>
    <w:qFormat/>
    <w:rsid w:val="00E75855"/>
    <w:rPr>
      <w:b/>
      <w:bCs/>
    </w:rPr>
  </w:style>
  <w:style w:type="character" w:customStyle="1" w:styleId="Ttulo8Char">
    <w:name w:val="Título 8 Char"/>
    <w:basedOn w:val="Fontepargpadro"/>
    <w:link w:val="Ttulo8"/>
    <w:uiPriority w:val="9"/>
    <w:rsid w:val="00515E7B"/>
    <w:rPr>
      <w:rFonts w:ascii="Calibri" w:eastAsia="Times New Roman" w:hAnsi="Calibri" w:cs="Times New Roman"/>
      <w:i/>
      <w:iCs/>
      <w:sz w:val="24"/>
      <w:szCs w:val="24"/>
      <w:lang w:eastAsia="en-US"/>
    </w:rPr>
  </w:style>
  <w:style w:type="character" w:customStyle="1" w:styleId="Ttulo9Char">
    <w:name w:val="Título 9 Char"/>
    <w:basedOn w:val="Fontepargpadro"/>
    <w:link w:val="Ttulo9"/>
    <w:uiPriority w:val="9"/>
    <w:semiHidden/>
    <w:rsid w:val="00515E7B"/>
    <w:rPr>
      <w:rFonts w:ascii="Cambria" w:eastAsia="Times New Roman" w:hAnsi="Cambria" w:cs="Times New Roman"/>
      <w:sz w:val="22"/>
      <w:szCs w:val="22"/>
      <w:lang w:eastAsia="en-US"/>
    </w:rPr>
  </w:style>
  <w:style w:type="paragraph" w:customStyle="1" w:styleId="indice">
    <w:name w:val="indice"/>
    <w:rsid w:val="00515E7B"/>
    <w:pPr>
      <w:autoSpaceDE w:val="0"/>
      <w:autoSpaceDN w:val="0"/>
      <w:adjustRightInd w:val="0"/>
      <w:spacing w:line="260" w:lineRule="atLeast"/>
      <w:jc w:val="both"/>
    </w:pPr>
    <w:rPr>
      <w:rFonts w:eastAsia="Times New Roman"/>
      <w:color w:val="000000"/>
      <w:sz w:val="22"/>
      <w:szCs w:val="22"/>
    </w:rPr>
  </w:style>
  <w:style w:type="paragraph" w:customStyle="1" w:styleId="tit1">
    <w:name w:val="tit1"/>
    <w:rsid w:val="00515E7B"/>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rsid w:val="00515E7B"/>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rsid w:val="00515E7B"/>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link w:val="TextodebaloChar"/>
    <w:uiPriority w:val="99"/>
    <w:semiHidden/>
    <w:unhideWhenUsed/>
    <w:rsid w:val="006F4DE0"/>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6F4DE0"/>
    <w:rPr>
      <w:rFonts w:ascii="Tahoma" w:hAnsi="Tahoma" w:cs="Tahoma"/>
      <w:sz w:val="16"/>
      <w:szCs w:val="16"/>
      <w:lang w:eastAsia="en-US"/>
    </w:rPr>
  </w:style>
  <w:style w:type="paragraph" w:customStyle="1" w:styleId="TCU-RelVoto-demais">
    <w:name w:val="TCU - Rel/Voto - demais §§"/>
    <w:basedOn w:val="Normal"/>
    <w:qFormat/>
    <w:rsid w:val="0015258E"/>
    <w:pPr>
      <w:tabs>
        <w:tab w:val="left" w:pos="1134"/>
      </w:tabs>
      <w:spacing w:after="160"/>
      <w:ind w:left="0"/>
    </w:pPr>
    <w:rPr>
      <w:rFonts w:eastAsia="Times New Roman"/>
      <w:szCs w:val="22"/>
    </w:rPr>
  </w:style>
  <w:style w:type="paragraph" w:customStyle="1" w:styleId="votonumerado">
    <w:name w:val="voto numerado"/>
    <w:basedOn w:val="Normal"/>
    <w:rsid w:val="00BE6637"/>
    <w:pPr>
      <w:numPr>
        <w:numId w:val="15"/>
      </w:numPr>
      <w:tabs>
        <w:tab w:val="clear" w:pos="360"/>
        <w:tab w:val="left" w:pos="1134"/>
      </w:tabs>
      <w:spacing w:after="0"/>
      <w:ind w:left="0"/>
    </w:pPr>
    <w:rPr>
      <w:rFonts w:eastAsia="Times New Roman"/>
      <w:szCs w:val="20"/>
      <w:lang w:eastAsia="pt-BR"/>
    </w:rPr>
  </w:style>
  <w:style w:type="paragraph" w:customStyle="1" w:styleId="Pargrafo">
    <w:name w:val="#Parágrafo"/>
    <w:basedOn w:val="Normal"/>
    <w:rsid w:val="001D74CE"/>
    <w:pPr>
      <w:widowControl w:val="0"/>
      <w:suppressAutoHyphens/>
      <w:spacing w:after="0"/>
      <w:ind w:left="0"/>
      <w:jc w:val="left"/>
    </w:pPr>
    <w:rPr>
      <w:rFonts w:eastAsia="Times New Roman"/>
      <w:szCs w:val="20"/>
      <w:lang w:eastAsia="pt-BR"/>
    </w:rPr>
  </w:style>
  <w:style w:type="paragraph" w:customStyle="1" w:styleId="Citao">
    <w:name w:val="#Citação"/>
    <w:uiPriority w:val="99"/>
    <w:rsid w:val="007174DA"/>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rsid w:val="007174DA"/>
    <w:pPr>
      <w:numPr>
        <w:numId w:val="16"/>
      </w:numPr>
      <w:tabs>
        <w:tab w:val="left" w:pos="1134"/>
      </w:tabs>
      <w:suppressAutoHyphens/>
      <w:spacing w:before="120" w:after="120"/>
      <w:jc w:val="both"/>
    </w:pPr>
    <w:rPr>
      <w:rFonts w:eastAsia="Times New Roman"/>
      <w:sz w:val="24"/>
      <w:szCs w:val="24"/>
      <w:lang w:eastAsia="ar-SA"/>
    </w:rPr>
  </w:style>
  <w:style w:type="paragraph" w:customStyle="1" w:styleId="Default">
    <w:name w:val="Default"/>
    <w:rsid w:val="008501A4"/>
    <w:pPr>
      <w:autoSpaceDE w:val="0"/>
      <w:autoSpaceDN w:val="0"/>
      <w:adjustRightInd w:val="0"/>
    </w:pPr>
    <w:rPr>
      <w:color w:val="000000"/>
      <w:sz w:val="24"/>
      <w:szCs w:val="24"/>
    </w:rPr>
  </w:style>
  <w:style w:type="paragraph" w:customStyle="1" w:styleId="B">
    <w:name w:val="B"/>
    <w:basedOn w:val="Normal"/>
    <w:rsid w:val="00B347F1"/>
    <w:pPr>
      <w:spacing w:after="0"/>
      <w:ind w:left="0" w:firstLine="1418"/>
    </w:pPr>
    <w:rPr>
      <w:rFonts w:eastAsia="Times New Roman"/>
      <w:szCs w:val="20"/>
      <w:lang w:eastAsia="pt-BR"/>
    </w:rPr>
  </w:style>
  <w:style w:type="paragraph" w:styleId="TextosemFormatao">
    <w:name w:val="Plain Text"/>
    <w:basedOn w:val="Normal"/>
    <w:link w:val="TextosemFormataoChar"/>
    <w:uiPriority w:val="99"/>
    <w:semiHidden/>
    <w:rsid w:val="0086124E"/>
    <w:pPr>
      <w:spacing w:after="0"/>
      <w:ind w:left="0"/>
      <w:jc w:val="left"/>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uiPriority w:val="99"/>
    <w:semiHidden/>
    <w:rsid w:val="0086124E"/>
    <w:rPr>
      <w:rFonts w:ascii="Courier New" w:eastAsia="Times New Roman" w:hAnsi="Courier New"/>
    </w:rPr>
  </w:style>
  <w:style w:type="paragraph" w:customStyle="1" w:styleId="TCU-RelVoto-1">
    <w:name w:val="TCU - Rel/Voto - 1º §"/>
    <w:basedOn w:val="Normal"/>
    <w:qFormat/>
    <w:rsid w:val="00491438"/>
    <w:pPr>
      <w:spacing w:after="160"/>
      <w:ind w:left="0" w:firstLine="1134"/>
    </w:pPr>
    <w:rPr>
      <w:rFonts w:eastAsia="Times New Roman"/>
      <w:szCs w:val="22"/>
    </w:rPr>
  </w:style>
  <w:style w:type="paragraph" w:customStyle="1" w:styleId="TCU-Transcrio">
    <w:name w:val="TCU - Transcrição"/>
    <w:basedOn w:val="Normal"/>
    <w:qFormat/>
    <w:rsid w:val="00491438"/>
    <w:pPr>
      <w:ind w:left="284" w:firstLine="567"/>
    </w:pPr>
    <w:rPr>
      <w:rFonts w:eastAsia="Times New Roman"/>
      <w:i/>
      <w:szCs w:val="22"/>
    </w:rPr>
  </w:style>
  <w:style w:type="paragraph" w:customStyle="1" w:styleId="Indentado">
    <w:name w:val="Indentado"/>
    <w:basedOn w:val="Normal"/>
    <w:qFormat/>
    <w:rsid w:val="001A60A2"/>
    <w:pPr>
      <w:tabs>
        <w:tab w:val="left" w:pos="1418"/>
        <w:tab w:val="left" w:pos="1985"/>
        <w:tab w:val="left" w:pos="2552"/>
        <w:tab w:val="left" w:pos="3402"/>
        <w:tab w:val="left" w:pos="4253"/>
        <w:tab w:val="left" w:pos="4820"/>
        <w:tab w:val="right" w:pos="9923"/>
      </w:tabs>
      <w:spacing w:after="0"/>
      <w:ind w:left="567" w:firstLine="851"/>
    </w:pPr>
    <w:rPr>
      <w:rFonts w:eastAsia="Times New Roman"/>
      <w:szCs w:val="22"/>
    </w:rPr>
  </w:style>
  <w:style w:type="paragraph" w:customStyle="1" w:styleId="TCU-Epgrafe">
    <w:name w:val="TCU - Epígrafe"/>
    <w:basedOn w:val="Normal"/>
    <w:qFormat/>
    <w:rsid w:val="00AA49AF"/>
    <w:pPr>
      <w:spacing w:after="0"/>
      <w:ind w:left="2835"/>
    </w:pPr>
    <w:rPr>
      <w:rFonts w:eastAsia="Times New Roman"/>
      <w:szCs w:val="20"/>
      <w:lang w:eastAsia="pt-BR"/>
    </w:rPr>
  </w:style>
  <w:style w:type="paragraph" w:customStyle="1" w:styleId="CorpodeTextoResumo">
    <w:name w:val="Corpo de Texto Resumo"/>
    <w:basedOn w:val="Corpodetexto"/>
    <w:rsid w:val="00A239A8"/>
    <w:pPr>
      <w:numPr>
        <w:numId w:val="18"/>
      </w:numPr>
      <w:spacing w:before="60" w:after="60"/>
      <w:ind w:left="644" w:hanging="360"/>
    </w:pPr>
    <w:rPr>
      <w:rFonts w:ascii="Times New (W1)" w:eastAsia="Times New Roman" w:hAnsi="Times New (W1)"/>
      <w:szCs w:val="20"/>
      <w:lang w:eastAsia="pt-BR"/>
    </w:rPr>
  </w:style>
  <w:style w:type="paragraph" w:customStyle="1" w:styleId="TCU-Ac-item9-">
    <w:name w:val="TCU - Ac - item 9 - §§"/>
    <w:basedOn w:val="TCU-RelVoto-1"/>
    <w:qFormat/>
    <w:rsid w:val="00A239A8"/>
    <w:pPr>
      <w:spacing w:after="0"/>
    </w:pPr>
  </w:style>
  <w:style w:type="character" w:customStyle="1" w:styleId="Ttulo3Char">
    <w:name w:val="Título 3 Char"/>
    <w:basedOn w:val="Fontepargpadro"/>
    <w:link w:val="Ttulo3"/>
    <w:uiPriority w:val="9"/>
    <w:semiHidden/>
    <w:rsid w:val="005438A1"/>
    <w:rPr>
      <w:rFonts w:ascii="Cambria" w:eastAsia="Times New Roman" w:hAnsi="Cambria" w:cs="Times New Roman"/>
      <w:b/>
      <w:bCs/>
      <w:sz w:val="26"/>
      <w:szCs w:val="26"/>
      <w:lang w:eastAsia="en-US"/>
    </w:rPr>
  </w:style>
  <w:style w:type="character" w:customStyle="1" w:styleId="Ttulo4Char">
    <w:name w:val="Título 4 Char"/>
    <w:basedOn w:val="Fontepargpadro"/>
    <w:link w:val="Ttulo4"/>
    <w:uiPriority w:val="9"/>
    <w:semiHidden/>
    <w:rsid w:val="005438A1"/>
    <w:rPr>
      <w:rFonts w:ascii="Calibri" w:eastAsia="Times New Roman" w:hAnsi="Calibri" w:cs="Times New Roman"/>
      <w:b/>
      <w:bCs/>
      <w:sz w:val="28"/>
      <w:szCs w:val="28"/>
      <w:lang w:eastAsia="en-US"/>
    </w:rPr>
  </w:style>
  <w:style w:type="character" w:customStyle="1" w:styleId="Ttulo5Char">
    <w:name w:val="Título 5 Char"/>
    <w:basedOn w:val="Fontepargpadro"/>
    <w:link w:val="Ttulo5"/>
    <w:uiPriority w:val="9"/>
    <w:rsid w:val="005438A1"/>
    <w:rPr>
      <w:rFonts w:ascii="Cambria" w:eastAsia="Times New Roman" w:hAnsi="Cambria" w:cs="Times New Roman"/>
      <w:color w:val="243F60"/>
      <w:sz w:val="24"/>
      <w:szCs w:val="22"/>
      <w:lang w:eastAsia="en-US"/>
    </w:rPr>
  </w:style>
  <w:style w:type="paragraph" w:styleId="Legenda">
    <w:name w:val="caption"/>
    <w:basedOn w:val="Normal"/>
    <w:next w:val="Normal"/>
    <w:uiPriority w:val="35"/>
    <w:qFormat/>
    <w:rsid w:val="005438A1"/>
    <w:pPr>
      <w:spacing w:before="120"/>
      <w:ind w:left="0"/>
      <w:jc w:val="center"/>
    </w:pPr>
    <w:rPr>
      <w:rFonts w:eastAsia="Times New Roman"/>
      <w:szCs w:val="20"/>
      <w:lang w:eastAsia="pt-BR"/>
    </w:rPr>
  </w:style>
  <w:style w:type="paragraph" w:customStyle="1" w:styleId="tensletras">
    <w:name w:val="Ítens letras"/>
    <w:basedOn w:val="Normal"/>
    <w:rsid w:val="005438A1"/>
    <w:pPr>
      <w:numPr>
        <w:numId w:val="19"/>
      </w:numPr>
      <w:spacing w:before="60" w:after="60"/>
    </w:pPr>
    <w:rPr>
      <w:rFonts w:eastAsia="Times New Roman"/>
      <w:szCs w:val="20"/>
      <w:lang w:eastAsia="pt-BR"/>
    </w:rPr>
  </w:style>
  <w:style w:type="paragraph" w:customStyle="1" w:styleId="Propostaletras">
    <w:name w:val="Proposta letras"/>
    <w:basedOn w:val="tensletras"/>
    <w:rsid w:val="005438A1"/>
  </w:style>
  <w:style w:type="paragraph" w:customStyle="1" w:styleId="NormalCG">
    <w:name w:val="Normal CG"/>
    <w:basedOn w:val="Corpodetexto"/>
    <w:rsid w:val="00202EAD"/>
    <w:pPr>
      <w:spacing w:before="120"/>
      <w:ind w:left="0" w:firstLine="1418"/>
    </w:pPr>
    <w:rPr>
      <w:rFonts w:eastAsia="Times New Roman"/>
      <w:szCs w:val="20"/>
      <w:lang w:eastAsia="pt-BR"/>
    </w:rPr>
  </w:style>
  <w:style w:type="paragraph" w:customStyle="1" w:styleId="Normal0">
    <w:name w:val="#Normal"/>
    <w:uiPriority w:val="99"/>
    <w:rsid w:val="00BD1747"/>
    <w:pPr>
      <w:spacing w:before="120" w:after="120"/>
      <w:ind w:firstLine="1134"/>
      <w:jc w:val="both"/>
    </w:pPr>
    <w:rPr>
      <w:rFonts w:eastAsia="Times New Roman"/>
      <w:sz w:val="24"/>
      <w:szCs w:val="24"/>
      <w:lang w:eastAsia="en-US"/>
    </w:rPr>
  </w:style>
  <w:style w:type="paragraph" w:customStyle="1" w:styleId="Normal-numerado-VOT01">
    <w:name w:val="#Normal-numerado-VOT_01"/>
    <w:basedOn w:val="Normal-numerado-REL01"/>
    <w:uiPriority w:val="99"/>
    <w:rsid w:val="00BD1747"/>
    <w:pPr>
      <w:numPr>
        <w:numId w:val="21"/>
      </w:numPr>
    </w:pPr>
  </w:style>
  <w:style w:type="paragraph" w:customStyle="1" w:styleId="Acordao-VISTOS-em-diante">
    <w:name w:val="#Acordao-VISTOS-em-diante"/>
    <w:uiPriority w:val="99"/>
    <w:rsid w:val="00BD1747"/>
    <w:pPr>
      <w:ind w:firstLine="1134"/>
      <w:jc w:val="both"/>
    </w:pPr>
    <w:rPr>
      <w:rFonts w:eastAsia="Times New Roman"/>
      <w:sz w:val="24"/>
      <w:szCs w:val="24"/>
      <w:lang w:eastAsia="en-US"/>
    </w:rPr>
  </w:style>
  <w:style w:type="paragraph" w:customStyle="1" w:styleId="TCU-Recuo1Linha">
    <w:name w:val="TCU - Recuo 1ª Linha"/>
    <w:basedOn w:val="Normal"/>
    <w:rsid w:val="00412CEF"/>
    <w:pPr>
      <w:spacing w:after="160"/>
      <w:ind w:left="0" w:firstLine="1134"/>
    </w:pPr>
    <w:rPr>
      <w:rFonts w:eastAsia="Times New Roman"/>
      <w:szCs w:val="20"/>
      <w:lang w:eastAsia="pt-BR"/>
    </w:rPr>
  </w:style>
  <w:style w:type="paragraph" w:customStyle="1" w:styleId="TCU-SemRecuo">
    <w:name w:val="TCU - Sem Recuo"/>
    <w:basedOn w:val="Normal"/>
    <w:rsid w:val="004E5000"/>
    <w:pPr>
      <w:tabs>
        <w:tab w:val="left" w:pos="1134"/>
      </w:tabs>
      <w:spacing w:after="160"/>
      <w:ind w:left="0"/>
    </w:pPr>
    <w:rPr>
      <w:rFonts w:eastAsia="Times New Roman"/>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66427">
      <w:bodyDiv w:val="1"/>
      <w:marLeft w:val="0"/>
      <w:marRight w:val="0"/>
      <w:marTop w:val="0"/>
      <w:marBottom w:val="0"/>
      <w:divBdr>
        <w:top w:val="none" w:sz="0" w:space="0" w:color="auto"/>
        <w:left w:val="none" w:sz="0" w:space="0" w:color="auto"/>
        <w:bottom w:val="none" w:sz="0" w:space="0" w:color="auto"/>
        <w:right w:val="none" w:sz="0" w:space="0" w:color="auto"/>
      </w:divBdr>
    </w:div>
    <w:div w:id="682585240">
      <w:bodyDiv w:val="1"/>
      <w:marLeft w:val="0"/>
      <w:marRight w:val="0"/>
      <w:marTop w:val="0"/>
      <w:marBottom w:val="0"/>
      <w:divBdr>
        <w:top w:val="none" w:sz="0" w:space="0" w:color="auto"/>
        <w:left w:val="none" w:sz="0" w:space="0" w:color="auto"/>
        <w:bottom w:val="none" w:sz="0" w:space="0" w:color="auto"/>
        <w:right w:val="none" w:sz="0" w:space="0" w:color="auto"/>
      </w:divBdr>
      <w:divsChild>
        <w:div w:id="486939037">
          <w:marLeft w:val="0"/>
          <w:marRight w:val="0"/>
          <w:marTop w:val="0"/>
          <w:marBottom w:val="0"/>
          <w:divBdr>
            <w:top w:val="none" w:sz="0" w:space="0" w:color="auto"/>
            <w:left w:val="none" w:sz="0" w:space="0" w:color="auto"/>
            <w:bottom w:val="none" w:sz="0" w:space="0" w:color="auto"/>
            <w:right w:val="none" w:sz="0" w:space="0" w:color="auto"/>
          </w:divBdr>
        </w:div>
      </w:divsChild>
    </w:div>
    <w:div w:id="1731611811">
      <w:bodyDiv w:val="1"/>
      <w:marLeft w:val="0"/>
      <w:marRight w:val="0"/>
      <w:marTop w:val="0"/>
      <w:marBottom w:val="0"/>
      <w:divBdr>
        <w:top w:val="none" w:sz="0" w:space="0" w:color="auto"/>
        <w:left w:val="none" w:sz="0" w:space="0" w:color="auto"/>
        <w:bottom w:val="none" w:sz="0" w:space="0" w:color="auto"/>
        <w:right w:val="none" w:sz="0" w:space="0" w:color="auto"/>
      </w:divBdr>
    </w:div>
    <w:div w:id="1860199642">
      <w:bodyDiv w:val="1"/>
      <w:marLeft w:val="0"/>
      <w:marRight w:val="0"/>
      <w:marTop w:val="0"/>
      <w:marBottom w:val="0"/>
      <w:divBdr>
        <w:top w:val="none" w:sz="0" w:space="0" w:color="auto"/>
        <w:left w:val="none" w:sz="0" w:space="0" w:color="auto"/>
        <w:bottom w:val="none" w:sz="0" w:space="0" w:color="auto"/>
        <w:right w:val="none" w:sz="0" w:space="0" w:color="auto"/>
      </w:divBdr>
    </w:div>
    <w:div w:id="187087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juris@tcu.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2413</Words>
  <Characters>13035</Characters>
  <Application>Microsoft Office Word</Application>
  <DocSecurity>4</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15418</CharactersWithSpaces>
  <SharedDoc>false</SharedDoc>
  <HLinks>
    <vt:vector size="6" baseType="variant">
      <vt:variant>
        <vt:i4>7602203</vt:i4>
      </vt:variant>
      <vt:variant>
        <vt:i4>0</vt:i4>
      </vt:variant>
      <vt:variant>
        <vt:i4>0</vt:i4>
      </vt:variant>
      <vt:variant>
        <vt:i4>5</vt:i4>
      </vt:variant>
      <vt:variant>
        <vt:lpwstr>mailto:infojuris@tcu.gov.br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Porto</dc:creator>
  <cp:keywords/>
  <dc:description/>
  <cp:lastModifiedBy>LUIZ FELYPE TABOSA PORTO</cp:lastModifiedBy>
  <cp:revision>2</cp:revision>
  <cp:lastPrinted>2011-02-04T20:41:00Z</cp:lastPrinted>
  <dcterms:created xsi:type="dcterms:W3CDTF">2015-05-07T12:37:00Z</dcterms:created>
  <dcterms:modified xsi:type="dcterms:W3CDTF">2015-05-07T12:37:00Z</dcterms:modified>
</cp:coreProperties>
</file>