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6532C3">
        <w:rPr>
          <w:rFonts w:ascii="Times New Roman" w:hAnsi="Times New Roman"/>
          <w:b/>
          <w:i w:val="0"/>
          <w:color w:val="000000"/>
          <w:sz w:val="22"/>
          <w:szCs w:val="22"/>
        </w:rPr>
        <w:t>12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6532C3">
        <w:rPr>
          <w:rFonts w:ascii="Times New Roman" w:hAnsi="Times New Roman"/>
          <w:b/>
          <w:i w:val="0"/>
          <w:color w:val="000000"/>
          <w:sz w:val="22"/>
          <w:szCs w:val="22"/>
        </w:rPr>
        <w:t>13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5012AA">
        <w:rPr>
          <w:rFonts w:ascii="Times New Roman" w:hAnsi="Times New Roman"/>
          <w:b/>
          <w:i w:val="0"/>
          <w:color w:val="000000"/>
          <w:sz w:val="22"/>
          <w:szCs w:val="22"/>
        </w:rPr>
        <w:t>abril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AA4F2F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5012AA" w:rsidRDefault="009444E6" w:rsidP="00AA4F2F">
      <w:pPr>
        <w:pStyle w:val="tita"/>
        <w:spacing w:before="60" w:after="6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5012AA">
        <w:rPr>
          <w:i w:val="0"/>
          <w:iCs w:val="0"/>
          <w:color w:val="000000"/>
          <w:sz w:val="22"/>
          <w:szCs w:val="22"/>
        </w:rPr>
        <w:t>Plenário</w:t>
      </w:r>
    </w:p>
    <w:p w:rsidR="00861B74" w:rsidRPr="008B2AD7" w:rsidRDefault="008B2AD7" w:rsidP="00AA4F2F">
      <w:pPr>
        <w:pStyle w:val="TCU-Recuo1Linha"/>
        <w:tabs>
          <w:tab w:val="left" w:pos="1134"/>
        </w:tabs>
        <w:spacing w:before="60" w:after="60"/>
        <w:ind w:firstLine="0"/>
        <w:rPr>
          <w:sz w:val="22"/>
          <w:szCs w:val="22"/>
        </w:rPr>
      </w:pPr>
      <w:r w:rsidRPr="008B2AD7">
        <w:rPr>
          <w:sz w:val="22"/>
          <w:szCs w:val="22"/>
        </w:rPr>
        <w:t>Na dispensa de licitação amparada no art. 24, inc. IV, da Lei 8.666/1993 podem ser utilizados projetos básicos que não contemplem todos os elementos previstos no art. 6º, inc. IX da mesma norma, sendo que a contratação direta deve estar restrita somente à parcela mínima necessária para afastar a concretização do dano ou a perda dos serviços executado</w:t>
      </w:r>
      <w:r>
        <w:rPr>
          <w:sz w:val="22"/>
          <w:szCs w:val="22"/>
        </w:rPr>
        <w:t>s</w:t>
      </w:r>
      <w:r w:rsidR="00861B74" w:rsidRPr="008B2AD7">
        <w:rPr>
          <w:i/>
          <w:sz w:val="22"/>
          <w:szCs w:val="22"/>
        </w:rPr>
        <w:t xml:space="preserve"> </w:t>
      </w:r>
    </w:p>
    <w:p w:rsidR="00A6526F" w:rsidRPr="00A6526F" w:rsidRDefault="00A6526F" w:rsidP="00AA4F2F">
      <w:pPr>
        <w:pStyle w:val="TCU-SemRecuo"/>
        <w:spacing w:before="60" w:after="60"/>
        <w:rPr>
          <w:sz w:val="22"/>
          <w:szCs w:val="22"/>
        </w:rPr>
      </w:pPr>
      <w:r w:rsidRPr="00A6526F">
        <w:rPr>
          <w:sz w:val="22"/>
          <w:szCs w:val="22"/>
        </w:rPr>
        <w:t xml:space="preserve">Não deve ser restringido o direito de recurso aos participantes em processos licitatórios </w:t>
      </w:r>
    </w:p>
    <w:p w:rsidR="00A6526F" w:rsidRPr="00AA4F2F" w:rsidRDefault="00A6526F" w:rsidP="00AA4F2F">
      <w:pPr>
        <w:pStyle w:val="TCU-RelVoto-1"/>
        <w:tabs>
          <w:tab w:val="left" w:pos="1134"/>
        </w:tabs>
        <w:spacing w:before="60" w:after="60"/>
        <w:ind w:firstLine="0"/>
        <w:rPr>
          <w:sz w:val="22"/>
          <w:lang w:eastAsia="pt-BR"/>
        </w:rPr>
      </w:pPr>
      <w:r w:rsidRPr="00AA4F2F">
        <w:rPr>
          <w:sz w:val="22"/>
          <w:lang w:eastAsia="pt-BR"/>
        </w:rPr>
        <w:t>A revogação de processo licitatório é condicionada à ocorrência de fato superveniente, devidamente comprovado, que justifique tal medida</w:t>
      </w:r>
    </w:p>
    <w:p w:rsidR="00A6526F" w:rsidRPr="00AA4F2F" w:rsidRDefault="00A6526F" w:rsidP="00AA4F2F">
      <w:pPr>
        <w:spacing w:before="60" w:after="60"/>
        <w:ind w:left="0"/>
        <w:rPr>
          <w:sz w:val="22"/>
          <w:szCs w:val="22"/>
          <w:lang w:eastAsia="pt-BR"/>
        </w:rPr>
      </w:pPr>
      <w:r w:rsidRPr="00AA4F2F">
        <w:rPr>
          <w:sz w:val="22"/>
          <w:szCs w:val="22"/>
          <w:lang w:eastAsia="pt-BR"/>
        </w:rPr>
        <w:t xml:space="preserve">Licitação na modalidade pregão: </w:t>
      </w:r>
    </w:p>
    <w:p w:rsidR="00A6526F" w:rsidRPr="00AA4F2F" w:rsidRDefault="00A6526F" w:rsidP="00AA4F2F">
      <w:pPr>
        <w:spacing w:before="60" w:after="60"/>
        <w:ind w:left="0" w:firstLine="708"/>
        <w:rPr>
          <w:sz w:val="22"/>
          <w:szCs w:val="22"/>
          <w:lang w:eastAsia="pt-BR"/>
        </w:rPr>
      </w:pPr>
      <w:r w:rsidRPr="00AA4F2F">
        <w:rPr>
          <w:sz w:val="22"/>
          <w:szCs w:val="22"/>
          <w:lang w:eastAsia="pt-BR"/>
        </w:rPr>
        <w:t>1 – A exigência de atestado de capacidade técnica deve ser justificável em razão do objeto licitado;</w:t>
      </w:r>
    </w:p>
    <w:p w:rsidR="00A6526F" w:rsidRPr="00AA4F2F" w:rsidRDefault="00A6526F" w:rsidP="00AA4F2F">
      <w:pPr>
        <w:spacing w:before="60" w:after="60"/>
        <w:ind w:left="0" w:firstLine="708"/>
        <w:rPr>
          <w:sz w:val="22"/>
          <w:szCs w:val="22"/>
          <w:lang w:eastAsia="pt-BR"/>
        </w:rPr>
      </w:pPr>
      <w:r w:rsidRPr="00AA4F2F">
        <w:rPr>
          <w:sz w:val="22"/>
          <w:szCs w:val="22"/>
          <w:lang w:eastAsia="pt-BR"/>
        </w:rPr>
        <w:t xml:space="preserve">2 – A </w:t>
      </w:r>
      <w:r w:rsidRPr="00AA4F2F">
        <w:rPr>
          <w:sz w:val="22"/>
          <w:szCs w:val="22"/>
        </w:rPr>
        <w:t xml:space="preserve">ausência da composição unitária </w:t>
      </w:r>
      <w:r w:rsidRPr="00AA4F2F">
        <w:rPr>
          <w:sz w:val="22"/>
          <w:szCs w:val="22"/>
          <w:lang w:eastAsia="pt-BR"/>
        </w:rPr>
        <w:t xml:space="preserve">do </w:t>
      </w:r>
      <w:r w:rsidRPr="00AA4F2F">
        <w:rPr>
          <w:sz w:val="22"/>
          <w:szCs w:val="22"/>
        </w:rPr>
        <w:t xml:space="preserve">orçamento-base gera insegurança quanto à confiabilidade do preço de referência, razão pela qual, apesar de não ser elemento obrigatório do edital, deve estar </w:t>
      </w:r>
      <w:r w:rsidR="002F169F">
        <w:rPr>
          <w:sz w:val="22"/>
          <w:szCs w:val="22"/>
        </w:rPr>
        <w:t>compulsoriamente</w:t>
      </w:r>
      <w:r w:rsidRPr="00AA4F2F">
        <w:rPr>
          <w:sz w:val="22"/>
          <w:szCs w:val="22"/>
        </w:rPr>
        <w:t xml:space="preserve"> inserido </w:t>
      </w:r>
      <w:r w:rsidR="002F169F">
        <w:rPr>
          <w:sz w:val="22"/>
          <w:szCs w:val="22"/>
        </w:rPr>
        <w:t>no processo relativo ao certame</w:t>
      </w:r>
    </w:p>
    <w:p w:rsidR="00ED3D84" w:rsidRPr="00BF5733" w:rsidRDefault="00ED3D84" w:rsidP="00AA4F2F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BF5733">
        <w:rPr>
          <w:i w:val="0"/>
          <w:iCs w:val="0"/>
          <w:sz w:val="22"/>
          <w:szCs w:val="22"/>
        </w:rPr>
        <w:t>Primeira Câmara</w:t>
      </w:r>
    </w:p>
    <w:p w:rsidR="00A6526F" w:rsidRPr="00AA4F2F" w:rsidRDefault="00A6526F" w:rsidP="00AA4F2F">
      <w:pPr>
        <w:pStyle w:val="TCU-RelVoto-demais"/>
        <w:spacing w:before="60" w:after="60"/>
        <w:rPr>
          <w:sz w:val="22"/>
        </w:rPr>
      </w:pPr>
      <w:r w:rsidRPr="00AA4F2F">
        <w:rPr>
          <w:sz w:val="22"/>
        </w:rPr>
        <w:t xml:space="preserve">A suspensão </w:t>
      </w:r>
      <w:r w:rsidRPr="00AA4F2F">
        <w:rPr>
          <w:sz w:val="22"/>
          <w:lang w:eastAsia="pt-BR"/>
        </w:rPr>
        <w:t xml:space="preserve">temporária de participação em licitação e impedimento de contratar com a Administração prevista no </w:t>
      </w:r>
      <w:r w:rsidRPr="00AA4F2F">
        <w:rPr>
          <w:sz w:val="22"/>
        </w:rPr>
        <w:t xml:space="preserve">inciso III do art. 87 da Lei 8.666/1993 estende-se </w:t>
      </w:r>
      <w:r w:rsidR="002F169F">
        <w:rPr>
          <w:sz w:val="22"/>
        </w:rPr>
        <w:t>à</w:t>
      </w:r>
      <w:r w:rsidRPr="00AA4F2F">
        <w:rPr>
          <w:sz w:val="22"/>
        </w:rPr>
        <w:t xml:space="preserve"> toda Administração Pública</w:t>
      </w:r>
    </w:p>
    <w:p w:rsidR="006C7DE0" w:rsidRPr="00087006" w:rsidRDefault="006C7DE0" w:rsidP="00AA4F2F">
      <w:pPr>
        <w:pStyle w:val="TCU-RelVoto-1"/>
        <w:tabs>
          <w:tab w:val="left" w:pos="1134"/>
        </w:tabs>
        <w:spacing w:after="0"/>
        <w:ind w:firstLine="0"/>
        <w:rPr>
          <w:b/>
          <w:color w:val="FF0000"/>
          <w:sz w:val="22"/>
          <w:lang w:eastAsia="pt-BR"/>
        </w:rPr>
      </w:pPr>
    </w:p>
    <w:p w:rsidR="003C6DEB" w:rsidRPr="00A6526F" w:rsidRDefault="003C6DEB" w:rsidP="00AA4F2F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A6526F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087006" w:rsidRDefault="003C6DEB" w:rsidP="00AA4F2F">
      <w:pPr>
        <w:pStyle w:val="tita"/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B44FFA" w:rsidRPr="00AA4F2F" w:rsidRDefault="00E74762" w:rsidP="00AA4F2F">
      <w:pPr>
        <w:pStyle w:val="TCU-Recuo1Linha"/>
        <w:tabs>
          <w:tab w:val="left" w:pos="1134"/>
        </w:tabs>
        <w:spacing w:after="0"/>
        <w:ind w:firstLine="0"/>
        <w:rPr>
          <w:b/>
          <w:sz w:val="22"/>
          <w:szCs w:val="22"/>
        </w:rPr>
      </w:pPr>
      <w:r w:rsidRPr="00AA4F2F">
        <w:rPr>
          <w:b/>
          <w:sz w:val="22"/>
          <w:szCs w:val="22"/>
        </w:rPr>
        <w:t>Na dispensa de licitação amparada no art. 24, inc. IV, da Lei 8.666/1993</w:t>
      </w:r>
      <w:r w:rsidR="0080065F" w:rsidRPr="00AA4F2F">
        <w:rPr>
          <w:b/>
          <w:sz w:val="22"/>
          <w:szCs w:val="22"/>
        </w:rPr>
        <w:t xml:space="preserve"> podem ser utilizados projetos básicos que não contemplem todos os elementos previstos no art. 6º, inc. IX da mesma norma, sendo que a contratação direta deve estar restrita somente à parcela mínima necessária para afastar a concretização do dano ou a perda dos serviços executado</w:t>
      </w:r>
      <w:r w:rsidR="008B2AD7" w:rsidRPr="00AA4F2F">
        <w:rPr>
          <w:b/>
          <w:sz w:val="22"/>
          <w:szCs w:val="22"/>
        </w:rPr>
        <w:t>s</w:t>
      </w:r>
    </w:p>
    <w:p w:rsidR="006A3D41" w:rsidRPr="00AA4F2F" w:rsidRDefault="006A3D41" w:rsidP="00AA4F2F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AA4F2F">
        <w:rPr>
          <w:sz w:val="22"/>
          <w:szCs w:val="22"/>
          <w:lang w:eastAsia="pt-BR"/>
        </w:rPr>
        <w:t>Por intermédio de embargos de declaração, o Departamento Nacional de Infraestrutura de Transportes – (DNIT), manifestou s</w:t>
      </w:r>
      <w:r w:rsidR="009D2884" w:rsidRPr="00AA4F2F">
        <w:rPr>
          <w:sz w:val="22"/>
          <w:szCs w:val="22"/>
          <w:lang w:eastAsia="pt-BR"/>
        </w:rPr>
        <w:t>eu inconformismo</w:t>
      </w:r>
      <w:r w:rsidRPr="00AA4F2F">
        <w:rPr>
          <w:sz w:val="22"/>
          <w:szCs w:val="22"/>
          <w:lang w:eastAsia="pt-BR"/>
        </w:rPr>
        <w:t xml:space="preserve"> em face do Acórd</w:t>
      </w:r>
      <w:r w:rsidR="009D2884" w:rsidRPr="00AA4F2F">
        <w:rPr>
          <w:sz w:val="22"/>
          <w:szCs w:val="22"/>
          <w:lang w:eastAsia="pt-BR"/>
        </w:rPr>
        <w:t>ão nº 614/2010</w:t>
      </w:r>
      <w:r w:rsidR="00E74762" w:rsidRPr="00AA4F2F">
        <w:rPr>
          <w:sz w:val="22"/>
          <w:szCs w:val="22"/>
          <w:lang w:eastAsia="pt-BR"/>
        </w:rPr>
        <w:t xml:space="preserve">, do </w:t>
      </w:r>
      <w:r w:rsidR="009D2884" w:rsidRPr="00AA4F2F">
        <w:rPr>
          <w:sz w:val="22"/>
          <w:szCs w:val="22"/>
          <w:lang w:eastAsia="pt-BR"/>
        </w:rPr>
        <w:t>Plenário</w:t>
      </w:r>
      <w:r w:rsidRPr="00AA4F2F">
        <w:rPr>
          <w:sz w:val="22"/>
          <w:szCs w:val="22"/>
          <w:lang w:eastAsia="pt-BR"/>
        </w:rPr>
        <w:t xml:space="preserve">, </w:t>
      </w:r>
      <w:r w:rsidR="009D2884" w:rsidRPr="00AA4F2F">
        <w:rPr>
          <w:sz w:val="22"/>
          <w:szCs w:val="22"/>
          <w:lang w:eastAsia="pt-BR"/>
        </w:rPr>
        <w:t xml:space="preserve">no qual se </w:t>
      </w:r>
      <w:r w:rsidRPr="00AA4F2F">
        <w:rPr>
          <w:sz w:val="22"/>
          <w:szCs w:val="22"/>
          <w:lang w:eastAsia="pt-BR"/>
        </w:rPr>
        <w:t>apreci</w:t>
      </w:r>
      <w:r w:rsidR="009D2884" w:rsidRPr="00AA4F2F">
        <w:rPr>
          <w:sz w:val="22"/>
          <w:szCs w:val="22"/>
          <w:lang w:eastAsia="pt-BR"/>
        </w:rPr>
        <w:t>ou</w:t>
      </w:r>
      <w:r w:rsidRPr="00AA4F2F">
        <w:rPr>
          <w:sz w:val="22"/>
          <w:szCs w:val="22"/>
          <w:lang w:eastAsia="pt-BR"/>
        </w:rPr>
        <w:t xml:space="preserve"> pedido de reexame interposto contra o Acórdão nº 1644/2008-Plenário, </w:t>
      </w:r>
      <w:r w:rsidR="009D2884" w:rsidRPr="00AA4F2F">
        <w:rPr>
          <w:sz w:val="22"/>
          <w:szCs w:val="22"/>
          <w:lang w:eastAsia="pt-BR"/>
        </w:rPr>
        <w:t>que, por sua vez,</w:t>
      </w:r>
      <w:r w:rsidRPr="00AA4F2F">
        <w:rPr>
          <w:sz w:val="22"/>
          <w:szCs w:val="22"/>
          <w:lang w:eastAsia="pt-BR"/>
        </w:rPr>
        <w:t xml:space="preserve"> concedeu parcial provimento ao recurso, </w:t>
      </w:r>
      <w:r w:rsidR="009D2884" w:rsidRPr="00AA4F2F">
        <w:rPr>
          <w:sz w:val="22"/>
          <w:szCs w:val="22"/>
          <w:lang w:eastAsia="pt-BR"/>
        </w:rPr>
        <w:t>dando a seguinte redação ao item da deliberação originária</w:t>
      </w:r>
      <w:r w:rsidRPr="00AA4F2F">
        <w:rPr>
          <w:sz w:val="22"/>
          <w:szCs w:val="22"/>
          <w:lang w:eastAsia="pt-BR"/>
        </w:rPr>
        <w:t>:</w:t>
      </w:r>
      <w:r w:rsidR="009D2884" w:rsidRPr="00AA4F2F">
        <w:rPr>
          <w:sz w:val="22"/>
          <w:szCs w:val="22"/>
          <w:lang w:eastAsia="pt-BR"/>
        </w:rPr>
        <w:t xml:space="preserve"> “</w:t>
      </w:r>
      <w:r w:rsidRPr="00AA4F2F">
        <w:rPr>
          <w:i/>
          <w:color w:val="000000"/>
          <w:sz w:val="22"/>
          <w:szCs w:val="22"/>
          <w:lang w:eastAsia="pt-BR"/>
        </w:rPr>
        <w:t>1.6. determinar ao DNIT que, mesmo em obras emergenciais, providencie projeto básico com todos os elementos do art. 6º, inciso IX, da Lei nº 8.666/93, em obediência ao art. 7º, § 2º, inciso II, e 9º, da Lei nº 8.666/1993, sob pena anulação dos contratos com base no § 6º do mesmo artigo, ressalvando, para o caso de obras emergenciais de baixa complexidade executiva, em caráter excepcional, a possibilidade de substituição do projeto básico por planilha estimativa, desde que esta se encontre devidamente fu</w:t>
      </w:r>
      <w:r w:rsidR="009D2884" w:rsidRPr="00AA4F2F">
        <w:rPr>
          <w:i/>
          <w:color w:val="000000"/>
          <w:sz w:val="22"/>
          <w:szCs w:val="22"/>
          <w:lang w:eastAsia="pt-BR"/>
        </w:rPr>
        <w:t>ndamentada em relatório técnico”</w:t>
      </w:r>
      <w:r w:rsidR="009D2884" w:rsidRPr="00AA4F2F">
        <w:rPr>
          <w:color w:val="000000"/>
          <w:sz w:val="22"/>
          <w:szCs w:val="22"/>
          <w:lang w:eastAsia="pt-BR"/>
        </w:rPr>
        <w:t xml:space="preserve">. Na presente etapa processual, o DNIT, ao </w:t>
      </w:r>
      <w:r w:rsidR="009D2884" w:rsidRPr="00AA4F2F">
        <w:rPr>
          <w:sz w:val="22"/>
          <w:szCs w:val="22"/>
          <w:lang w:eastAsia="pt-BR"/>
        </w:rPr>
        <w:t xml:space="preserve">buscar o esclarecimento da decisão embargada, argumentou que a elaboração do projeto básico previamente ao início de obras emergenciais seria algo inconveniente e temerário, sob a ótica do interesse público, e que nem sempre poderia se aguardar </w:t>
      </w:r>
      <w:r w:rsidR="00E74762" w:rsidRPr="00AA4F2F">
        <w:rPr>
          <w:sz w:val="22"/>
          <w:szCs w:val="22"/>
          <w:lang w:eastAsia="pt-BR"/>
        </w:rPr>
        <w:t>t</w:t>
      </w:r>
      <w:r w:rsidR="009D2884" w:rsidRPr="00AA4F2F">
        <w:rPr>
          <w:sz w:val="22"/>
          <w:szCs w:val="22"/>
          <w:lang w:eastAsia="pt-BR"/>
        </w:rPr>
        <w:t>a</w:t>
      </w:r>
      <w:r w:rsidR="00E74762" w:rsidRPr="00AA4F2F">
        <w:rPr>
          <w:sz w:val="22"/>
          <w:szCs w:val="22"/>
          <w:lang w:eastAsia="pt-BR"/>
        </w:rPr>
        <w:t>l</w:t>
      </w:r>
      <w:r w:rsidR="009D2884" w:rsidRPr="00AA4F2F">
        <w:rPr>
          <w:sz w:val="22"/>
          <w:szCs w:val="22"/>
          <w:lang w:eastAsia="pt-BR"/>
        </w:rPr>
        <w:t xml:space="preserve"> providência. </w:t>
      </w:r>
      <w:r w:rsidR="00E74762" w:rsidRPr="00AA4F2F">
        <w:rPr>
          <w:sz w:val="22"/>
          <w:szCs w:val="22"/>
          <w:lang w:eastAsia="pt-BR"/>
        </w:rPr>
        <w:t xml:space="preserve">Situações </w:t>
      </w:r>
      <w:r w:rsidR="009D2884" w:rsidRPr="00AA4F2F">
        <w:rPr>
          <w:sz w:val="22"/>
          <w:szCs w:val="22"/>
          <w:lang w:eastAsia="pt-BR"/>
        </w:rPr>
        <w:t>dessa natureza</w:t>
      </w:r>
      <w:r w:rsidR="00E74762" w:rsidRPr="00AA4F2F">
        <w:rPr>
          <w:sz w:val="22"/>
          <w:szCs w:val="22"/>
          <w:lang w:eastAsia="pt-BR"/>
        </w:rPr>
        <w:t>, emergenciais,</w:t>
      </w:r>
      <w:r w:rsidR="009D2884" w:rsidRPr="00AA4F2F">
        <w:rPr>
          <w:sz w:val="22"/>
          <w:szCs w:val="22"/>
          <w:lang w:eastAsia="pt-BR"/>
        </w:rPr>
        <w:t xml:space="preserve"> poderiam acontecer mesmo em caso de obras que não se limitassem a uma menor complexidade, única situação que restou excepcionada na determinação contida no item 1.6 do Acórdão nº 1644/2008-Plenário, com a redação conferida pelo Acórdão nº 614/2010-Plenário. Para o relator, de fato, “</w:t>
      </w:r>
      <w:r w:rsidR="009D2884" w:rsidRPr="00AA4F2F">
        <w:rPr>
          <w:i/>
          <w:sz w:val="22"/>
          <w:szCs w:val="22"/>
          <w:lang w:eastAsia="pt-BR"/>
        </w:rPr>
        <w:t>várias situações emergenciais podem reclamar obras mais complexas, em que a prévia concepção do projeto básico não poderia ser exigida</w:t>
      </w:r>
      <w:r w:rsidR="009D2884" w:rsidRPr="00AA4F2F">
        <w:rPr>
          <w:sz w:val="22"/>
          <w:szCs w:val="22"/>
          <w:lang w:eastAsia="pt-BR"/>
        </w:rPr>
        <w:t xml:space="preserve">”. </w:t>
      </w:r>
      <w:r w:rsidR="006E58EA" w:rsidRPr="00AA4F2F">
        <w:rPr>
          <w:sz w:val="22"/>
          <w:szCs w:val="22"/>
          <w:lang w:eastAsia="pt-BR"/>
        </w:rPr>
        <w:t xml:space="preserve">Assim, por um lado, em conformidade com os questionamentos de ordem prática do DNIT, </w:t>
      </w:r>
      <w:r w:rsidR="00875BB5" w:rsidRPr="00AA4F2F">
        <w:rPr>
          <w:sz w:val="22"/>
          <w:szCs w:val="22"/>
          <w:lang w:eastAsia="pt-BR"/>
        </w:rPr>
        <w:t xml:space="preserve">em casos de emergência, </w:t>
      </w:r>
      <w:r w:rsidR="006E58EA" w:rsidRPr="00AA4F2F">
        <w:rPr>
          <w:sz w:val="22"/>
          <w:szCs w:val="22"/>
          <w:lang w:eastAsia="pt-BR"/>
        </w:rPr>
        <w:t xml:space="preserve">seria aceitável se </w:t>
      </w:r>
      <w:r w:rsidR="0080065F" w:rsidRPr="00AA4F2F">
        <w:rPr>
          <w:sz w:val="22"/>
          <w:szCs w:val="22"/>
          <w:lang w:eastAsia="pt-BR"/>
        </w:rPr>
        <w:t>admit</w:t>
      </w:r>
      <w:r w:rsidR="006E58EA" w:rsidRPr="00AA4F2F">
        <w:rPr>
          <w:sz w:val="22"/>
          <w:szCs w:val="22"/>
          <w:lang w:eastAsia="pt-BR"/>
        </w:rPr>
        <w:t>ir o início das obras</w:t>
      </w:r>
      <w:r w:rsidR="0080065F" w:rsidRPr="00AA4F2F">
        <w:rPr>
          <w:sz w:val="22"/>
          <w:szCs w:val="22"/>
          <w:lang w:eastAsia="pt-BR"/>
        </w:rPr>
        <w:t>, de maneira justificada,</w:t>
      </w:r>
      <w:r w:rsidR="006E58EA" w:rsidRPr="00AA4F2F">
        <w:rPr>
          <w:sz w:val="22"/>
          <w:szCs w:val="22"/>
          <w:lang w:eastAsia="pt-BR"/>
        </w:rPr>
        <w:t xml:space="preserve"> antes da conclusão do projeto básico, o qual deve</w:t>
      </w:r>
      <w:r w:rsidR="00875BB5" w:rsidRPr="00AA4F2F">
        <w:rPr>
          <w:sz w:val="22"/>
          <w:szCs w:val="22"/>
          <w:lang w:eastAsia="pt-BR"/>
        </w:rPr>
        <w:t>ria</w:t>
      </w:r>
      <w:r w:rsidR="006E58EA" w:rsidRPr="00AA4F2F">
        <w:rPr>
          <w:sz w:val="22"/>
          <w:szCs w:val="22"/>
          <w:lang w:eastAsia="pt-BR"/>
        </w:rPr>
        <w:t xml:space="preserve"> ser concluído com a maior brevidade possível. Poder-se-ia, em consequência, </w:t>
      </w:r>
      <w:r w:rsidR="00B40BEA" w:rsidRPr="00AA4F2F">
        <w:rPr>
          <w:sz w:val="22"/>
          <w:szCs w:val="22"/>
          <w:lang w:eastAsia="pt-BR"/>
        </w:rPr>
        <w:t xml:space="preserve">admitir que </w:t>
      </w:r>
      <w:r w:rsidR="00B40BEA" w:rsidRPr="00AA4F2F">
        <w:rPr>
          <w:sz w:val="22"/>
          <w:szCs w:val="22"/>
        </w:rPr>
        <w:t xml:space="preserve">o projeto básico </w:t>
      </w:r>
      <w:r w:rsidR="00875BB5" w:rsidRPr="00AA4F2F">
        <w:rPr>
          <w:sz w:val="22"/>
          <w:szCs w:val="22"/>
        </w:rPr>
        <w:t>foss</w:t>
      </w:r>
      <w:r w:rsidR="00B40BEA" w:rsidRPr="00AA4F2F">
        <w:rPr>
          <w:sz w:val="22"/>
          <w:szCs w:val="22"/>
        </w:rPr>
        <w:t>e elaborado concomitantemente com a obra.</w:t>
      </w:r>
      <w:r w:rsidR="00B40BEA" w:rsidRPr="00AA4F2F">
        <w:rPr>
          <w:sz w:val="22"/>
          <w:szCs w:val="22"/>
          <w:lang w:eastAsia="pt-BR"/>
        </w:rPr>
        <w:t xml:space="preserve"> </w:t>
      </w:r>
      <w:r w:rsidR="006E58EA" w:rsidRPr="00AA4F2F">
        <w:rPr>
          <w:sz w:val="22"/>
          <w:szCs w:val="22"/>
          <w:lang w:eastAsia="pt-BR"/>
        </w:rPr>
        <w:t>Por outro lado, entendeu o relator que, “</w:t>
      </w:r>
      <w:r w:rsidR="006E58EA" w:rsidRPr="00AA4F2F">
        <w:rPr>
          <w:i/>
          <w:sz w:val="22"/>
          <w:szCs w:val="22"/>
          <w:lang w:eastAsia="pt-BR"/>
        </w:rPr>
        <w:t xml:space="preserve">em certas situações devidamente justificadas, também pode ser permitida a simplificação do projeto básico”, </w:t>
      </w:r>
      <w:r w:rsidR="006E58EA" w:rsidRPr="00AA4F2F">
        <w:rPr>
          <w:sz w:val="22"/>
          <w:szCs w:val="22"/>
          <w:lang w:eastAsia="pt-BR"/>
        </w:rPr>
        <w:t>pois “</w:t>
      </w:r>
      <w:r w:rsidR="006E58EA" w:rsidRPr="00AA4F2F">
        <w:rPr>
          <w:i/>
          <w:sz w:val="22"/>
          <w:szCs w:val="22"/>
        </w:rPr>
        <w:t>não seria razoável exigir a presença de todos os elementos que definem um projeto básico elaborado em situações norm</w:t>
      </w:r>
      <w:r w:rsidR="00875BB5" w:rsidRPr="00AA4F2F">
        <w:rPr>
          <w:i/>
          <w:sz w:val="22"/>
          <w:szCs w:val="22"/>
        </w:rPr>
        <w:t>ais, podendo, portanto, existir</w:t>
      </w:r>
      <w:r w:rsidR="006E58EA" w:rsidRPr="00AA4F2F">
        <w:rPr>
          <w:i/>
          <w:sz w:val="22"/>
          <w:szCs w:val="22"/>
        </w:rPr>
        <w:t xml:space="preserve"> casos em que alguns de seus aspectos possam não ser atendidos</w:t>
      </w:r>
      <w:r w:rsidR="006E58EA" w:rsidRPr="00AA4F2F">
        <w:rPr>
          <w:sz w:val="22"/>
          <w:szCs w:val="22"/>
        </w:rPr>
        <w:t xml:space="preserve">”. </w:t>
      </w:r>
      <w:r w:rsidR="00875BB5" w:rsidRPr="00AA4F2F">
        <w:rPr>
          <w:sz w:val="22"/>
          <w:szCs w:val="22"/>
        </w:rPr>
        <w:t>Aditou, ainda, pel</w:t>
      </w:r>
      <w:r w:rsidR="00B40BEA" w:rsidRPr="00AA4F2F">
        <w:rPr>
          <w:sz w:val="22"/>
          <w:szCs w:val="22"/>
        </w:rPr>
        <w:t xml:space="preserve">a necessidade de se integrar o julgado </w:t>
      </w:r>
      <w:r w:rsidR="00875BB5" w:rsidRPr="00AA4F2F">
        <w:rPr>
          <w:sz w:val="22"/>
          <w:szCs w:val="22"/>
        </w:rPr>
        <w:t xml:space="preserve">anterior </w:t>
      </w:r>
      <w:r w:rsidR="00B40BEA" w:rsidRPr="00AA4F2F">
        <w:rPr>
          <w:sz w:val="22"/>
          <w:szCs w:val="22"/>
        </w:rPr>
        <w:t xml:space="preserve">por meio </w:t>
      </w:r>
      <w:r w:rsidR="00875BB5" w:rsidRPr="00AA4F2F">
        <w:rPr>
          <w:sz w:val="22"/>
          <w:szCs w:val="22"/>
        </w:rPr>
        <w:t>dos presentes</w:t>
      </w:r>
      <w:r w:rsidR="00B40BEA" w:rsidRPr="00AA4F2F">
        <w:rPr>
          <w:sz w:val="22"/>
          <w:szCs w:val="22"/>
        </w:rPr>
        <w:t xml:space="preserve"> embargos, de modo a deixar claro que, em atendimento ao inciso IV do art. 24 da Lei nº 8.666/1993, </w:t>
      </w:r>
      <w:r w:rsidR="00875BB5" w:rsidRPr="00AA4F2F">
        <w:rPr>
          <w:sz w:val="22"/>
          <w:szCs w:val="22"/>
        </w:rPr>
        <w:t>“</w:t>
      </w:r>
      <w:r w:rsidR="00B40BEA" w:rsidRPr="00AA4F2F">
        <w:rPr>
          <w:i/>
          <w:sz w:val="22"/>
          <w:szCs w:val="22"/>
        </w:rPr>
        <w:t>a contratação direta deve se restringir somente à parcela mínima necessária para afastar a concretização do dano ou a perda dos serviços executados, devendo a solução definitiva, conforme o caso, ser objeto de licitação formal, baseada em projeto básico dotado, inexoravelmente, de todos os elementos do art. 6º, inc. IX da Lei nº 8.666/1993</w:t>
      </w:r>
      <w:r w:rsidR="00875BB5" w:rsidRPr="00AA4F2F">
        <w:rPr>
          <w:sz w:val="22"/>
          <w:szCs w:val="22"/>
        </w:rPr>
        <w:t>”</w:t>
      </w:r>
      <w:r w:rsidR="00B40BEA" w:rsidRPr="00AA4F2F">
        <w:rPr>
          <w:sz w:val="22"/>
          <w:szCs w:val="22"/>
        </w:rPr>
        <w:t>.</w:t>
      </w:r>
      <w:r w:rsidR="00875BB5" w:rsidRPr="00AA4F2F">
        <w:rPr>
          <w:sz w:val="22"/>
          <w:szCs w:val="22"/>
        </w:rPr>
        <w:t xml:space="preserve"> Votou, então, por que se atribuísse nova redação ao item 1.6 do </w:t>
      </w:r>
      <w:r w:rsidR="00875BB5" w:rsidRPr="00AA4F2F">
        <w:rPr>
          <w:sz w:val="22"/>
          <w:szCs w:val="22"/>
          <w:lang w:eastAsia="pt-BR"/>
        </w:rPr>
        <w:t xml:space="preserve">Acórdão n.º 1644/2008 – Plenário, para que o mesmo contemplasse todas as análises procedidas nesta etapa do processo, no que foi acompanhado pelos demais membros do Plenário. </w:t>
      </w:r>
      <w:r w:rsidRPr="00AA4F2F">
        <w:rPr>
          <w:b/>
          <w:i/>
          <w:sz w:val="22"/>
          <w:szCs w:val="22"/>
        </w:rPr>
        <w:t>Acórdão n.º 943/2011-Plenário, TC-007.965/2008-1, rel. Min. Valmir Campelo, 13.04.2011.</w:t>
      </w:r>
    </w:p>
    <w:p w:rsidR="006A3D41" w:rsidRPr="00AA4F2F" w:rsidRDefault="006A3D41" w:rsidP="00AA4F2F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8B2AD7" w:rsidRPr="00AA4F2F" w:rsidRDefault="008B2AD7" w:rsidP="00AA4F2F">
      <w:pPr>
        <w:pStyle w:val="TCU-SemRecuo"/>
        <w:spacing w:after="0"/>
        <w:rPr>
          <w:b/>
          <w:sz w:val="22"/>
          <w:szCs w:val="22"/>
        </w:rPr>
      </w:pPr>
      <w:r w:rsidRPr="00AA4F2F">
        <w:rPr>
          <w:b/>
          <w:sz w:val="22"/>
          <w:szCs w:val="22"/>
        </w:rPr>
        <w:t xml:space="preserve">Não deve ser restringido o direito de recurso aos participantes em processos licitatórios </w:t>
      </w:r>
    </w:p>
    <w:p w:rsidR="00087006" w:rsidRPr="00AA4F2F" w:rsidRDefault="00457F93" w:rsidP="00AA4F2F">
      <w:pPr>
        <w:pStyle w:val="TCU-SemRecuo"/>
        <w:spacing w:after="0"/>
        <w:rPr>
          <w:b/>
          <w:i/>
          <w:sz w:val="22"/>
          <w:szCs w:val="22"/>
        </w:rPr>
      </w:pPr>
      <w:r w:rsidRPr="00AA4F2F">
        <w:rPr>
          <w:sz w:val="22"/>
          <w:szCs w:val="22"/>
        </w:rPr>
        <w:t xml:space="preserve">Em </w:t>
      </w:r>
      <w:r w:rsidR="00087006" w:rsidRPr="00AA4F2F">
        <w:rPr>
          <w:sz w:val="22"/>
          <w:szCs w:val="22"/>
        </w:rPr>
        <w:t xml:space="preserve">sede de processo de representação, </w:t>
      </w:r>
      <w:r w:rsidR="004E5000" w:rsidRPr="00AA4F2F">
        <w:rPr>
          <w:sz w:val="22"/>
          <w:szCs w:val="22"/>
        </w:rPr>
        <w:t xml:space="preserve">o Tribunal apurou potenciais irregularidades </w:t>
      </w:r>
      <w:r w:rsidR="008B2AD7" w:rsidRPr="00AA4F2F">
        <w:rPr>
          <w:sz w:val="22"/>
          <w:szCs w:val="22"/>
        </w:rPr>
        <w:t>em</w:t>
      </w:r>
      <w:r w:rsidR="004E5000" w:rsidRPr="00AA4F2F">
        <w:rPr>
          <w:sz w:val="22"/>
          <w:szCs w:val="22"/>
        </w:rPr>
        <w:t xml:space="preserve"> licitação referente ao Programa Nacional do Livro Didático – (PNLD/2013), cujo objeto consistiu na convocação de editores para o processo de inscrição e avaliação de obras didáticas destinadas aos alunos e professores dos anos iniciais do ensino fundamental</w:t>
      </w:r>
      <w:r w:rsidR="00E0312F" w:rsidRPr="00AA4F2F">
        <w:rPr>
          <w:sz w:val="22"/>
          <w:szCs w:val="22"/>
        </w:rPr>
        <w:t>,</w:t>
      </w:r>
      <w:r w:rsidR="004E5000" w:rsidRPr="00AA4F2F">
        <w:rPr>
          <w:sz w:val="22"/>
          <w:szCs w:val="22"/>
        </w:rPr>
        <w:t xml:space="preserve"> registrados nas escolas públicas que integram os sistemas de educação federal, estaduais, municipais e do Distrito Federal</w:t>
      </w:r>
      <w:r w:rsidR="00DE1240" w:rsidRPr="00AA4F2F">
        <w:rPr>
          <w:sz w:val="22"/>
          <w:szCs w:val="22"/>
        </w:rPr>
        <w:t>,</w:t>
      </w:r>
      <w:r w:rsidR="004E5000" w:rsidRPr="00AA4F2F">
        <w:rPr>
          <w:sz w:val="22"/>
          <w:szCs w:val="22"/>
        </w:rPr>
        <w:t xml:space="preserve"> participantes do PNLD.</w:t>
      </w:r>
      <w:r w:rsidR="00E0312F" w:rsidRPr="00AA4F2F">
        <w:rPr>
          <w:sz w:val="22"/>
          <w:szCs w:val="22"/>
        </w:rPr>
        <w:t xml:space="preserve"> Dentre tais irregularidades, constou a impossibilidade de interposição de recursos contra decisões proferidas nas fases de triagem e pré-análise das obras, em razão de determinação normativa nesse sentido (art. 18, § 3º, do Decreto nº 7.084/2010), o que poderia estar em contrariedade ao disposto no art. 109, inciso I, alínea “a”, da Lei 8.666/1993. A</w:t>
      </w:r>
      <w:r w:rsidR="00796CF1" w:rsidRPr="00AA4F2F">
        <w:rPr>
          <w:sz w:val="22"/>
          <w:szCs w:val="22"/>
        </w:rPr>
        <w:t>o ser ouvido a</w:t>
      </w:r>
      <w:r w:rsidR="00E0312F" w:rsidRPr="00AA4F2F">
        <w:rPr>
          <w:sz w:val="22"/>
          <w:szCs w:val="22"/>
        </w:rPr>
        <w:t xml:space="preserve"> esse respeito, o </w:t>
      </w:r>
      <w:r w:rsidR="00796CF1" w:rsidRPr="00AA4F2F">
        <w:rPr>
          <w:sz w:val="22"/>
          <w:szCs w:val="22"/>
        </w:rPr>
        <w:t>Fundo Nacional de Desenvolvimento da Educação - (FNDE) informou que, em tais fases, seriam avaliados itens objetivos, de constatação imediata, que não estariam sujeitos a controvérsia, não se aplicando, portanto, o disposto no art. 109, inciso I, da Lei nº 8.666/93, que prevê o cabimento de recurso no caso de inabilitação do licitante. O relator, entretanto, apesar de concordar com argumento fático pela objetividade das checagens nas etapas de triagem e pré-análise, entendeu que isto não poderia como obstáculo à transparência dos atos administrativos, e tampouco poderia ser restringido o direito de recurso aos participantes em processos licitatórios, “</w:t>
      </w:r>
      <w:r w:rsidR="00796CF1" w:rsidRPr="00AA4F2F">
        <w:rPr>
          <w:i/>
          <w:sz w:val="22"/>
          <w:szCs w:val="22"/>
        </w:rPr>
        <w:t>uma vez que essa prática não se conforma com os princípios norteadores do processo administrativo</w:t>
      </w:r>
      <w:r w:rsidR="00796CF1" w:rsidRPr="00AA4F2F">
        <w:rPr>
          <w:sz w:val="22"/>
          <w:szCs w:val="22"/>
        </w:rPr>
        <w:t>”. Além disso, ainda para o relator, a exclusão sumária de um licitante do certame, sem que se informe a este, imediatamente, as razões para tanto</w:t>
      </w:r>
      <w:r w:rsidR="008B2AD7" w:rsidRPr="00AA4F2F">
        <w:rPr>
          <w:sz w:val="22"/>
          <w:szCs w:val="22"/>
        </w:rPr>
        <w:t>,</w:t>
      </w:r>
      <w:r w:rsidR="00796CF1" w:rsidRPr="00AA4F2F">
        <w:rPr>
          <w:sz w:val="22"/>
          <w:szCs w:val="22"/>
        </w:rPr>
        <w:t xml:space="preserve"> também afrontaria princípios constitucionais, restringindo o direito de defesa, também de índole constitucional</w:t>
      </w:r>
      <w:r w:rsidR="00855F2B" w:rsidRPr="00AA4F2F">
        <w:rPr>
          <w:sz w:val="22"/>
          <w:szCs w:val="22"/>
        </w:rPr>
        <w:t>, inafastável a</w:t>
      </w:r>
      <w:r w:rsidR="00796CF1" w:rsidRPr="00AA4F2F">
        <w:rPr>
          <w:sz w:val="22"/>
          <w:szCs w:val="22"/>
        </w:rPr>
        <w:t>os participantes</w:t>
      </w:r>
      <w:r w:rsidR="00855F2B" w:rsidRPr="00AA4F2F">
        <w:rPr>
          <w:sz w:val="22"/>
          <w:szCs w:val="22"/>
        </w:rPr>
        <w:t xml:space="preserve"> da licitação</w:t>
      </w:r>
      <w:r w:rsidR="00796CF1" w:rsidRPr="00AA4F2F">
        <w:rPr>
          <w:sz w:val="22"/>
          <w:szCs w:val="22"/>
        </w:rPr>
        <w:t>.</w:t>
      </w:r>
      <w:r w:rsidR="00855F2B" w:rsidRPr="00AA4F2F">
        <w:rPr>
          <w:sz w:val="22"/>
          <w:szCs w:val="22"/>
        </w:rPr>
        <w:t xml:space="preserve"> Ao votar, o relator, enfatizando a relevância do PNLD para milhões de crianças matriculadas nas escolas públicas do País, entendeu que a melhor providência, no caso examinado, seria, em lugar de fixar prazo para alteração do edital em curso, expedir determinação às instituições públicas envolvidas que, nos próximos editais, insira a previsão de recurso também nas etapas de triagem e pré-análise</w:t>
      </w:r>
      <w:r w:rsidR="003057F7" w:rsidRPr="00AA4F2F">
        <w:rPr>
          <w:sz w:val="22"/>
          <w:szCs w:val="22"/>
        </w:rPr>
        <w:t xml:space="preserve">, tendo o Plenário manifestado sua concordância. </w:t>
      </w:r>
      <w:r w:rsidR="00087006" w:rsidRPr="00AA4F2F">
        <w:rPr>
          <w:b/>
          <w:i/>
          <w:sz w:val="22"/>
          <w:szCs w:val="22"/>
        </w:rPr>
        <w:t>Acórdão n.º 950/2011-Plenário, TC-033.271/2010-0, rel. Min. Ubiratan Aguiar, 13.04.2011.</w:t>
      </w:r>
    </w:p>
    <w:p w:rsidR="00457F93" w:rsidRPr="00AA4F2F" w:rsidRDefault="00457F93" w:rsidP="00AA4F2F">
      <w:pPr>
        <w:pStyle w:val="TCU-RelVoto-1"/>
        <w:spacing w:after="0"/>
        <w:ind w:firstLine="0"/>
        <w:rPr>
          <w:color w:val="FF0000"/>
          <w:sz w:val="22"/>
        </w:rPr>
      </w:pPr>
    </w:p>
    <w:p w:rsidR="001A58D8" w:rsidRPr="00AA4F2F" w:rsidRDefault="00BE04D9" w:rsidP="00AA4F2F">
      <w:pPr>
        <w:pStyle w:val="TCU-RelVoto-1"/>
        <w:tabs>
          <w:tab w:val="left" w:pos="1134"/>
        </w:tabs>
        <w:spacing w:after="0"/>
        <w:ind w:firstLine="0"/>
        <w:rPr>
          <w:b/>
          <w:sz w:val="22"/>
          <w:lang w:eastAsia="pt-BR"/>
        </w:rPr>
      </w:pPr>
      <w:r w:rsidRPr="00AA4F2F">
        <w:rPr>
          <w:b/>
          <w:sz w:val="22"/>
          <w:lang w:eastAsia="pt-BR"/>
        </w:rPr>
        <w:t>A revogação de processo licitatório é condicionada à ocorrência de fato superveniente, devidamente comprovado, que justifique tal medida</w:t>
      </w:r>
    </w:p>
    <w:p w:rsidR="001A58D8" w:rsidRPr="00AA4F2F" w:rsidRDefault="00740292" w:rsidP="00AA4F2F">
      <w:pPr>
        <w:spacing w:after="0"/>
        <w:ind w:left="0"/>
        <w:rPr>
          <w:sz w:val="22"/>
          <w:szCs w:val="22"/>
          <w:lang w:eastAsia="pt-BR"/>
        </w:rPr>
      </w:pPr>
      <w:r w:rsidRPr="00AA4F2F">
        <w:rPr>
          <w:sz w:val="22"/>
          <w:szCs w:val="22"/>
        </w:rPr>
        <w:t>“</w:t>
      </w:r>
      <w:r w:rsidR="00D14FB2" w:rsidRPr="00AA4F2F">
        <w:rPr>
          <w:i/>
          <w:sz w:val="22"/>
          <w:szCs w:val="22"/>
        </w:rPr>
        <w:t>A licitação somente pode ser revogada por razões de interesse público decorrente de fato superveniente devidamente comprovado</w:t>
      </w:r>
      <w:r w:rsidR="00D14FB2" w:rsidRPr="00AA4F2F">
        <w:rPr>
          <w:sz w:val="22"/>
          <w:szCs w:val="22"/>
        </w:rPr>
        <w:t>.</w:t>
      </w:r>
      <w:r w:rsidRPr="00AA4F2F">
        <w:rPr>
          <w:sz w:val="22"/>
          <w:szCs w:val="22"/>
        </w:rPr>
        <w:t xml:space="preserve">” Foi essa uma das conclusões a que chegou o TCU ao </w:t>
      </w:r>
      <w:r w:rsidR="00D14FB2" w:rsidRPr="00AA4F2F">
        <w:rPr>
          <w:sz w:val="22"/>
          <w:szCs w:val="22"/>
        </w:rPr>
        <w:t xml:space="preserve">apreciar representação </w:t>
      </w:r>
      <w:r w:rsidR="007B1ABA" w:rsidRPr="00AA4F2F">
        <w:rPr>
          <w:sz w:val="22"/>
          <w:szCs w:val="22"/>
        </w:rPr>
        <w:t>que lhe foi oferecid</w:t>
      </w:r>
      <w:r w:rsidR="008B2AD7" w:rsidRPr="00AA4F2F">
        <w:rPr>
          <w:sz w:val="22"/>
          <w:szCs w:val="22"/>
        </w:rPr>
        <w:t>a</w:t>
      </w:r>
      <w:r w:rsidR="007B1ABA" w:rsidRPr="00AA4F2F">
        <w:rPr>
          <w:sz w:val="22"/>
          <w:szCs w:val="22"/>
        </w:rPr>
        <w:t xml:space="preserve"> em razão </w:t>
      </w:r>
      <w:r w:rsidR="00D14FB2" w:rsidRPr="00AA4F2F">
        <w:rPr>
          <w:sz w:val="22"/>
          <w:szCs w:val="22"/>
        </w:rPr>
        <w:t xml:space="preserve">da </w:t>
      </w:r>
      <w:r w:rsidR="00D14FB2" w:rsidRPr="00AA4F2F">
        <w:rPr>
          <w:sz w:val="22"/>
          <w:szCs w:val="22"/>
          <w:lang w:eastAsia="pt-BR"/>
        </w:rPr>
        <w:t>revogação parcial da Concorrência nº 031/2008, conduzida pela Eletrobras – Distribuição Piauí (Companhia Energética do Piauí – CEPISA), que visava à contratação de escritório de advocacia para a prestação de serviços jurídicos e a contratação, por dispensa de licitação, de pessoa jurídica para a prestação de parte dos serviços objeto da referida concorrência. No lote nº 2 do certame</w:t>
      </w:r>
      <w:r w:rsidR="00BE04D9" w:rsidRPr="00AA4F2F">
        <w:rPr>
          <w:sz w:val="22"/>
          <w:szCs w:val="22"/>
          <w:lang w:eastAsia="pt-BR"/>
        </w:rPr>
        <w:t>, destinado à contratação de serviços advocatícios nas áreas trabalhista e previdenciária</w:t>
      </w:r>
      <w:r w:rsidR="00D14FB2" w:rsidRPr="00AA4F2F">
        <w:rPr>
          <w:sz w:val="22"/>
          <w:szCs w:val="22"/>
          <w:lang w:eastAsia="pt-BR"/>
        </w:rPr>
        <w:t xml:space="preserve">, uma empresa restou inabilitada, em face de decisão judicial. </w:t>
      </w:r>
      <w:r w:rsidR="007B1ABA" w:rsidRPr="00AA4F2F">
        <w:rPr>
          <w:sz w:val="22"/>
          <w:szCs w:val="22"/>
          <w:lang w:eastAsia="pt-BR"/>
        </w:rPr>
        <w:t>Cerca de três meses depois da decisão judicial, t</w:t>
      </w:r>
      <w:r w:rsidR="00D14FB2" w:rsidRPr="00AA4F2F">
        <w:rPr>
          <w:sz w:val="22"/>
          <w:szCs w:val="22"/>
          <w:lang w:eastAsia="pt-BR"/>
        </w:rPr>
        <w:t>al empresa foi contratada por dispensa de li</w:t>
      </w:r>
      <w:r w:rsidR="007B1ABA" w:rsidRPr="00AA4F2F">
        <w:rPr>
          <w:sz w:val="22"/>
          <w:szCs w:val="22"/>
          <w:lang w:eastAsia="pt-BR"/>
        </w:rPr>
        <w:t xml:space="preserve">citação, em caráter emergencial. Em seguida, os dirigentes da Eletrobras teriam revogado a licitação, o que, ainda para a representante, </w:t>
      </w:r>
      <w:r w:rsidR="00ED76FB" w:rsidRPr="00AA4F2F">
        <w:rPr>
          <w:sz w:val="22"/>
          <w:szCs w:val="22"/>
          <w:lang w:eastAsia="pt-BR"/>
        </w:rPr>
        <w:t>seria contraditório, pois os serviços do lote 1 da Concorrência nº 031/2008 teriam sido contratados. Promovida a audiência dos gestores Eletrobras no Piauí, foi informado ao TCU que diversas razões</w:t>
      </w:r>
      <w:r w:rsidR="00195F77" w:rsidRPr="00AA4F2F">
        <w:rPr>
          <w:sz w:val="22"/>
          <w:szCs w:val="22"/>
          <w:lang w:eastAsia="pt-BR"/>
        </w:rPr>
        <w:t xml:space="preserve"> teriam sido causa determinante</w:t>
      </w:r>
      <w:r w:rsidR="00ED76FB" w:rsidRPr="00AA4F2F">
        <w:rPr>
          <w:sz w:val="22"/>
          <w:szCs w:val="22"/>
          <w:lang w:eastAsia="pt-BR"/>
        </w:rPr>
        <w:t xml:space="preserve"> para a revogação </w:t>
      </w:r>
      <w:r w:rsidR="00546B67" w:rsidRPr="00AA4F2F">
        <w:rPr>
          <w:sz w:val="22"/>
          <w:szCs w:val="22"/>
          <w:lang w:eastAsia="pt-BR"/>
        </w:rPr>
        <w:t xml:space="preserve">do lote 2 </w:t>
      </w:r>
      <w:r w:rsidR="00ED76FB" w:rsidRPr="00AA4F2F">
        <w:rPr>
          <w:sz w:val="22"/>
          <w:szCs w:val="22"/>
          <w:lang w:eastAsia="pt-BR"/>
        </w:rPr>
        <w:t>do certame licitatório</w:t>
      </w:r>
      <w:r w:rsidR="00546B67" w:rsidRPr="00AA4F2F">
        <w:rPr>
          <w:sz w:val="22"/>
          <w:szCs w:val="22"/>
          <w:lang w:eastAsia="pt-BR"/>
        </w:rPr>
        <w:t xml:space="preserve"> examinado</w:t>
      </w:r>
      <w:r w:rsidR="00ED76FB" w:rsidRPr="00AA4F2F">
        <w:rPr>
          <w:sz w:val="22"/>
          <w:szCs w:val="22"/>
          <w:lang w:eastAsia="pt-BR"/>
        </w:rPr>
        <w:t xml:space="preserve">, tais como: a análise técnica baseada no tempo de advocacia em detrimento da avaliação da experiência do escritório no que tange as ações complexas; inconsistências técnicas encontradas no edital; as mudanças na estrutura corporativa da entidade, etc. </w:t>
      </w:r>
      <w:r w:rsidR="00546B67" w:rsidRPr="00AA4F2F">
        <w:rPr>
          <w:sz w:val="22"/>
          <w:szCs w:val="22"/>
          <w:lang w:eastAsia="pt-BR"/>
        </w:rPr>
        <w:t>Para o relator, todas as causas apontadas como motivo de revogação da licitação não justificariam tal decisão, pois não consistiriam no que é exigido pela Lei 8.666/1993 para tanto: fato superveniente</w:t>
      </w:r>
      <w:r w:rsidR="00BE04D9" w:rsidRPr="00AA4F2F">
        <w:rPr>
          <w:sz w:val="22"/>
          <w:szCs w:val="22"/>
          <w:lang w:eastAsia="pt-BR"/>
        </w:rPr>
        <w:t>,</w:t>
      </w:r>
      <w:r w:rsidR="00546B67" w:rsidRPr="00AA4F2F">
        <w:rPr>
          <w:sz w:val="22"/>
          <w:szCs w:val="22"/>
          <w:lang w:eastAsia="pt-BR"/>
        </w:rPr>
        <w:t xml:space="preserve"> devidamente comprovado (art. 49, Lei 8.666/1993). </w:t>
      </w:r>
      <w:r w:rsidR="00BE04D9" w:rsidRPr="00AA4F2F">
        <w:rPr>
          <w:sz w:val="22"/>
          <w:szCs w:val="22"/>
          <w:lang w:eastAsia="pt-BR"/>
        </w:rPr>
        <w:t>Ilegal, portanto, a revogação da Concorrência nº 031/2008</w:t>
      </w:r>
      <w:r w:rsidR="00195F77" w:rsidRPr="00AA4F2F">
        <w:rPr>
          <w:sz w:val="22"/>
          <w:szCs w:val="22"/>
          <w:lang w:eastAsia="pt-BR"/>
        </w:rPr>
        <w:t>, no modo de ver do relator</w:t>
      </w:r>
      <w:r w:rsidR="00BE04D9" w:rsidRPr="00AA4F2F">
        <w:rPr>
          <w:sz w:val="22"/>
          <w:szCs w:val="22"/>
          <w:lang w:eastAsia="pt-BR"/>
        </w:rPr>
        <w:t xml:space="preserve">. Além disso, </w:t>
      </w:r>
      <w:r w:rsidR="00195F77" w:rsidRPr="00AA4F2F">
        <w:rPr>
          <w:sz w:val="22"/>
          <w:szCs w:val="22"/>
          <w:lang w:eastAsia="pt-BR"/>
        </w:rPr>
        <w:t>para</w:t>
      </w:r>
      <w:r w:rsidR="00BE04D9" w:rsidRPr="00AA4F2F">
        <w:rPr>
          <w:sz w:val="22"/>
          <w:szCs w:val="22"/>
          <w:lang w:eastAsia="pt-BR"/>
        </w:rPr>
        <w:t xml:space="preserve"> o relator, “</w:t>
      </w:r>
      <w:r w:rsidR="00BE04D9" w:rsidRPr="00AA4F2F">
        <w:rPr>
          <w:i/>
          <w:sz w:val="22"/>
          <w:szCs w:val="22"/>
          <w:lang w:eastAsia="pt-BR"/>
        </w:rPr>
        <w:t>está cabalmente demonstrado nos autos o interesse da Eletrobras – Distribuição Piauí em contratar escritórios que prestem serviços advocatícios nas áreas trabalhista e previdenciária, tendo em vista as contratações emergenciais e a abertura da Concorrência 1/2011, todas com o mesmo objeto da licitação revogada</w:t>
      </w:r>
      <w:r w:rsidR="00BE04D9" w:rsidRPr="00AA4F2F">
        <w:rPr>
          <w:sz w:val="22"/>
          <w:szCs w:val="22"/>
          <w:lang w:eastAsia="pt-BR"/>
        </w:rPr>
        <w:t xml:space="preserve">”. Por conseguinte, </w:t>
      </w:r>
      <w:r w:rsidR="00195F77" w:rsidRPr="00AA4F2F">
        <w:rPr>
          <w:sz w:val="22"/>
          <w:szCs w:val="22"/>
          <w:lang w:eastAsia="pt-BR"/>
        </w:rPr>
        <w:t xml:space="preserve">votou </w:t>
      </w:r>
      <w:r w:rsidR="00BE04D9" w:rsidRPr="00AA4F2F">
        <w:rPr>
          <w:sz w:val="22"/>
          <w:szCs w:val="22"/>
          <w:lang w:eastAsia="pt-BR"/>
        </w:rPr>
        <w:t xml:space="preserve">por que se fosse determinado à Eletrobras – Distribuição Piauí que tornasse insubsistente o ato que revogou a Concorrência 031/2008, Lote 2, por falta de amparo legal, sem prejuízo da adoção de outras medidas, com vistas à correção da situação examinada, no que foi acompanhado pelo Plenário. </w:t>
      </w:r>
      <w:r w:rsidR="001A58D8" w:rsidRPr="00AA4F2F">
        <w:rPr>
          <w:b/>
          <w:i/>
          <w:sz w:val="22"/>
          <w:szCs w:val="22"/>
        </w:rPr>
        <w:t xml:space="preserve">Acórdão n.º </w:t>
      </w:r>
      <w:r w:rsidR="00FE0CE6" w:rsidRPr="00AA4F2F">
        <w:rPr>
          <w:b/>
          <w:i/>
          <w:sz w:val="22"/>
          <w:szCs w:val="22"/>
        </w:rPr>
        <w:t>955</w:t>
      </w:r>
      <w:r w:rsidR="001A58D8" w:rsidRPr="00AA4F2F">
        <w:rPr>
          <w:b/>
          <w:i/>
          <w:sz w:val="22"/>
          <w:szCs w:val="22"/>
        </w:rPr>
        <w:t>/2011-Plenário, TC-0</w:t>
      </w:r>
      <w:r w:rsidR="00C45DCE" w:rsidRPr="00AA4F2F">
        <w:rPr>
          <w:b/>
          <w:i/>
          <w:sz w:val="22"/>
          <w:szCs w:val="22"/>
        </w:rPr>
        <w:t>0</w:t>
      </w:r>
      <w:r w:rsidR="00FE0CE6" w:rsidRPr="00AA4F2F">
        <w:rPr>
          <w:b/>
          <w:i/>
          <w:sz w:val="22"/>
          <w:szCs w:val="22"/>
        </w:rPr>
        <w:t>1</w:t>
      </w:r>
      <w:r w:rsidR="001A58D8" w:rsidRPr="00AA4F2F">
        <w:rPr>
          <w:b/>
          <w:i/>
          <w:sz w:val="22"/>
          <w:szCs w:val="22"/>
        </w:rPr>
        <w:t>.</w:t>
      </w:r>
      <w:r w:rsidR="00FE0CE6" w:rsidRPr="00AA4F2F">
        <w:rPr>
          <w:b/>
          <w:i/>
          <w:sz w:val="22"/>
          <w:szCs w:val="22"/>
        </w:rPr>
        <w:t>223/201</w:t>
      </w:r>
      <w:r w:rsidR="007C5151" w:rsidRPr="00AA4F2F">
        <w:rPr>
          <w:b/>
          <w:i/>
          <w:sz w:val="22"/>
          <w:szCs w:val="22"/>
        </w:rPr>
        <w:t>1</w:t>
      </w:r>
      <w:r w:rsidR="001A58D8" w:rsidRPr="00AA4F2F">
        <w:rPr>
          <w:b/>
          <w:i/>
          <w:sz w:val="22"/>
          <w:szCs w:val="22"/>
        </w:rPr>
        <w:t>-</w:t>
      </w:r>
      <w:r w:rsidR="00FE0CE6" w:rsidRPr="00AA4F2F">
        <w:rPr>
          <w:b/>
          <w:i/>
          <w:sz w:val="22"/>
          <w:szCs w:val="22"/>
        </w:rPr>
        <w:t>4</w:t>
      </w:r>
      <w:r w:rsidR="001A58D8" w:rsidRPr="00AA4F2F">
        <w:rPr>
          <w:b/>
          <w:i/>
          <w:sz w:val="22"/>
          <w:szCs w:val="22"/>
        </w:rPr>
        <w:t xml:space="preserve">, rel. Min. </w:t>
      </w:r>
      <w:r w:rsidR="00C45DCE" w:rsidRPr="00AA4F2F">
        <w:rPr>
          <w:b/>
          <w:i/>
          <w:sz w:val="22"/>
          <w:szCs w:val="22"/>
        </w:rPr>
        <w:t>Raimundo Carreiro</w:t>
      </w:r>
      <w:r w:rsidR="001A58D8" w:rsidRPr="00AA4F2F">
        <w:rPr>
          <w:b/>
          <w:i/>
          <w:sz w:val="22"/>
          <w:szCs w:val="22"/>
        </w:rPr>
        <w:t xml:space="preserve">, </w:t>
      </w:r>
      <w:r w:rsidR="00FE0CE6" w:rsidRPr="00AA4F2F">
        <w:rPr>
          <w:b/>
          <w:i/>
          <w:sz w:val="22"/>
          <w:szCs w:val="22"/>
        </w:rPr>
        <w:t>13</w:t>
      </w:r>
      <w:r w:rsidR="001A58D8" w:rsidRPr="00AA4F2F">
        <w:rPr>
          <w:b/>
          <w:i/>
          <w:sz w:val="22"/>
          <w:szCs w:val="22"/>
        </w:rPr>
        <w:t>.0</w:t>
      </w:r>
      <w:r w:rsidRPr="00AA4F2F">
        <w:rPr>
          <w:b/>
          <w:i/>
          <w:sz w:val="22"/>
          <w:szCs w:val="22"/>
        </w:rPr>
        <w:t>4</w:t>
      </w:r>
      <w:r w:rsidR="001A58D8" w:rsidRPr="00AA4F2F">
        <w:rPr>
          <w:b/>
          <w:i/>
          <w:sz w:val="22"/>
          <w:szCs w:val="22"/>
        </w:rPr>
        <w:t>.2011.</w:t>
      </w:r>
    </w:p>
    <w:p w:rsidR="006C7DE0" w:rsidRPr="00AA4F2F" w:rsidRDefault="006C7DE0" w:rsidP="00AA4F2F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color w:val="FF0000"/>
          <w:sz w:val="22"/>
          <w:szCs w:val="22"/>
        </w:rPr>
      </w:pPr>
    </w:p>
    <w:p w:rsidR="00195F77" w:rsidRPr="00AA4F2F" w:rsidRDefault="00195F77" w:rsidP="00AA4F2F">
      <w:pPr>
        <w:spacing w:after="0"/>
        <w:ind w:left="0"/>
        <w:rPr>
          <w:b/>
          <w:sz w:val="22"/>
          <w:szCs w:val="22"/>
          <w:lang w:eastAsia="pt-BR"/>
        </w:rPr>
      </w:pPr>
      <w:r w:rsidRPr="00AA4F2F">
        <w:rPr>
          <w:b/>
          <w:sz w:val="22"/>
          <w:szCs w:val="22"/>
          <w:lang w:eastAsia="pt-BR"/>
        </w:rPr>
        <w:t xml:space="preserve">Licitação na modalidade pregão: 1 – A exigência de atestado de capacidade técnica deve ser justificável em razão do objeto licitado </w:t>
      </w:r>
    </w:p>
    <w:p w:rsidR="006532C3" w:rsidRPr="00AA4F2F" w:rsidRDefault="006532C3" w:rsidP="00AA4F2F">
      <w:pPr>
        <w:spacing w:after="0"/>
        <w:ind w:left="0"/>
        <w:rPr>
          <w:sz w:val="22"/>
          <w:szCs w:val="22"/>
        </w:rPr>
      </w:pPr>
      <w:r w:rsidRPr="00AA4F2F">
        <w:rPr>
          <w:sz w:val="22"/>
          <w:szCs w:val="22"/>
        </w:rPr>
        <w:t>Representação noticiou ao Tribunal possíveis irregularidades no Pregão Presencial nº 4/2011, conduzido pela Valec Engenharia, Construções e Ferrovias S.A.</w:t>
      </w:r>
      <w:r w:rsidR="00E735DA" w:rsidRPr="00AA4F2F">
        <w:rPr>
          <w:sz w:val="22"/>
          <w:szCs w:val="22"/>
        </w:rPr>
        <w:t>- (Valec)</w:t>
      </w:r>
      <w:r w:rsidRPr="00AA4F2F">
        <w:rPr>
          <w:sz w:val="22"/>
          <w:szCs w:val="22"/>
        </w:rPr>
        <w:t xml:space="preserve">, cujo objeto consistiu no fornecimento de quase 245 mil toneladas de trilhos UIC-60 a serem empregados na construção da EF-334 – Ferrovia de Integração Oeste-Leste (Fiol), no trecho de Ilhéus/BA a Barreiras/BA, e na extensão sul da EF-151 − Ferrovia Norte-Sul (FNS). </w:t>
      </w:r>
      <w:r w:rsidR="00E735DA" w:rsidRPr="00AA4F2F">
        <w:rPr>
          <w:sz w:val="22"/>
          <w:szCs w:val="22"/>
        </w:rPr>
        <w:t xml:space="preserve">Dentre tais irregularidades, constou a exigência </w:t>
      </w:r>
      <w:r w:rsidR="00195F77" w:rsidRPr="00AA4F2F">
        <w:rPr>
          <w:sz w:val="22"/>
          <w:szCs w:val="22"/>
        </w:rPr>
        <w:t xml:space="preserve">editalícia </w:t>
      </w:r>
      <w:r w:rsidR="00E735DA" w:rsidRPr="00AA4F2F">
        <w:rPr>
          <w:sz w:val="22"/>
          <w:szCs w:val="22"/>
        </w:rPr>
        <w:t xml:space="preserve">de atestado de capacidade técnica relativo a fornecimento anterior de quantidades iguais ou superiores a 110.000 (cento e dez mil toneladas), correspondente a 44,97% do total da aquisição prevista, o que teria restringido a competitividade do certame. Ouvidos em audiência, a Valec e a empresa vencedora do certame alegaram que tal exigência seria admissível, uma vez que </w:t>
      </w:r>
      <w:r w:rsidR="00195F77" w:rsidRPr="00AA4F2F">
        <w:rPr>
          <w:sz w:val="22"/>
          <w:szCs w:val="22"/>
        </w:rPr>
        <w:t xml:space="preserve">se </w:t>
      </w:r>
      <w:r w:rsidR="00E735DA" w:rsidRPr="00AA4F2F">
        <w:rPr>
          <w:sz w:val="22"/>
          <w:szCs w:val="22"/>
        </w:rPr>
        <w:t>situaria um pouco abaixo dos 50% que vem sendo considerado aceitável pela jurisprudência do TCU. Porém, para o relator, “</w:t>
      </w:r>
      <w:r w:rsidR="00E735DA" w:rsidRPr="00AA4F2F">
        <w:rPr>
          <w:i/>
          <w:sz w:val="22"/>
          <w:szCs w:val="22"/>
        </w:rPr>
        <w:t>além de tais percentuais não poderem ser comparados de forma isolada, sem a análise de outros fatores, a exigência de atestado de fornecimento da referida quantidade – admitindo-se, inclusive, a soma de atestados – não encontra, a meu ver, qualquer respaldo técnico</w:t>
      </w:r>
      <w:r w:rsidR="00E735DA" w:rsidRPr="00AA4F2F">
        <w:rPr>
          <w:sz w:val="22"/>
          <w:szCs w:val="22"/>
        </w:rPr>
        <w:t>”. Nesse quadro, citou outras oportunidades em que, em uma, a própria Valec estipulou a simples apresentação de atestado de fornecimento destes bens como requisito de qualificação, sem quantitativo mínimo, e, em outra, fixou a comprovação de execução anterior equivalente a apenas 20% do quantitativo pretendido. Em tais situações, para o relator, grandes somas também foram dispendidas pela contratante</w:t>
      </w:r>
      <w:r w:rsidR="008234BD" w:rsidRPr="00AA4F2F">
        <w:rPr>
          <w:sz w:val="22"/>
          <w:szCs w:val="22"/>
        </w:rPr>
        <w:t>, o que tornaria pouco razoável o argumento de que, das outras vezes, os pregões eram de valores menores ou não representativos quando comp</w:t>
      </w:r>
      <w:r w:rsidR="002F169F">
        <w:rPr>
          <w:sz w:val="22"/>
          <w:szCs w:val="22"/>
        </w:rPr>
        <w:t xml:space="preserve">arados com o pregão em análise. </w:t>
      </w:r>
      <w:r w:rsidR="008234BD" w:rsidRPr="00AA4F2F">
        <w:rPr>
          <w:sz w:val="22"/>
          <w:szCs w:val="22"/>
        </w:rPr>
        <w:t>Assim, a exigência de qualificação impugnada seria inadmissível, e poderia, efetivamente, ter contribuído para a restrição indevida da competitividade do certame. Contudo, como, nesta etapa processual, a apreciação por parte do Tribunal ainda não ocorreria de forma conclusiva, votou o relator por que</w:t>
      </w:r>
      <w:r w:rsidR="00ED3D84" w:rsidRPr="00AA4F2F">
        <w:rPr>
          <w:sz w:val="22"/>
          <w:szCs w:val="22"/>
        </w:rPr>
        <w:t>, primeiramente,</w:t>
      </w:r>
      <w:r w:rsidR="008234BD" w:rsidRPr="00AA4F2F">
        <w:rPr>
          <w:sz w:val="22"/>
          <w:szCs w:val="22"/>
        </w:rPr>
        <w:t xml:space="preserve"> </w:t>
      </w:r>
      <w:r w:rsidR="00ED3D84" w:rsidRPr="00AA4F2F">
        <w:rPr>
          <w:sz w:val="22"/>
          <w:szCs w:val="22"/>
        </w:rPr>
        <w:t xml:space="preserve">os responsáveis fossem </w:t>
      </w:r>
      <w:r w:rsidR="008234BD" w:rsidRPr="00AA4F2F">
        <w:rPr>
          <w:sz w:val="22"/>
          <w:szCs w:val="22"/>
        </w:rPr>
        <w:t>ouvi</w:t>
      </w:r>
      <w:r w:rsidR="00ED3D84" w:rsidRPr="00AA4F2F">
        <w:rPr>
          <w:sz w:val="22"/>
          <w:szCs w:val="22"/>
        </w:rPr>
        <w:t>dos</w:t>
      </w:r>
      <w:r w:rsidR="008234BD" w:rsidRPr="00AA4F2F">
        <w:rPr>
          <w:sz w:val="22"/>
          <w:szCs w:val="22"/>
        </w:rPr>
        <w:t xml:space="preserve"> em audiência, para que, ao fim, o Tribunal se pronunciasse quanto ao mérito da representação, o que foi acolhido pelo Plenário.</w:t>
      </w:r>
      <w:r w:rsidR="00280F3D" w:rsidRPr="00AA4F2F">
        <w:rPr>
          <w:sz w:val="22"/>
          <w:szCs w:val="22"/>
        </w:rPr>
        <w:t xml:space="preserve"> </w:t>
      </w:r>
      <w:r w:rsidR="00457F93" w:rsidRPr="00AA4F2F">
        <w:rPr>
          <w:sz w:val="22"/>
          <w:szCs w:val="22"/>
        </w:rPr>
        <w:t>Precedente</w:t>
      </w:r>
      <w:r w:rsidR="00E735DA" w:rsidRPr="00AA4F2F">
        <w:rPr>
          <w:sz w:val="22"/>
          <w:szCs w:val="22"/>
        </w:rPr>
        <w:t>s</w:t>
      </w:r>
      <w:r w:rsidR="00457F93" w:rsidRPr="00AA4F2F">
        <w:rPr>
          <w:sz w:val="22"/>
          <w:szCs w:val="22"/>
        </w:rPr>
        <w:t xml:space="preserve"> citado</w:t>
      </w:r>
      <w:r w:rsidR="00E735DA" w:rsidRPr="00AA4F2F">
        <w:rPr>
          <w:sz w:val="22"/>
          <w:szCs w:val="22"/>
        </w:rPr>
        <w:t>s</w:t>
      </w:r>
      <w:r w:rsidR="00457F93" w:rsidRPr="00AA4F2F">
        <w:rPr>
          <w:sz w:val="22"/>
          <w:szCs w:val="22"/>
        </w:rPr>
        <w:t>:</w:t>
      </w:r>
      <w:r w:rsidR="00457F93" w:rsidRPr="00AA4F2F">
        <w:rPr>
          <w:color w:val="FF0000"/>
          <w:sz w:val="22"/>
          <w:szCs w:val="22"/>
        </w:rPr>
        <w:t xml:space="preserve"> </w:t>
      </w:r>
      <w:r w:rsidR="00E735DA" w:rsidRPr="00AA4F2F">
        <w:rPr>
          <w:sz w:val="22"/>
          <w:szCs w:val="22"/>
        </w:rPr>
        <w:t>Acórdãos n</w:t>
      </w:r>
      <w:r w:rsidR="00280F3D" w:rsidRPr="00AA4F2F">
        <w:rPr>
          <w:sz w:val="22"/>
          <w:szCs w:val="22"/>
          <w:u w:val="single"/>
          <w:vertAlign w:val="superscript"/>
        </w:rPr>
        <w:t>os</w:t>
      </w:r>
      <w:r w:rsidR="00E735DA" w:rsidRPr="00AA4F2F">
        <w:rPr>
          <w:sz w:val="22"/>
          <w:szCs w:val="22"/>
        </w:rPr>
        <w:t xml:space="preserve"> 2.088/2004, 784/2006, 2.656/2007, 2.297/2007, 2.215/2008, 2.625/2008, 717/2010 e 1.432/2010, todos do Plenário</w:t>
      </w:r>
      <w:r w:rsidR="00457F93" w:rsidRPr="00AA4F2F">
        <w:rPr>
          <w:color w:val="FF0000"/>
          <w:sz w:val="22"/>
          <w:szCs w:val="22"/>
        </w:rPr>
        <w:t xml:space="preserve">. </w:t>
      </w:r>
      <w:r w:rsidRPr="00AA4F2F">
        <w:rPr>
          <w:b/>
          <w:i/>
          <w:sz w:val="22"/>
          <w:szCs w:val="22"/>
        </w:rPr>
        <w:t>Acórdão nº 933/2011-Plenário, TC-004.513/2011-8, rel. Min-Subst. André Luís Carvalho, 13.04.2011.</w:t>
      </w:r>
    </w:p>
    <w:p w:rsidR="006532C3" w:rsidRPr="00AA4F2F" w:rsidRDefault="006532C3" w:rsidP="00AA4F2F">
      <w:pPr>
        <w:pStyle w:val="TCU-RelVoto-demais"/>
        <w:spacing w:after="0"/>
        <w:rPr>
          <w:color w:val="FF0000"/>
          <w:sz w:val="22"/>
        </w:rPr>
      </w:pPr>
    </w:p>
    <w:p w:rsidR="00A6526F" w:rsidRPr="00AA4F2F" w:rsidRDefault="00195F77" w:rsidP="00AA4F2F">
      <w:pPr>
        <w:spacing w:after="0"/>
        <w:ind w:left="0"/>
        <w:rPr>
          <w:b/>
          <w:sz w:val="22"/>
          <w:szCs w:val="22"/>
        </w:rPr>
      </w:pPr>
      <w:r w:rsidRPr="00AA4F2F">
        <w:rPr>
          <w:b/>
          <w:sz w:val="22"/>
          <w:szCs w:val="22"/>
          <w:lang w:eastAsia="pt-BR"/>
        </w:rPr>
        <w:t xml:space="preserve">Licitação na modalidade pregão: 2 – </w:t>
      </w:r>
      <w:r w:rsidR="00A6526F" w:rsidRPr="00AA4F2F">
        <w:rPr>
          <w:b/>
          <w:sz w:val="22"/>
          <w:szCs w:val="22"/>
          <w:lang w:eastAsia="pt-BR"/>
        </w:rPr>
        <w:t xml:space="preserve">A </w:t>
      </w:r>
      <w:r w:rsidR="00A6526F" w:rsidRPr="00AA4F2F">
        <w:rPr>
          <w:b/>
          <w:sz w:val="22"/>
          <w:szCs w:val="22"/>
        </w:rPr>
        <w:t xml:space="preserve">ausência da composição unitária </w:t>
      </w:r>
      <w:r w:rsidR="00A6526F" w:rsidRPr="00AA4F2F">
        <w:rPr>
          <w:b/>
          <w:sz w:val="22"/>
          <w:szCs w:val="22"/>
          <w:lang w:eastAsia="pt-BR"/>
        </w:rPr>
        <w:t xml:space="preserve">do </w:t>
      </w:r>
      <w:r w:rsidR="00A6526F" w:rsidRPr="00AA4F2F">
        <w:rPr>
          <w:b/>
          <w:sz w:val="22"/>
          <w:szCs w:val="22"/>
        </w:rPr>
        <w:t xml:space="preserve">orçamento-base gera insegurança quanto à confiabilidade do preço de referência, razão pela qual, apesar de não ser elemento obrigatório do edital, deve estar </w:t>
      </w:r>
      <w:r w:rsidR="002F169F">
        <w:rPr>
          <w:b/>
          <w:sz w:val="22"/>
          <w:szCs w:val="22"/>
        </w:rPr>
        <w:t>compulsoriamente</w:t>
      </w:r>
      <w:r w:rsidR="00A6526F" w:rsidRPr="00AA4F2F">
        <w:rPr>
          <w:b/>
          <w:sz w:val="22"/>
          <w:szCs w:val="22"/>
        </w:rPr>
        <w:t xml:space="preserve"> inserido no processo relativo ao certame</w:t>
      </w:r>
    </w:p>
    <w:p w:rsidR="00472FB0" w:rsidRPr="00AA4F2F" w:rsidRDefault="00472FB0" w:rsidP="00AA4F2F">
      <w:pPr>
        <w:spacing w:after="0"/>
        <w:ind w:left="0"/>
        <w:rPr>
          <w:sz w:val="22"/>
          <w:szCs w:val="22"/>
        </w:rPr>
      </w:pPr>
      <w:r w:rsidRPr="00AA4F2F">
        <w:rPr>
          <w:sz w:val="22"/>
          <w:szCs w:val="22"/>
        </w:rPr>
        <w:t>Ainda na representação que noticiou ao Tribunal possíveis irregularidades no Pregão Presencial nº 4/2011, conduzido pela Valec Engenharia, Construções e Ferrovias S.A.- (Valec), e cujo objeto consistiu no fornecimento de quase 245 mil toneladas de trilhos UIC-60 a serem empregados na construção da EF-334 – Ferrovia de Integração Oeste-Leste (Fiol), no trecho de Ilhéus/BA a Barreiras/BA, e na extensão sul da EF-151 − Ferrovia Norte-Sul (FNS), apurou-se a não composição dos custos unitários no orçamento-base no edital de referência, o que teria inibido a participação dos licitantes, em virtude da formação do preço não se apresentar de maneira transparente, resultando, ainda, em dificuldade</w:t>
      </w:r>
      <w:r w:rsidR="00280F3D" w:rsidRPr="00AA4F2F">
        <w:rPr>
          <w:sz w:val="22"/>
          <w:szCs w:val="22"/>
        </w:rPr>
        <w:t>s</w:t>
      </w:r>
      <w:r w:rsidRPr="00AA4F2F">
        <w:rPr>
          <w:sz w:val="22"/>
          <w:szCs w:val="22"/>
        </w:rPr>
        <w:t xml:space="preserve"> no controle e aferição dos preços propostos.</w:t>
      </w:r>
      <w:r w:rsidR="00280F3D" w:rsidRPr="00AA4F2F">
        <w:rPr>
          <w:sz w:val="22"/>
          <w:szCs w:val="22"/>
        </w:rPr>
        <w:t xml:space="preserve"> Em suas defesas, a Valec e a licitante vencedora do certame, apoiadas em julgados do Tribunal, afirmaram que, no caso </w:t>
      </w:r>
      <w:r w:rsidR="00195F77" w:rsidRPr="00AA4F2F">
        <w:rPr>
          <w:sz w:val="22"/>
          <w:szCs w:val="22"/>
        </w:rPr>
        <w:t xml:space="preserve">de licitação na modalidade </w:t>
      </w:r>
      <w:r w:rsidR="00280F3D" w:rsidRPr="00AA4F2F">
        <w:rPr>
          <w:sz w:val="22"/>
          <w:szCs w:val="22"/>
        </w:rPr>
        <w:t>pregão, seria dispensada a apresentação da referida composição de preços, exigindo-se apenas o orçamento estimado em planilhas e o preço unitário. A unidade técnica, em análise a precedentes jurisprudenciais, identificou duas situações distintas. Na primeira delas, o Tribunal teria mantido o posicionamento de que, “</w:t>
      </w:r>
      <w:r w:rsidR="00280F3D" w:rsidRPr="00AA4F2F">
        <w:rPr>
          <w:i/>
          <w:sz w:val="22"/>
          <w:szCs w:val="22"/>
        </w:rPr>
        <w:t>na modalidade pregão, o orçamento estimado em planilhas de quantitativos e preços unitários não constitui elemento obrigatório do edital, porém tal detalhamento deve estar obrigatoriamente inserido no processo relativo ao certame</w:t>
      </w:r>
      <w:r w:rsidR="00280F3D" w:rsidRPr="00AA4F2F">
        <w:rPr>
          <w:sz w:val="22"/>
          <w:szCs w:val="22"/>
        </w:rPr>
        <w:t>”. Noutra oportunidade, a conclusão do TCU foi de que, “</w:t>
      </w:r>
      <w:r w:rsidR="00280F3D" w:rsidRPr="00AA4F2F">
        <w:rPr>
          <w:i/>
          <w:sz w:val="22"/>
          <w:szCs w:val="22"/>
        </w:rPr>
        <w:t>no caso concreto, a não apresentação do orçamento detalhado no edital foi compensada com a apresentação dos elementos necessários no processo administrativo que serviu de base ao certame</w:t>
      </w:r>
      <w:r w:rsidR="00195F77" w:rsidRPr="00AA4F2F">
        <w:rPr>
          <w:i/>
          <w:sz w:val="22"/>
          <w:szCs w:val="22"/>
        </w:rPr>
        <w:t xml:space="preserve">”. </w:t>
      </w:r>
      <w:r w:rsidR="00195F77" w:rsidRPr="00AA4F2F">
        <w:rPr>
          <w:sz w:val="22"/>
          <w:szCs w:val="22"/>
        </w:rPr>
        <w:t xml:space="preserve">No caso </w:t>
      </w:r>
      <w:r w:rsidR="00A6526F" w:rsidRPr="00AA4F2F">
        <w:rPr>
          <w:sz w:val="22"/>
          <w:szCs w:val="22"/>
        </w:rPr>
        <w:t>d</w:t>
      </w:r>
      <w:r w:rsidR="00280F3D" w:rsidRPr="00AA4F2F">
        <w:rPr>
          <w:sz w:val="22"/>
          <w:szCs w:val="22"/>
        </w:rPr>
        <w:t>o Pregão nº 4/2011,</w:t>
      </w:r>
      <w:r w:rsidR="00195F77" w:rsidRPr="00AA4F2F">
        <w:rPr>
          <w:sz w:val="22"/>
          <w:szCs w:val="22"/>
        </w:rPr>
        <w:t xml:space="preserve"> nenhuma das duas situações teria sido verificada, </w:t>
      </w:r>
      <w:r w:rsidR="00A6526F" w:rsidRPr="00AA4F2F">
        <w:rPr>
          <w:sz w:val="22"/>
          <w:szCs w:val="22"/>
        </w:rPr>
        <w:t xml:space="preserve">pois </w:t>
      </w:r>
      <w:r w:rsidR="00A6526F" w:rsidRPr="00AA4F2F">
        <w:rPr>
          <w:i/>
          <w:sz w:val="22"/>
          <w:szCs w:val="22"/>
        </w:rPr>
        <w:t>“</w:t>
      </w:r>
      <w:r w:rsidR="00280F3D" w:rsidRPr="00AA4F2F">
        <w:rPr>
          <w:i/>
          <w:sz w:val="22"/>
          <w:szCs w:val="22"/>
        </w:rPr>
        <w:t>não há no edital, tampouco no processo administrativo, o detalhamento do orçamento-base da Valec</w:t>
      </w:r>
      <w:r w:rsidR="00280F3D" w:rsidRPr="00AA4F2F">
        <w:rPr>
          <w:sz w:val="22"/>
          <w:szCs w:val="22"/>
        </w:rPr>
        <w:t>”. Para o relator, “</w:t>
      </w:r>
      <w:r w:rsidR="00280F3D" w:rsidRPr="00AA4F2F">
        <w:rPr>
          <w:i/>
          <w:sz w:val="22"/>
          <w:szCs w:val="22"/>
        </w:rPr>
        <w:t>o fato é que a ausência da composição unitária detalhada para os serviços incluídos no objeto do pregão em exame (relacionados, por exemplo, com o transporte terrestre dos trilhos, o respectivo empilhamento, dentre outros) confere insegurança quanto à confiabilidade do preço de referência</w:t>
      </w:r>
      <w:r w:rsidR="00280F3D" w:rsidRPr="00AA4F2F">
        <w:rPr>
          <w:sz w:val="22"/>
          <w:szCs w:val="22"/>
        </w:rPr>
        <w:t xml:space="preserve">”, concordando, portanto, com a unidade técnica quanto à irregularidade examinada. </w:t>
      </w:r>
      <w:r w:rsidR="00ED3D84" w:rsidRPr="00AA4F2F">
        <w:rPr>
          <w:sz w:val="22"/>
          <w:szCs w:val="22"/>
        </w:rPr>
        <w:t xml:space="preserve">Contudo, como, nesta etapa processual, a apreciação por parte do Tribunal ainda não ocorreria de forma conclusiva, votou o relator por que, primeiramente, os responsáveis fossem ouvidos em audiência, para que, ao fim, o Tribunal se pronunciasse quanto ao mérito da representação, o que foi acolhido pelo Plenário. </w:t>
      </w:r>
      <w:r w:rsidR="00280F3D" w:rsidRPr="00AA4F2F">
        <w:rPr>
          <w:sz w:val="22"/>
          <w:szCs w:val="22"/>
        </w:rPr>
        <w:t>Precedentes citados:</w:t>
      </w:r>
      <w:r w:rsidR="00280F3D" w:rsidRPr="00AA4F2F">
        <w:rPr>
          <w:color w:val="FF0000"/>
          <w:sz w:val="22"/>
          <w:szCs w:val="22"/>
        </w:rPr>
        <w:t xml:space="preserve"> </w:t>
      </w:r>
      <w:r w:rsidR="00280F3D" w:rsidRPr="00AA4F2F">
        <w:rPr>
          <w:sz w:val="22"/>
          <w:szCs w:val="22"/>
        </w:rPr>
        <w:t>Acórdãos n</w:t>
      </w:r>
      <w:r w:rsidR="00280F3D" w:rsidRPr="00AA4F2F">
        <w:rPr>
          <w:sz w:val="22"/>
          <w:szCs w:val="22"/>
          <w:u w:val="single"/>
          <w:vertAlign w:val="superscript"/>
        </w:rPr>
        <w:t>os</w:t>
      </w:r>
      <w:r w:rsidR="00280F3D" w:rsidRPr="00AA4F2F">
        <w:rPr>
          <w:sz w:val="22"/>
          <w:szCs w:val="22"/>
        </w:rPr>
        <w:t xml:space="preserve"> 114/2007 e 517/2009, ambos do Plenário. </w:t>
      </w:r>
      <w:r w:rsidRPr="00AA4F2F">
        <w:rPr>
          <w:b/>
          <w:i/>
          <w:sz w:val="22"/>
          <w:szCs w:val="22"/>
        </w:rPr>
        <w:t>Acórdão nº 933/2011-Plenário, TC-004.513/2011-8, rel. Min-Subst. André Luís Carvalho, 13.04.2011.</w:t>
      </w:r>
    </w:p>
    <w:p w:rsidR="00A6526F" w:rsidRPr="00AA4F2F" w:rsidRDefault="00A6526F" w:rsidP="00AA4F2F">
      <w:pPr>
        <w:pStyle w:val="TCU-RelVoto-demais"/>
        <w:spacing w:after="0"/>
        <w:rPr>
          <w:sz w:val="22"/>
          <w:lang w:eastAsia="pt-BR"/>
        </w:rPr>
      </w:pPr>
    </w:p>
    <w:p w:rsidR="00A6526F" w:rsidRPr="00AA4F2F" w:rsidRDefault="00A6526F" w:rsidP="00AA4F2F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AA4F2F">
        <w:rPr>
          <w:rFonts w:ascii="Cambria" w:hAnsi="Cambria"/>
          <w:b/>
          <w:bCs/>
          <w:smallCaps/>
          <w:sz w:val="22"/>
          <w:szCs w:val="22"/>
        </w:rPr>
        <w:t>PRIMEIRA CÂMARA</w:t>
      </w:r>
    </w:p>
    <w:p w:rsidR="00A6526F" w:rsidRPr="00AC4AC1" w:rsidRDefault="00A6526F" w:rsidP="00AA4F2F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ED3D84" w:rsidRPr="00AA4F2F" w:rsidRDefault="00C9045E" w:rsidP="00AA4F2F">
      <w:pPr>
        <w:pStyle w:val="TCU-RelVoto-demais"/>
        <w:spacing w:after="0"/>
        <w:rPr>
          <w:b/>
          <w:sz w:val="22"/>
        </w:rPr>
      </w:pPr>
      <w:r w:rsidRPr="00AA4F2F">
        <w:rPr>
          <w:b/>
          <w:sz w:val="22"/>
        </w:rPr>
        <w:t>A sus</w:t>
      </w:r>
      <w:r w:rsidR="00BD73FC" w:rsidRPr="00AA4F2F">
        <w:rPr>
          <w:b/>
          <w:sz w:val="22"/>
        </w:rPr>
        <w:t xml:space="preserve">pensão </w:t>
      </w:r>
      <w:r w:rsidR="00BD73FC" w:rsidRPr="00AA4F2F">
        <w:rPr>
          <w:b/>
          <w:sz w:val="22"/>
          <w:lang w:eastAsia="pt-BR"/>
        </w:rPr>
        <w:t xml:space="preserve">temporária de participação em licitação e impedimento de contratar com a Administração prevista no </w:t>
      </w:r>
      <w:r w:rsidR="00BD73FC" w:rsidRPr="00AA4F2F">
        <w:rPr>
          <w:b/>
          <w:sz w:val="22"/>
        </w:rPr>
        <w:t>inciso III do art. 87 da Lei 8.666/</w:t>
      </w:r>
      <w:r w:rsidR="00A70904" w:rsidRPr="00AA4F2F">
        <w:rPr>
          <w:b/>
          <w:sz w:val="22"/>
        </w:rPr>
        <w:t>19</w:t>
      </w:r>
      <w:r w:rsidR="00BD73FC" w:rsidRPr="00AA4F2F">
        <w:rPr>
          <w:b/>
          <w:sz w:val="22"/>
        </w:rPr>
        <w:t xml:space="preserve">93 estende-se </w:t>
      </w:r>
      <w:r w:rsidR="002F169F">
        <w:rPr>
          <w:b/>
          <w:sz w:val="22"/>
        </w:rPr>
        <w:t>à</w:t>
      </w:r>
      <w:r w:rsidR="00BD73FC" w:rsidRPr="00AA4F2F">
        <w:rPr>
          <w:b/>
          <w:sz w:val="22"/>
        </w:rPr>
        <w:t xml:space="preserve"> toda Administração Pública </w:t>
      </w:r>
    </w:p>
    <w:p w:rsidR="00ED3D84" w:rsidRPr="00AA4F2F" w:rsidRDefault="00ED3D84" w:rsidP="00AA4F2F">
      <w:pPr>
        <w:pStyle w:val="TCU-Epgrafe"/>
        <w:ind w:left="0"/>
        <w:rPr>
          <w:sz w:val="22"/>
          <w:szCs w:val="22"/>
        </w:rPr>
      </w:pPr>
      <w:r w:rsidRPr="00AA4F2F">
        <w:rPr>
          <w:sz w:val="22"/>
          <w:szCs w:val="22"/>
        </w:rPr>
        <w:t>“</w:t>
      </w:r>
      <w:r w:rsidRPr="00AA4F2F">
        <w:rPr>
          <w:i/>
          <w:sz w:val="22"/>
          <w:szCs w:val="22"/>
        </w:rPr>
        <w:t>A vedação à participação em licitações e à contratação de particular incurso na sanção prevista no inciso III do art. 87 da Lei 8.666/</w:t>
      </w:r>
      <w:r w:rsidR="00A70904" w:rsidRPr="00AA4F2F">
        <w:rPr>
          <w:i/>
          <w:sz w:val="22"/>
          <w:szCs w:val="22"/>
        </w:rPr>
        <w:t>19</w:t>
      </w:r>
      <w:r w:rsidRPr="00AA4F2F">
        <w:rPr>
          <w:i/>
          <w:sz w:val="22"/>
          <w:szCs w:val="22"/>
        </w:rPr>
        <w:t>93 estende-se a toda a Administração direta e indireta</w:t>
      </w:r>
      <w:r w:rsidRPr="00AA4F2F">
        <w:rPr>
          <w:sz w:val="22"/>
          <w:szCs w:val="22"/>
        </w:rPr>
        <w:t xml:space="preserve">”. Esse foi um dos entendimentos </w:t>
      </w:r>
      <w:r w:rsidR="002F169F">
        <w:rPr>
          <w:sz w:val="22"/>
          <w:szCs w:val="22"/>
        </w:rPr>
        <w:t>do</w:t>
      </w:r>
      <w:r w:rsidRPr="00AA4F2F">
        <w:rPr>
          <w:sz w:val="22"/>
          <w:szCs w:val="22"/>
        </w:rPr>
        <w:t xml:space="preserve"> </w:t>
      </w:r>
      <w:r w:rsidR="00770C72" w:rsidRPr="00AA4F2F">
        <w:rPr>
          <w:sz w:val="22"/>
          <w:szCs w:val="22"/>
        </w:rPr>
        <w:t xml:space="preserve">Tribunal ao apreciar pedido de reexame interposto pela Empresa Brasileira de Infraestrutura Aeroportuária – (Infraero), contra o Acórdão nº 1.166/2010-TCU-1ª Câmara, o qual determinou que não fossem incluídas nos editais de licitação da empresa cláusulas impedindo a participação de interessados suspensos por ente distinto da Administração Pública e de empresas de cujo ato constitutivo façam parte diretores, sócios ou dirigentes que tenham participado de outra pessoa jurídica suspensa. Para o relator do feito, </w:t>
      </w:r>
      <w:r w:rsidR="002F169F">
        <w:rPr>
          <w:sz w:val="22"/>
          <w:szCs w:val="22"/>
        </w:rPr>
        <w:t>M</w:t>
      </w:r>
      <w:r w:rsidR="00770C72" w:rsidRPr="00AA4F2F">
        <w:rPr>
          <w:sz w:val="22"/>
          <w:szCs w:val="22"/>
        </w:rPr>
        <w:t>inistro José Múcio</w:t>
      </w:r>
      <w:r w:rsidR="00847B37" w:rsidRPr="00AA4F2F">
        <w:rPr>
          <w:sz w:val="22"/>
          <w:szCs w:val="22"/>
        </w:rPr>
        <w:t>,</w:t>
      </w:r>
      <w:r w:rsidR="00C9045E" w:rsidRPr="00AA4F2F">
        <w:rPr>
          <w:sz w:val="22"/>
          <w:szCs w:val="22"/>
        </w:rPr>
        <w:t xml:space="preserve"> </w:t>
      </w:r>
      <w:r w:rsidR="00847B37" w:rsidRPr="00AA4F2F">
        <w:rPr>
          <w:sz w:val="22"/>
          <w:szCs w:val="22"/>
        </w:rPr>
        <w:t>como o Tribunal entende que a sanção prevista no art. 87, inciso III, da Lei nº 8.666/1993 restringe</w:t>
      </w:r>
      <w:r w:rsidR="00847B37" w:rsidRPr="00AA4F2F">
        <w:rPr>
          <w:sz w:val="22"/>
          <w:szCs w:val="22"/>
        </w:rPr>
        <w:noBreakHyphen/>
        <w:t xml:space="preserve">se à entidade que a aplicou, não haveria razão para reforma da deliberação originária. Todavia, o </w:t>
      </w:r>
      <w:r w:rsidR="002F169F">
        <w:rPr>
          <w:sz w:val="22"/>
          <w:szCs w:val="22"/>
        </w:rPr>
        <w:t>M</w:t>
      </w:r>
      <w:r w:rsidR="00847B37" w:rsidRPr="00AA4F2F">
        <w:rPr>
          <w:sz w:val="22"/>
          <w:szCs w:val="22"/>
        </w:rPr>
        <w:t>inistro-</w:t>
      </w:r>
      <w:r w:rsidR="002F169F">
        <w:rPr>
          <w:sz w:val="22"/>
          <w:szCs w:val="22"/>
        </w:rPr>
        <w:t>R</w:t>
      </w:r>
      <w:r w:rsidR="00847B37" w:rsidRPr="00AA4F2F">
        <w:rPr>
          <w:sz w:val="22"/>
          <w:szCs w:val="22"/>
        </w:rPr>
        <w:t xml:space="preserve">evisor, Walton Alencar Rodrigues, dissentiu do encaminhamento proposto. Para </w:t>
      </w:r>
      <w:r w:rsidR="00C9045E" w:rsidRPr="00AA4F2F">
        <w:rPr>
          <w:sz w:val="22"/>
          <w:szCs w:val="22"/>
        </w:rPr>
        <w:t>ele</w:t>
      </w:r>
      <w:r w:rsidR="00847B37" w:rsidRPr="00AA4F2F">
        <w:rPr>
          <w:sz w:val="22"/>
          <w:szCs w:val="22"/>
        </w:rPr>
        <w:t>, que fora, inclusive, relator da deliberação anterior, e que, na ocasião, defende</w:t>
      </w:r>
      <w:r w:rsidR="00C9045E" w:rsidRPr="00AA4F2F">
        <w:rPr>
          <w:sz w:val="22"/>
          <w:szCs w:val="22"/>
        </w:rPr>
        <w:t>u</w:t>
      </w:r>
      <w:r w:rsidR="00847B37" w:rsidRPr="00AA4F2F">
        <w:rPr>
          <w:sz w:val="22"/>
          <w:szCs w:val="22"/>
        </w:rPr>
        <w:t xml:space="preserve"> tese idêntica à apresentada pelo relator do recurso em exame, caberia ao Tribunal rever seu posicionamento. </w:t>
      </w:r>
      <w:r w:rsidR="002F169F">
        <w:rPr>
          <w:sz w:val="22"/>
          <w:szCs w:val="22"/>
        </w:rPr>
        <w:t xml:space="preserve">Assim, </w:t>
      </w:r>
      <w:r w:rsidR="00C9045E" w:rsidRPr="00AA4F2F">
        <w:rPr>
          <w:sz w:val="22"/>
          <w:szCs w:val="22"/>
        </w:rPr>
        <w:t>“</w:t>
      </w:r>
      <w:r w:rsidR="00C9045E" w:rsidRPr="00AA4F2F">
        <w:rPr>
          <w:i/>
          <w:sz w:val="22"/>
          <w:szCs w:val="22"/>
        </w:rPr>
        <w:t xml:space="preserve">a proibição de contratação de particular que já revelou ser indigno de ser contratado pela Administração, descumprindo obrigações anteriormente pactuadas, como é o caso do particular punido com a sanção prevista no inciso III do art. 87, tem o nítido propósito de </w:t>
      </w:r>
      <w:r w:rsidR="00C9045E" w:rsidRPr="00AA4F2F">
        <w:rPr>
          <w:i/>
          <w:color w:val="000000"/>
          <w:sz w:val="22"/>
          <w:szCs w:val="22"/>
        </w:rPr>
        <w:t>evitar fraudes e prejuízos ao erário</w:t>
      </w:r>
      <w:r w:rsidR="00C9045E" w:rsidRPr="00AA4F2F">
        <w:rPr>
          <w:color w:val="000000"/>
          <w:sz w:val="22"/>
          <w:szCs w:val="22"/>
        </w:rPr>
        <w:t xml:space="preserve">”. Por isso, citando julgado do Superior Tribunal de Justiça, destacou que o </w:t>
      </w:r>
      <w:r w:rsidR="00C9045E" w:rsidRPr="00AA4F2F">
        <w:rPr>
          <w:sz w:val="22"/>
          <w:szCs w:val="22"/>
        </w:rPr>
        <w:t>entendimento de que a suspensão imposta por um órgão administrativo, ou um ente federado, não se estende aos demais, não estaria em harmonia com o objetivo da Lei nº 8.666/93, de tornar o processo licitatório transparente e evitar prejuízos e fraudes ao erário, inclusive impondo sanções àqueles que adotarem comportamento impróprio ao contrato firmado ou mesmo ao procedimento de escolha de propostas.</w:t>
      </w:r>
      <w:r w:rsidR="00A70904" w:rsidRPr="00AA4F2F">
        <w:rPr>
          <w:sz w:val="22"/>
          <w:szCs w:val="22"/>
        </w:rPr>
        <w:t xml:space="preserve"> Portanto, a interpretação adequada quanto à punição prevista no inciso III do art. 87 da Lei 8.666/1993 seria pelo alcance para toda a Administração, não se restringindo aos órgãos ou entes que as aplicarem. </w:t>
      </w:r>
      <w:r w:rsidR="00AA4F2F" w:rsidRPr="00AA4F2F">
        <w:rPr>
          <w:sz w:val="22"/>
          <w:szCs w:val="22"/>
        </w:rPr>
        <w:t xml:space="preserve">A se pensar de </w:t>
      </w:r>
      <w:r w:rsidR="00A70904" w:rsidRPr="00AA4F2F">
        <w:rPr>
          <w:sz w:val="22"/>
          <w:szCs w:val="22"/>
        </w:rPr>
        <w:t xml:space="preserve">outra maneira, seria possível que uma empresa, que já mantivera comportamento inadequado outrora, pudesse contratar novamente com a Administração durante o período em que estivesse suspensa, tornando a punição desprovida de sentido. Após o voto </w:t>
      </w:r>
      <w:r w:rsidR="002F169F">
        <w:rPr>
          <w:sz w:val="22"/>
          <w:szCs w:val="22"/>
        </w:rPr>
        <w:t>M</w:t>
      </w:r>
      <w:r w:rsidR="00A70904" w:rsidRPr="00AA4F2F">
        <w:rPr>
          <w:sz w:val="22"/>
          <w:szCs w:val="22"/>
        </w:rPr>
        <w:t>inistro-</w:t>
      </w:r>
      <w:r w:rsidR="002F169F">
        <w:rPr>
          <w:sz w:val="22"/>
          <w:szCs w:val="22"/>
        </w:rPr>
        <w:t>R</w:t>
      </w:r>
      <w:r w:rsidR="00A70904" w:rsidRPr="00AA4F2F">
        <w:rPr>
          <w:sz w:val="22"/>
          <w:szCs w:val="22"/>
        </w:rPr>
        <w:t>evisor Walton Alencar Rodrigues, o relator reajustou seu voto, para acompanhá-lo</w:t>
      </w:r>
      <w:r w:rsidR="00AA4F2F" w:rsidRPr="00AA4F2F">
        <w:rPr>
          <w:sz w:val="22"/>
          <w:szCs w:val="22"/>
        </w:rPr>
        <w:t xml:space="preserve"> e</w:t>
      </w:r>
      <w:r w:rsidR="00A70904" w:rsidRPr="00AA4F2F">
        <w:rPr>
          <w:sz w:val="22"/>
          <w:szCs w:val="22"/>
        </w:rPr>
        <w:t xml:space="preserve"> considerar </w:t>
      </w:r>
      <w:r w:rsidR="00A70904" w:rsidRPr="00AA4F2F">
        <w:rPr>
          <w:color w:val="000000"/>
          <w:sz w:val="22"/>
          <w:szCs w:val="22"/>
        </w:rPr>
        <w:t>legal a inserção, pela Infraero, de cláusula editalícia impeditiva de participação daqueles incursos na s</w:t>
      </w:r>
      <w:r w:rsidR="00A70904" w:rsidRPr="00AA4F2F">
        <w:rPr>
          <w:sz w:val="22"/>
          <w:szCs w:val="22"/>
        </w:rPr>
        <w:t>anção prevista no inciso III da Lei 8.666/1993, mesmo quando aplicada por outros órgãos ou entidades públicos, o que foi aprovado pelo colegiado.</w:t>
      </w:r>
      <w:r w:rsidRPr="00AA4F2F">
        <w:rPr>
          <w:sz w:val="22"/>
          <w:szCs w:val="22"/>
        </w:rPr>
        <w:t xml:space="preserve"> </w:t>
      </w:r>
      <w:r w:rsidR="00A70904" w:rsidRPr="00AA4F2F">
        <w:rPr>
          <w:b/>
          <w:i/>
          <w:sz w:val="22"/>
          <w:szCs w:val="22"/>
        </w:rPr>
        <w:t>Acórdão n.º 2218/2011-1ª Câmara, TC-025.430/2009-5</w:t>
      </w:r>
      <w:r w:rsidRPr="00AA4F2F">
        <w:rPr>
          <w:b/>
          <w:i/>
          <w:sz w:val="22"/>
          <w:szCs w:val="22"/>
        </w:rPr>
        <w:t>, rel. Min</w:t>
      </w:r>
      <w:r w:rsidR="00A70904" w:rsidRPr="00AA4F2F">
        <w:rPr>
          <w:b/>
          <w:i/>
          <w:sz w:val="22"/>
          <w:szCs w:val="22"/>
        </w:rPr>
        <w:t>. José Múcio</w:t>
      </w:r>
      <w:r w:rsidRPr="00AA4F2F">
        <w:rPr>
          <w:b/>
          <w:i/>
          <w:sz w:val="22"/>
          <w:szCs w:val="22"/>
        </w:rPr>
        <w:t>, revisor Min. Walton Alencar Rod</w:t>
      </w:r>
      <w:r w:rsidR="00A70904" w:rsidRPr="00AA4F2F">
        <w:rPr>
          <w:b/>
          <w:i/>
          <w:sz w:val="22"/>
          <w:szCs w:val="22"/>
        </w:rPr>
        <w:t>rigues, 12</w:t>
      </w:r>
      <w:r w:rsidRPr="00AA4F2F">
        <w:rPr>
          <w:b/>
          <w:i/>
          <w:sz w:val="22"/>
          <w:szCs w:val="22"/>
        </w:rPr>
        <w:t>.0</w:t>
      </w:r>
      <w:r w:rsidR="00A70904" w:rsidRPr="00AA4F2F">
        <w:rPr>
          <w:b/>
          <w:i/>
          <w:sz w:val="22"/>
          <w:szCs w:val="22"/>
        </w:rPr>
        <w:t>4.2011</w:t>
      </w:r>
      <w:r w:rsidRPr="00AA4F2F">
        <w:rPr>
          <w:b/>
          <w:i/>
          <w:sz w:val="22"/>
          <w:szCs w:val="22"/>
        </w:rPr>
        <w:t>.</w:t>
      </w:r>
    </w:p>
    <w:p w:rsidR="00A70904" w:rsidRPr="00740292" w:rsidRDefault="00A70904" w:rsidP="006532C3">
      <w:pPr>
        <w:spacing w:after="0"/>
        <w:ind w:left="0"/>
        <w:rPr>
          <w:b/>
          <w:color w:val="000000"/>
          <w:sz w:val="22"/>
          <w:szCs w:val="22"/>
        </w:rPr>
      </w:pPr>
    </w:p>
    <w:p w:rsidR="006C7DE0" w:rsidRPr="00FA45CD" w:rsidRDefault="006C7DE0" w:rsidP="00FA45CD">
      <w:pPr>
        <w:pStyle w:val="TCU-RelVoto-demais"/>
        <w:spacing w:after="0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7C2A5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C2A55" w:rsidRDefault="00C10DD5" w:rsidP="0030360F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7C2A55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7C2A55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7C2A55" w:rsidRDefault="007334B1" w:rsidP="007334B1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7334B1" w:rsidRPr="007C2A55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C5" w:rsidRDefault="00A816C5" w:rsidP="008B0547">
      <w:pPr>
        <w:spacing w:after="0"/>
      </w:pPr>
      <w:r>
        <w:separator/>
      </w:r>
    </w:p>
  </w:endnote>
  <w:endnote w:type="continuationSeparator" w:id="0">
    <w:p w:rsidR="00A816C5" w:rsidRDefault="00A816C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445A27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C5" w:rsidRDefault="00A816C5" w:rsidP="008B0547">
      <w:pPr>
        <w:spacing w:after="0"/>
      </w:pPr>
      <w:r>
        <w:separator/>
      </w:r>
    </w:p>
  </w:footnote>
  <w:footnote w:type="continuationSeparator" w:id="0">
    <w:p w:rsidR="00A816C5" w:rsidRDefault="00A816C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EB3C35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EB3C35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BEA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274068">
      <w:rPr>
        <w:rFonts w:ascii="Arial" w:hAnsi="Arial" w:cs="Arial"/>
        <w:noProof/>
        <w:lang w:eastAsia="pt-BR"/>
      </w:rPr>
      <w:t>5</w:t>
    </w:r>
    <w:r w:rsidR="00DA671A">
      <w:rPr>
        <w:rFonts w:ascii="Arial" w:hAnsi="Arial" w:cs="Arial"/>
        <w:noProof/>
        <w:lang w:eastAsia="pt-BR"/>
      </w:rPr>
      <w:t>8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8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0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2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15"/>
  </w:num>
  <w:num w:numId="10">
    <w:abstractNumId w:val="4"/>
  </w:num>
  <w:num w:numId="11">
    <w:abstractNumId w:val="22"/>
  </w:num>
  <w:num w:numId="12">
    <w:abstractNumId w:val="3"/>
  </w:num>
  <w:num w:numId="13">
    <w:abstractNumId w:val="12"/>
  </w:num>
  <w:num w:numId="14">
    <w:abstractNumId w:val="19"/>
  </w:num>
  <w:num w:numId="15">
    <w:abstractNumId w:val="11"/>
  </w:num>
  <w:num w:numId="16">
    <w:abstractNumId w:val="2"/>
  </w:num>
  <w:num w:numId="17">
    <w:abstractNumId w:val="10"/>
  </w:num>
  <w:num w:numId="18">
    <w:abstractNumId w:val="21"/>
    <w:lvlOverride w:ilvl="0">
      <w:startOverride w:val="1"/>
    </w:lvlOverride>
  </w:num>
  <w:num w:numId="19">
    <w:abstractNumId w:val="16"/>
  </w:num>
  <w:num w:numId="20">
    <w:abstractNumId w:val="9"/>
  </w:num>
  <w:num w:numId="21">
    <w:abstractNumId w:val="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2468"/>
    <w:rsid w:val="0001636D"/>
    <w:rsid w:val="00023D72"/>
    <w:rsid w:val="00025450"/>
    <w:rsid w:val="000271FA"/>
    <w:rsid w:val="00032198"/>
    <w:rsid w:val="00037DCE"/>
    <w:rsid w:val="00041450"/>
    <w:rsid w:val="0004660A"/>
    <w:rsid w:val="00052B15"/>
    <w:rsid w:val="0005412B"/>
    <w:rsid w:val="00054432"/>
    <w:rsid w:val="000562CD"/>
    <w:rsid w:val="00056D51"/>
    <w:rsid w:val="0006028E"/>
    <w:rsid w:val="00061C2E"/>
    <w:rsid w:val="00065E95"/>
    <w:rsid w:val="00070785"/>
    <w:rsid w:val="0007259B"/>
    <w:rsid w:val="00074384"/>
    <w:rsid w:val="00074AC5"/>
    <w:rsid w:val="00077A56"/>
    <w:rsid w:val="00080148"/>
    <w:rsid w:val="000835D8"/>
    <w:rsid w:val="00084727"/>
    <w:rsid w:val="00087006"/>
    <w:rsid w:val="0009133A"/>
    <w:rsid w:val="000916AF"/>
    <w:rsid w:val="00092C2E"/>
    <w:rsid w:val="00094C5B"/>
    <w:rsid w:val="00097863"/>
    <w:rsid w:val="000A0EF8"/>
    <w:rsid w:val="000A152A"/>
    <w:rsid w:val="000A1EBD"/>
    <w:rsid w:val="000A2C56"/>
    <w:rsid w:val="000A6269"/>
    <w:rsid w:val="000A62BD"/>
    <w:rsid w:val="000B0ECB"/>
    <w:rsid w:val="000B0FEA"/>
    <w:rsid w:val="000B2AFA"/>
    <w:rsid w:val="000C4A10"/>
    <w:rsid w:val="000D1878"/>
    <w:rsid w:val="000D1FD7"/>
    <w:rsid w:val="000D6418"/>
    <w:rsid w:val="000D7DB6"/>
    <w:rsid w:val="000D7DED"/>
    <w:rsid w:val="000E2D47"/>
    <w:rsid w:val="000E3B31"/>
    <w:rsid w:val="000E504D"/>
    <w:rsid w:val="000F2F92"/>
    <w:rsid w:val="000F6D85"/>
    <w:rsid w:val="000F7CEE"/>
    <w:rsid w:val="000F7D84"/>
    <w:rsid w:val="001041ED"/>
    <w:rsid w:val="001104BA"/>
    <w:rsid w:val="00112676"/>
    <w:rsid w:val="00112A5F"/>
    <w:rsid w:val="0011373A"/>
    <w:rsid w:val="00114511"/>
    <w:rsid w:val="00126026"/>
    <w:rsid w:val="00130A0C"/>
    <w:rsid w:val="00133EA9"/>
    <w:rsid w:val="00140FED"/>
    <w:rsid w:val="00141D7A"/>
    <w:rsid w:val="001420D1"/>
    <w:rsid w:val="001444A2"/>
    <w:rsid w:val="00151F92"/>
    <w:rsid w:val="0015258E"/>
    <w:rsid w:val="00152ECC"/>
    <w:rsid w:val="001532E4"/>
    <w:rsid w:val="00156A48"/>
    <w:rsid w:val="00157614"/>
    <w:rsid w:val="00157AFE"/>
    <w:rsid w:val="00157C0F"/>
    <w:rsid w:val="001744E7"/>
    <w:rsid w:val="00176375"/>
    <w:rsid w:val="00195F77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200260"/>
    <w:rsid w:val="002002CE"/>
    <w:rsid w:val="0020066F"/>
    <w:rsid w:val="0020107A"/>
    <w:rsid w:val="0020135D"/>
    <w:rsid w:val="00202EAD"/>
    <w:rsid w:val="00203A6F"/>
    <w:rsid w:val="00211816"/>
    <w:rsid w:val="00225D42"/>
    <w:rsid w:val="00226AEF"/>
    <w:rsid w:val="00226D9D"/>
    <w:rsid w:val="00232158"/>
    <w:rsid w:val="002328F9"/>
    <w:rsid w:val="00233CE3"/>
    <w:rsid w:val="002343BF"/>
    <w:rsid w:val="00242061"/>
    <w:rsid w:val="002435FC"/>
    <w:rsid w:val="002442D9"/>
    <w:rsid w:val="00244BA7"/>
    <w:rsid w:val="0024593F"/>
    <w:rsid w:val="002476B6"/>
    <w:rsid w:val="00253242"/>
    <w:rsid w:val="00254590"/>
    <w:rsid w:val="00262359"/>
    <w:rsid w:val="0026362E"/>
    <w:rsid w:val="002649A7"/>
    <w:rsid w:val="00264FC3"/>
    <w:rsid w:val="002663B7"/>
    <w:rsid w:val="002666C5"/>
    <w:rsid w:val="00271CD7"/>
    <w:rsid w:val="00271D81"/>
    <w:rsid w:val="0027213F"/>
    <w:rsid w:val="00273E72"/>
    <w:rsid w:val="00274068"/>
    <w:rsid w:val="0027498E"/>
    <w:rsid w:val="0027686D"/>
    <w:rsid w:val="00276DC0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190F"/>
    <w:rsid w:val="002A2129"/>
    <w:rsid w:val="002A3B3F"/>
    <w:rsid w:val="002B409B"/>
    <w:rsid w:val="002B4392"/>
    <w:rsid w:val="002B56C3"/>
    <w:rsid w:val="002B5AD5"/>
    <w:rsid w:val="002B5C5A"/>
    <w:rsid w:val="002B6422"/>
    <w:rsid w:val="002B71BA"/>
    <w:rsid w:val="002C208E"/>
    <w:rsid w:val="002C7B61"/>
    <w:rsid w:val="002C7B6D"/>
    <w:rsid w:val="002D1688"/>
    <w:rsid w:val="002D35F5"/>
    <w:rsid w:val="002D47FE"/>
    <w:rsid w:val="002D532D"/>
    <w:rsid w:val="002D739A"/>
    <w:rsid w:val="002D75F9"/>
    <w:rsid w:val="002D76AB"/>
    <w:rsid w:val="002E1545"/>
    <w:rsid w:val="002E28BA"/>
    <w:rsid w:val="002E361C"/>
    <w:rsid w:val="002E3943"/>
    <w:rsid w:val="002E3F7C"/>
    <w:rsid w:val="002E4254"/>
    <w:rsid w:val="002E4F13"/>
    <w:rsid w:val="002E4FB7"/>
    <w:rsid w:val="002F104B"/>
    <w:rsid w:val="002F169F"/>
    <w:rsid w:val="002F1C09"/>
    <w:rsid w:val="002F5F3B"/>
    <w:rsid w:val="002F693C"/>
    <w:rsid w:val="002F7C6D"/>
    <w:rsid w:val="003020F4"/>
    <w:rsid w:val="003025C7"/>
    <w:rsid w:val="0030360F"/>
    <w:rsid w:val="00303984"/>
    <w:rsid w:val="00304A73"/>
    <w:rsid w:val="003057F7"/>
    <w:rsid w:val="003069F9"/>
    <w:rsid w:val="00310208"/>
    <w:rsid w:val="0031058F"/>
    <w:rsid w:val="0031089E"/>
    <w:rsid w:val="00310D69"/>
    <w:rsid w:val="003147B7"/>
    <w:rsid w:val="00317E59"/>
    <w:rsid w:val="00322AE7"/>
    <w:rsid w:val="00325246"/>
    <w:rsid w:val="003275E4"/>
    <w:rsid w:val="0033244F"/>
    <w:rsid w:val="00337E16"/>
    <w:rsid w:val="00340E66"/>
    <w:rsid w:val="00340F10"/>
    <w:rsid w:val="00342A44"/>
    <w:rsid w:val="0034486B"/>
    <w:rsid w:val="00344D92"/>
    <w:rsid w:val="003455A2"/>
    <w:rsid w:val="0034608E"/>
    <w:rsid w:val="00350E87"/>
    <w:rsid w:val="00353B7C"/>
    <w:rsid w:val="0035438E"/>
    <w:rsid w:val="00355828"/>
    <w:rsid w:val="00356E38"/>
    <w:rsid w:val="00357CBE"/>
    <w:rsid w:val="00361487"/>
    <w:rsid w:val="00361661"/>
    <w:rsid w:val="00377407"/>
    <w:rsid w:val="00381780"/>
    <w:rsid w:val="003824E4"/>
    <w:rsid w:val="00383CFE"/>
    <w:rsid w:val="003853FF"/>
    <w:rsid w:val="00385609"/>
    <w:rsid w:val="00385DAB"/>
    <w:rsid w:val="0038696B"/>
    <w:rsid w:val="00390ED6"/>
    <w:rsid w:val="00392509"/>
    <w:rsid w:val="003943E5"/>
    <w:rsid w:val="00397D8E"/>
    <w:rsid w:val="003A105C"/>
    <w:rsid w:val="003A2222"/>
    <w:rsid w:val="003A3262"/>
    <w:rsid w:val="003A5479"/>
    <w:rsid w:val="003A5C1B"/>
    <w:rsid w:val="003A7C7F"/>
    <w:rsid w:val="003B0304"/>
    <w:rsid w:val="003B043F"/>
    <w:rsid w:val="003B155C"/>
    <w:rsid w:val="003B2E10"/>
    <w:rsid w:val="003B33CE"/>
    <w:rsid w:val="003B343D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2CEF"/>
    <w:rsid w:val="004169D8"/>
    <w:rsid w:val="004201AF"/>
    <w:rsid w:val="00425FF9"/>
    <w:rsid w:val="00427B3B"/>
    <w:rsid w:val="00427EBF"/>
    <w:rsid w:val="00435269"/>
    <w:rsid w:val="004362AB"/>
    <w:rsid w:val="004415FB"/>
    <w:rsid w:val="00441CE3"/>
    <w:rsid w:val="004421F5"/>
    <w:rsid w:val="0044434A"/>
    <w:rsid w:val="0044437F"/>
    <w:rsid w:val="00445A27"/>
    <w:rsid w:val="00445E76"/>
    <w:rsid w:val="00447217"/>
    <w:rsid w:val="00452C60"/>
    <w:rsid w:val="00457F93"/>
    <w:rsid w:val="004617A9"/>
    <w:rsid w:val="00463653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837C6"/>
    <w:rsid w:val="00483998"/>
    <w:rsid w:val="00484E4C"/>
    <w:rsid w:val="00491438"/>
    <w:rsid w:val="00492E3F"/>
    <w:rsid w:val="00493F5C"/>
    <w:rsid w:val="004A171B"/>
    <w:rsid w:val="004B0194"/>
    <w:rsid w:val="004B1113"/>
    <w:rsid w:val="004B1DC3"/>
    <w:rsid w:val="004B36AE"/>
    <w:rsid w:val="004C61A3"/>
    <w:rsid w:val="004C6E03"/>
    <w:rsid w:val="004C780C"/>
    <w:rsid w:val="004D3441"/>
    <w:rsid w:val="004D6A38"/>
    <w:rsid w:val="004D6C65"/>
    <w:rsid w:val="004D708E"/>
    <w:rsid w:val="004D760C"/>
    <w:rsid w:val="004D7C91"/>
    <w:rsid w:val="004E26E4"/>
    <w:rsid w:val="004E357A"/>
    <w:rsid w:val="004E5000"/>
    <w:rsid w:val="004E65EB"/>
    <w:rsid w:val="004F7174"/>
    <w:rsid w:val="00500DD0"/>
    <w:rsid w:val="005012AA"/>
    <w:rsid w:val="0050355D"/>
    <w:rsid w:val="005055B5"/>
    <w:rsid w:val="00510D1D"/>
    <w:rsid w:val="00511BBF"/>
    <w:rsid w:val="00515E7B"/>
    <w:rsid w:val="005217F8"/>
    <w:rsid w:val="0052267A"/>
    <w:rsid w:val="00531143"/>
    <w:rsid w:val="00534A44"/>
    <w:rsid w:val="00536332"/>
    <w:rsid w:val="00542821"/>
    <w:rsid w:val="005438A1"/>
    <w:rsid w:val="00543B81"/>
    <w:rsid w:val="00543EB8"/>
    <w:rsid w:val="00544FCF"/>
    <w:rsid w:val="00545A47"/>
    <w:rsid w:val="00545FC7"/>
    <w:rsid w:val="0054634E"/>
    <w:rsid w:val="00546B67"/>
    <w:rsid w:val="00554A33"/>
    <w:rsid w:val="0055716D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75CC3"/>
    <w:rsid w:val="00580F26"/>
    <w:rsid w:val="00581A7C"/>
    <w:rsid w:val="0058427E"/>
    <w:rsid w:val="005864FA"/>
    <w:rsid w:val="00590907"/>
    <w:rsid w:val="00594A7B"/>
    <w:rsid w:val="005A2D82"/>
    <w:rsid w:val="005A3835"/>
    <w:rsid w:val="005A3AEC"/>
    <w:rsid w:val="005A72F2"/>
    <w:rsid w:val="005B2194"/>
    <w:rsid w:val="005B2BC3"/>
    <w:rsid w:val="005B4CFA"/>
    <w:rsid w:val="005B5B3D"/>
    <w:rsid w:val="005C1A79"/>
    <w:rsid w:val="005C7644"/>
    <w:rsid w:val="005C7BF4"/>
    <w:rsid w:val="005D1D3E"/>
    <w:rsid w:val="005D3352"/>
    <w:rsid w:val="005E269C"/>
    <w:rsid w:val="005E3586"/>
    <w:rsid w:val="005E3EC0"/>
    <w:rsid w:val="005E4DEE"/>
    <w:rsid w:val="005E5FF1"/>
    <w:rsid w:val="005F01CE"/>
    <w:rsid w:val="005F135B"/>
    <w:rsid w:val="005F70B6"/>
    <w:rsid w:val="005F7A87"/>
    <w:rsid w:val="00601F0A"/>
    <w:rsid w:val="00604DBE"/>
    <w:rsid w:val="006063E1"/>
    <w:rsid w:val="006065E4"/>
    <w:rsid w:val="00610039"/>
    <w:rsid w:val="00610381"/>
    <w:rsid w:val="00611E07"/>
    <w:rsid w:val="00612045"/>
    <w:rsid w:val="00612F12"/>
    <w:rsid w:val="00613AC9"/>
    <w:rsid w:val="00615808"/>
    <w:rsid w:val="00620E86"/>
    <w:rsid w:val="006219DD"/>
    <w:rsid w:val="00631FE7"/>
    <w:rsid w:val="00632ACC"/>
    <w:rsid w:val="006345C1"/>
    <w:rsid w:val="00637FDD"/>
    <w:rsid w:val="00641E57"/>
    <w:rsid w:val="006503A5"/>
    <w:rsid w:val="00650463"/>
    <w:rsid w:val="00651660"/>
    <w:rsid w:val="00652171"/>
    <w:rsid w:val="006532C3"/>
    <w:rsid w:val="00666285"/>
    <w:rsid w:val="00667B54"/>
    <w:rsid w:val="00670FEA"/>
    <w:rsid w:val="006734AA"/>
    <w:rsid w:val="0067353C"/>
    <w:rsid w:val="00676163"/>
    <w:rsid w:val="00677C22"/>
    <w:rsid w:val="006808CC"/>
    <w:rsid w:val="00685899"/>
    <w:rsid w:val="00692D30"/>
    <w:rsid w:val="00695597"/>
    <w:rsid w:val="00696A89"/>
    <w:rsid w:val="00697477"/>
    <w:rsid w:val="006A037E"/>
    <w:rsid w:val="006A2019"/>
    <w:rsid w:val="006A3D41"/>
    <w:rsid w:val="006A7796"/>
    <w:rsid w:val="006B0495"/>
    <w:rsid w:val="006B0DCB"/>
    <w:rsid w:val="006B2408"/>
    <w:rsid w:val="006B3AF9"/>
    <w:rsid w:val="006B414C"/>
    <w:rsid w:val="006B4B0F"/>
    <w:rsid w:val="006C335E"/>
    <w:rsid w:val="006C5C6C"/>
    <w:rsid w:val="006C7DE0"/>
    <w:rsid w:val="006D4245"/>
    <w:rsid w:val="006E0A93"/>
    <w:rsid w:val="006E4064"/>
    <w:rsid w:val="006E58EA"/>
    <w:rsid w:val="006F0036"/>
    <w:rsid w:val="006F2F67"/>
    <w:rsid w:val="006F4DE0"/>
    <w:rsid w:val="006F4FB2"/>
    <w:rsid w:val="006F6483"/>
    <w:rsid w:val="006F7332"/>
    <w:rsid w:val="0070385B"/>
    <w:rsid w:val="0070494F"/>
    <w:rsid w:val="00705758"/>
    <w:rsid w:val="0070717A"/>
    <w:rsid w:val="00707244"/>
    <w:rsid w:val="00712CCC"/>
    <w:rsid w:val="00713DE5"/>
    <w:rsid w:val="007174DA"/>
    <w:rsid w:val="00720910"/>
    <w:rsid w:val="00720F29"/>
    <w:rsid w:val="007224C2"/>
    <w:rsid w:val="00731409"/>
    <w:rsid w:val="007334B1"/>
    <w:rsid w:val="007339F3"/>
    <w:rsid w:val="00737FEC"/>
    <w:rsid w:val="00740292"/>
    <w:rsid w:val="00742B07"/>
    <w:rsid w:val="00756AA0"/>
    <w:rsid w:val="00757CE6"/>
    <w:rsid w:val="00764CB0"/>
    <w:rsid w:val="007671B6"/>
    <w:rsid w:val="007671DA"/>
    <w:rsid w:val="00770C72"/>
    <w:rsid w:val="007719A8"/>
    <w:rsid w:val="00773CAE"/>
    <w:rsid w:val="00774593"/>
    <w:rsid w:val="00776EDA"/>
    <w:rsid w:val="00777599"/>
    <w:rsid w:val="00785CF8"/>
    <w:rsid w:val="00796068"/>
    <w:rsid w:val="00796CC0"/>
    <w:rsid w:val="00796CF1"/>
    <w:rsid w:val="007979EA"/>
    <w:rsid w:val="007A1A35"/>
    <w:rsid w:val="007A2166"/>
    <w:rsid w:val="007A2B7F"/>
    <w:rsid w:val="007A5922"/>
    <w:rsid w:val="007B1ABA"/>
    <w:rsid w:val="007B259B"/>
    <w:rsid w:val="007B5018"/>
    <w:rsid w:val="007B65B3"/>
    <w:rsid w:val="007C4E99"/>
    <w:rsid w:val="007C5151"/>
    <w:rsid w:val="007C546B"/>
    <w:rsid w:val="007C670D"/>
    <w:rsid w:val="007C7359"/>
    <w:rsid w:val="007D0ED0"/>
    <w:rsid w:val="007D1F01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22A5"/>
    <w:rsid w:val="007F5688"/>
    <w:rsid w:val="0080065F"/>
    <w:rsid w:val="008051DE"/>
    <w:rsid w:val="00810CC2"/>
    <w:rsid w:val="0081324B"/>
    <w:rsid w:val="0081440E"/>
    <w:rsid w:val="00816193"/>
    <w:rsid w:val="008165E4"/>
    <w:rsid w:val="008234BD"/>
    <w:rsid w:val="00825155"/>
    <w:rsid w:val="00825EB9"/>
    <w:rsid w:val="008303E2"/>
    <w:rsid w:val="008341F8"/>
    <w:rsid w:val="008359F3"/>
    <w:rsid w:val="00835DB6"/>
    <w:rsid w:val="00836AC2"/>
    <w:rsid w:val="008406D5"/>
    <w:rsid w:val="00844C5B"/>
    <w:rsid w:val="00847B37"/>
    <w:rsid w:val="008501A4"/>
    <w:rsid w:val="008505A1"/>
    <w:rsid w:val="00850817"/>
    <w:rsid w:val="00851D16"/>
    <w:rsid w:val="00854B32"/>
    <w:rsid w:val="00855F2B"/>
    <w:rsid w:val="00856252"/>
    <w:rsid w:val="00857634"/>
    <w:rsid w:val="0086124E"/>
    <w:rsid w:val="00861B74"/>
    <w:rsid w:val="008652C9"/>
    <w:rsid w:val="00866992"/>
    <w:rsid w:val="00872942"/>
    <w:rsid w:val="00875991"/>
    <w:rsid w:val="00875BB5"/>
    <w:rsid w:val="00877FDD"/>
    <w:rsid w:val="00880FED"/>
    <w:rsid w:val="008841C8"/>
    <w:rsid w:val="00885367"/>
    <w:rsid w:val="00887082"/>
    <w:rsid w:val="008928EE"/>
    <w:rsid w:val="00892BB8"/>
    <w:rsid w:val="00893014"/>
    <w:rsid w:val="0089513A"/>
    <w:rsid w:val="00896755"/>
    <w:rsid w:val="008A2417"/>
    <w:rsid w:val="008A5D49"/>
    <w:rsid w:val="008A751E"/>
    <w:rsid w:val="008B0547"/>
    <w:rsid w:val="008B11A3"/>
    <w:rsid w:val="008B1FE5"/>
    <w:rsid w:val="008B2AD7"/>
    <w:rsid w:val="008B3A74"/>
    <w:rsid w:val="008B3D72"/>
    <w:rsid w:val="008B434A"/>
    <w:rsid w:val="008B7B55"/>
    <w:rsid w:val="008C3A5B"/>
    <w:rsid w:val="008C5B71"/>
    <w:rsid w:val="008D2382"/>
    <w:rsid w:val="008D5667"/>
    <w:rsid w:val="008D6F5D"/>
    <w:rsid w:val="008E003A"/>
    <w:rsid w:val="008E15E3"/>
    <w:rsid w:val="008E2045"/>
    <w:rsid w:val="008E4C62"/>
    <w:rsid w:val="008E727E"/>
    <w:rsid w:val="008F2902"/>
    <w:rsid w:val="008F4593"/>
    <w:rsid w:val="008F660B"/>
    <w:rsid w:val="009005CE"/>
    <w:rsid w:val="00901376"/>
    <w:rsid w:val="009021A4"/>
    <w:rsid w:val="00904EC5"/>
    <w:rsid w:val="00905120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F7E"/>
    <w:rsid w:val="009440DE"/>
    <w:rsid w:val="009444E6"/>
    <w:rsid w:val="00944A8E"/>
    <w:rsid w:val="009455E6"/>
    <w:rsid w:val="00956BA7"/>
    <w:rsid w:val="00956FD8"/>
    <w:rsid w:val="009575F7"/>
    <w:rsid w:val="00957E4B"/>
    <w:rsid w:val="0096021A"/>
    <w:rsid w:val="00960F73"/>
    <w:rsid w:val="0096655D"/>
    <w:rsid w:val="00971139"/>
    <w:rsid w:val="00972B10"/>
    <w:rsid w:val="0097401F"/>
    <w:rsid w:val="00981FA0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62AF"/>
    <w:rsid w:val="009B7AB9"/>
    <w:rsid w:val="009C4B6D"/>
    <w:rsid w:val="009D0928"/>
    <w:rsid w:val="009D1B99"/>
    <w:rsid w:val="009D2884"/>
    <w:rsid w:val="009D5445"/>
    <w:rsid w:val="009D565F"/>
    <w:rsid w:val="009D65B9"/>
    <w:rsid w:val="009E04DC"/>
    <w:rsid w:val="009E0FB3"/>
    <w:rsid w:val="009E5105"/>
    <w:rsid w:val="009E59A1"/>
    <w:rsid w:val="009E66EE"/>
    <w:rsid w:val="009F4326"/>
    <w:rsid w:val="00A0244C"/>
    <w:rsid w:val="00A033FF"/>
    <w:rsid w:val="00A0409E"/>
    <w:rsid w:val="00A0570E"/>
    <w:rsid w:val="00A06137"/>
    <w:rsid w:val="00A063FE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9A8"/>
    <w:rsid w:val="00A30683"/>
    <w:rsid w:val="00A3115F"/>
    <w:rsid w:val="00A33030"/>
    <w:rsid w:val="00A378A2"/>
    <w:rsid w:val="00A407B6"/>
    <w:rsid w:val="00A52DA1"/>
    <w:rsid w:val="00A5757E"/>
    <w:rsid w:val="00A60F52"/>
    <w:rsid w:val="00A61DFE"/>
    <w:rsid w:val="00A62AA8"/>
    <w:rsid w:val="00A63B4C"/>
    <w:rsid w:val="00A6526F"/>
    <w:rsid w:val="00A664E7"/>
    <w:rsid w:val="00A66E7F"/>
    <w:rsid w:val="00A70904"/>
    <w:rsid w:val="00A75C52"/>
    <w:rsid w:val="00A767B2"/>
    <w:rsid w:val="00A816C5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49AF"/>
    <w:rsid w:val="00AA4F2F"/>
    <w:rsid w:val="00AA57CE"/>
    <w:rsid w:val="00AA7540"/>
    <w:rsid w:val="00AC0BAE"/>
    <w:rsid w:val="00AC126F"/>
    <w:rsid w:val="00AC4B34"/>
    <w:rsid w:val="00AD05A6"/>
    <w:rsid w:val="00AE05EA"/>
    <w:rsid w:val="00AE0EDF"/>
    <w:rsid w:val="00AE1128"/>
    <w:rsid w:val="00AE1AB0"/>
    <w:rsid w:val="00AE2609"/>
    <w:rsid w:val="00AE29A8"/>
    <w:rsid w:val="00AE439A"/>
    <w:rsid w:val="00AE617A"/>
    <w:rsid w:val="00AE713F"/>
    <w:rsid w:val="00AF09C7"/>
    <w:rsid w:val="00AF4BF4"/>
    <w:rsid w:val="00B03D35"/>
    <w:rsid w:val="00B05065"/>
    <w:rsid w:val="00B05194"/>
    <w:rsid w:val="00B17303"/>
    <w:rsid w:val="00B21343"/>
    <w:rsid w:val="00B219AA"/>
    <w:rsid w:val="00B25143"/>
    <w:rsid w:val="00B2585D"/>
    <w:rsid w:val="00B266FA"/>
    <w:rsid w:val="00B26C40"/>
    <w:rsid w:val="00B27359"/>
    <w:rsid w:val="00B33FC2"/>
    <w:rsid w:val="00B347F1"/>
    <w:rsid w:val="00B3502B"/>
    <w:rsid w:val="00B3599F"/>
    <w:rsid w:val="00B35C3E"/>
    <w:rsid w:val="00B36473"/>
    <w:rsid w:val="00B40BEA"/>
    <w:rsid w:val="00B44029"/>
    <w:rsid w:val="00B44FFA"/>
    <w:rsid w:val="00B45428"/>
    <w:rsid w:val="00B47943"/>
    <w:rsid w:val="00B50446"/>
    <w:rsid w:val="00B50A6E"/>
    <w:rsid w:val="00B512D2"/>
    <w:rsid w:val="00B527BF"/>
    <w:rsid w:val="00B530FD"/>
    <w:rsid w:val="00B53C9C"/>
    <w:rsid w:val="00B5639B"/>
    <w:rsid w:val="00B60C3E"/>
    <w:rsid w:val="00B615CB"/>
    <w:rsid w:val="00B645FA"/>
    <w:rsid w:val="00B64775"/>
    <w:rsid w:val="00B67B4F"/>
    <w:rsid w:val="00B81718"/>
    <w:rsid w:val="00B86AF6"/>
    <w:rsid w:val="00B86E2A"/>
    <w:rsid w:val="00B877AA"/>
    <w:rsid w:val="00B9389E"/>
    <w:rsid w:val="00B96EA4"/>
    <w:rsid w:val="00B97A3E"/>
    <w:rsid w:val="00BA2F02"/>
    <w:rsid w:val="00BA2FFD"/>
    <w:rsid w:val="00BA58B6"/>
    <w:rsid w:val="00BA62AD"/>
    <w:rsid w:val="00BB0267"/>
    <w:rsid w:val="00BB37AF"/>
    <w:rsid w:val="00BB4C08"/>
    <w:rsid w:val="00BB61BE"/>
    <w:rsid w:val="00BC1DBD"/>
    <w:rsid w:val="00BC5737"/>
    <w:rsid w:val="00BD1747"/>
    <w:rsid w:val="00BD3C68"/>
    <w:rsid w:val="00BD421D"/>
    <w:rsid w:val="00BD6B87"/>
    <w:rsid w:val="00BD73FC"/>
    <w:rsid w:val="00BE04D9"/>
    <w:rsid w:val="00BE4614"/>
    <w:rsid w:val="00BE4E6F"/>
    <w:rsid w:val="00BE5100"/>
    <w:rsid w:val="00BE529D"/>
    <w:rsid w:val="00BE6637"/>
    <w:rsid w:val="00BF10E8"/>
    <w:rsid w:val="00BF3158"/>
    <w:rsid w:val="00BF51B7"/>
    <w:rsid w:val="00C03312"/>
    <w:rsid w:val="00C039A5"/>
    <w:rsid w:val="00C03A04"/>
    <w:rsid w:val="00C046F7"/>
    <w:rsid w:val="00C10C0B"/>
    <w:rsid w:val="00C10DD5"/>
    <w:rsid w:val="00C1776A"/>
    <w:rsid w:val="00C22519"/>
    <w:rsid w:val="00C2305C"/>
    <w:rsid w:val="00C233D0"/>
    <w:rsid w:val="00C2380D"/>
    <w:rsid w:val="00C24162"/>
    <w:rsid w:val="00C2509D"/>
    <w:rsid w:val="00C34ABD"/>
    <w:rsid w:val="00C35F43"/>
    <w:rsid w:val="00C37088"/>
    <w:rsid w:val="00C408D5"/>
    <w:rsid w:val="00C41D3C"/>
    <w:rsid w:val="00C43801"/>
    <w:rsid w:val="00C44A07"/>
    <w:rsid w:val="00C44BDC"/>
    <w:rsid w:val="00C45BFB"/>
    <w:rsid w:val="00C45DCE"/>
    <w:rsid w:val="00C50FF9"/>
    <w:rsid w:val="00C54B14"/>
    <w:rsid w:val="00C6352A"/>
    <w:rsid w:val="00C65B2D"/>
    <w:rsid w:val="00C65C5D"/>
    <w:rsid w:val="00C6656A"/>
    <w:rsid w:val="00C711E5"/>
    <w:rsid w:val="00C730CB"/>
    <w:rsid w:val="00C73782"/>
    <w:rsid w:val="00C80D90"/>
    <w:rsid w:val="00C81B05"/>
    <w:rsid w:val="00C83AEE"/>
    <w:rsid w:val="00C85563"/>
    <w:rsid w:val="00C85AC7"/>
    <w:rsid w:val="00C9045E"/>
    <w:rsid w:val="00C906CD"/>
    <w:rsid w:val="00CA0FB8"/>
    <w:rsid w:val="00CA15F3"/>
    <w:rsid w:val="00CA2680"/>
    <w:rsid w:val="00CA4D23"/>
    <w:rsid w:val="00CA6716"/>
    <w:rsid w:val="00CB0D34"/>
    <w:rsid w:val="00CC1939"/>
    <w:rsid w:val="00CC42D4"/>
    <w:rsid w:val="00CC7712"/>
    <w:rsid w:val="00CD179A"/>
    <w:rsid w:val="00CD2536"/>
    <w:rsid w:val="00CD407F"/>
    <w:rsid w:val="00CE6D09"/>
    <w:rsid w:val="00CF0E4D"/>
    <w:rsid w:val="00CF230D"/>
    <w:rsid w:val="00CF5489"/>
    <w:rsid w:val="00CF7615"/>
    <w:rsid w:val="00D003F8"/>
    <w:rsid w:val="00D02FB7"/>
    <w:rsid w:val="00D04613"/>
    <w:rsid w:val="00D10769"/>
    <w:rsid w:val="00D11642"/>
    <w:rsid w:val="00D116C7"/>
    <w:rsid w:val="00D13AC5"/>
    <w:rsid w:val="00D148F3"/>
    <w:rsid w:val="00D14E5F"/>
    <w:rsid w:val="00D14FB2"/>
    <w:rsid w:val="00D17CC6"/>
    <w:rsid w:val="00D2041E"/>
    <w:rsid w:val="00D20454"/>
    <w:rsid w:val="00D20D10"/>
    <w:rsid w:val="00D23801"/>
    <w:rsid w:val="00D341C9"/>
    <w:rsid w:val="00D3447D"/>
    <w:rsid w:val="00D3488B"/>
    <w:rsid w:val="00D361DE"/>
    <w:rsid w:val="00D3793E"/>
    <w:rsid w:val="00D41A6A"/>
    <w:rsid w:val="00D44B3D"/>
    <w:rsid w:val="00D46C4C"/>
    <w:rsid w:val="00D51F18"/>
    <w:rsid w:val="00D53537"/>
    <w:rsid w:val="00D551C8"/>
    <w:rsid w:val="00D564BB"/>
    <w:rsid w:val="00D565FA"/>
    <w:rsid w:val="00D568ED"/>
    <w:rsid w:val="00D6014E"/>
    <w:rsid w:val="00D630E7"/>
    <w:rsid w:val="00D700E5"/>
    <w:rsid w:val="00D71B77"/>
    <w:rsid w:val="00D76186"/>
    <w:rsid w:val="00D771E9"/>
    <w:rsid w:val="00D86DD4"/>
    <w:rsid w:val="00D92529"/>
    <w:rsid w:val="00DA1613"/>
    <w:rsid w:val="00DA5AAB"/>
    <w:rsid w:val="00DA671A"/>
    <w:rsid w:val="00DA6858"/>
    <w:rsid w:val="00DB1CD7"/>
    <w:rsid w:val="00DB2651"/>
    <w:rsid w:val="00DB30B1"/>
    <w:rsid w:val="00DB4717"/>
    <w:rsid w:val="00DC12C8"/>
    <w:rsid w:val="00DC6F31"/>
    <w:rsid w:val="00DD6D82"/>
    <w:rsid w:val="00DE045E"/>
    <w:rsid w:val="00DE1240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75EC"/>
    <w:rsid w:val="00E0133D"/>
    <w:rsid w:val="00E019ED"/>
    <w:rsid w:val="00E0312F"/>
    <w:rsid w:val="00E04C48"/>
    <w:rsid w:val="00E06065"/>
    <w:rsid w:val="00E079C6"/>
    <w:rsid w:val="00E146CF"/>
    <w:rsid w:val="00E17711"/>
    <w:rsid w:val="00E23C05"/>
    <w:rsid w:val="00E2425F"/>
    <w:rsid w:val="00E247E2"/>
    <w:rsid w:val="00E304EB"/>
    <w:rsid w:val="00E329D0"/>
    <w:rsid w:val="00E33746"/>
    <w:rsid w:val="00E342B3"/>
    <w:rsid w:val="00E3451F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73271"/>
    <w:rsid w:val="00E735DA"/>
    <w:rsid w:val="00E74214"/>
    <w:rsid w:val="00E74762"/>
    <w:rsid w:val="00E74D52"/>
    <w:rsid w:val="00E75855"/>
    <w:rsid w:val="00E7609C"/>
    <w:rsid w:val="00E85CBE"/>
    <w:rsid w:val="00E86566"/>
    <w:rsid w:val="00E875F5"/>
    <w:rsid w:val="00E92527"/>
    <w:rsid w:val="00E92A93"/>
    <w:rsid w:val="00E97045"/>
    <w:rsid w:val="00EA270C"/>
    <w:rsid w:val="00EA5CF4"/>
    <w:rsid w:val="00EB09B9"/>
    <w:rsid w:val="00EB3C35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D3D84"/>
    <w:rsid w:val="00ED766C"/>
    <w:rsid w:val="00ED76FB"/>
    <w:rsid w:val="00EE30EE"/>
    <w:rsid w:val="00EE3C6D"/>
    <w:rsid w:val="00EE4C6E"/>
    <w:rsid w:val="00EE61B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24232"/>
    <w:rsid w:val="00F27170"/>
    <w:rsid w:val="00F30016"/>
    <w:rsid w:val="00F31C75"/>
    <w:rsid w:val="00F32543"/>
    <w:rsid w:val="00F33277"/>
    <w:rsid w:val="00F340CD"/>
    <w:rsid w:val="00F341CC"/>
    <w:rsid w:val="00F40CAB"/>
    <w:rsid w:val="00F47C5C"/>
    <w:rsid w:val="00F54856"/>
    <w:rsid w:val="00F57650"/>
    <w:rsid w:val="00F579FC"/>
    <w:rsid w:val="00F60C74"/>
    <w:rsid w:val="00F62773"/>
    <w:rsid w:val="00F64F51"/>
    <w:rsid w:val="00F67A35"/>
    <w:rsid w:val="00F765E8"/>
    <w:rsid w:val="00F8200C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BA6"/>
    <w:rsid w:val="00FB4D65"/>
    <w:rsid w:val="00FB5954"/>
    <w:rsid w:val="00FB6695"/>
    <w:rsid w:val="00FC0253"/>
    <w:rsid w:val="00FC0CDF"/>
    <w:rsid w:val="00FC0D7C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0CE6"/>
    <w:rsid w:val="00FE79EF"/>
    <w:rsid w:val="00FF025A"/>
    <w:rsid w:val="00FF088B"/>
    <w:rsid w:val="00FF0AC4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A8848D3-6D10-4A6B-ABD9-AE6668D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uiPriority w:val="99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3120</Words>
  <Characters>16853</Characters>
  <Application>Microsoft Office Word</Application>
  <DocSecurity>4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19934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2011-05-12T22:23:00Z</cp:lastPrinted>
  <dcterms:created xsi:type="dcterms:W3CDTF">2015-05-07T12:37:00Z</dcterms:created>
  <dcterms:modified xsi:type="dcterms:W3CDTF">2015-05-07T12:37:00Z</dcterms:modified>
</cp:coreProperties>
</file>