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097863" w:rsidRDefault="009444E6" w:rsidP="00097863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Sessões: </w:t>
      </w:r>
      <w:r w:rsidR="00812C2B">
        <w:rPr>
          <w:rFonts w:ascii="Times New Roman" w:hAnsi="Times New Roman"/>
          <w:b/>
          <w:i w:val="0"/>
          <w:color w:val="000000"/>
          <w:sz w:val="22"/>
          <w:szCs w:val="22"/>
        </w:rPr>
        <w:t>5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F01B31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812C2B">
        <w:rPr>
          <w:rFonts w:ascii="Times New Roman" w:hAnsi="Times New Roman"/>
          <w:b/>
          <w:i w:val="0"/>
          <w:color w:val="000000"/>
          <w:sz w:val="22"/>
          <w:szCs w:val="22"/>
        </w:rPr>
        <w:t>6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</w:t>
      </w:r>
      <w:r w:rsidR="00812C2B">
        <w:rPr>
          <w:rFonts w:ascii="Times New Roman" w:hAnsi="Times New Roman"/>
          <w:b/>
          <w:i w:val="0"/>
          <w:color w:val="000000"/>
          <w:sz w:val="22"/>
          <w:szCs w:val="22"/>
        </w:rPr>
        <w:t>abril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201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</w:p>
    <w:p w:rsidR="002D35F5" w:rsidRPr="00097863" w:rsidRDefault="002D35F5" w:rsidP="00097863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0978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097863" w:rsidRDefault="00FF7C62" w:rsidP="00097863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D53537" w:rsidRDefault="002D35F5" w:rsidP="006C7DE0">
      <w:pPr>
        <w:pBdr>
          <w:top w:val="threeDEmboss" w:sz="24" w:space="2" w:color="auto"/>
        </w:pBdr>
        <w:tabs>
          <w:tab w:val="left" w:pos="284"/>
        </w:tabs>
        <w:spacing w:before="60" w:after="6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D53537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861B74" w:rsidRDefault="009444E6" w:rsidP="00861B74">
      <w:pPr>
        <w:pStyle w:val="tita"/>
        <w:spacing w:before="60" w:after="60" w:line="240" w:lineRule="auto"/>
        <w:jc w:val="both"/>
        <w:rPr>
          <w:b w:val="0"/>
          <w:i w:val="0"/>
          <w:iCs w:val="0"/>
          <w:color w:val="000000"/>
          <w:sz w:val="22"/>
          <w:szCs w:val="22"/>
        </w:rPr>
      </w:pPr>
      <w:r w:rsidRPr="00861B74">
        <w:rPr>
          <w:b w:val="0"/>
          <w:i w:val="0"/>
          <w:iCs w:val="0"/>
          <w:color w:val="000000"/>
          <w:sz w:val="22"/>
          <w:szCs w:val="22"/>
        </w:rPr>
        <w:t>Plenário</w:t>
      </w:r>
    </w:p>
    <w:p w:rsidR="00861B74" w:rsidRPr="00861B74" w:rsidRDefault="00861B74" w:rsidP="00861B74">
      <w:pPr>
        <w:pStyle w:val="TCU-Recuo1Linha"/>
        <w:tabs>
          <w:tab w:val="left" w:pos="1134"/>
        </w:tabs>
        <w:spacing w:before="60" w:after="60"/>
        <w:ind w:firstLine="0"/>
        <w:rPr>
          <w:color w:val="FF0000"/>
          <w:sz w:val="22"/>
          <w:szCs w:val="22"/>
        </w:rPr>
      </w:pPr>
      <w:r w:rsidRPr="00861B74">
        <w:rPr>
          <w:sz w:val="22"/>
          <w:szCs w:val="22"/>
        </w:rPr>
        <w:t>É admissível cláusula de edital de licitação com a exigência de que suprimentos e/ou peças de reposição de equipamentos de informática a serem adquiridos sejam da mesma marca dos equipamentos originais, quando estes se encontram no período de garantia e o termo desta última estabelece a não cobertura de defeitos em razão do uso de suprimentos e peças de outras marcas</w:t>
      </w:r>
      <w:r>
        <w:rPr>
          <w:sz w:val="22"/>
          <w:szCs w:val="22"/>
        </w:rPr>
        <w:t>.</w:t>
      </w:r>
      <w:r w:rsidRPr="00861B74">
        <w:rPr>
          <w:i/>
          <w:sz w:val="22"/>
          <w:szCs w:val="22"/>
        </w:rPr>
        <w:t xml:space="preserve"> </w:t>
      </w:r>
    </w:p>
    <w:p w:rsidR="00861B74" w:rsidRPr="00861B74" w:rsidRDefault="00861B74" w:rsidP="00861B74">
      <w:pPr>
        <w:pStyle w:val="TCU-RelVoto-1"/>
        <w:tabs>
          <w:tab w:val="left" w:pos="1134"/>
        </w:tabs>
        <w:spacing w:before="60" w:after="60"/>
        <w:ind w:firstLine="0"/>
        <w:rPr>
          <w:color w:val="FF0000"/>
          <w:sz w:val="22"/>
          <w:lang w:eastAsia="pt-BR"/>
        </w:rPr>
      </w:pPr>
      <w:r w:rsidRPr="00861B74">
        <w:rPr>
          <w:sz w:val="22"/>
          <w:lang w:eastAsia="pt-BR"/>
        </w:rPr>
        <w:t xml:space="preserve">Como regra, as minutas dos contratos a serem firmados por instituição pública devem passar pelo exame da área jurídica. Todavia, em caráter excepcional, é possível a utilização de minuta-padrão, </w:t>
      </w:r>
      <w:r w:rsidRPr="00861B74">
        <w:rPr>
          <w:sz w:val="22"/>
        </w:rPr>
        <w:t>previamente aprovada pela assessoria jurídica, quando houver identidade de objeto e não restarem dúvidas acerca da possibilidade de adequação das cláusulas exigidas no contrato pretendido às cláusulas previamente estabelecidas</w:t>
      </w:r>
      <w:r>
        <w:rPr>
          <w:sz w:val="22"/>
        </w:rPr>
        <w:t>.</w:t>
      </w:r>
      <w:r w:rsidRPr="00861B74">
        <w:rPr>
          <w:sz w:val="22"/>
        </w:rPr>
        <w:t xml:space="preserve"> </w:t>
      </w:r>
    </w:p>
    <w:p w:rsidR="00861B74" w:rsidRPr="00861B74" w:rsidRDefault="00861B74" w:rsidP="00861B74">
      <w:pPr>
        <w:pStyle w:val="TCU-RelVoto-1"/>
        <w:tabs>
          <w:tab w:val="left" w:pos="1134"/>
        </w:tabs>
        <w:spacing w:before="60" w:after="60"/>
        <w:ind w:firstLine="0"/>
        <w:rPr>
          <w:sz w:val="22"/>
          <w:lang w:eastAsia="pt-BR"/>
        </w:rPr>
      </w:pPr>
      <w:r w:rsidRPr="00861B74">
        <w:rPr>
          <w:sz w:val="22"/>
          <w:lang w:eastAsia="pt-BR"/>
        </w:rPr>
        <w:t>O fiscal do contrato não pode ser responsabilizado, caso não possua condições apropriadas para o desempenho de suas atribuições</w:t>
      </w:r>
      <w:r>
        <w:rPr>
          <w:sz w:val="22"/>
          <w:lang w:eastAsia="pt-BR"/>
        </w:rPr>
        <w:t>.</w:t>
      </w:r>
    </w:p>
    <w:p w:rsidR="00861B74" w:rsidRPr="007A0CB8" w:rsidRDefault="00861B74" w:rsidP="00861B74">
      <w:pPr>
        <w:spacing w:before="60" w:after="60"/>
        <w:ind w:left="0"/>
        <w:rPr>
          <w:sz w:val="22"/>
          <w:szCs w:val="22"/>
          <w:lang w:eastAsia="pt-BR"/>
        </w:rPr>
      </w:pPr>
      <w:r w:rsidRPr="007A0CB8">
        <w:rPr>
          <w:sz w:val="22"/>
          <w:szCs w:val="22"/>
          <w:lang w:eastAsia="pt-BR"/>
        </w:rPr>
        <w:t xml:space="preserve">Valores correspondentes a serviços de mobilização/desmobilização devem constar da planilha de custos diretos. </w:t>
      </w:r>
    </w:p>
    <w:p w:rsidR="006C7DE0" w:rsidRPr="006C7DE0" w:rsidRDefault="006C7DE0" w:rsidP="006C7DE0">
      <w:pPr>
        <w:pStyle w:val="TCU-RelVoto-1"/>
        <w:tabs>
          <w:tab w:val="left" w:pos="1134"/>
        </w:tabs>
        <w:spacing w:after="0"/>
        <w:ind w:firstLine="0"/>
        <w:rPr>
          <w:b/>
          <w:color w:val="000000"/>
          <w:sz w:val="22"/>
          <w:lang w:eastAsia="pt-BR"/>
        </w:rPr>
      </w:pPr>
    </w:p>
    <w:p w:rsidR="003C6DEB" w:rsidRPr="00D53537" w:rsidRDefault="003C6DEB" w:rsidP="00A06EDB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Pr="006C7DE0" w:rsidRDefault="003C6DEB" w:rsidP="001C71E3">
      <w:pPr>
        <w:pStyle w:val="tita"/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1C71E3" w:rsidRPr="00861B74" w:rsidRDefault="007C7359" w:rsidP="00861B74">
      <w:pPr>
        <w:pStyle w:val="TCU-Recuo1Linha"/>
        <w:tabs>
          <w:tab w:val="left" w:pos="1134"/>
        </w:tabs>
        <w:spacing w:after="0"/>
        <w:ind w:firstLine="0"/>
        <w:rPr>
          <w:b/>
          <w:color w:val="FF0000"/>
          <w:sz w:val="22"/>
          <w:szCs w:val="22"/>
        </w:rPr>
      </w:pPr>
      <w:r w:rsidRPr="00861B74">
        <w:rPr>
          <w:b/>
          <w:sz w:val="22"/>
          <w:szCs w:val="22"/>
        </w:rPr>
        <w:t>É admissível cláusula de edital de licitação com a exigência de que suprimentos e/ou peças de reposição de equipamentos de informática a serem adquiridos sejam da mesma marca dos equipamentos originais, quando estes se encontram no período de garantia e o termo desta última estabelece a não cobertura de defeitos em razão do uso de suprimentos e peças de outras marcas</w:t>
      </w:r>
      <w:r w:rsidRPr="00861B74">
        <w:rPr>
          <w:i/>
          <w:sz w:val="22"/>
          <w:szCs w:val="22"/>
        </w:rPr>
        <w:t xml:space="preserve"> </w:t>
      </w:r>
    </w:p>
    <w:p w:rsidR="00545A47" w:rsidRPr="00861B74" w:rsidRDefault="00405316" w:rsidP="00861B74">
      <w:pPr>
        <w:pStyle w:val="TCU-RelVoto-demais"/>
        <w:spacing w:after="0"/>
        <w:rPr>
          <w:b/>
          <w:i/>
          <w:color w:val="000000"/>
          <w:sz w:val="22"/>
        </w:rPr>
      </w:pPr>
      <w:r w:rsidRPr="00861B74">
        <w:rPr>
          <w:sz w:val="22"/>
        </w:rPr>
        <w:t>“</w:t>
      </w:r>
      <w:r w:rsidRPr="00861B74">
        <w:rPr>
          <w:i/>
          <w:sz w:val="22"/>
        </w:rPr>
        <w:t>Admite-se como legal cláusula editalícia que exija que suprimentos e/ou peças de reposição de equipamentos de informática sejam da mesma marca dos equipamentos originais, quando esses se encontrarem no prazo de garantia e os termos da garantia expressamente consignarem que ela não cobrirá defeitos ocasionados pela utilização de suprimentos e/ou peças de outras marcas</w:t>
      </w:r>
      <w:r w:rsidRPr="00861B74">
        <w:rPr>
          <w:sz w:val="22"/>
        </w:rPr>
        <w:t>”.</w:t>
      </w:r>
      <w:r w:rsidR="00CA4D23" w:rsidRPr="00861B74">
        <w:rPr>
          <w:sz w:val="22"/>
        </w:rPr>
        <w:t xml:space="preserve"> Com base neste entendimento, o TCU negou provimento à representação intentada em desfavor do Pregão nº 29/2010</w:t>
      </w:r>
      <w:r w:rsidR="00242061" w:rsidRPr="00861B74">
        <w:rPr>
          <w:sz w:val="22"/>
        </w:rPr>
        <w:t xml:space="preserve">, </w:t>
      </w:r>
      <w:r w:rsidR="00CA4D23" w:rsidRPr="00861B74">
        <w:rPr>
          <w:sz w:val="22"/>
        </w:rPr>
        <w:t>promovido pela Advocacia Geral da União – Unidade Regional de Atendimento em Pernambuco - (URA/PE), cujo objeto consistiu no r</w:t>
      </w:r>
      <w:r w:rsidR="00CA4D23" w:rsidRPr="00861B74">
        <w:rPr>
          <w:iCs/>
          <w:sz w:val="22"/>
        </w:rPr>
        <w:t>egistro de preços para eventuais aquisiç</w:t>
      </w:r>
      <w:r w:rsidR="00242061" w:rsidRPr="00861B74">
        <w:rPr>
          <w:iCs/>
          <w:sz w:val="22"/>
        </w:rPr>
        <w:t>ões</w:t>
      </w:r>
      <w:r w:rsidR="00CA4D23" w:rsidRPr="00861B74">
        <w:rPr>
          <w:iCs/>
          <w:sz w:val="22"/>
        </w:rPr>
        <w:t xml:space="preserve"> de suprimentos de informática, com o fim de atender às necessidades da URA/PE e demais unidades administrativas participantes do certame.</w:t>
      </w:r>
      <w:r w:rsidR="00CA4D23" w:rsidRPr="00861B74">
        <w:rPr>
          <w:sz w:val="22"/>
        </w:rPr>
        <w:t xml:space="preserve"> O item 01 da licitação</w:t>
      </w:r>
      <w:r w:rsidR="00242061" w:rsidRPr="00861B74">
        <w:rPr>
          <w:sz w:val="22"/>
        </w:rPr>
        <w:t xml:space="preserve">, </w:t>
      </w:r>
      <w:r w:rsidR="00CA4D23" w:rsidRPr="00861B74">
        <w:rPr>
          <w:sz w:val="22"/>
        </w:rPr>
        <w:t>destina</w:t>
      </w:r>
      <w:r w:rsidR="00242061" w:rsidRPr="00861B74">
        <w:rPr>
          <w:sz w:val="22"/>
        </w:rPr>
        <w:t>do</w:t>
      </w:r>
      <w:r w:rsidR="00CA4D23" w:rsidRPr="00861B74">
        <w:rPr>
          <w:sz w:val="22"/>
        </w:rPr>
        <w:t xml:space="preserve"> à aquisição de cartucho</w:t>
      </w:r>
      <w:r w:rsidR="00457F93" w:rsidRPr="00861B74">
        <w:rPr>
          <w:sz w:val="22"/>
        </w:rPr>
        <w:t>s</w:t>
      </w:r>
      <w:r w:rsidR="00CA4D23" w:rsidRPr="00861B74">
        <w:rPr>
          <w:sz w:val="22"/>
        </w:rPr>
        <w:t xml:space="preserve"> de </w:t>
      </w:r>
      <w:r w:rsidR="00CA4D23" w:rsidRPr="00861B74">
        <w:rPr>
          <w:b/>
          <w:sz w:val="22"/>
        </w:rPr>
        <w:t>toner</w:t>
      </w:r>
      <w:r w:rsidR="00CA4D23" w:rsidRPr="00861B74">
        <w:rPr>
          <w:sz w:val="22"/>
        </w:rPr>
        <w:t xml:space="preserve"> para impressoras </w:t>
      </w:r>
      <w:r w:rsidR="00242061" w:rsidRPr="00861B74">
        <w:rPr>
          <w:sz w:val="22"/>
        </w:rPr>
        <w:t xml:space="preserve">da marca </w:t>
      </w:r>
      <w:r w:rsidR="00CA4D23" w:rsidRPr="00861B74">
        <w:rPr>
          <w:sz w:val="22"/>
        </w:rPr>
        <w:t>Samsung</w:t>
      </w:r>
      <w:r w:rsidR="00242061" w:rsidRPr="00861B74">
        <w:rPr>
          <w:sz w:val="22"/>
        </w:rPr>
        <w:t xml:space="preserve">, levou ao inconformismo da representante, em virtude do fato de terem sido exigidos cartuchos </w:t>
      </w:r>
      <w:r w:rsidR="00242061" w:rsidRPr="00861B74">
        <w:rPr>
          <w:iCs/>
          <w:sz w:val="22"/>
        </w:rPr>
        <w:t xml:space="preserve">originais e genuínos da mesma marca da impressora, em </w:t>
      </w:r>
      <w:r w:rsidR="00457F93" w:rsidRPr="00861B74">
        <w:rPr>
          <w:iCs/>
          <w:sz w:val="22"/>
        </w:rPr>
        <w:t>razão de condição para a manutenção</w:t>
      </w:r>
      <w:r w:rsidR="00242061" w:rsidRPr="00861B74">
        <w:rPr>
          <w:iCs/>
          <w:sz w:val="22"/>
        </w:rPr>
        <w:t xml:space="preserve"> da garantia dos equipamentos</w:t>
      </w:r>
      <w:r w:rsidR="00242061" w:rsidRPr="00861B74">
        <w:rPr>
          <w:i/>
          <w:iCs/>
          <w:sz w:val="22"/>
        </w:rPr>
        <w:t xml:space="preserve">. </w:t>
      </w:r>
      <w:r w:rsidR="00457F93" w:rsidRPr="00861B74">
        <w:rPr>
          <w:iCs/>
          <w:sz w:val="22"/>
        </w:rPr>
        <w:t>Para a representante</w:t>
      </w:r>
      <w:r w:rsidR="00242061" w:rsidRPr="00861B74">
        <w:rPr>
          <w:iCs/>
          <w:sz w:val="22"/>
        </w:rPr>
        <w:t xml:space="preserve">, tal cláusula seria restritiva à competitividade e feriria o estatuto das licitações. Ao examinar o argumento, o relator, inicialmente, enfatizou que a </w:t>
      </w:r>
      <w:r w:rsidR="00242061" w:rsidRPr="00861B74">
        <w:rPr>
          <w:sz w:val="22"/>
        </w:rPr>
        <w:t xml:space="preserve">jurisprudência do Tribunal é firme em condenar a especificação de marca para a aquisição de </w:t>
      </w:r>
      <w:r w:rsidR="00242061" w:rsidRPr="00861B74">
        <w:rPr>
          <w:b/>
          <w:sz w:val="22"/>
        </w:rPr>
        <w:t>toner</w:t>
      </w:r>
      <w:r w:rsidR="00242061" w:rsidRPr="00861B74">
        <w:rPr>
          <w:sz w:val="22"/>
        </w:rPr>
        <w:t xml:space="preserve"> para impressoras</w:t>
      </w:r>
      <w:r w:rsidR="000C4A10" w:rsidRPr="00861B74">
        <w:rPr>
          <w:sz w:val="22"/>
        </w:rPr>
        <w:t xml:space="preserve">, admitindo-se apenas </w:t>
      </w:r>
      <w:r w:rsidR="000C4A10" w:rsidRPr="00861B74">
        <w:rPr>
          <w:i/>
          <w:iCs/>
          <w:sz w:val="22"/>
        </w:rPr>
        <w:t>“a exigência de cartuchos originais, assim considerados aqueles produzidos ou pelo fabricante da impressora ou por outro fabricante de cartuchos de impressão, assegurada a qualidade do produto pelo próprio fabricante”</w:t>
      </w:r>
      <w:r w:rsidR="000C4A10" w:rsidRPr="00861B74">
        <w:rPr>
          <w:iCs/>
          <w:sz w:val="22"/>
        </w:rPr>
        <w:t>.</w:t>
      </w:r>
      <w:r w:rsidR="000C4A10" w:rsidRPr="00861B74">
        <w:rPr>
          <w:i/>
          <w:iCs/>
          <w:sz w:val="22"/>
        </w:rPr>
        <w:t xml:space="preserve"> </w:t>
      </w:r>
      <w:r w:rsidR="00F32543" w:rsidRPr="00861B74">
        <w:rPr>
          <w:sz w:val="22"/>
        </w:rPr>
        <w:t>Todavia, na espécie, caberia, para o relator, invocar o art. 15, I, da Lei n° 8.666/93, que estatui que as compras, sempre que possível, deveriam “</w:t>
      </w:r>
      <w:r w:rsidR="00F32543" w:rsidRPr="00861B74">
        <w:rPr>
          <w:i/>
          <w:sz w:val="22"/>
        </w:rPr>
        <w:t>atender ao princípio da padronização, que imponha compatibilidade de especificações técnicas e de desempenho, observadas, quando for o caso, as condições de manutenção, assistência técnica e garantia oferecidas</w:t>
      </w:r>
      <w:r w:rsidR="00F32543" w:rsidRPr="00861B74">
        <w:rPr>
          <w:sz w:val="22"/>
        </w:rPr>
        <w:t xml:space="preserve">”. </w:t>
      </w:r>
      <w:r w:rsidR="00457F93" w:rsidRPr="00861B74">
        <w:rPr>
          <w:sz w:val="22"/>
        </w:rPr>
        <w:t>Destacou o relator que, a</w:t>
      </w:r>
      <w:r w:rsidR="00F32543" w:rsidRPr="00861B74">
        <w:rPr>
          <w:sz w:val="22"/>
        </w:rPr>
        <w:t>o tempo do Pregão nº 29/2010, as impressoras da URA/PE ainda estavam sob garantia, sendo que o termo desta previa o cancelamento na hipótese de defeitos e danos causados pelo uso de software, hardware, peças, acessórios, consumíveis, cartucho/cilindro não compatíveis com as especificações da impressora Samsung e/ou reprocessados e/ou fornecidos por fabricantes não reconhecidos pela Samsung. Assim, para que a garantia fosse mantida, não bastaria a utilização de cartuchos similares, fazendo-se necessário que fossem fornecidos por fabricantes reconhecidos pela Samsung, a qual</w:t>
      </w:r>
      <w:r w:rsidR="00457F93" w:rsidRPr="00861B74">
        <w:rPr>
          <w:sz w:val="22"/>
        </w:rPr>
        <w:t>, entretanto,</w:t>
      </w:r>
      <w:r w:rsidR="00F32543" w:rsidRPr="00861B74">
        <w:rPr>
          <w:sz w:val="22"/>
        </w:rPr>
        <w:t xml:space="preserve"> </w:t>
      </w:r>
      <w:r w:rsidR="00F32543" w:rsidRPr="00861B74">
        <w:rPr>
          <w:color w:val="000000"/>
          <w:sz w:val="22"/>
        </w:rPr>
        <w:t>não reconhece</w:t>
      </w:r>
      <w:r w:rsidR="00457F93" w:rsidRPr="00861B74">
        <w:rPr>
          <w:color w:val="000000"/>
          <w:sz w:val="22"/>
        </w:rPr>
        <w:t>u</w:t>
      </w:r>
      <w:r w:rsidR="00F32543" w:rsidRPr="00861B74">
        <w:rPr>
          <w:color w:val="000000"/>
          <w:sz w:val="22"/>
        </w:rPr>
        <w:t xml:space="preserve"> ou certificou, no Brasil, empresa para a produção de cartuchos de </w:t>
      </w:r>
      <w:r w:rsidR="00F32543" w:rsidRPr="00861B74">
        <w:rPr>
          <w:b/>
          <w:color w:val="000000"/>
          <w:sz w:val="22"/>
        </w:rPr>
        <w:t>toner</w:t>
      </w:r>
      <w:r w:rsidR="00F32543" w:rsidRPr="00861B74">
        <w:rPr>
          <w:rFonts w:ascii="Arial" w:hAnsi="Arial" w:cs="Arial"/>
          <w:sz w:val="22"/>
        </w:rPr>
        <w:t xml:space="preserve">. </w:t>
      </w:r>
      <w:r w:rsidR="00F32543" w:rsidRPr="00861B74">
        <w:rPr>
          <w:sz w:val="22"/>
        </w:rPr>
        <w:t xml:space="preserve">Nesse quadro, </w:t>
      </w:r>
      <w:r w:rsidR="00457F93" w:rsidRPr="00861B74">
        <w:rPr>
          <w:sz w:val="22"/>
        </w:rPr>
        <w:t xml:space="preserve">ainda segundo o relator, </w:t>
      </w:r>
      <w:r w:rsidR="00F32543" w:rsidRPr="00861B74">
        <w:rPr>
          <w:sz w:val="22"/>
        </w:rPr>
        <w:t>somente a utilização de cartuchos fornecidos pela Samsung seria capaz de assegurar a manuten</w:t>
      </w:r>
      <w:r w:rsidR="004D6C65" w:rsidRPr="00861B74">
        <w:rPr>
          <w:sz w:val="22"/>
        </w:rPr>
        <w:t>ção da garantia das impressoras, não havendo, destarte, irregularidade na exigência editalícia. Contudo, o relator entendeu pertinente a expedição de alerta à URA/PE para que</w:t>
      </w:r>
      <w:r w:rsidR="00130A0C" w:rsidRPr="00861B74">
        <w:rPr>
          <w:sz w:val="22"/>
        </w:rPr>
        <w:t>,</w:t>
      </w:r>
      <w:r w:rsidR="004D6C65" w:rsidRPr="00861B74">
        <w:rPr>
          <w:sz w:val="22"/>
        </w:rPr>
        <w:t xml:space="preserve"> em futuros processos licitatórios que tratem de necessidades e circunstâncias semelhantes às do Pregão Eletrônico n° 29/2010, atente para a correta redação da exigência </w:t>
      </w:r>
      <w:r w:rsidR="00130A0C" w:rsidRPr="00861B74">
        <w:rPr>
          <w:sz w:val="22"/>
        </w:rPr>
        <w:t xml:space="preserve">a ser aposta no </w:t>
      </w:r>
      <w:r w:rsidR="004D6C65" w:rsidRPr="00861B74">
        <w:rPr>
          <w:sz w:val="22"/>
        </w:rPr>
        <w:t>edital, mencionando “cartuchos originais ou certificados pelo fabricante” em vez de “cartucho</w:t>
      </w:r>
      <w:r w:rsidR="007C7359" w:rsidRPr="00861B74">
        <w:rPr>
          <w:sz w:val="22"/>
        </w:rPr>
        <w:t xml:space="preserve">s da mesma marca da impressora”. O </w:t>
      </w:r>
      <w:r w:rsidR="004D6C65" w:rsidRPr="00861B74">
        <w:rPr>
          <w:sz w:val="22"/>
        </w:rPr>
        <w:t>Plenário</w:t>
      </w:r>
      <w:r w:rsidR="007C7359" w:rsidRPr="00861B74">
        <w:rPr>
          <w:sz w:val="22"/>
        </w:rPr>
        <w:t>, nos termos do voto do Relator, manifestou sua anuência</w:t>
      </w:r>
      <w:r w:rsidR="004D6C65" w:rsidRPr="00861B74">
        <w:rPr>
          <w:sz w:val="22"/>
        </w:rPr>
        <w:t xml:space="preserve">. </w:t>
      </w:r>
      <w:r w:rsidR="00545A47" w:rsidRPr="00861B74">
        <w:rPr>
          <w:color w:val="000000"/>
          <w:sz w:val="22"/>
        </w:rPr>
        <w:t>Precedente</w:t>
      </w:r>
      <w:r w:rsidR="000C4A10" w:rsidRPr="00861B74">
        <w:rPr>
          <w:color w:val="000000"/>
          <w:sz w:val="22"/>
        </w:rPr>
        <w:t>s</w:t>
      </w:r>
      <w:r w:rsidR="00545A47" w:rsidRPr="00861B74">
        <w:rPr>
          <w:color w:val="000000"/>
          <w:sz w:val="22"/>
        </w:rPr>
        <w:t xml:space="preserve"> citado</w:t>
      </w:r>
      <w:r w:rsidR="000C4A10" w:rsidRPr="00861B74">
        <w:rPr>
          <w:color w:val="000000"/>
          <w:sz w:val="22"/>
        </w:rPr>
        <w:t>s</w:t>
      </w:r>
      <w:r w:rsidR="00545A47" w:rsidRPr="00861B74">
        <w:rPr>
          <w:color w:val="000000"/>
          <w:sz w:val="22"/>
        </w:rPr>
        <w:t xml:space="preserve">: </w:t>
      </w:r>
      <w:r w:rsidR="000C4A10" w:rsidRPr="00861B74">
        <w:rPr>
          <w:color w:val="000000"/>
          <w:sz w:val="22"/>
        </w:rPr>
        <w:t>Ac</w:t>
      </w:r>
      <w:r w:rsidR="000C4A10" w:rsidRPr="00861B74">
        <w:rPr>
          <w:sz w:val="22"/>
        </w:rPr>
        <w:t>órdãos n</w:t>
      </w:r>
      <w:r w:rsidR="000C4A10" w:rsidRPr="00861B74">
        <w:rPr>
          <w:sz w:val="22"/>
          <w:u w:val="single"/>
          <w:vertAlign w:val="superscript"/>
        </w:rPr>
        <w:t>os</w:t>
      </w:r>
      <w:r w:rsidR="000C4A10" w:rsidRPr="00861B74">
        <w:rPr>
          <w:sz w:val="22"/>
        </w:rPr>
        <w:t xml:space="preserve"> </w:t>
      </w:r>
      <w:r w:rsidR="00F32543" w:rsidRPr="00861B74">
        <w:rPr>
          <w:sz w:val="22"/>
        </w:rPr>
        <w:t xml:space="preserve">3129/2009 e 2154/2008, da 1ª Câmara, 1354/2007 e 3233/2007, da 2ª Câmara e </w:t>
      </w:r>
      <w:r w:rsidR="000C4A10" w:rsidRPr="00861B74">
        <w:rPr>
          <w:sz w:val="22"/>
        </w:rPr>
        <w:t xml:space="preserve">520/2005, 1010/2005, </w:t>
      </w:r>
      <w:r w:rsidR="00F32543" w:rsidRPr="00861B74">
        <w:rPr>
          <w:sz w:val="22"/>
        </w:rPr>
        <w:t>696/2010, do Plenário</w:t>
      </w:r>
      <w:r w:rsidR="00545A47" w:rsidRPr="00861B74">
        <w:rPr>
          <w:color w:val="FF0000"/>
          <w:sz w:val="22"/>
        </w:rPr>
        <w:t xml:space="preserve">. </w:t>
      </w:r>
      <w:r w:rsidR="00545A47" w:rsidRPr="00861B74">
        <w:rPr>
          <w:b/>
          <w:i/>
          <w:color w:val="000000"/>
          <w:sz w:val="22"/>
        </w:rPr>
        <w:t xml:space="preserve">Acórdão n.º </w:t>
      </w:r>
      <w:r w:rsidRPr="00861B74">
        <w:rPr>
          <w:b/>
          <w:i/>
          <w:color w:val="000000"/>
          <w:sz w:val="22"/>
        </w:rPr>
        <w:t>860</w:t>
      </w:r>
      <w:r w:rsidR="00545A47" w:rsidRPr="00861B74">
        <w:rPr>
          <w:b/>
          <w:i/>
          <w:color w:val="000000"/>
          <w:sz w:val="22"/>
        </w:rPr>
        <w:t>/2011-Plenário, TC-0</w:t>
      </w:r>
      <w:r w:rsidRPr="00861B74">
        <w:rPr>
          <w:b/>
          <w:i/>
          <w:color w:val="000000"/>
          <w:sz w:val="22"/>
        </w:rPr>
        <w:t>33</w:t>
      </w:r>
      <w:r w:rsidR="00545A47" w:rsidRPr="00861B74">
        <w:rPr>
          <w:b/>
          <w:i/>
          <w:color w:val="000000"/>
          <w:sz w:val="22"/>
        </w:rPr>
        <w:t>.9</w:t>
      </w:r>
      <w:r w:rsidRPr="00861B74">
        <w:rPr>
          <w:b/>
          <w:i/>
          <w:color w:val="000000"/>
          <w:sz w:val="22"/>
        </w:rPr>
        <w:t>2</w:t>
      </w:r>
      <w:r w:rsidR="00545A47" w:rsidRPr="00861B74">
        <w:rPr>
          <w:b/>
          <w:i/>
          <w:color w:val="000000"/>
          <w:sz w:val="22"/>
        </w:rPr>
        <w:t>3/2010-</w:t>
      </w:r>
      <w:r w:rsidRPr="00861B74">
        <w:rPr>
          <w:b/>
          <w:i/>
          <w:color w:val="000000"/>
          <w:sz w:val="22"/>
        </w:rPr>
        <w:t>8</w:t>
      </w:r>
      <w:r w:rsidR="00545A47" w:rsidRPr="00861B74">
        <w:rPr>
          <w:b/>
          <w:i/>
          <w:color w:val="000000"/>
          <w:sz w:val="22"/>
        </w:rPr>
        <w:t>, rel. Min. Ubiratan Aguiar, 0</w:t>
      </w:r>
      <w:r w:rsidRPr="00861B74">
        <w:rPr>
          <w:b/>
          <w:i/>
          <w:color w:val="000000"/>
          <w:sz w:val="22"/>
        </w:rPr>
        <w:t>6</w:t>
      </w:r>
      <w:r w:rsidR="00545A47" w:rsidRPr="00861B74">
        <w:rPr>
          <w:b/>
          <w:i/>
          <w:color w:val="000000"/>
          <w:sz w:val="22"/>
        </w:rPr>
        <w:t>.0</w:t>
      </w:r>
      <w:r w:rsidRPr="00861B74">
        <w:rPr>
          <w:b/>
          <w:i/>
          <w:color w:val="000000"/>
          <w:sz w:val="22"/>
        </w:rPr>
        <w:t>4</w:t>
      </w:r>
      <w:r w:rsidR="00545A47" w:rsidRPr="00861B74">
        <w:rPr>
          <w:b/>
          <w:i/>
          <w:color w:val="000000"/>
          <w:sz w:val="22"/>
        </w:rPr>
        <w:t>.2011.</w:t>
      </w:r>
    </w:p>
    <w:p w:rsidR="00545A47" w:rsidRPr="00861B74" w:rsidRDefault="00545A47" w:rsidP="00861B74">
      <w:pPr>
        <w:widowControl w:val="0"/>
        <w:spacing w:after="0"/>
        <w:ind w:left="0"/>
        <w:rPr>
          <w:color w:val="FF0000"/>
          <w:sz w:val="22"/>
          <w:szCs w:val="22"/>
        </w:rPr>
      </w:pPr>
    </w:p>
    <w:p w:rsidR="00457F93" w:rsidRPr="00861B74" w:rsidRDefault="007C7359" w:rsidP="00861B74">
      <w:pPr>
        <w:pStyle w:val="TCU-RelVoto-1"/>
        <w:tabs>
          <w:tab w:val="left" w:pos="1134"/>
        </w:tabs>
        <w:spacing w:after="0"/>
        <w:ind w:firstLine="0"/>
        <w:rPr>
          <w:b/>
          <w:color w:val="FF0000"/>
          <w:sz w:val="22"/>
          <w:lang w:eastAsia="pt-BR"/>
        </w:rPr>
      </w:pPr>
      <w:r w:rsidRPr="00861B74">
        <w:rPr>
          <w:b/>
          <w:sz w:val="22"/>
          <w:lang w:eastAsia="pt-BR"/>
        </w:rPr>
        <w:t xml:space="preserve">Como regra, as minutas </w:t>
      </w:r>
      <w:r w:rsidR="001C1568" w:rsidRPr="00861B74">
        <w:rPr>
          <w:b/>
          <w:sz w:val="22"/>
          <w:lang w:eastAsia="pt-BR"/>
        </w:rPr>
        <w:t xml:space="preserve">dos contratos a serem firmados por instituição pública devem passar pelo exame da área jurídica. Todavia, em caráter excepcional, é possível a utilização de minuta-padrão, </w:t>
      </w:r>
      <w:r w:rsidR="001C1568" w:rsidRPr="00861B74">
        <w:rPr>
          <w:b/>
          <w:sz w:val="22"/>
        </w:rPr>
        <w:t xml:space="preserve">previamente aprovada pela assessoria jurídica, quando houver identidade de objeto e não restarem dúvidas acerca da possibilidade de adequação das cláusulas exigidas no contrato pretendido às cláusulas previamente estabelecidas </w:t>
      </w:r>
    </w:p>
    <w:p w:rsidR="00457F93" w:rsidRPr="00861B74" w:rsidRDefault="00457F93" w:rsidP="00861B74">
      <w:pPr>
        <w:pStyle w:val="TCU-RelVoto-1"/>
        <w:spacing w:after="0"/>
        <w:ind w:firstLine="0"/>
        <w:rPr>
          <w:b/>
          <w:i/>
          <w:sz w:val="22"/>
        </w:rPr>
      </w:pPr>
      <w:r w:rsidRPr="00812C2B">
        <w:rPr>
          <w:sz w:val="22"/>
        </w:rPr>
        <w:t>Em auditoria nas obras realizadas pela Petrobras referentes ao desenvolvimento dos sistemas de produção de óleo e gás natural da Bacia de Campos, na Região Sudeste, após a oitiva dos responsáveis acerca de potenciais irregularidades aferidas, a unidade instrutiva houve por bem sugerir ao relator que o TCU expedisse alerta à estatal quanto à necessidade do prévio exame e aprovação de todas as minutas de contratos administrativos, ajustes e congêneres, bem como de editais licitatórios, por parte de sua unidade jurídica própria, ante a existência de disciplina legal afeta ao tema (art. 38, parágrafo único, da Lei nº 8.666/93). O relator, todavia, manifestou divergência quanto à proposição. Para ele, por conta de decisão recente, o TCU, ao apreciar pedido de reexame interposto pela própria Petrobras, reformulou posição anterior e determinou à empresa que submetesse à apreciação de sua assessoria jurídica as minutas de todos os contratos a serem celebrados, mas, em caráter excepcional, autorizou-a a utilizar minuta-padrão, previamente aprovada pela assessoria jurídica, quando houver identidade de objeto - e este representar contratação corriqueira - e quando, ainda, não restarem dúvidas acerca da possibilidade de adequação das cláusulas exigidas no contrato pretendido às cláusulas previamente estabelecidas na minuta-padrão. Por conseguinte, no ponto, com a acolhida do Plenário, deixou de encampar a proposta da unidade técnica. Precedente citado: Acórdão</w:t>
      </w:r>
      <w:r w:rsidRPr="00861B74">
        <w:rPr>
          <w:sz w:val="22"/>
        </w:rPr>
        <w:t xml:space="preserve"> 3014/2010, do Plenário. </w:t>
      </w:r>
      <w:r w:rsidRPr="00861B74">
        <w:rPr>
          <w:b/>
          <w:i/>
          <w:sz w:val="22"/>
        </w:rPr>
        <w:t>Acórdão n.º 873/2011-Plenário, TC-007.483/2009-0, rel. Min. Ubiratan Aguiar, 06.04.2011.</w:t>
      </w:r>
    </w:p>
    <w:p w:rsidR="00457F93" w:rsidRPr="00861B74" w:rsidRDefault="00457F93" w:rsidP="00861B74">
      <w:pPr>
        <w:widowControl w:val="0"/>
        <w:spacing w:after="0"/>
        <w:ind w:left="0"/>
        <w:rPr>
          <w:color w:val="FF0000"/>
          <w:sz w:val="22"/>
          <w:szCs w:val="22"/>
        </w:rPr>
      </w:pPr>
    </w:p>
    <w:p w:rsidR="001A58D8" w:rsidRPr="00861B74" w:rsidRDefault="00FC0253" w:rsidP="00861B74">
      <w:pPr>
        <w:pStyle w:val="TCU-RelVoto-1"/>
        <w:tabs>
          <w:tab w:val="left" w:pos="1134"/>
        </w:tabs>
        <w:spacing w:after="0"/>
        <w:ind w:firstLine="0"/>
        <w:rPr>
          <w:b/>
          <w:sz w:val="22"/>
          <w:lang w:eastAsia="pt-BR"/>
        </w:rPr>
      </w:pPr>
      <w:r w:rsidRPr="00861B74">
        <w:rPr>
          <w:b/>
          <w:sz w:val="22"/>
          <w:lang w:eastAsia="pt-BR"/>
        </w:rPr>
        <w:t>O fiscal do contrato não pode ser responsabilizado, caso não possua condições apropriadas para o desempenho de suas atribuições</w:t>
      </w:r>
    </w:p>
    <w:p w:rsidR="001A58D8" w:rsidRPr="00861B74" w:rsidRDefault="00740292" w:rsidP="00861B74">
      <w:pPr>
        <w:pStyle w:val="Corpodetexto"/>
        <w:tabs>
          <w:tab w:val="left" w:pos="1134"/>
        </w:tabs>
        <w:spacing w:after="0"/>
        <w:ind w:left="0"/>
        <w:rPr>
          <w:color w:val="000000"/>
          <w:sz w:val="22"/>
          <w:szCs w:val="22"/>
          <w:lang w:eastAsia="pt-BR"/>
        </w:rPr>
      </w:pPr>
      <w:r w:rsidRPr="00861B74">
        <w:rPr>
          <w:sz w:val="22"/>
          <w:szCs w:val="22"/>
        </w:rPr>
        <w:t>“</w:t>
      </w:r>
      <w:r w:rsidRPr="00861B74">
        <w:rPr>
          <w:i/>
          <w:sz w:val="22"/>
          <w:szCs w:val="22"/>
        </w:rPr>
        <w:t>Demonstrado nos autos que a responsável pela fiscalização do contrato tinha condições precárias para realizar seu trabalho, elide-se sua responsabilidade</w:t>
      </w:r>
      <w:r w:rsidRPr="00861B74">
        <w:rPr>
          <w:sz w:val="22"/>
          <w:szCs w:val="22"/>
        </w:rPr>
        <w:t>”. Foi a essa uma das conclusões a que chegou o TCU ao apreciar recursos de reconsideração em sede, de originariamente, tomada de contas especial</w:t>
      </w:r>
      <w:r w:rsidR="001C1568" w:rsidRPr="00861B74">
        <w:rPr>
          <w:sz w:val="22"/>
          <w:szCs w:val="22"/>
        </w:rPr>
        <w:t>,</w:t>
      </w:r>
      <w:r w:rsidRPr="00861B74">
        <w:rPr>
          <w:sz w:val="22"/>
          <w:szCs w:val="22"/>
        </w:rPr>
        <w:t xml:space="preserve"> na qual foram julgadas irregulares as contas de diversos responsáveis, relativas à execução do Plano Nacional de Qualificação do Trabalhador (Planfor), no Distrito Federal, no exercício de 1999. No caso, diversas contratações foram efetivadas, e, dentre elas, uma celebrada com o Sindicato Nacional dos Trabalhadores em Sistemas de TV por Assinatura e Serviços Especiais de Telecomunicações (Sincab), na qual se constataram diversas irregularidades graves, algumas delas imputadas à executora técnica do contrato, a qu</w:t>
      </w:r>
      <w:r w:rsidR="00FC0253" w:rsidRPr="00861B74">
        <w:rPr>
          <w:sz w:val="22"/>
          <w:szCs w:val="22"/>
        </w:rPr>
        <w:t>em incumbiria</w:t>
      </w:r>
      <w:r w:rsidRPr="00861B74">
        <w:rPr>
          <w:sz w:val="22"/>
          <w:szCs w:val="22"/>
        </w:rPr>
        <w:t xml:space="preserve">, </w:t>
      </w:r>
      <w:r w:rsidR="00FC0253" w:rsidRPr="00861B74">
        <w:rPr>
          <w:sz w:val="22"/>
          <w:szCs w:val="22"/>
        </w:rPr>
        <w:t>segundo as normas de execução financeira e orçamentária do DF, supervisionar, fiscalizar e acompanhar a execução da avença, o que não teria sido feito, conforme as apurações iniciais levadas à efeito pelo TCU. Ao examinar a matéria, a unidade instrutiva consignou que o DF não houvera proporcionado</w:t>
      </w:r>
      <w:r w:rsidR="001C1568" w:rsidRPr="00861B74">
        <w:rPr>
          <w:sz w:val="22"/>
          <w:szCs w:val="22"/>
        </w:rPr>
        <w:t xml:space="preserve"> à servidora responsável pela fiscalização da avença</w:t>
      </w:r>
      <w:r w:rsidR="00FC0253" w:rsidRPr="00861B74">
        <w:rPr>
          <w:sz w:val="22"/>
          <w:szCs w:val="22"/>
        </w:rPr>
        <w:t xml:space="preserve"> “</w:t>
      </w:r>
      <w:r w:rsidR="00FC0253" w:rsidRPr="00861B74">
        <w:rPr>
          <w:i/>
          <w:sz w:val="22"/>
          <w:szCs w:val="22"/>
        </w:rPr>
        <w:t>condições adequadas para o desempenho de tal função, ao mesmo tempo em que sabia que eventual inexecução do contrato seria de responsabilidade desse executor técnico”</w:t>
      </w:r>
      <w:r w:rsidR="00FC0253" w:rsidRPr="00861B74">
        <w:rPr>
          <w:sz w:val="22"/>
          <w:szCs w:val="22"/>
        </w:rPr>
        <w:t xml:space="preserve">. Ademais, </w:t>
      </w:r>
      <w:r w:rsidR="001C1568" w:rsidRPr="00861B74">
        <w:rPr>
          <w:sz w:val="22"/>
          <w:szCs w:val="22"/>
        </w:rPr>
        <w:t xml:space="preserve">ainda para a unidade técnica, </w:t>
      </w:r>
      <w:r w:rsidR="00FC0253" w:rsidRPr="00861B74">
        <w:rPr>
          <w:sz w:val="22"/>
          <w:szCs w:val="22"/>
        </w:rPr>
        <w:t xml:space="preserve">os elementos constantes do processo indicariam não serem exequíveis as funções de executor técnico da forma determinada, tendo em conta ser perceptível a impossibilidade de uma única pessoa cumprir todas as funções que lhe foram atribuídas. </w:t>
      </w:r>
      <w:r w:rsidR="001C1568" w:rsidRPr="00861B74">
        <w:rPr>
          <w:sz w:val="22"/>
          <w:szCs w:val="22"/>
        </w:rPr>
        <w:t>Em vista da situação</w:t>
      </w:r>
      <w:r w:rsidR="00FC0253" w:rsidRPr="00861B74">
        <w:rPr>
          <w:sz w:val="22"/>
          <w:szCs w:val="22"/>
        </w:rPr>
        <w:t xml:space="preserve">, a unidade técnica, com a anuência do relator, propôs a elisão da responsabilidade da recorrente, </w:t>
      </w:r>
      <w:r w:rsidR="00972B10" w:rsidRPr="00861B74">
        <w:rPr>
          <w:sz w:val="22"/>
          <w:szCs w:val="22"/>
        </w:rPr>
        <w:t>sem prejuízo da aplicação de penalidades de outros responsáveis pela gestão do Planfor, no DF, ao tempo dos fatos. N</w:t>
      </w:r>
      <w:r w:rsidR="00FC0253" w:rsidRPr="00861B74">
        <w:rPr>
          <w:sz w:val="22"/>
          <w:szCs w:val="22"/>
        </w:rPr>
        <w:t>o</w:t>
      </w:r>
      <w:r w:rsidR="00972B10" w:rsidRPr="00861B74">
        <w:rPr>
          <w:sz w:val="22"/>
          <w:szCs w:val="22"/>
        </w:rPr>
        <w:t>s</w:t>
      </w:r>
      <w:r w:rsidR="00FC0253" w:rsidRPr="00861B74">
        <w:rPr>
          <w:sz w:val="22"/>
          <w:szCs w:val="22"/>
        </w:rPr>
        <w:t xml:space="preserve"> </w:t>
      </w:r>
      <w:r w:rsidR="00972B10" w:rsidRPr="00861B74">
        <w:rPr>
          <w:sz w:val="22"/>
          <w:szCs w:val="22"/>
        </w:rPr>
        <w:t>termos do voto do relator,</w:t>
      </w:r>
      <w:r w:rsidR="00FC0253" w:rsidRPr="00861B74">
        <w:rPr>
          <w:sz w:val="22"/>
          <w:szCs w:val="22"/>
        </w:rPr>
        <w:t xml:space="preserve"> o Plenário</w:t>
      </w:r>
      <w:r w:rsidR="00972B10" w:rsidRPr="00861B74">
        <w:rPr>
          <w:sz w:val="22"/>
          <w:szCs w:val="22"/>
        </w:rPr>
        <w:t xml:space="preserve"> manifestou seu consentimento</w:t>
      </w:r>
      <w:r w:rsidR="00FC0253" w:rsidRPr="00861B74">
        <w:rPr>
          <w:sz w:val="22"/>
          <w:szCs w:val="22"/>
        </w:rPr>
        <w:t xml:space="preserve">. </w:t>
      </w:r>
      <w:r w:rsidR="001A58D8" w:rsidRPr="00861B74">
        <w:rPr>
          <w:b/>
          <w:i/>
          <w:color w:val="000000"/>
          <w:sz w:val="22"/>
          <w:szCs w:val="22"/>
        </w:rPr>
        <w:t xml:space="preserve">Acórdão n.º </w:t>
      </w:r>
      <w:r w:rsidRPr="00861B74">
        <w:rPr>
          <w:b/>
          <w:i/>
          <w:color w:val="000000"/>
          <w:sz w:val="22"/>
          <w:szCs w:val="22"/>
        </w:rPr>
        <w:t>83</w:t>
      </w:r>
      <w:r w:rsidR="001A58D8" w:rsidRPr="00861B74">
        <w:rPr>
          <w:b/>
          <w:i/>
          <w:color w:val="000000"/>
          <w:sz w:val="22"/>
          <w:szCs w:val="22"/>
        </w:rPr>
        <w:t>9/2011-Plenário, TC-0</w:t>
      </w:r>
      <w:r w:rsidR="00C45DCE" w:rsidRPr="00861B74">
        <w:rPr>
          <w:b/>
          <w:i/>
          <w:color w:val="000000"/>
          <w:sz w:val="22"/>
          <w:szCs w:val="22"/>
        </w:rPr>
        <w:t>0</w:t>
      </w:r>
      <w:r w:rsidR="007C5151" w:rsidRPr="00861B74">
        <w:rPr>
          <w:b/>
          <w:i/>
          <w:color w:val="000000"/>
          <w:sz w:val="22"/>
          <w:szCs w:val="22"/>
        </w:rPr>
        <w:t>3</w:t>
      </w:r>
      <w:r w:rsidR="001A58D8" w:rsidRPr="00861B74">
        <w:rPr>
          <w:b/>
          <w:i/>
          <w:color w:val="000000"/>
          <w:sz w:val="22"/>
          <w:szCs w:val="22"/>
        </w:rPr>
        <w:t>.</w:t>
      </w:r>
      <w:r w:rsidR="007C5151" w:rsidRPr="00861B74">
        <w:rPr>
          <w:b/>
          <w:i/>
          <w:color w:val="000000"/>
          <w:sz w:val="22"/>
          <w:szCs w:val="22"/>
        </w:rPr>
        <w:t>118</w:t>
      </w:r>
      <w:r w:rsidR="001A58D8" w:rsidRPr="00861B74">
        <w:rPr>
          <w:b/>
          <w:i/>
          <w:color w:val="000000"/>
          <w:sz w:val="22"/>
          <w:szCs w:val="22"/>
        </w:rPr>
        <w:t>/200</w:t>
      </w:r>
      <w:r w:rsidR="007C5151" w:rsidRPr="00861B74">
        <w:rPr>
          <w:b/>
          <w:i/>
          <w:color w:val="000000"/>
          <w:sz w:val="22"/>
          <w:szCs w:val="22"/>
        </w:rPr>
        <w:t>1</w:t>
      </w:r>
      <w:r w:rsidR="001A58D8" w:rsidRPr="00861B74">
        <w:rPr>
          <w:b/>
          <w:i/>
          <w:color w:val="000000"/>
          <w:sz w:val="22"/>
          <w:szCs w:val="22"/>
        </w:rPr>
        <w:t>-</w:t>
      </w:r>
      <w:r w:rsidR="007C5151" w:rsidRPr="00861B74">
        <w:rPr>
          <w:b/>
          <w:i/>
          <w:color w:val="000000"/>
          <w:sz w:val="22"/>
          <w:szCs w:val="22"/>
        </w:rPr>
        <w:t>2</w:t>
      </w:r>
      <w:r w:rsidR="001A58D8" w:rsidRPr="00861B74">
        <w:rPr>
          <w:b/>
          <w:i/>
          <w:color w:val="000000"/>
          <w:sz w:val="22"/>
          <w:szCs w:val="22"/>
        </w:rPr>
        <w:t xml:space="preserve">, rel. Min. </w:t>
      </w:r>
      <w:r w:rsidR="00C45DCE" w:rsidRPr="00861B74">
        <w:rPr>
          <w:b/>
          <w:i/>
          <w:color w:val="000000"/>
          <w:sz w:val="22"/>
          <w:szCs w:val="22"/>
        </w:rPr>
        <w:t>Raimundo Carreiro</w:t>
      </w:r>
      <w:r w:rsidR="001A58D8" w:rsidRPr="00861B74">
        <w:rPr>
          <w:b/>
          <w:i/>
          <w:color w:val="000000"/>
          <w:sz w:val="22"/>
          <w:szCs w:val="22"/>
        </w:rPr>
        <w:t>, 0</w:t>
      </w:r>
      <w:r w:rsidRPr="00861B74">
        <w:rPr>
          <w:b/>
          <w:i/>
          <w:color w:val="000000"/>
          <w:sz w:val="22"/>
          <w:szCs w:val="22"/>
        </w:rPr>
        <w:t>6</w:t>
      </w:r>
      <w:r w:rsidR="001A58D8" w:rsidRPr="00861B74">
        <w:rPr>
          <w:b/>
          <w:i/>
          <w:color w:val="000000"/>
          <w:sz w:val="22"/>
          <w:szCs w:val="22"/>
        </w:rPr>
        <w:t>.0</w:t>
      </w:r>
      <w:r w:rsidRPr="00861B74">
        <w:rPr>
          <w:b/>
          <w:i/>
          <w:color w:val="000000"/>
          <w:sz w:val="22"/>
          <w:szCs w:val="22"/>
        </w:rPr>
        <w:t>4</w:t>
      </w:r>
      <w:r w:rsidR="001A58D8" w:rsidRPr="00861B74">
        <w:rPr>
          <w:b/>
          <w:i/>
          <w:color w:val="000000"/>
          <w:sz w:val="22"/>
          <w:szCs w:val="22"/>
        </w:rPr>
        <w:t>.2011.</w:t>
      </w:r>
    </w:p>
    <w:p w:rsidR="006C7DE0" w:rsidRPr="00861B74" w:rsidRDefault="006C7DE0" w:rsidP="00861B74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b/>
          <w:color w:val="000000"/>
          <w:sz w:val="22"/>
          <w:szCs w:val="22"/>
        </w:rPr>
      </w:pPr>
    </w:p>
    <w:p w:rsidR="00861B74" w:rsidRPr="00861B74" w:rsidRDefault="00861B74" w:rsidP="00861B74">
      <w:pPr>
        <w:spacing w:after="0"/>
        <w:ind w:left="0"/>
        <w:rPr>
          <w:b/>
          <w:sz w:val="22"/>
          <w:szCs w:val="22"/>
          <w:lang w:eastAsia="pt-BR"/>
        </w:rPr>
      </w:pPr>
      <w:r w:rsidRPr="00861B74">
        <w:rPr>
          <w:b/>
          <w:sz w:val="22"/>
          <w:szCs w:val="22"/>
          <w:lang w:eastAsia="pt-BR"/>
        </w:rPr>
        <w:t xml:space="preserve">Valores correspondentes a serviços de mobilização/desmobilização devem constar da planilha de custos diretos </w:t>
      </w:r>
    </w:p>
    <w:p w:rsidR="00457F93" w:rsidRPr="00861B74" w:rsidRDefault="00466E73" w:rsidP="00861B74">
      <w:pPr>
        <w:spacing w:after="0"/>
        <w:ind w:left="0"/>
        <w:rPr>
          <w:b/>
          <w:i/>
          <w:sz w:val="22"/>
          <w:szCs w:val="22"/>
        </w:rPr>
      </w:pPr>
      <w:r w:rsidRPr="00861B74">
        <w:rPr>
          <w:sz w:val="22"/>
          <w:szCs w:val="22"/>
          <w:lang w:eastAsia="pt-BR"/>
        </w:rPr>
        <w:t>Mediante pedido de reexame, o recorrente insurg</w:t>
      </w:r>
      <w:r w:rsidR="00464CF4" w:rsidRPr="00861B74">
        <w:rPr>
          <w:sz w:val="22"/>
          <w:szCs w:val="22"/>
          <w:lang w:eastAsia="pt-BR"/>
        </w:rPr>
        <w:t>e</w:t>
      </w:r>
      <w:r w:rsidRPr="00861B74">
        <w:rPr>
          <w:sz w:val="22"/>
          <w:szCs w:val="22"/>
          <w:lang w:eastAsia="pt-BR"/>
        </w:rPr>
        <w:t xml:space="preserve">-se </w:t>
      </w:r>
      <w:r w:rsidR="00435269" w:rsidRPr="00861B74">
        <w:rPr>
          <w:sz w:val="22"/>
          <w:szCs w:val="22"/>
          <w:lang w:eastAsia="pt-BR"/>
        </w:rPr>
        <w:t xml:space="preserve">contra o Acórdão nº 1.851/2009 -Plenário, </w:t>
      </w:r>
      <w:r w:rsidR="00861B74" w:rsidRPr="00861B74">
        <w:rPr>
          <w:sz w:val="22"/>
          <w:szCs w:val="22"/>
          <w:lang w:eastAsia="pt-BR"/>
        </w:rPr>
        <w:t>resultante d</w:t>
      </w:r>
      <w:r w:rsidR="00435269" w:rsidRPr="00861B74">
        <w:rPr>
          <w:sz w:val="22"/>
          <w:szCs w:val="22"/>
          <w:lang w:eastAsia="pt-BR"/>
        </w:rPr>
        <w:t>e apreciação originária de representação</w:t>
      </w:r>
      <w:r w:rsidR="00861B74" w:rsidRPr="00861B74">
        <w:rPr>
          <w:sz w:val="22"/>
          <w:szCs w:val="22"/>
          <w:lang w:eastAsia="pt-BR"/>
        </w:rPr>
        <w:t xml:space="preserve"> na qual foi mantido </w:t>
      </w:r>
      <w:r w:rsidRPr="00861B74">
        <w:rPr>
          <w:sz w:val="22"/>
          <w:szCs w:val="22"/>
          <w:lang w:eastAsia="pt-BR"/>
        </w:rPr>
        <w:t xml:space="preserve">o entendimento de que deveria ser excluído, da composição do BDI incidente sobre os custos de equipamentos e serviços do Contrato nº 017/SRH/2008, o percentual referente à mobilização/desmobilização, tendo em vista que tais serviços </w:t>
      </w:r>
      <w:r w:rsidR="00464CF4" w:rsidRPr="00861B74">
        <w:rPr>
          <w:sz w:val="22"/>
          <w:szCs w:val="22"/>
          <w:lang w:eastAsia="pt-BR"/>
        </w:rPr>
        <w:t xml:space="preserve">também </w:t>
      </w:r>
      <w:r w:rsidRPr="00861B74">
        <w:rPr>
          <w:sz w:val="22"/>
          <w:szCs w:val="22"/>
          <w:lang w:eastAsia="pt-BR"/>
        </w:rPr>
        <w:t>consta</w:t>
      </w:r>
      <w:r w:rsidR="00464CF4" w:rsidRPr="00861B74">
        <w:rPr>
          <w:sz w:val="22"/>
          <w:szCs w:val="22"/>
          <w:lang w:eastAsia="pt-BR"/>
        </w:rPr>
        <w:t>ri</w:t>
      </w:r>
      <w:r w:rsidRPr="00861B74">
        <w:rPr>
          <w:sz w:val="22"/>
          <w:szCs w:val="22"/>
          <w:lang w:eastAsia="pt-BR"/>
        </w:rPr>
        <w:t xml:space="preserve">am como item da planilha orçamentária. </w:t>
      </w:r>
      <w:r w:rsidR="00464CF4" w:rsidRPr="00861B74">
        <w:rPr>
          <w:sz w:val="22"/>
          <w:szCs w:val="22"/>
          <w:lang w:eastAsia="pt-BR"/>
        </w:rPr>
        <w:t>Na instrução inicial, a unidade técnica identificou o que nominou de reincidência dos custos com mobilização/desmobilização, referindo-se a percentual de 0,5% com esses serviços na composição do BDI</w:t>
      </w:r>
      <w:r w:rsidR="00A87C15" w:rsidRPr="00861B74">
        <w:rPr>
          <w:sz w:val="22"/>
          <w:szCs w:val="22"/>
          <w:lang w:eastAsia="pt-BR"/>
        </w:rPr>
        <w:t>, constantes, também, na planilha do orçamento</w:t>
      </w:r>
      <w:r w:rsidR="00464CF4" w:rsidRPr="00861B74">
        <w:rPr>
          <w:sz w:val="22"/>
          <w:szCs w:val="22"/>
          <w:lang w:eastAsia="pt-BR"/>
        </w:rPr>
        <w:t>. A questão</w:t>
      </w:r>
      <w:r w:rsidR="00861B74" w:rsidRPr="00861B74">
        <w:rPr>
          <w:sz w:val="22"/>
          <w:szCs w:val="22"/>
          <w:lang w:eastAsia="pt-BR"/>
        </w:rPr>
        <w:t xml:space="preserve"> </w:t>
      </w:r>
      <w:r w:rsidR="00464CF4" w:rsidRPr="00861B74">
        <w:rPr>
          <w:sz w:val="22"/>
          <w:szCs w:val="22"/>
          <w:lang w:eastAsia="pt-BR"/>
        </w:rPr>
        <w:t>levou à ponderação por parte da unidade instrutiva de que a fração deveria “</w:t>
      </w:r>
      <w:r w:rsidR="00464CF4" w:rsidRPr="00861B74">
        <w:rPr>
          <w:i/>
          <w:sz w:val="22"/>
          <w:szCs w:val="22"/>
          <w:lang w:eastAsia="pt-BR"/>
        </w:rPr>
        <w:t>ser objeto de correção, mediante o seu expurgo</w:t>
      </w:r>
      <w:r w:rsidR="00464CF4" w:rsidRPr="00861B74">
        <w:rPr>
          <w:sz w:val="22"/>
          <w:szCs w:val="22"/>
          <w:lang w:eastAsia="pt-BR"/>
        </w:rPr>
        <w:t xml:space="preserve">”, </w:t>
      </w:r>
      <w:r w:rsidR="00861B74" w:rsidRPr="00861B74">
        <w:rPr>
          <w:sz w:val="22"/>
          <w:szCs w:val="22"/>
          <w:lang w:eastAsia="pt-BR"/>
        </w:rPr>
        <w:t>motivando</w:t>
      </w:r>
      <w:r w:rsidR="00464CF4" w:rsidRPr="00861B74">
        <w:rPr>
          <w:sz w:val="22"/>
          <w:szCs w:val="22"/>
          <w:lang w:eastAsia="pt-BR"/>
        </w:rPr>
        <w:t>-a a propo</w:t>
      </w:r>
      <w:r w:rsidR="00861B74" w:rsidRPr="00861B74">
        <w:rPr>
          <w:sz w:val="22"/>
          <w:szCs w:val="22"/>
          <w:lang w:eastAsia="pt-BR"/>
        </w:rPr>
        <w:t>r</w:t>
      </w:r>
      <w:r w:rsidR="00464CF4" w:rsidRPr="00861B74">
        <w:rPr>
          <w:sz w:val="22"/>
          <w:szCs w:val="22"/>
          <w:lang w:eastAsia="pt-BR"/>
        </w:rPr>
        <w:t xml:space="preserve"> determinação nesse sentido. Na presente etapa processual, </w:t>
      </w:r>
      <w:r w:rsidR="00A87C15" w:rsidRPr="00861B74">
        <w:rPr>
          <w:sz w:val="22"/>
          <w:szCs w:val="22"/>
          <w:lang w:eastAsia="pt-BR"/>
        </w:rPr>
        <w:t>o relator, ao examinar a matéria, destacou não vislumbrar que a inclusão de percentual referente a serviços de mobilização/desmobilização na composição do BDI, a despeito da existência de item específico com esses serviços na planilha orçamentária, significasse algum tipo de manobra do recorrente, vencedor da licitação que culminou no Contrato nº 017/SRH/2008, para burlar o edital ou com o intento de diminuir a transparência da sua proposta e facilitar o sobrepreço. Haveria, inclusive, ainda conforme o relator, “</w:t>
      </w:r>
      <w:r w:rsidR="00A87C15" w:rsidRPr="00861B74">
        <w:rPr>
          <w:i/>
          <w:sz w:val="22"/>
          <w:szCs w:val="22"/>
          <w:lang w:eastAsia="pt-BR"/>
        </w:rPr>
        <w:t>justificativa plausível da empresa para a distribuição de custos na sua proposta, fundada na compreensão de que o edital limitava os custos diretos com mobilização e desmobilização a 2% do valor ofertado para as obras civis</w:t>
      </w:r>
      <w:r w:rsidR="00A87C15" w:rsidRPr="00861B74">
        <w:rPr>
          <w:sz w:val="22"/>
          <w:szCs w:val="22"/>
          <w:lang w:eastAsia="pt-BR"/>
        </w:rPr>
        <w:t xml:space="preserve">”. Tal fato </w:t>
      </w:r>
      <w:r w:rsidR="00435269" w:rsidRPr="00861B74">
        <w:rPr>
          <w:sz w:val="22"/>
          <w:szCs w:val="22"/>
          <w:lang w:eastAsia="pt-BR"/>
        </w:rPr>
        <w:t xml:space="preserve">seria </w:t>
      </w:r>
      <w:r w:rsidR="00A87C15" w:rsidRPr="00861B74">
        <w:rPr>
          <w:sz w:val="22"/>
          <w:szCs w:val="22"/>
          <w:lang w:eastAsia="pt-BR"/>
        </w:rPr>
        <w:t>dev</w:t>
      </w:r>
      <w:r w:rsidR="00435269" w:rsidRPr="00861B74">
        <w:rPr>
          <w:sz w:val="22"/>
          <w:szCs w:val="22"/>
          <w:lang w:eastAsia="pt-BR"/>
        </w:rPr>
        <w:t>ido</w:t>
      </w:r>
      <w:r w:rsidR="00A87C15" w:rsidRPr="00861B74">
        <w:rPr>
          <w:sz w:val="22"/>
          <w:szCs w:val="22"/>
          <w:lang w:eastAsia="pt-BR"/>
        </w:rPr>
        <w:t xml:space="preserve"> a interpretação razoável de cláusulas editalícias por parte do contratado</w:t>
      </w:r>
      <w:r w:rsidR="00435269" w:rsidRPr="00861B74">
        <w:rPr>
          <w:sz w:val="22"/>
          <w:szCs w:val="22"/>
          <w:lang w:eastAsia="pt-BR"/>
        </w:rPr>
        <w:t>, o qual, no ponto de vista do relator, agira com zelo ao trazer a matéria ao deslinde do TCU. Ademais, reforçou o relator, “</w:t>
      </w:r>
      <w:r w:rsidR="00435269" w:rsidRPr="00861B74">
        <w:rPr>
          <w:i/>
          <w:sz w:val="22"/>
          <w:szCs w:val="22"/>
          <w:lang w:eastAsia="pt-BR"/>
        </w:rPr>
        <w:t>mais relevante é que a licitação e a assinatura do Contrato nº 017/SRH/2008 são anteriores à decisão do Tribunal que firmou entendimento no sentido de que os custos com mobilização/desmobilização não deveriam constar do BDI</w:t>
      </w:r>
      <w:r w:rsidR="00435269" w:rsidRPr="00861B74">
        <w:rPr>
          <w:sz w:val="22"/>
          <w:szCs w:val="22"/>
          <w:lang w:eastAsia="pt-BR"/>
        </w:rPr>
        <w:t xml:space="preserve">”, </w:t>
      </w:r>
      <w:r w:rsidR="00861B74" w:rsidRPr="00861B74">
        <w:rPr>
          <w:sz w:val="22"/>
          <w:szCs w:val="22"/>
          <w:lang w:eastAsia="pt-BR"/>
        </w:rPr>
        <w:t xml:space="preserve">e </w:t>
      </w:r>
      <w:r w:rsidR="00435269" w:rsidRPr="00861B74">
        <w:rPr>
          <w:sz w:val="22"/>
          <w:szCs w:val="22"/>
          <w:lang w:eastAsia="pt-BR"/>
        </w:rPr>
        <w:t xml:space="preserve">a partir da qual o Tribunal passou a determinar a celebração de aditivos contratuais, de modo que os valores correspondentes a serviços de mobilização/desmobilização passassem a constar da planilha de custos diretos, ou então, conforme o caso, que, em futuras licitações, as instituições públicas contratantes exijam dos licitantes a apresentação de propostas nos termos estabelecidos na decisão de referência. Por conseguinte, ante as evidências de boa-fé na conduta do recorrente e considerando que o deslocamento dos valores dos serviços de mobilização/desmobilização cotados no BDI para a planilha de custos diretos não resultaria em sobrepreço ou violação às regras do edital, votou o relator no sentido de autorizar a transferência em questão, no que foi acompanhado pelo Plenário. </w:t>
      </w:r>
      <w:r w:rsidR="00457F93" w:rsidRPr="00861B74">
        <w:rPr>
          <w:sz w:val="22"/>
          <w:szCs w:val="22"/>
        </w:rPr>
        <w:t xml:space="preserve">Precedente citado: Acórdão </w:t>
      </w:r>
      <w:bookmarkStart w:id="1" w:name="OLE_LINK1"/>
      <w:bookmarkStart w:id="2" w:name="OLE_LINK2"/>
      <w:r w:rsidR="00435269" w:rsidRPr="00861B74">
        <w:rPr>
          <w:sz w:val="22"/>
          <w:szCs w:val="22"/>
        </w:rPr>
        <w:t>325</w:t>
      </w:r>
      <w:r w:rsidR="00457F93" w:rsidRPr="00861B74">
        <w:rPr>
          <w:sz w:val="22"/>
          <w:szCs w:val="22"/>
        </w:rPr>
        <w:t>/</w:t>
      </w:r>
      <w:bookmarkEnd w:id="1"/>
      <w:bookmarkEnd w:id="2"/>
      <w:r w:rsidR="00457F93" w:rsidRPr="00861B74">
        <w:rPr>
          <w:sz w:val="22"/>
          <w:szCs w:val="22"/>
        </w:rPr>
        <w:t>20</w:t>
      </w:r>
      <w:r w:rsidR="00435269" w:rsidRPr="00861B74">
        <w:rPr>
          <w:sz w:val="22"/>
          <w:szCs w:val="22"/>
        </w:rPr>
        <w:t>07</w:t>
      </w:r>
      <w:r w:rsidR="00457F93" w:rsidRPr="00861B74">
        <w:rPr>
          <w:sz w:val="22"/>
          <w:szCs w:val="22"/>
        </w:rPr>
        <w:t>, do Plenário.</w:t>
      </w:r>
      <w:r w:rsidR="00457F93" w:rsidRPr="00861B74">
        <w:rPr>
          <w:color w:val="FF0000"/>
          <w:sz w:val="22"/>
          <w:szCs w:val="22"/>
        </w:rPr>
        <w:t xml:space="preserve"> </w:t>
      </w:r>
      <w:r w:rsidR="00457F93" w:rsidRPr="00861B74">
        <w:rPr>
          <w:b/>
          <w:i/>
          <w:sz w:val="22"/>
          <w:szCs w:val="22"/>
        </w:rPr>
        <w:t xml:space="preserve">Acórdão n.º </w:t>
      </w:r>
      <w:r w:rsidRPr="00861B74">
        <w:rPr>
          <w:b/>
          <w:i/>
          <w:sz w:val="22"/>
          <w:szCs w:val="22"/>
        </w:rPr>
        <w:t>883</w:t>
      </w:r>
      <w:r w:rsidR="00457F93" w:rsidRPr="00861B74">
        <w:rPr>
          <w:b/>
          <w:i/>
          <w:sz w:val="22"/>
          <w:szCs w:val="22"/>
        </w:rPr>
        <w:t>/2011-Plenário, TC-0</w:t>
      </w:r>
      <w:r w:rsidRPr="00861B74">
        <w:rPr>
          <w:b/>
          <w:i/>
          <w:sz w:val="22"/>
          <w:szCs w:val="22"/>
        </w:rPr>
        <w:t>29</w:t>
      </w:r>
      <w:r w:rsidR="00457F93" w:rsidRPr="00861B74">
        <w:rPr>
          <w:b/>
          <w:i/>
          <w:sz w:val="22"/>
          <w:szCs w:val="22"/>
        </w:rPr>
        <w:t>.3</w:t>
      </w:r>
      <w:r w:rsidRPr="00861B74">
        <w:rPr>
          <w:b/>
          <w:i/>
          <w:sz w:val="22"/>
          <w:szCs w:val="22"/>
        </w:rPr>
        <w:t>59</w:t>
      </w:r>
      <w:r w:rsidR="00457F93" w:rsidRPr="00861B74">
        <w:rPr>
          <w:b/>
          <w:i/>
          <w:sz w:val="22"/>
          <w:szCs w:val="22"/>
        </w:rPr>
        <w:t>/200</w:t>
      </w:r>
      <w:r w:rsidRPr="00861B74">
        <w:rPr>
          <w:b/>
          <w:i/>
          <w:sz w:val="22"/>
          <w:szCs w:val="22"/>
        </w:rPr>
        <w:t>8</w:t>
      </w:r>
      <w:r w:rsidR="00457F93" w:rsidRPr="00861B74">
        <w:rPr>
          <w:b/>
          <w:i/>
          <w:sz w:val="22"/>
          <w:szCs w:val="22"/>
        </w:rPr>
        <w:t>-</w:t>
      </w:r>
      <w:r w:rsidRPr="00861B74">
        <w:rPr>
          <w:b/>
          <w:i/>
          <w:sz w:val="22"/>
          <w:szCs w:val="22"/>
        </w:rPr>
        <w:t>8</w:t>
      </w:r>
      <w:r w:rsidR="00457F93" w:rsidRPr="00861B74">
        <w:rPr>
          <w:b/>
          <w:i/>
          <w:sz w:val="22"/>
          <w:szCs w:val="22"/>
        </w:rPr>
        <w:t xml:space="preserve">, rel. Min. </w:t>
      </w:r>
      <w:r w:rsidRPr="00861B74">
        <w:rPr>
          <w:b/>
          <w:i/>
          <w:sz w:val="22"/>
          <w:szCs w:val="22"/>
        </w:rPr>
        <w:t>José Múcio Monteiro</w:t>
      </w:r>
      <w:r w:rsidR="00457F93" w:rsidRPr="00861B74">
        <w:rPr>
          <w:b/>
          <w:i/>
          <w:sz w:val="22"/>
          <w:szCs w:val="22"/>
        </w:rPr>
        <w:t>, 0</w:t>
      </w:r>
      <w:r w:rsidRPr="00861B74">
        <w:rPr>
          <w:b/>
          <w:i/>
          <w:sz w:val="22"/>
          <w:szCs w:val="22"/>
        </w:rPr>
        <w:t>6</w:t>
      </w:r>
      <w:r w:rsidR="00457F93" w:rsidRPr="00861B74">
        <w:rPr>
          <w:b/>
          <w:i/>
          <w:sz w:val="22"/>
          <w:szCs w:val="22"/>
        </w:rPr>
        <w:t>.0</w:t>
      </w:r>
      <w:r w:rsidRPr="00861B74">
        <w:rPr>
          <w:b/>
          <w:i/>
          <w:sz w:val="22"/>
          <w:szCs w:val="22"/>
        </w:rPr>
        <w:t>4</w:t>
      </w:r>
      <w:r w:rsidR="00457F93" w:rsidRPr="00861B74">
        <w:rPr>
          <w:b/>
          <w:i/>
          <w:sz w:val="22"/>
          <w:szCs w:val="22"/>
        </w:rPr>
        <w:t>.2011.</w:t>
      </w:r>
    </w:p>
    <w:p w:rsidR="00457F93" w:rsidRPr="00740292" w:rsidRDefault="00457F93" w:rsidP="006C7DE0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b/>
          <w:color w:val="000000"/>
          <w:sz w:val="22"/>
          <w:szCs w:val="22"/>
        </w:rPr>
      </w:pPr>
    </w:p>
    <w:p w:rsidR="006C7DE0" w:rsidRPr="00FA45CD" w:rsidRDefault="006C7DE0" w:rsidP="00FA45CD">
      <w:pPr>
        <w:pStyle w:val="TCU-RelVoto-demais"/>
        <w:spacing w:after="0"/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7334B1" w:rsidRPr="007C2A55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7C2A55" w:rsidRDefault="00C10DD5" w:rsidP="0030360F">
            <w:pPr>
              <w:pStyle w:val="enter-3pt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7334B1" w:rsidRPr="007C2A55" w:rsidRDefault="007334B1" w:rsidP="0030360F">
            <w:pPr>
              <w:pStyle w:val="enter-3pt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7C2A55">
              <w:rPr>
                <w:b/>
                <w:i/>
                <w:sz w:val="18"/>
                <w:szCs w:val="18"/>
              </w:rPr>
              <w:t xml:space="preserve">Contato: </w:t>
            </w:r>
            <w:hyperlink r:id="rId7" w:history="1">
              <w:r w:rsidRPr="007C2A55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7334B1" w:rsidRPr="007C2A55" w:rsidRDefault="007334B1" w:rsidP="007334B1">
      <w:pPr>
        <w:pStyle w:val="enter-3pt"/>
        <w:spacing w:line="240" w:lineRule="auto"/>
        <w:jc w:val="center"/>
        <w:rPr>
          <w:b/>
          <w:sz w:val="22"/>
          <w:szCs w:val="22"/>
        </w:rPr>
      </w:pPr>
    </w:p>
    <w:sectPr w:rsidR="007334B1" w:rsidRPr="007C2A55" w:rsidSect="00F340CD">
      <w:headerReference w:type="default" r:id="rId8"/>
      <w:footerReference w:type="default" r:id="rId9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65" w:rsidRDefault="00BA0D65" w:rsidP="008B0547">
      <w:pPr>
        <w:spacing w:after="0"/>
      </w:pPr>
      <w:r>
        <w:separator/>
      </w:r>
    </w:p>
  </w:endnote>
  <w:endnote w:type="continuationSeparator" w:id="0">
    <w:p w:rsidR="00BA0D65" w:rsidRDefault="00BA0D65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65125C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65" w:rsidRDefault="00BA0D65" w:rsidP="008B0547">
      <w:pPr>
        <w:spacing w:after="0"/>
      </w:pPr>
      <w:r>
        <w:separator/>
      </w:r>
    </w:p>
  </w:footnote>
  <w:footnote w:type="continuationSeparator" w:id="0">
    <w:p w:rsidR="00BA0D65" w:rsidRDefault="00BA0D65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764D63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764D63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8EDA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274068">
      <w:rPr>
        <w:rFonts w:ascii="Arial" w:hAnsi="Arial" w:cs="Arial"/>
        <w:noProof/>
        <w:lang w:eastAsia="pt-BR"/>
      </w:rPr>
      <w:t>5</w:t>
    </w:r>
    <w:r w:rsidR="00342A44">
      <w:rPr>
        <w:rFonts w:ascii="Arial" w:hAnsi="Arial" w:cs="Arial"/>
        <w:noProof/>
        <w:lang w:eastAsia="pt-BR"/>
      </w:rPr>
      <w:t>7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8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0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1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2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0"/>
  </w:num>
  <w:num w:numId="5">
    <w:abstractNumId w:val="8"/>
  </w:num>
  <w:num w:numId="6">
    <w:abstractNumId w:val="13"/>
  </w:num>
  <w:num w:numId="7">
    <w:abstractNumId w:val="20"/>
  </w:num>
  <w:num w:numId="8">
    <w:abstractNumId w:val="18"/>
  </w:num>
  <w:num w:numId="9">
    <w:abstractNumId w:val="15"/>
  </w:num>
  <w:num w:numId="10">
    <w:abstractNumId w:val="4"/>
  </w:num>
  <w:num w:numId="11">
    <w:abstractNumId w:val="22"/>
  </w:num>
  <w:num w:numId="12">
    <w:abstractNumId w:val="3"/>
  </w:num>
  <w:num w:numId="13">
    <w:abstractNumId w:val="12"/>
  </w:num>
  <w:num w:numId="14">
    <w:abstractNumId w:val="19"/>
  </w:num>
  <w:num w:numId="15">
    <w:abstractNumId w:val="11"/>
  </w:num>
  <w:num w:numId="16">
    <w:abstractNumId w:val="2"/>
  </w:num>
  <w:num w:numId="17">
    <w:abstractNumId w:val="10"/>
  </w:num>
  <w:num w:numId="18">
    <w:abstractNumId w:val="21"/>
    <w:lvlOverride w:ilvl="0">
      <w:startOverride w:val="1"/>
    </w:lvlOverride>
  </w:num>
  <w:num w:numId="19">
    <w:abstractNumId w:val="16"/>
  </w:num>
  <w:num w:numId="20">
    <w:abstractNumId w:val="9"/>
  </w:num>
  <w:num w:numId="21">
    <w:abstractNumId w:val="5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878"/>
    <w:rsid w:val="00003CEA"/>
    <w:rsid w:val="00004614"/>
    <w:rsid w:val="00005435"/>
    <w:rsid w:val="00005E1E"/>
    <w:rsid w:val="00012468"/>
    <w:rsid w:val="0001636D"/>
    <w:rsid w:val="00023D72"/>
    <w:rsid w:val="00025450"/>
    <w:rsid w:val="000271FA"/>
    <w:rsid w:val="00032198"/>
    <w:rsid w:val="00037DCE"/>
    <w:rsid w:val="00041450"/>
    <w:rsid w:val="0004660A"/>
    <w:rsid w:val="00052B15"/>
    <w:rsid w:val="0005412B"/>
    <w:rsid w:val="00054432"/>
    <w:rsid w:val="000562CD"/>
    <w:rsid w:val="00056D51"/>
    <w:rsid w:val="0006028E"/>
    <w:rsid w:val="00061C2E"/>
    <w:rsid w:val="00065E95"/>
    <w:rsid w:val="00070785"/>
    <w:rsid w:val="0007259B"/>
    <w:rsid w:val="00074384"/>
    <w:rsid w:val="00074AC5"/>
    <w:rsid w:val="00077A56"/>
    <w:rsid w:val="00080148"/>
    <w:rsid w:val="000835D8"/>
    <w:rsid w:val="00084727"/>
    <w:rsid w:val="0009133A"/>
    <w:rsid w:val="000916AF"/>
    <w:rsid w:val="00092C2E"/>
    <w:rsid w:val="00094C5B"/>
    <w:rsid w:val="00097863"/>
    <w:rsid w:val="000A0EF8"/>
    <w:rsid w:val="000A152A"/>
    <w:rsid w:val="000A1EBD"/>
    <w:rsid w:val="000A2C56"/>
    <w:rsid w:val="000A6269"/>
    <w:rsid w:val="000A62BD"/>
    <w:rsid w:val="000B0ECB"/>
    <w:rsid w:val="000B0FEA"/>
    <w:rsid w:val="000B2AFA"/>
    <w:rsid w:val="000C4A10"/>
    <w:rsid w:val="000D1878"/>
    <w:rsid w:val="000D1FD7"/>
    <w:rsid w:val="000D6418"/>
    <w:rsid w:val="000D7DB6"/>
    <w:rsid w:val="000D7DED"/>
    <w:rsid w:val="000E2D47"/>
    <w:rsid w:val="000E3B31"/>
    <w:rsid w:val="000E504D"/>
    <w:rsid w:val="000F2F92"/>
    <w:rsid w:val="000F6D85"/>
    <w:rsid w:val="000F7CEE"/>
    <w:rsid w:val="000F7D84"/>
    <w:rsid w:val="001041ED"/>
    <w:rsid w:val="001104BA"/>
    <w:rsid w:val="00112676"/>
    <w:rsid w:val="00112A5F"/>
    <w:rsid w:val="0011373A"/>
    <w:rsid w:val="00114511"/>
    <w:rsid w:val="00126026"/>
    <w:rsid w:val="00130A0C"/>
    <w:rsid w:val="00133EA9"/>
    <w:rsid w:val="00140FED"/>
    <w:rsid w:val="00141D7A"/>
    <w:rsid w:val="001420D1"/>
    <w:rsid w:val="001444A2"/>
    <w:rsid w:val="00151F92"/>
    <w:rsid w:val="0015258E"/>
    <w:rsid w:val="00152ECC"/>
    <w:rsid w:val="001532E4"/>
    <w:rsid w:val="00156A48"/>
    <w:rsid w:val="00157614"/>
    <w:rsid w:val="00157AFE"/>
    <w:rsid w:val="00157C0F"/>
    <w:rsid w:val="001744E7"/>
    <w:rsid w:val="00176375"/>
    <w:rsid w:val="001A0CC1"/>
    <w:rsid w:val="001A330B"/>
    <w:rsid w:val="001A58D8"/>
    <w:rsid w:val="001A60A2"/>
    <w:rsid w:val="001A79D3"/>
    <w:rsid w:val="001B3E8E"/>
    <w:rsid w:val="001B4F90"/>
    <w:rsid w:val="001B6823"/>
    <w:rsid w:val="001B7F4F"/>
    <w:rsid w:val="001C0575"/>
    <w:rsid w:val="001C1568"/>
    <w:rsid w:val="001C437E"/>
    <w:rsid w:val="001C71E3"/>
    <w:rsid w:val="001D03C7"/>
    <w:rsid w:val="001D1478"/>
    <w:rsid w:val="001D1E52"/>
    <w:rsid w:val="001D56C3"/>
    <w:rsid w:val="001D74CE"/>
    <w:rsid w:val="001E0BF1"/>
    <w:rsid w:val="001E1E28"/>
    <w:rsid w:val="001E2620"/>
    <w:rsid w:val="001E4147"/>
    <w:rsid w:val="001E7019"/>
    <w:rsid w:val="001E747D"/>
    <w:rsid w:val="001E7C3D"/>
    <w:rsid w:val="001F00DF"/>
    <w:rsid w:val="001F1E8F"/>
    <w:rsid w:val="00200260"/>
    <w:rsid w:val="002002CE"/>
    <w:rsid w:val="0020066F"/>
    <w:rsid w:val="0020107A"/>
    <w:rsid w:val="0020135D"/>
    <w:rsid w:val="00202EAD"/>
    <w:rsid w:val="00203A6F"/>
    <w:rsid w:val="00211816"/>
    <w:rsid w:val="00225D42"/>
    <w:rsid w:val="00226AEF"/>
    <w:rsid w:val="00226D9D"/>
    <w:rsid w:val="00232158"/>
    <w:rsid w:val="002328F9"/>
    <w:rsid w:val="00233CE3"/>
    <w:rsid w:val="002343BF"/>
    <w:rsid w:val="00242061"/>
    <w:rsid w:val="002435FC"/>
    <w:rsid w:val="002442D9"/>
    <w:rsid w:val="00244BA7"/>
    <w:rsid w:val="0024593F"/>
    <w:rsid w:val="002476B6"/>
    <w:rsid w:val="00253242"/>
    <w:rsid w:val="00254590"/>
    <w:rsid w:val="00262359"/>
    <w:rsid w:val="0026362E"/>
    <w:rsid w:val="002649A7"/>
    <w:rsid w:val="00264FC3"/>
    <w:rsid w:val="002663B7"/>
    <w:rsid w:val="002666C5"/>
    <w:rsid w:val="00271D81"/>
    <w:rsid w:val="0027213F"/>
    <w:rsid w:val="00273E72"/>
    <w:rsid w:val="00274068"/>
    <w:rsid w:val="0027498E"/>
    <w:rsid w:val="0027686D"/>
    <w:rsid w:val="00276DC0"/>
    <w:rsid w:val="002810D9"/>
    <w:rsid w:val="00281830"/>
    <w:rsid w:val="002830F6"/>
    <w:rsid w:val="00287326"/>
    <w:rsid w:val="0029043B"/>
    <w:rsid w:val="00290A06"/>
    <w:rsid w:val="0029211E"/>
    <w:rsid w:val="0029450E"/>
    <w:rsid w:val="00297A00"/>
    <w:rsid w:val="002A190F"/>
    <w:rsid w:val="002A2129"/>
    <w:rsid w:val="002A3B3F"/>
    <w:rsid w:val="002B409B"/>
    <w:rsid w:val="002B4392"/>
    <w:rsid w:val="002B56C3"/>
    <w:rsid w:val="002B5AD5"/>
    <w:rsid w:val="002B5C5A"/>
    <w:rsid w:val="002B6422"/>
    <w:rsid w:val="002B71BA"/>
    <w:rsid w:val="002C208E"/>
    <w:rsid w:val="002C7B61"/>
    <w:rsid w:val="002C7B6D"/>
    <w:rsid w:val="002D1688"/>
    <w:rsid w:val="002D35F5"/>
    <w:rsid w:val="002D47FE"/>
    <w:rsid w:val="002D532D"/>
    <w:rsid w:val="002D739A"/>
    <w:rsid w:val="002D76AB"/>
    <w:rsid w:val="002E1545"/>
    <w:rsid w:val="002E28BA"/>
    <w:rsid w:val="002E361C"/>
    <w:rsid w:val="002E3943"/>
    <w:rsid w:val="002E3F7C"/>
    <w:rsid w:val="002E4254"/>
    <w:rsid w:val="002E4F13"/>
    <w:rsid w:val="002E4FB7"/>
    <w:rsid w:val="002F104B"/>
    <w:rsid w:val="002F1C09"/>
    <w:rsid w:val="002F5F3B"/>
    <w:rsid w:val="002F693C"/>
    <w:rsid w:val="002F7C6D"/>
    <w:rsid w:val="003020F4"/>
    <w:rsid w:val="003025C7"/>
    <w:rsid w:val="0030360F"/>
    <w:rsid w:val="00303984"/>
    <w:rsid w:val="00304A73"/>
    <w:rsid w:val="003069F9"/>
    <w:rsid w:val="00310208"/>
    <w:rsid w:val="0031058F"/>
    <w:rsid w:val="0031089E"/>
    <w:rsid w:val="00310D69"/>
    <w:rsid w:val="003147B7"/>
    <w:rsid w:val="00317E59"/>
    <w:rsid w:val="00322AE7"/>
    <w:rsid w:val="00325246"/>
    <w:rsid w:val="003275E4"/>
    <w:rsid w:val="0033244F"/>
    <w:rsid w:val="00337E16"/>
    <w:rsid w:val="00340E66"/>
    <w:rsid w:val="00340F10"/>
    <w:rsid w:val="00342A44"/>
    <w:rsid w:val="0034486B"/>
    <w:rsid w:val="00344D92"/>
    <w:rsid w:val="003455A2"/>
    <w:rsid w:val="00350E87"/>
    <w:rsid w:val="00353B7C"/>
    <w:rsid w:val="0035438E"/>
    <w:rsid w:val="00355828"/>
    <w:rsid w:val="00356E38"/>
    <w:rsid w:val="00357CBE"/>
    <w:rsid w:val="00361487"/>
    <w:rsid w:val="00361661"/>
    <w:rsid w:val="00377407"/>
    <w:rsid w:val="00381780"/>
    <w:rsid w:val="003824E4"/>
    <w:rsid w:val="00383CFE"/>
    <w:rsid w:val="003853FF"/>
    <w:rsid w:val="00385609"/>
    <w:rsid w:val="00385DAB"/>
    <w:rsid w:val="0038696B"/>
    <w:rsid w:val="00390ED6"/>
    <w:rsid w:val="00392509"/>
    <w:rsid w:val="003943E5"/>
    <w:rsid w:val="00397D8E"/>
    <w:rsid w:val="003A105C"/>
    <w:rsid w:val="003A2222"/>
    <w:rsid w:val="003A3262"/>
    <w:rsid w:val="003A5479"/>
    <w:rsid w:val="003A5C1B"/>
    <w:rsid w:val="003A7C7F"/>
    <w:rsid w:val="003B0304"/>
    <w:rsid w:val="003B043F"/>
    <w:rsid w:val="003B155C"/>
    <w:rsid w:val="003B2E10"/>
    <w:rsid w:val="003B33CE"/>
    <w:rsid w:val="003B343D"/>
    <w:rsid w:val="003B56D7"/>
    <w:rsid w:val="003C1911"/>
    <w:rsid w:val="003C1B4F"/>
    <w:rsid w:val="003C2288"/>
    <w:rsid w:val="003C3336"/>
    <w:rsid w:val="003C39E6"/>
    <w:rsid w:val="003C6DEB"/>
    <w:rsid w:val="003C7585"/>
    <w:rsid w:val="003C7A5C"/>
    <w:rsid w:val="003D660C"/>
    <w:rsid w:val="003D73BD"/>
    <w:rsid w:val="003D7CCE"/>
    <w:rsid w:val="003E0D8C"/>
    <w:rsid w:val="003E154A"/>
    <w:rsid w:val="003E1B68"/>
    <w:rsid w:val="003E65D7"/>
    <w:rsid w:val="003F1CE1"/>
    <w:rsid w:val="003F413A"/>
    <w:rsid w:val="003F54FB"/>
    <w:rsid w:val="003F6D1F"/>
    <w:rsid w:val="00405316"/>
    <w:rsid w:val="00412CEF"/>
    <w:rsid w:val="004169D8"/>
    <w:rsid w:val="004201AF"/>
    <w:rsid w:val="00425FF9"/>
    <w:rsid w:val="00427B3B"/>
    <w:rsid w:val="00427EBF"/>
    <w:rsid w:val="00435269"/>
    <w:rsid w:val="004362AB"/>
    <w:rsid w:val="004415FB"/>
    <w:rsid w:val="00441CE3"/>
    <w:rsid w:val="004421F5"/>
    <w:rsid w:val="0044434A"/>
    <w:rsid w:val="0044437F"/>
    <w:rsid w:val="00445E76"/>
    <w:rsid w:val="00447217"/>
    <w:rsid w:val="00452C60"/>
    <w:rsid w:val="00457F93"/>
    <w:rsid w:val="004617A9"/>
    <w:rsid w:val="0046384E"/>
    <w:rsid w:val="00464CF4"/>
    <w:rsid w:val="00466E73"/>
    <w:rsid w:val="0046706B"/>
    <w:rsid w:val="00467815"/>
    <w:rsid w:val="00471284"/>
    <w:rsid w:val="00473696"/>
    <w:rsid w:val="00473721"/>
    <w:rsid w:val="0047491E"/>
    <w:rsid w:val="004837C6"/>
    <w:rsid w:val="00483998"/>
    <w:rsid w:val="00484E4C"/>
    <w:rsid w:val="00491438"/>
    <w:rsid w:val="00492E3F"/>
    <w:rsid w:val="00493F5C"/>
    <w:rsid w:val="004A171B"/>
    <w:rsid w:val="004B0194"/>
    <w:rsid w:val="004B1113"/>
    <w:rsid w:val="004B1DC3"/>
    <w:rsid w:val="004B36AE"/>
    <w:rsid w:val="004C61A3"/>
    <w:rsid w:val="004C6E03"/>
    <w:rsid w:val="004C780C"/>
    <w:rsid w:val="004D3441"/>
    <w:rsid w:val="004D6A38"/>
    <w:rsid w:val="004D6C65"/>
    <w:rsid w:val="004D708E"/>
    <w:rsid w:val="004D760C"/>
    <w:rsid w:val="004D7C91"/>
    <w:rsid w:val="004E357A"/>
    <w:rsid w:val="004E65EB"/>
    <w:rsid w:val="004F7174"/>
    <w:rsid w:val="00500DD0"/>
    <w:rsid w:val="0050355D"/>
    <w:rsid w:val="005055B5"/>
    <w:rsid w:val="00510D1D"/>
    <w:rsid w:val="00511BBF"/>
    <w:rsid w:val="00515E7B"/>
    <w:rsid w:val="005217F8"/>
    <w:rsid w:val="0052267A"/>
    <w:rsid w:val="00531143"/>
    <w:rsid w:val="00534A44"/>
    <w:rsid w:val="00536332"/>
    <w:rsid w:val="00542821"/>
    <w:rsid w:val="005438A1"/>
    <w:rsid w:val="00543B81"/>
    <w:rsid w:val="00543EB8"/>
    <w:rsid w:val="00544FCF"/>
    <w:rsid w:val="00545A47"/>
    <w:rsid w:val="00545FC7"/>
    <w:rsid w:val="0054634E"/>
    <w:rsid w:val="00554A33"/>
    <w:rsid w:val="0055716D"/>
    <w:rsid w:val="00557953"/>
    <w:rsid w:val="00560E55"/>
    <w:rsid w:val="0056301A"/>
    <w:rsid w:val="005635AD"/>
    <w:rsid w:val="005640E1"/>
    <w:rsid w:val="00564EA1"/>
    <w:rsid w:val="0056534C"/>
    <w:rsid w:val="00567CEE"/>
    <w:rsid w:val="005713F4"/>
    <w:rsid w:val="00571E64"/>
    <w:rsid w:val="00575CC3"/>
    <w:rsid w:val="00580F26"/>
    <w:rsid w:val="00581A7C"/>
    <w:rsid w:val="0058427E"/>
    <w:rsid w:val="005864FA"/>
    <w:rsid w:val="00590907"/>
    <w:rsid w:val="00594A7B"/>
    <w:rsid w:val="005A2D82"/>
    <w:rsid w:val="005A3835"/>
    <w:rsid w:val="005A3AEC"/>
    <w:rsid w:val="005A72F2"/>
    <w:rsid w:val="005B2194"/>
    <w:rsid w:val="005B2BC3"/>
    <w:rsid w:val="005B4CFA"/>
    <w:rsid w:val="005B5B3D"/>
    <w:rsid w:val="005C1A79"/>
    <w:rsid w:val="005C7644"/>
    <w:rsid w:val="005C7BF4"/>
    <w:rsid w:val="005D3352"/>
    <w:rsid w:val="005E269C"/>
    <w:rsid w:val="005E3586"/>
    <w:rsid w:val="005E4DEE"/>
    <w:rsid w:val="005E5FF1"/>
    <w:rsid w:val="005F01CE"/>
    <w:rsid w:val="005F135B"/>
    <w:rsid w:val="005F70B6"/>
    <w:rsid w:val="005F7A87"/>
    <w:rsid w:val="00601F0A"/>
    <w:rsid w:val="00604DBE"/>
    <w:rsid w:val="006063E1"/>
    <w:rsid w:val="006065E4"/>
    <w:rsid w:val="00610039"/>
    <w:rsid w:val="00610381"/>
    <w:rsid w:val="00611E07"/>
    <w:rsid w:val="00612045"/>
    <w:rsid w:val="00612F12"/>
    <w:rsid w:val="00613AC9"/>
    <w:rsid w:val="00620E86"/>
    <w:rsid w:val="006219DD"/>
    <w:rsid w:val="00631FE7"/>
    <w:rsid w:val="00632ACC"/>
    <w:rsid w:val="006345C1"/>
    <w:rsid w:val="00637FDD"/>
    <w:rsid w:val="00641E57"/>
    <w:rsid w:val="006503A5"/>
    <w:rsid w:val="00650463"/>
    <w:rsid w:val="0065125C"/>
    <w:rsid w:val="00651660"/>
    <w:rsid w:val="00652171"/>
    <w:rsid w:val="00666285"/>
    <w:rsid w:val="00670FEA"/>
    <w:rsid w:val="006734AA"/>
    <w:rsid w:val="0067353C"/>
    <w:rsid w:val="00676163"/>
    <w:rsid w:val="00677C22"/>
    <w:rsid w:val="006808CC"/>
    <w:rsid w:val="00685899"/>
    <w:rsid w:val="00692D30"/>
    <w:rsid w:val="00695597"/>
    <w:rsid w:val="00696A89"/>
    <w:rsid w:val="00697477"/>
    <w:rsid w:val="006A037E"/>
    <w:rsid w:val="006A2019"/>
    <w:rsid w:val="006A7796"/>
    <w:rsid w:val="006B0495"/>
    <w:rsid w:val="006B0DCB"/>
    <w:rsid w:val="006B2408"/>
    <w:rsid w:val="006B3AF9"/>
    <w:rsid w:val="006B414C"/>
    <w:rsid w:val="006B4B0F"/>
    <w:rsid w:val="006C335E"/>
    <w:rsid w:val="006C5C6C"/>
    <w:rsid w:val="006C7DE0"/>
    <w:rsid w:val="006D4245"/>
    <w:rsid w:val="006E4064"/>
    <w:rsid w:val="006F2F67"/>
    <w:rsid w:val="006F4DE0"/>
    <w:rsid w:val="006F4FB2"/>
    <w:rsid w:val="006F6483"/>
    <w:rsid w:val="006F7332"/>
    <w:rsid w:val="0070385B"/>
    <w:rsid w:val="0070494F"/>
    <w:rsid w:val="00705758"/>
    <w:rsid w:val="0070717A"/>
    <w:rsid w:val="00707244"/>
    <w:rsid w:val="00712CCC"/>
    <w:rsid w:val="00713DE5"/>
    <w:rsid w:val="007174DA"/>
    <w:rsid w:val="00720910"/>
    <w:rsid w:val="00720F29"/>
    <w:rsid w:val="007224C2"/>
    <w:rsid w:val="00731409"/>
    <w:rsid w:val="007334B1"/>
    <w:rsid w:val="007339F3"/>
    <w:rsid w:val="00737FEC"/>
    <w:rsid w:val="00740292"/>
    <w:rsid w:val="00742B07"/>
    <w:rsid w:val="00756AA0"/>
    <w:rsid w:val="00757CE6"/>
    <w:rsid w:val="00764CB0"/>
    <w:rsid w:val="00764D63"/>
    <w:rsid w:val="007671B6"/>
    <w:rsid w:val="007671DA"/>
    <w:rsid w:val="007719A8"/>
    <w:rsid w:val="00773CAE"/>
    <w:rsid w:val="00774593"/>
    <w:rsid w:val="00776EDA"/>
    <w:rsid w:val="00777599"/>
    <w:rsid w:val="00785CF8"/>
    <w:rsid w:val="00796068"/>
    <w:rsid w:val="00796CC0"/>
    <w:rsid w:val="007979EA"/>
    <w:rsid w:val="007A0CB8"/>
    <w:rsid w:val="007A1A35"/>
    <w:rsid w:val="007A2166"/>
    <w:rsid w:val="007A2B7F"/>
    <w:rsid w:val="007A5922"/>
    <w:rsid w:val="007B259B"/>
    <w:rsid w:val="007B5018"/>
    <w:rsid w:val="007B65B3"/>
    <w:rsid w:val="007C4E99"/>
    <w:rsid w:val="007C5151"/>
    <w:rsid w:val="007C546B"/>
    <w:rsid w:val="007C670D"/>
    <w:rsid w:val="007C7359"/>
    <w:rsid w:val="007D0ED0"/>
    <w:rsid w:val="007D1F01"/>
    <w:rsid w:val="007D48CF"/>
    <w:rsid w:val="007D4A4A"/>
    <w:rsid w:val="007D4ED7"/>
    <w:rsid w:val="007E0E05"/>
    <w:rsid w:val="007E1DD3"/>
    <w:rsid w:val="007E209F"/>
    <w:rsid w:val="007E2878"/>
    <w:rsid w:val="007E4655"/>
    <w:rsid w:val="007E55E0"/>
    <w:rsid w:val="007E5C50"/>
    <w:rsid w:val="007E7684"/>
    <w:rsid w:val="007F0546"/>
    <w:rsid w:val="007F22A5"/>
    <w:rsid w:val="007F5688"/>
    <w:rsid w:val="008051DE"/>
    <w:rsid w:val="00810CC2"/>
    <w:rsid w:val="00812C2B"/>
    <w:rsid w:val="0081324B"/>
    <w:rsid w:val="0081440E"/>
    <w:rsid w:val="00816193"/>
    <w:rsid w:val="008165E4"/>
    <w:rsid w:val="00825155"/>
    <w:rsid w:val="00825EB9"/>
    <w:rsid w:val="008303E2"/>
    <w:rsid w:val="008341F8"/>
    <w:rsid w:val="008359F3"/>
    <w:rsid w:val="00835DB6"/>
    <w:rsid w:val="00836AC2"/>
    <w:rsid w:val="008406D5"/>
    <w:rsid w:val="00844C5B"/>
    <w:rsid w:val="008501A4"/>
    <w:rsid w:val="008505A1"/>
    <w:rsid w:val="00850817"/>
    <w:rsid w:val="00851D16"/>
    <w:rsid w:val="00854B32"/>
    <w:rsid w:val="00856252"/>
    <w:rsid w:val="00857634"/>
    <w:rsid w:val="0086124E"/>
    <w:rsid w:val="00861B74"/>
    <w:rsid w:val="008652C9"/>
    <w:rsid w:val="00866992"/>
    <w:rsid w:val="00872942"/>
    <w:rsid w:val="00875991"/>
    <w:rsid w:val="00877FDD"/>
    <w:rsid w:val="00880FED"/>
    <w:rsid w:val="008841C8"/>
    <w:rsid w:val="00885367"/>
    <w:rsid w:val="00887082"/>
    <w:rsid w:val="00892BB8"/>
    <w:rsid w:val="00893014"/>
    <w:rsid w:val="0089513A"/>
    <w:rsid w:val="00896755"/>
    <w:rsid w:val="008A2417"/>
    <w:rsid w:val="008A5D49"/>
    <w:rsid w:val="008A751E"/>
    <w:rsid w:val="008B0547"/>
    <w:rsid w:val="008B11A3"/>
    <w:rsid w:val="008B1FE5"/>
    <w:rsid w:val="008B3A74"/>
    <w:rsid w:val="008B3D72"/>
    <w:rsid w:val="008B434A"/>
    <w:rsid w:val="008B7B55"/>
    <w:rsid w:val="008C3A5B"/>
    <w:rsid w:val="008C5B71"/>
    <w:rsid w:val="008D2382"/>
    <w:rsid w:val="008D5667"/>
    <w:rsid w:val="008D6F5D"/>
    <w:rsid w:val="008E003A"/>
    <w:rsid w:val="008E15E3"/>
    <w:rsid w:val="008E2045"/>
    <w:rsid w:val="008E4C62"/>
    <w:rsid w:val="008E727E"/>
    <w:rsid w:val="008F2902"/>
    <w:rsid w:val="008F4593"/>
    <w:rsid w:val="008F660B"/>
    <w:rsid w:val="009005CE"/>
    <w:rsid w:val="00901376"/>
    <w:rsid w:val="009021A4"/>
    <w:rsid w:val="00904EC5"/>
    <w:rsid w:val="00914B48"/>
    <w:rsid w:val="0091511B"/>
    <w:rsid w:val="00917B6F"/>
    <w:rsid w:val="009239AA"/>
    <w:rsid w:val="009245B5"/>
    <w:rsid w:val="00925EF2"/>
    <w:rsid w:val="00935C40"/>
    <w:rsid w:val="00935F4D"/>
    <w:rsid w:val="0093795C"/>
    <w:rsid w:val="00937F7E"/>
    <w:rsid w:val="009440DE"/>
    <w:rsid w:val="009444E6"/>
    <w:rsid w:val="00944A8E"/>
    <w:rsid w:val="009455E6"/>
    <w:rsid w:val="00956BA7"/>
    <w:rsid w:val="00956FD8"/>
    <w:rsid w:val="009575F7"/>
    <w:rsid w:val="00957E4B"/>
    <w:rsid w:val="0096021A"/>
    <w:rsid w:val="00960F73"/>
    <w:rsid w:val="0096655D"/>
    <w:rsid w:val="00971139"/>
    <w:rsid w:val="00972B10"/>
    <w:rsid w:val="0097401F"/>
    <w:rsid w:val="00981FA0"/>
    <w:rsid w:val="00984366"/>
    <w:rsid w:val="00984E80"/>
    <w:rsid w:val="0098690F"/>
    <w:rsid w:val="00987EE5"/>
    <w:rsid w:val="00991CD8"/>
    <w:rsid w:val="00991EBE"/>
    <w:rsid w:val="00993C2E"/>
    <w:rsid w:val="00997C8A"/>
    <w:rsid w:val="009A1339"/>
    <w:rsid w:val="009A3006"/>
    <w:rsid w:val="009A3994"/>
    <w:rsid w:val="009B62AF"/>
    <w:rsid w:val="009B7AB9"/>
    <w:rsid w:val="009C4B6D"/>
    <w:rsid w:val="009D0928"/>
    <w:rsid w:val="009D1B99"/>
    <w:rsid w:val="009D5445"/>
    <w:rsid w:val="009D565F"/>
    <w:rsid w:val="009D65B9"/>
    <w:rsid w:val="009E04DC"/>
    <w:rsid w:val="009E0FB3"/>
    <w:rsid w:val="009E5105"/>
    <w:rsid w:val="009E59A1"/>
    <w:rsid w:val="009E66EE"/>
    <w:rsid w:val="009F4326"/>
    <w:rsid w:val="00A0244C"/>
    <w:rsid w:val="00A033FF"/>
    <w:rsid w:val="00A0409E"/>
    <w:rsid w:val="00A06137"/>
    <w:rsid w:val="00A063FE"/>
    <w:rsid w:val="00A06EDB"/>
    <w:rsid w:val="00A07ACC"/>
    <w:rsid w:val="00A1329C"/>
    <w:rsid w:val="00A14E25"/>
    <w:rsid w:val="00A16A60"/>
    <w:rsid w:val="00A17A3D"/>
    <w:rsid w:val="00A2062A"/>
    <w:rsid w:val="00A2066E"/>
    <w:rsid w:val="00A21E19"/>
    <w:rsid w:val="00A239A8"/>
    <w:rsid w:val="00A30683"/>
    <w:rsid w:val="00A3115F"/>
    <w:rsid w:val="00A33030"/>
    <w:rsid w:val="00A378A2"/>
    <w:rsid w:val="00A407B6"/>
    <w:rsid w:val="00A52DA1"/>
    <w:rsid w:val="00A5757E"/>
    <w:rsid w:val="00A60F52"/>
    <w:rsid w:val="00A61DFE"/>
    <w:rsid w:val="00A62AA8"/>
    <w:rsid w:val="00A63B4C"/>
    <w:rsid w:val="00A664E7"/>
    <w:rsid w:val="00A66E7F"/>
    <w:rsid w:val="00A75C52"/>
    <w:rsid w:val="00A767B2"/>
    <w:rsid w:val="00A81B11"/>
    <w:rsid w:val="00A82B9E"/>
    <w:rsid w:val="00A84186"/>
    <w:rsid w:val="00A846F1"/>
    <w:rsid w:val="00A857B4"/>
    <w:rsid w:val="00A85B14"/>
    <w:rsid w:val="00A875C0"/>
    <w:rsid w:val="00A87C15"/>
    <w:rsid w:val="00A92706"/>
    <w:rsid w:val="00A9704A"/>
    <w:rsid w:val="00A97AD0"/>
    <w:rsid w:val="00AA1377"/>
    <w:rsid w:val="00AA49AF"/>
    <w:rsid w:val="00AA57CE"/>
    <w:rsid w:val="00AA7540"/>
    <w:rsid w:val="00AC0BAE"/>
    <w:rsid w:val="00AC126F"/>
    <w:rsid w:val="00AC4B34"/>
    <w:rsid w:val="00AC567B"/>
    <w:rsid w:val="00AD05A6"/>
    <w:rsid w:val="00AE05EA"/>
    <w:rsid w:val="00AE0EDF"/>
    <w:rsid w:val="00AE1128"/>
    <w:rsid w:val="00AE1AB0"/>
    <w:rsid w:val="00AE2609"/>
    <w:rsid w:val="00AE29A8"/>
    <w:rsid w:val="00AE439A"/>
    <w:rsid w:val="00AE617A"/>
    <w:rsid w:val="00AE713F"/>
    <w:rsid w:val="00AF09C7"/>
    <w:rsid w:val="00AF4BF4"/>
    <w:rsid w:val="00B03D35"/>
    <w:rsid w:val="00B05065"/>
    <w:rsid w:val="00B05194"/>
    <w:rsid w:val="00B17303"/>
    <w:rsid w:val="00B21343"/>
    <w:rsid w:val="00B219AA"/>
    <w:rsid w:val="00B25143"/>
    <w:rsid w:val="00B2585D"/>
    <w:rsid w:val="00B266FA"/>
    <w:rsid w:val="00B27359"/>
    <w:rsid w:val="00B33FC2"/>
    <w:rsid w:val="00B347F1"/>
    <w:rsid w:val="00B3502B"/>
    <w:rsid w:val="00B3599F"/>
    <w:rsid w:val="00B35C3E"/>
    <w:rsid w:val="00B36473"/>
    <w:rsid w:val="00B44029"/>
    <w:rsid w:val="00B45428"/>
    <w:rsid w:val="00B47943"/>
    <w:rsid w:val="00B50446"/>
    <w:rsid w:val="00B50A6E"/>
    <w:rsid w:val="00B512D2"/>
    <w:rsid w:val="00B527BF"/>
    <w:rsid w:val="00B530FD"/>
    <w:rsid w:val="00B53C9C"/>
    <w:rsid w:val="00B5639B"/>
    <w:rsid w:val="00B60C3E"/>
    <w:rsid w:val="00B615CB"/>
    <w:rsid w:val="00B645FA"/>
    <w:rsid w:val="00B64775"/>
    <w:rsid w:val="00B67B4F"/>
    <w:rsid w:val="00B81718"/>
    <w:rsid w:val="00B86AF6"/>
    <w:rsid w:val="00B86E2A"/>
    <w:rsid w:val="00B877AA"/>
    <w:rsid w:val="00B9389E"/>
    <w:rsid w:val="00B96EA4"/>
    <w:rsid w:val="00B97A3E"/>
    <w:rsid w:val="00BA0D65"/>
    <w:rsid w:val="00BA2F02"/>
    <w:rsid w:val="00BA2FFD"/>
    <w:rsid w:val="00BA58B6"/>
    <w:rsid w:val="00BA62AD"/>
    <w:rsid w:val="00BB0267"/>
    <w:rsid w:val="00BB37AF"/>
    <w:rsid w:val="00BB4C08"/>
    <w:rsid w:val="00BB61BE"/>
    <w:rsid w:val="00BC1DBD"/>
    <w:rsid w:val="00BC5737"/>
    <w:rsid w:val="00BD084A"/>
    <w:rsid w:val="00BD1747"/>
    <w:rsid w:val="00BD3C68"/>
    <w:rsid w:val="00BD421D"/>
    <w:rsid w:val="00BD6B87"/>
    <w:rsid w:val="00BE4614"/>
    <w:rsid w:val="00BE4E6F"/>
    <w:rsid w:val="00BE5100"/>
    <w:rsid w:val="00BE529D"/>
    <w:rsid w:val="00BE6637"/>
    <w:rsid w:val="00BF10E8"/>
    <w:rsid w:val="00BF3158"/>
    <w:rsid w:val="00BF51B7"/>
    <w:rsid w:val="00C03312"/>
    <w:rsid w:val="00C039A5"/>
    <w:rsid w:val="00C03A04"/>
    <w:rsid w:val="00C046F7"/>
    <w:rsid w:val="00C10C0B"/>
    <w:rsid w:val="00C10DD5"/>
    <w:rsid w:val="00C1776A"/>
    <w:rsid w:val="00C22519"/>
    <w:rsid w:val="00C2305C"/>
    <w:rsid w:val="00C233D0"/>
    <w:rsid w:val="00C2380D"/>
    <w:rsid w:val="00C24162"/>
    <w:rsid w:val="00C2509D"/>
    <w:rsid w:val="00C34ABD"/>
    <w:rsid w:val="00C35F43"/>
    <w:rsid w:val="00C37088"/>
    <w:rsid w:val="00C408D5"/>
    <w:rsid w:val="00C41D3C"/>
    <w:rsid w:val="00C43801"/>
    <w:rsid w:val="00C44A07"/>
    <w:rsid w:val="00C44BDC"/>
    <w:rsid w:val="00C45BFB"/>
    <w:rsid w:val="00C45DCE"/>
    <w:rsid w:val="00C50FF9"/>
    <w:rsid w:val="00C54B14"/>
    <w:rsid w:val="00C6352A"/>
    <w:rsid w:val="00C65B2D"/>
    <w:rsid w:val="00C65C5D"/>
    <w:rsid w:val="00C6656A"/>
    <w:rsid w:val="00C711E5"/>
    <w:rsid w:val="00C730CB"/>
    <w:rsid w:val="00C73782"/>
    <w:rsid w:val="00C80D90"/>
    <w:rsid w:val="00C81B05"/>
    <w:rsid w:val="00C83AEE"/>
    <w:rsid w:val="00C85563"/>
    <w:rsid w:val="00C85AC7"/>
    <w:rsid w:val="00C906CD"/>
    <w:rsid w:val="00CA0FB8"/>
    <w:rsid w:val="00CA15F3"/>
    <w:rsid w:val="00CA2680"/>
    <w:rsid w:val="00CA4D23"/>
    <w:rsid w:val="00CA6716"/>
    <w:rsid w:val="00CB0D34"/>
    <w:rsid w:val="00CC1939"/>
    <w:rsid w:val="00CC42D4"/>
    <w:rsid w:val="00CC7712"/>
    <w:rsid w:val="00CD101A"/>
    <w:rsid w:val="00CD179A"/>
    <w:rsid w:val="00CD2536"/>
    <w:rsid w:val="00CD407F"/>
    <w:rsid w:val="00CE6D09"/>
    <w:rsid w:val="00CF0E4D"/>
    <w:rsid w:val="00CF230D"/>
    <w:rsid w:val="00CF5489"/>
    <w:rsid w:val="00CF7615"/>
    <w:rsid w:val="00D003F8"/>
    <w:rsid w:val="00D02FB7"/>
    <w:rsid w:val="00D04613"/>
    <w:rsid w:val="00D10769"/>
    <w:rsid w:val="00D11642"/>
    <w:rsid w:val="00D116C7"/>
    <w:rsid w:val="00D13AC5"/>
    <w:rsid w:val="00D14E5F"/>
    <w:rsid w:val="00D17CC6"/>
    <w:rsid w:val="00D2041E"/>
    <w:rsid w:val="00D20454"/>
    <w:rsid w:val="00D20D10"/>
    <w:rsid w:val="00D23801"/>
    <w:rsid w:val="00D33CB4"/>
    <w:rsid w:val="00D341C9"/>
    <w:rsid w:val="00D3447D"/>
    <w:rsid w:val="00D3488B"/>
    <w:rsid w:val="00D361DE"/>
    <w:rsid w:val="00D3793E"/>
    <w:rsid w:val="00D41A6A"/>
    <w:rsid w:val="00D44B3D"/>
    <w:rsid w:val="00D46C4C"/>
    <w:rsid w:val="00D51F18"/>
    <w:rsid w:val="00D53537"/>
    <w:rsid w:val="00D551C8"/>
    <w:rsid w:val="00D564BB"/>
    <w:rsid w:val="00D565FA"/>
    <w:rsid w:val="00D568ED"/>
    <w:rsid w:val="00D6014E"/>
    <w:rsid w:val="00D630E7"/>
    <w:rsid w:val="00D700E5"/>
    <w:rsid w:val="00D71B77"/>
    <w:rsid w:val="00D76186"/>
    <w:rsid w:val="00D771E9"/>
    <w:rsid w:val="00D86DD4"/>
    <w:rsid w:val="00D92529"/>
    <w:rsid w:val="00DA1613"/>
    <w:rsid w:val="00DA5AAB"/>
    <w:rsid w:val="00DA6858"/>
    <w:rsid w:val="00DB1CD7"/>
    <w:rsid w:val="00DB2651"/>
    <w:rsid w:val="00DB30B1"/>
    <w:rsid w:val="00DB4717"/>
    <w:rsid w:val="00DC12C8"/>
    <w:rsid w:val="00DC6F31"/>
    <w:rsid w:val="00DD6D82"/>
    <w:rsid w:val="00DE045E"/>
    <w:rsid w:val="00DE1AA5"/>
    <w:rsid w:val="00DE231A"/>
    <w:rsid w:val="00DE23D6"/>
    <w:rsid w:val="00DE2CB6"/>
    <w:rsid w:val="00DE2DDE"/>
    <w:rsid w:val="00DE395F"/>
    <w:rsid w:val="00DE5414"/>
    <w:rsid w:val="00DF0C37"/>
    <w:rsid w:val="00DF24FD"/>
    <w:rsid w:val="00DF2506"/>
    <w:rsid w:val="00DF301A"/>
    <w:rsid w:val="00DF3469"/>
    <w:rsid w:val="00DF3BE2"/>
    <w:rsid w:val="00DF4E2C"/>
    <w:rsid w:val="00DF75EC"/>
    <w:rsid w:val="00E0133D"/>
    <w:rsid w:val="00E019ED"/>
    <w:rsid w:val="00E04A04"/>
    <w:rsid w:val="00E04C48"/>
    <w:rsid w:val="00E06065"/>
    <w:rsid w:val="00E079C6"/>
    <w:rsid w:val="00E146CF"/>
    <w:rsid w:val="00E17711"/>
    <w:rsid w:val="00E23C05"/>
    <w:rsid w:val="00E2425F"/>
    <w:rsid w:val="00E247E2"/>
    <w:rsid w:val="00E304EB"/>
    <w:rsid w:val="00E329D0"/>
    <w:rsid w:val="00E33746"/>
    <w:rsid w:val="00E342B3"/>
    <w:rsid w:val="00E3451F"/>
    <w:rsid w:val="00E36ADF"/>
    <w:rsid w:val="00E36B53"/>
    <w:rsid w:val="00E37585"/>
    <w:rsid w:val="00E41B64"/>
    <w:rsid w:val="00E42C35"/>
    <w:rsid w:val="00E469D5"/>
    <w:rsid w:val="00E46CD5"/>
    <w:rsid w:val="00E500D9"/>
    <w:rsid w:val="00E51AB5"/>
    <w:rsid w:val="00E52345"/>
    <w:rsid w:val="00E52763"/>
    <w:rsid w:val="00E563AE"/>
    <w:rsid w:val="00E565BF"/>
    <w:rsid w:val="00E662CD"/>
    <w:rsid w:val="00E67427"/>
    <w:rsid w:val="00E73271"/>
    <w:rsid w:val="00E74214"/>
    <w:rsid w:val="00E74D52"/>
    <w:rsid w:val="00E75855"/>
    <w:rsid w:val="00E7609C"/>
    <w:rsid w:val="00E85CBE"/>
    <w:rsid w:val="00E86566"/>
    <w:rsid w:val="00E875F5"/>
    <w:rsid w:val="00E92527"/>
    <w:rsid w:val="00E92A93"/>
    <w:rsid w:val="00E97045"/>
    <w:rsid w:val="00EA270C"/>
    <w:rsid w:val="00EA5CF4"/>
    <w:rsid w:val="00EB09B9"/>
    <w:rsid w:val="00EB76F7"/>
    <w:rsid w:val="00EB7CB1"/>
    <w:rsid w:val="00EC0569"/>
    <w:rsid w:val="00EC0C7B"/>
    <w:rsid w:val="00EC1C35"/>
    <w:rsid w:val="00EC5E45"/>
    <w:rsid w:val="00ED0557"/>
    <w:rsid w:val="00ED0CF0"/>
    <w:rsid w:val="00ED34D4"/>
    <w:rsid w:val="00EE30EE"/>
    <w:rsid w:val="00EE3C6D"/>
    <w:rsid w:val="00EE4C6E"/>
    <w:rsid w:val="00EE61BE"/>
    <w:rsid w:val="00EE6DE6"/>
    <w:rsid w:val="00EF057C"/>
    <w:rsid w:val="00EF1D14"/>
    <w:rsid w:val="00F01B31"/>
    <w:rsid w:val="00F03AB9"/>
    <w:rsid w:val="00F06479"/>
    <w:rsid w:val="00F076C5"/>
    <w:rsid w:val="00F120D9"/>
    <w:rsid w:val="00F124BE"/>
    <w:rsid w:val="00F24232"/>
    <w:rsid w:val="00F27170"/>
    <w:rsid w:val="00F30016"/>
    <w:rsid w:val="00F31C75"/>
    <w:rsid w:val="00F32543"/>
    <w:rsid w:val="00F33277"/>
    <w:rsid w:val="00F340CD"/>
    <w:rsid w:val="00F341CC"/>
    <w:rsid w:val="00F40CAB"/>
    <w:rsid w:val="00F47C5C"/>
    <w:rsid w:val="00F54856"/>
    <w:rsid w:val="00F57650"/>
    <w:rsid w:val="00F579FC"/>
    <w:rsid w:val="00F60C74"/>
    <w:rsid w:val="00F62773"/>
    <w:rsid w:val="00F64F51"/>
    <w:rsid w:val="00F67A35"/>
    <w:rsid w:val="00F765E8"/>
    <w:rsid w:val="00F8200C"/>
    <w:rsid w:val="00F85D77"/>
    <w:rsid w:val="00F86D88"/>
    <w:rsid w:val="00F87FA7"/>
    <w:rsid w:val="00F90898"/>
    <w:rsid w:val="00F914C8"/>
    <w:rsid w:val="00F9473C"/>
    <w:rsid w:val="00FA40A3"/>
    <w:rsid w:val="00FA45CD"/>
    <w:rsid w:val="00FA5B17"/>
    <w:rsid w:val="00FB3BA6"/>
    <w:rsid w:val="00FB4D65"/>
    <w:rsid w:val="00FB5954"/>
    <w:rsid w:val="00FB6695"/>
    <w:rsid w:val="00FC0253"/>
    <w:rsid w:val="00FC0CDF"/>
    <w:rsid w:val="00FC0D7C"/>
    <w:rsid w:val="00FC183A"/>
    <w:rsid w:val="00FC19F5"/>
    <w:rsid w:val="00FC3D1C"/>
    <w:rsid w:val="00FD08A7"/>
    <w:rsid w:val="00FD1295"/>
    <w:rsid w:val="00FD2E55"/>
    <w:rsid w:val="00FD2FA9"/>
    <w:rsid w:val="00FD3572"/>
    <w:rsid w:val="00FD54CC"/>
    <w:rsid w:val="00FE06A2"/>
    <w:rsid w:val="00FE79EF"/>
    <w:rsid w:val="00FF025A"/>
    <w:rsid w:val="00FF088B"/>
    <w:rsid w:val="00FF0AC4"/>
    <w:rsid w:val="00FF10AF"/>
    <w:rsid w:val="00FF334E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44F909F-5F01-4294-8766-098E404A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semiHidden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uiPriority w:val="99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uiPriority w:val="99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uiPriority w:val="99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juris@tcu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2070</Words>
  <Characters>11180</Characters>
  <Application>Microsoft Office Word</Application>
  <DocSecurity>4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13224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2011-02-04T20:41:00Z</cp:lastPrinted>
  <dcterms:created xsi:type="dcterms:W3CDTF">2015-05-07T12:37:00Z</dcterms:created>
  <dcterms:modified xsi:type="dcterms:W3CDTF">2015-05-07T12:37:00Z</dcterms:modified>
</cp:coreProperties>
</file>