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097863">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1B6823">
        <w:rPr>
          <w:rFonts w:ascii="Times New Roman" w:hAnsi="Times New Roman"/>
          <w:b/>
          <w:i w:val="0"/>
          <w:color w:val="000000"/>
          <w:sz w:val="22"/>
          <w:szCs w:val="22"/>
        </w:rPr>
        <w:t>2</w:t>
      </w:r>
      <w:r w:rsidR="0007259B">
        <w:rPr>
          <w:rFonts w:ascii="Times New Roman" w:hAnsi="Times New Roman"/>
          <w:b/>
          <w:i w:val="0"/>
          <w:color w:val="000000"/>
          <w:sz w:val="22"/>
          <w:szCs w:val="22"/>
        </w:rPr>
        <w:t>9</w:t>
      </w:r>
      <w:r w:rsidR="00467815" w:rsidRPr="00097863">
        <w:rPr>
          <w:rFonts w:ascii="Times New Roman" w:hAnsi="Times New Roman"/>
          <w:b/>
          <w:i w:val="0"/>
          <w:color w:val="000000"/>
          <w:sz w:val="22"/>
          <w:szCs w:val="22"/>
        </w:rPr>
        <w:t xml:space="preserve"> </w:t>
      </w:r>
      <w:r w:rsidR="00F01B31" w:rsidRPr="00097863">
        <w:rPr>
          <w:rFonts w:ascii="Times New Roman" w:hAnsi="Times New Roman"/>
          <w:b/>
          <w:i w:val="0"/>
          <w:color w:val="000000"/>
          <w:sz w:val="22"/>
          <w:szCs w:val="22"/>
        </w:rPr>
        <w:t xml:space="preserve">e </w:t>
      </w:r>
      <w:r w:rsidR="001B6823">
        <w:rPr>
          <w:rFonts w:ascii="Times New Roman" w:hAnsi="Times New Roman"/>
          <w:b/>
          <w:i w:val="0"/>
          <w:color w:val="000000"/>
          <w:sz w:val="22"/>
          <w:szCs w:val="22"/>
        </w:rPr>
        <w:t>3</w:t>
      </w:r>
      <w:r w:rsidR="0007259B">
        <w:rPr>
          <w:rFonts w:ascii="Times New Roman" w:hAnsi="Times New Roman"/>
          <w:b/>
          <w:i w:val="0"/>
          <w:color w:val="000000"/>
          <w:sz w:val="22"/>
          <w:szCs w:val="22"/>
        </w:rPr>
        <w:t>0</w:t>
      </w:r>
      <w:r w:rsidRPr="00097863">
        <w:rPr>
          <w:rFonts w:ascii="Times New Roman" w:hAnsi="Times New Roman"/>
          <w:b/>
          <w:i w:val="0"/>
          <w:color w:val="000000"/>
          <w:sz w:val="22"/>
          <w:szCs w:val="22"/>
        </w:rPr>
        <w:t xml:space="preserve"> de </w:t>
      </w:r>
      <w:r w:rsidR="003C3336">
        <w:rPr>
          <w:rFonts w:ascii="Times New Roman" w:hAnsi="Times New Roman"/>
          <w:b/>
          <w:i w:val="0"/>
          <w:color w:val="000000"/>
          <w:sz w:val="22"/>
          <w:szCs w:val="22"/>
        </w:rPr>
        <w:t>março</w:t>
      </w:r>
      <w:r w:rsidRPr="00097863">
        <w:rPr>
          <w:rFonts w:ascii="Times New Roman" w:hAnsi="Times New Roman"/>
          <w:b/>
          <w:i w:val="0"/>
          <w:color w:val="000000"/>
          <w:sz w:val="22"/>
          <w:szCs w:val="22"/>
        </w:rPr>
        <w:t xml:space="preserve"> de 201</w:t>
      </w:r>
      <w:r w:rsidR="00467815" w:rsidRPr="00097863">
        <w:rPr>
          <w:rFonts w:ascii="Times New Roman" w:hAnsi="Times New Roman"/>
          <w:b/>
          <w:i w:val="0"/>
          <w:color w:val="000000"/>
          <w:sz w:val="22"/>
          <w:szCs w:val="22"/>
        </w:rPr>
        <w:t>1</w:t>
      </w:r>
    </w:p>
    <w:p w:rsidR="002D35F5" w:rsidRPr="00097863" w:rsidRDefault="002D35F5" w:rsidP="00097863">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097863">
      <w:pPr>
        <w:pStyle w:val="Corpodetexto2"/>
        <w:spacing w:after="0" w:line="240" w:lineRule="auto"/>
        <w:ind w:left="0"/>
        <w:rPr>
          <w:sz w:val="22"/>
          <w:szCs w:val="22"/>
        </w:rPr>
      </w:pPr>
    </w:p>
    <w:p w:rsidR="002D35F5" w:rsidRPr="00D53537" w:rsidRDefault="002D35F5" w:rsidP="006C7DE0">
      <w:pPr>
        <w:pBdr>
          <w:top w:val="threeDEmboss" w:sz="24" w:space="2" w:color="auto"/>
        </w:pBdr>
        <w:tabs>
          <w:tab w:val="left" w:pos="284"/>
        </w:tabs>
        <w:spacing w:before="60" w:after="6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9E59A1" w:rsidRDefault="009444E6" w:rsidP="006C7DE0">
      <w:pPr>
        <w:pStyle w:val="tita"/>
        <w:spacing w:before="60" w:after="60" w:line="240" w:lineRule="auto"/>
        <w:jc w:val="both"/>
        <w:rPr>
          <w:i w:val="0"/>
          <w:iCs w:val="0"/>
          <w:color w:val="000000"/>
          <w:sz w:val="22"/>
          <w:szCs w:val="22"/>
        </w:rPr>
      </w:pPr>
      <w:r w:rsidRPr="009E59A1">
        <w:rPr>
          <w:i w:val="0"/>
          <w:iCs w:val="0"/>
          <w:color w:val="000000"/>
          <w:sz w:val="22"/>
          <w:szCs w:val="22"/>
        </w:rPr>
        <w:t>Plenário</w:t>
      </w:r>
    </w:p>
    <w:p w:rsidR="007B65B3" w:rsidRPr="004B36AE" w:rsidRDefault="007B65B3" w:rsidP="006C7DE0">
      <w:pPr>
        <w:tabs>
          <w:tab w:val="left" w:pos="1134"/>
        </w:tabs>
        <w:spacing w:before="60" w:after="60"/>
        <w:ind w:left="0"/>
        <w:rPr>
          <w:sz w:val="22"/>
          <w:szCs w:val="22"/>
          <w:lang w:eastAsia="pt-BR"/>
        </w:rPr>
      </w:pPr>
      <w:r w:rsidRPr="004B36AE">
        <w:rPr>
          <w:sz w:val="22"/>
          <w:szCs w:val="22"/>
          <w:lang w:eastAsia="pt-BR"/>
        </w:rPr>
        <w:t xml:space="preserve">Participação de empresas optantes pelo regime tributário do Simples Nacional: </w:t>
      </w:r>
    </w:p>
    <w:p w:rsidR="007B65B3" w:rsidRPr="004B36AE" w:rsidRDefault="007B65B3" w:rsidP="007B65B3">
      <w:pPr>
        <w:pStyle w:val="TCU-RelVoto-1"/>
        <w:spacing w:after="0"/>
        <w:ind w:firstLine="851"/>
        <w:rPr>
          <w:sz w:val="22"/>
          <w:lang w:eastAsia="pt-BR"/>
        </w:rPr>
      </w:pPr>
      <w:r w:rsidRPr="004B36AE">
        <w:rPr>
          <w:sz w:val="22"/>
          <w:lang w:eastAsia="pt-BR"/>
        </w:rPr>
        <w:t>1 – A atuação do TCU é justificada quando são indicados contratos ou licitações em que uma empresa possa ter sido beneficiada de maneira indevida pela opção do regime tributário do Simples Nacional;</w:t>
      </w:r>
    </w:p>
    <w:p w:rsidR="007B65B3" w:rsidRPr="004B36AE" w:rsidRDefault="007B65B3" w:rsidP="007B65B3">
      <w:pPr>
        <w:pStyle w:val="TCU-Recuo1Linha"/>
        <w:spacing w:after="0"/>
        <w:ind w:firstLine="851"/>
        <w:rPr>
          <w:sz w:val="22"/>
          <w:szCs w:val="22"/>
        </w:rPr>
      </w:pPr>
      <w:r w:rsidRPr="004B36AE">
        <w:rPr>
          <w:sz w:val="22"/>
          <w:szCs w:val="22"/>
        </w:rPr>
        <w:t>2 – É possível a participação de empresas optantes pelo Simples Nacional em licitações para contratação de serviços de cessão de mão de obra vedados pela Lei Complementar 123/2006, desde que comprovada a não utilização dos benefícios tributários do regime tributário diferenciado na proposta de preços e que, caso venha a ser contratada, faça a comunicação ao órgão fazendário competente, para fins de exclusão do regime diferenciado, e para que passe a recolher os tributos pelo regime comum</w:t>
      </w:r>
      <w:r w:rsidR="004B36AE" w:rsidRPr="004B36AE">
        <w:rPr>
          <w:sz w:val="22"/>
          <w:szCs w:val="22"/>
        </w:rPr>
        <w:t>.</w:t>
      </w:r>
    </w:p>
    <w:p w:rsidR="004B36AE" w:rsidRPr="004B36AE" w:rsidRDefault="004B36AE" w:rsidP="004B36AE">
      <w:pPr>
        <w:pStyle w:val="TCU-RelVoto-1"/>
        <w:tabs>
          <w:tab w:val="left" w:pos="1134"/>
        </w:tabs>
        <w:spacing w:after="0"/>
        <w:ind w:firstLine="0"/>
        <w:rPr>
          <w:sz w:val="22"/>
          <w:lang w:eastAsia="pt-BR"/>
        </w:rPr>
      </w:pPr>
      <w:r w:rsidRPr="004B36AE">
        <w:rPr>
          <w:sz w:val="22"/>
          <w:lang w:eastAsia="pt-BR"/>
        </w:rPr>
        <w:t>A escolha da utilização de convênios ou contratos não se insere no âmbito da discricionariedade e é determinada pelas normas aplicáveis à matéria.</w:t>
      </w:r>
    </w:p>
    <w:p w:rsidR="006C7DE0" w:rsidRPr="006C7DE0" w:rsidRDefault="006C7DE0" w:rsidP="006C7DE0">
      <w:pPr>
        <w:pStyle w:val="TCU-RelVoto-1"/>
        <w:tabs>
          <w:tab w:val="left" w:pos="1134"/>
        </w:tabs>
        <w:spacing w:after="0"/>
        <w:ind w:firstLine="0"/>
        <w:rPr>
          <w:b/>
          <w:color w:val="000000"/>
          <w:sz w:val="22"/>
          <w:lang w:eastAsia="pt-BR"/>
        </w:rPr>
      </w:pPr>
    </w:p>
    <w:p w:rsidR="003C6DEB" w:rsidRPr="00D53537" w:rsidRDefault="003C6DEB" w:rsidP="00A06EDB">
      <w:pPr>
        <w:pBdr>
          <w:top w:val="threeDEmboss" w:sz="24" w:space="0"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PLENÁRIO</w:t>
      </w:r>
    </w:p>
    <w:p w:rsidR="003C6DEB" w:rsidRPr="006C7DE0" w:rsidRDefault="003C6DEB" w:rsidP="001C71E3">
      <w:pPr>
        <w:pStyle w:val="tita"/>
        <w:spacing w:before="0" w:after="0" w:line="240" w:lineRule="auto"/>
        <w:jc w:val="both"/>
        <w:rPr>
          <w:i w:val="0"/>
          <w:iCs w:val="0"/>
          <w:sz w:val="22"/>
          <w:szCs w:val="22"/>
        </w:rPr>
      </w:pPr>
    </w:p>
    <w:p w:rsidR="00B219AA" w:rsidRPr="00FA5B17" w:rsidRDefault="007D1F01" w:rsidP="001C71E3">
      <w:pPr>
        <w:pStyle w:val="TCU-RelVoto-1"/>
        <w:tabs>
          <w:tab w:val="left" w:pos="1134"/>
        </w:tabs>
        <w:spacing w:after="0"/>
        <w:ind w:firstLine="0"/>
        <w:rPr>
          <w:b/>
          <w:sz w:val="22"/>
          <w:lang w:eastAsia="pt-BR"/>
        </w:rPr>
      </w:pPr>
      <w:r w:rsidRPr="00FA5B17">
        <w:rPr>
          <w:b/>
          <w:sz w:val="22"/>
          <w:lang w:eastAsia="pt-BR"/>
        </w:rPr>
        <w:t>Participação de empresas optantes pelo regime tributário do Simples Nacional</w:t>
      </w:r>
      <w:r w:rsidR="00412CEF" w:rsidRPr="00FA5B17">
        <w:rPr>
          <w:b/>
          <w:sz w:val="22"/>
          <w:lang w:eastAsia="pt-BR"/>
        </w:rPr>
        <w:t xml:space="preserve">: 1 </w:t>
      </w:r>
      <w:r w:rsidRPr="00FA5B17">
        <w:rPr>
          <w:b/>
          <w:sz w:val="22"/>
          <w:lang w:eastAsia="pt-BR"/>
        </w:rPr>
        <w:t>–</w:t>
      </w:r>
      <w:r w:rsidR="00412CEF" w:rsidRPr="00FA5B17">
        <w:rPr>
          <w:b/>
          <w:sz w:val="22"/>
          <w:lang w:eastAsia="pt-BR"/>
        </w:rPr>
        <w:t xml:space="preserve"> </w:t>
      </w:r>
      <w:r w:rsidRPr="00FA5B17">
        <w:rPr>
          <w:b/>
          <w:sz w:val="22"/>
          <w:lang w:eastAsia="pt-BR"/>
        </w:rPr>
        <w:t>A atuação do TCU é justificada</w:t>
      </w:r>
      <w:r w:rsidR="00F37AF6">
        <w:rPr>
          <w:b/>
          <w:sz w:val="22"/>
          <w:lang w:eastAsia="pt-BR"/>
        </w:rPr>
        <w:t xml:space="preserve"> </w:t>
      </w:r>
      <w:r w:rsidRPr="00FA5B17">
        <w:rPr>
          <w:b/>
          <w:sz w:val="22"/>
          <w:lang w:eastAsia="pt-BR"/>
        </w:rPr>
        <w:t xml:space="preserve">quando são indicados contratos ou licitações em que uma empresa possa ter sido beneficiada de maneira indevida pela opção </w:t>
      </w:r>
      <w:r w:rsidR="00FA5B17" w:rsidRPr="00FA5B17">
        <w:rPr>
          <w:b/>
          <w:sz w:val="22"/>
          <w:lang w:eastAsia="pt-BR"/>
        </w:rPr>
        <w:t>do regime tributário do Simples Nacional</w:t>
      </w:r>
    </w:p>
    <w:p w:rsidR="00A06EDB" w:rsidRPr="00FA5B17" w:rsidRDefault="00412CEF" w:rsidP="00FA5B17">
      <w:pPr>
        <w:pStyle w:val="TCU-Recuo1Linha"/>
        <w:tabs>
          <w:tab w:val="left" w:pos="1134"/>
        </w:tabs>
        <w:spacing w:after="0"/>
        <w:ind w:firstLine="0"/>
        <w:rPr>
          <w:b/>
          <w:i/>
          <w:sz w:val="22"/>
          <w:szCs w:val="22"/>
        </w:rPr>
      </w:pPr>
      <w:r w:rsidRPr="00FA5B17">
        <w:rPr>
          <w:sz w:val="22"/>
          <w:szCs w:val="22"/>
        </w:rPr>
        <w:t>Denúncia formulada ao Tribunal trouxe notícia</w:t>
      </w:r>
      <w:r w:rsidR="00FA5B17">
        <w:rPr>
          <w:sz w:val="22"/>
          <w:szCs w:val="22"/>
        </w:rPr>
        <w:t>s</w:t>
      </w:r>
      <w:r w:rsidRPr="00FA5B17">
        <w:rPr>
          <w:sz w:val="22"/>
          <w:szCs w:val="22"/>
        </w:rPr>
        <w:t xml:space="preserve"> acerca de suposta</w:t>
      </w:r>
      <w:r w:rsidR="00FA5B17">
        <w:rPr>
          <w:sz w:val="22"/>
          <w:szCs w:val="22"/>
        </w:rPr>
        <w:t>s</w:t>
      </w:r>
      <w:r w:rsidRPr="00FA5B17">
        <w:rPr>
          <w:sz w:val="22"/>
          <w:szCs w:val="22"/>
        </w:rPr>
        <w:t xml:space="preserve"> irregularidade</w:t>
      </w:r>
      <w:r w:rsidR="00FA5B17">
        <w:rPr>
          <w:sz w:val="22"/>
          <w:szCs w:val="22"/>
        </w:rPr>
        <w:t>s</w:t>
      </w:r>
      <w:r w:rsidRPr="00FA5B17">
        <w:rPr>
          <w:sz w:val="22"/>
          <w:szCs w:val="22"/>
        </w:rPr>
        <w:t xml:space="preserve"> cometida</w:t>
      </w:r>
      <w:r w:rsidR="00FA5B17">
        <w:rPr>
          <w:sz w:val="22"/>
          <w:szCs w:val="22"/>
        </w:rPr>
        <w:t>s</w:t>
      </w:r>
      <w:r w:rsidRPr="00FA5B17">
        <w:rPr>
          <w:sz w:val="22"/>
          <w:szCs w:val="22"/>
        </w:rPr>
        <w:t xml:space="preserve"> pela empresa AP Serviços de Limpeza, Asseio e Conservação Ltda</w:t>
      </w:r>
      <w:r w:rsidR="00C80D90" w:rsidRPr="00FA5B17">
        <w:rPr>
          <w:sz w:val="22"/>
          <w:szCs w:val="22"/>
        </w:rPr>
        <w:t>.</w:t>
      </w:r>
      <w:r w:rsidRPr="00FA5B17">
        <w:rPr>
          <w:sz w:val="22"/>
          <w:szCs w:val="22"/>
        </w:rPr>
        <w:t xml:space="preserve">, </w:t>
      </w:r>
      <w:r w:rsidR="00C80D90" w:rsidRPr="00FA5B17">
        <w:rPr>
          <w:sz w:val="22"/>
          <w:szCs w:val="22"/>
        </w:rPr>
        <w:t>em face de sua</w:t>
      </w:r>
      <w:r w:rsidRPr="00FA5B17">
        <w:rPr>
          <w:sz w:val="22"/>
          <w:szCs w:val="22"/>
        </w:rPr>
        <w:t xml:space="preserve"> participa</w:t>
      </w:r>
      <w:r w:rsidR="00C80D90" w:rsidRPr="00FA5B17">
        <w:rPr>
          <w:sz w:val="22"/>
          <w:szCs w:val="22"/>
        </w:rPr>
        <w:t>ção</w:t>
      </w:r>
      <w:r w:rsidRPr="00FA5B17">
        <w:rPr>
          <w:sz w:val="22"/>
          <w:szCs w:val="22"/>
        </w:rPr>
        <w:t xml:space="preserve"> </w:t>
      </w:r>
      <w:r w:rsidR="00C80D90" w:rsidRPr="00FA5B17">
        <w:rPr>
          <w:sz w:val="22"/>
          <w:szCs w:val="22"/>
        </w:rPr>
        <w:t>n</w:t>
      </w:r>
      <w:r w:rsidR="005864FA" w:rsidRPr="00FA5B17">
        <w:rPr>
          <w:sz w:val="22"/>
          <w:szCs w:val="22"/>
        </w:rPr>
        <w:t>o Pregão Eletrônico</w:t>
      </w:r>
      <w:r w:rsidR="00C80D90" w:rsidRPr="00FA5B17">
        <w:rPr>
          <w:sz w:val="22"/>
          <w:szCs w:val="22"/>
        </w:rPr>
        <w:t xml:space="preserve"> nº 49/2009,</w:t>
      </w:r>
      <w:r w:rsidR="005864FA" w:rsidRPr="00FA5B17">
        <w:rPr>
          <w:sz w:val="22"/>
          <w:szCs w:val="22"/>
        </w:rPr>
        <w:t xml:space="preserve"> </w:t>
      </w:r>
      <w:r w:rsidRPr="00FA5B17">
        <w:rPr>
          <w:sz w:val="22"/>
          <w:szCs w:val="22"/>
        </w:rPr>
        <w:t>promovid</w:t>
      </w:r>
      <w:r w:rsidR="00C80D90" w:rsidRPr="00FA5B17">
        <w:rPr>
          <w:sz w:val="22"/>
          <w:szCs w:val="22"/>
        </w:rPr>
        <w:t>o</w:t>
      </w:r>
      <w:r w:rsidRPr="00FA5B17">
        <w:rPr>
          <w:sz w:val="22"/>
          <w:szCs w:val="22"/>
        </w:rPr>
        <w:t xml:space="preserve"> pelo Instituto Federal de Educação, Ciência e Tecnologia de Santa Catarina </w:t>
      </w:r>
      <w:r w:rsidR="00287326" w:rsidRPr="00FA5B17">
        <w:rPr>
          <w:sz w:val="22"/>
          <w:szCs w:val="22"/>
        </w:rPr>
        <w:t xml:space="preserve">- </w:t>
      </w:r>
      <w:r w:rsidRPr="00FA5B17">
        <w:rPr>
          <w:sz w:val="22"/>
          <w:szCs w:val="22"/>
        </w:rPr>
        <w:t xml:space="preserve">(IFSC), para a </w:t>
      </w:r>
      <w:r w:rsidR="007D1F01" w:rsidRPr="00FA5B17">
        <w:rPr>
          <w:sz w:val="22"/>
          <w:szCs w:val="22"/>
        </w:rPr>
        <w:t xml:space="preserve">contratação </w:t>
      </w:r>
      <w:r w:rsidRPr="00FA5B17">
        <w:rPr>
          <w:sz w:val="22"/>
          <w:szCs w:val="22"/>
        </w:rPr>
        <w:t xml:space="preserve">de serviços de copeiragem e de recepção. Para </w:t>
      </w:r>
      <w:r w:rsidR="00F37AF6">
        <w:rPr>
          <w:sz w:val="22"/>
          <w:szCs w:val="22"/>
        </w:rPr>
        <w:t>o</w:t>
      </w:r>
      <w:r w:rsidRPr="00FA5B17">
        <w:rPr>
          <w:sz w:val="22"/>
          <w:szCs w:val="22"/>
        </w:rPr>
        <w:t xml:space="preserve"> denunciante, a empresa AP Serviços </w:t>
      </w:r>
      <w:r w:rsidR="007D1F01" w:rsidRPr="00FA5B17">
        <w:rPr>
          <w:sz w:val="22"/>
          <w:szCs w:val="22"/>
        </w:rPr>
        <w:t>teria se beneficiado</w:t>
      </w:r>
      <w:r w:rsidRPr="00FA5B17">
        <w:rPr>
          <w:sz w:val="22"/>
          <w:szCs w:val="22"/>
        </w:rPr>
        <w:t>, de modo indevido, da opção pelo Regime Especial Unificado de Arrecadação de Tributos e Contribuições devidos pelas Microempresas e Empresas de Pequeno Porte (Simples Nacional</w:t>
      </w:r>
      <w:r w:rsidR="00D41A6A" w:rsidRPr="00FA5B17">
        <w:rPr>
          <w:sz w:val="22"/>
          <w:szCs w:val="22"/>
        </w:rPr>
        <w:t>), previsto na Lei Complementar</w:t>
      </w:r>
      <w:r w:rsidR="00D71B77" w:rsidRPr="00FA5B17">
        <w:rPr>
          <w:sz w:val="22"/>
          <w:szCs w:val="22"/>
        </w:rPr>
        <w:t xml:space="preserve"> </w:t>
      </w:r>
      <w:r w:rsidRPr="00FA5B17">
        <w:rPr>
          <w:sz w:val="22"/>
          <w:szCs w:val="22"/>
        </w:rPr>
        <w:t>nº 123, de 14 de dezembro de 2006</w:t>
      </w:r>
      <w:r w:rsidR="00D41A6A" w:rsidRPr="00FA5B17">
        <w:rPr>
          <w:sz w:val="22"/>
          <w:szCs w:val="22"/>
        </w:rPr>
        <w:t xml:space="preserve"> - (</w:t>
      </w:r>
      <w:bookmarkStart w:id="1" w:name="OLE_LINK3"/>
      <w:bookmarkStart w:id="2" w:name="OLE_LINK4"/>
      <w:r w:rsidR="00D41A6A" w:rsidRPr="00FA5B17">
        <w:rPr>
          <w:sz w:val="22"/>
          <w:szCs w:val="22"/>
        </w:rPr>
        <w:t>LC 123/2006</w:t>
      </w:r>
      <w:bookmarkEnd w:id="1"/>
      <w:bookmarkEnd w:id="2"/>
      <w:r w:rsidR="00D41A6A" w:rsidRPr="00FA5B17">
        <w:rPr>
          <w:sz w:val="22"/>
          <w:szCs w:val="22"/>
        </w:rPr>
        <w:t>)</w:t>
      </w:r>
      <w:r w:rsidR="007D1F01" w:rsidRPr="00FA5B17">
        <w:rPr>
          <w:sz w:val="22"/>
          <w:szCs w:val="22"/>
        </w:rPr>
        <w:t>. O impedimento da opção pelo regime de tributação diferenciado decorreria de a empresa</w:t>
      </w:r>
      <w:r w:rsidRPr="00FA5B17">
        <w:rPr>
          <w:sz w:val="22"/>
          <w:szCs w:val="22"/>
        </w:rPr>
        <w:t xml:space="preserve"> prestar serviços de cessão de mão de obra </w:t>
      </w:r>
      <w:r w:rsidR="007D1F01" w:rsidRPr="00FA5B17">
        <w:rPr>
          <w:sz w:val="22"/>
          <w:szCs w:val="22"/>
        </w:rPr>
        <w:t>impedidos pela</w:t>
      </w:r>
      <w:r w:rsidRPr="00FA5B17">
        <w:rPr>
          <w:sz w:val="22"/>
          <w:szCs w:val="22"/>
        </w:rPr>
        <w:t xml:space="preserve"> norma legal. Ao analisar a matéria, a unidade técnica entendeu que a denúncia não deveria ser conhecida, pois trataria de matéria tributária, estranha às competências do TCU, o qual, em duas situações análogas anteriores, houvera decidido </w:t>
      </w:r>
      <w:r w:rsidR="007D1F01" w:rsidRPr="00FA5B17">
        <w:rPr>
          <w:sz w:val="22"/>
          <w:szCs w:val="22"/>
        </w:rPr>
        <w:t>na forma da proposta apresentada</w:t>
      </w:r>
      <w:r w:rsidRPr="00FA5B17">
        <w:rPr>
          <w:sz w:val="22"/>
          <w:szCs w:val="22"/>
        </w:rPr>
        <w:t xml:space="preserve">. Todavia, o relator divergiu da proposta, por considerar que, </w:t>
      </w:r>
      <w:r w:rsidR="00287326" w:rsidRPr="00FA5B17">
        <w:rPr>
          <w:sz w:val="22"/>
          <w:szCs w:val="22"/>
        </w:rPr>
        <w:t>primeiramente, no</w:t>
      </w:r>
      <w:r w:rsidRPr="00FA5B17">
        <w:rPr>
          <w:sz w:val="22"/>
          <w:szCs w:val="22"/>
        </w:rPr>
        <w:t>s dois precedentes mencionados, as pessoas jurídicas envolvidas teriam sido denunciadas ao Tribunal unicamente em face de su</w:t>
      </w:r>
      <w:r w:rsidR="007D1F01" w:rsidRPr="00FA5B17">
        <w:rPr>
          <w:sz w:val="22"/>
          <w:szCs w:val="22"/>
        </w:rPr>
        <w:t>a opção, possivelmente indevida</w:t>
      </w:r>
      <w:r w:rsidRPr="00FA5B17">
        <w:rPr>
          <w:sz w:val="22"/>
          <w:szCs w:val="22"/>
        </w:rPr>
        <w:t>,</w:t>
      </w:r>
      <w:r w:rsidR="007D1F01" w:rsidRPr="00FA5B17">
        <w:rPr>
          <w:sz w:val="22"/>
          <w:szCs w:val="22"/>
        </w:rPr>
        <w:t xml:space="preserve"> </w:t>
      </w:r>
      <w:r w:rsidRPr="00FA5B17">
        <w:rPr>
          <w:sz w:val="22"/>
          <w:szCs w:val="22"/>
        </w:rPr>
        <w:t xml:space="preserve">pelo Simples Nacional, sem que tivessem sido apontadas licitações nas quais tal opção tivesse levado </w:t>
      </w:r>
      <w:r w:rsidR="007D1F01" w:rsidRPr="00FA5B17">
        <w:rPr>
          <w:sz w:val="22"/>
          <w:szCs w:val="22"/>
        </w:rPr>
        <w:t xml:space="preserve">a </w:t>
      </w:r>
      <w:r w:rsidR="00287326" w:rsidRPr="00FA5B17">
        <w:rPr>
          <w:sz w:val="22"/>
          <w:szCs w:val="22"/>
        </w:rPr>
        <w:t xml:space="preserve">benefícios indevidos </w:t>
      </w:r>
      <w:r w:rsidR="007D1F01" w:rsidRPr="00FA5B17">
        <w:rPr>
          <w:sz w:val="22"/>
          <w:szCs w:val="22"/>
        </w:rPr>
        <w:t xml:space="preserve">por parte </w:t>
      </w:r>
      <w:r w:rsidR="00287326" w:rsidRPr="00FA5B17">
        <w:rPr>
          <w:sz w:val="22"/>
          <w:szCs w:val="22"/>
        </w:rPr>
        <w:t>das</w:t>
      </w:r>
      <w:r w:rsidRPr="00FA5B17">
        <w:rPr>
          <w:sz w:val="22"/>
          <w:szCs w:val="22"/>
        </w:rPr>
        <w:t xml:space="preserve"> denunciadas</w:t>
      </w:r>
      <w:r w:rsidR="00287326" w:rsidRPr="00FA5B17">
        <w:rPr>
          <w:sz w:val="22"/>
          <w:szCs w:val="22"/>
        </w:rPr>
        <w:t xml:space="preserve">. No presente caso, ainda para o relator, o denunciante evidenciou </w:t>
      </w:r>
      <w:r w:rsidR="007D1F01" w:rsidRPr="00FA5B17">
        <w:rPr>
          <w:sz w:val="22"/>
          <w:szCs w:val="22"/>
        </w:rPr>
        <w:t xml:space="preserve">que </w:t>
      </w:r>
      <w:r w:rsidR="00287326" w:rsidRPr="00FA5B17">
        <w:rPr>
          <w:sz w:val="22"/>
          <w:szCs w:val="22"/>
        </w:rPr>
        <w:t xml:space="preserve">quatro contratos </w:t>
      </w:r>
      <w:r w:rsidR="007D1F01" w:rsidRPr="00FA5B17">
        <w:rPr>
          <w:sz w:val="22"/>
          <w:szCs w:val="22"/>
        </w:rPr>
        <w:t xml:space="preserve">foram </w:t>
      </w:r>
      <w:r w:rsidR="00287326" w:rsidRPr="00FA5B17">
        <w:rPr>
          <w:sz w:val="22"/>
          <w:szCs w:val="22"/>
        </w:rPr>
        <w:t>firmados pela empresa AP Serviços com o IFSC, a possibilitar a atuação do Tribunal</w:t>
      </w:r>
      <w:r w:rsidR="007D1F01" w:rsidRPr="00FA5B17">
        <w:rPr>
          <w:sz w:val="22"/>
          <w:szCs w:val="22"/>
        </w:rPr>
        <w:t>, para que, por exemplo, procedesse</w:t>
      </w:r>
      <w:r w:rsidR="00287326" w:rsidRPr="00FA5B17">
        <w:rPr>
          <w:sz w:val="22"/>
          <w:szCs w:val="22"/>
        </w:rPr>
        <w:t xml:space="preserve"> à análise da participação da referida empresa no certame que originou os contratos, com o uso de benefício que não lhe seria devido. </w:t>
      </w:r>
      <w:r w:rsidR="007B65B3">
        <w:rPr>
          <w:sz w:val="22"/>
          <w:szCs w:val="22"/>
        </w:rPr>
        <w:t xml:space="preserve">Nos termos do voto do relator, o Plenário manifestou sua anuência. </w:t>
      </w:r>
      <w:r w:rsidR="00287326" w:rsidRPr="00FA5B17">
        <w:rPr>
          <w:sz w:val="22"/>
          <w:szCs w:val="22"/>
        </w:rPr>
        <w:t>Precedente citado:</w:t>
      </w:r>
      <w:r w:rsidR="00383CFE" w:rsidRPr="00FA5B17">
        <w:rPr>
          <w:color w:val="FF0000"/>
          <w:sz w:val="22"/>
          <w:szCs w:val="22"/>
        </w:rPr>
        <w:t xml:space="preserve"> </w:t>
      </w:r>
      <w:r w:rsidR="00385609" w:rsidRPr="00FA5B17">
        <w:rPr>
          <w:sz w:val="22"/>
          <w:szCs w:val="22"/>
        </w:rPr>
        <w:t>Acórdão</w:t>
      </w:r>
      <w:r w:rsidR="00287326" w:rsidRPr="00FA5B17">
        <w:rPr>
          <w:sz w:val="22"/>
          <w:szCs w:val="22"/>
        </w:rPr>
        <w:t xml:space="preserve"> 221</w:t>
      </w:r>
      <w:bookmarkStart w:id="3" w:name="OLE_LINK1"/>
      <w:bookmarkStart w:id="4" w:name="OLE_LINK2"/>
      <w:r w:rsidR="00383CFE" w:rsidRPr="00FA5B17">
        <w:rPr>
          <w:sz w:val="22"/>
          <w:szCs w:val="22"/>
        </w:rPr>
        <w:t>/</w:t>
      </w:r>
      <w:bookmarkEnd w:id="3"/>
      <w:bookmarkEnd w:id="4"/>
      <w:r w:rsidR="00383CFE" w:rsidRPr="00FA5B17">
        <w:rPr>
          <w:sz w:val="22"/>
          <w:szCs w:val="22"/>
        </w:rPr>
        <w:t>20</w:t>
      </w:r>
      <w:r w:rsidR="00287326" w:rsidRPr="00FA5B17">
        <w:rPr>
          <w:sz w:val="22"/>
          <w:szCs w:val="22"/>
        </w:rPr>
        <w:t>11</w:t>
      </w:r>
      <w:r w:rsidR="00383CFE" w:rsidRPr="00FA5B17">
        <w:rPr>
          <w:sz w:val="22"/>
          <w:szCs w:val="22"/>
        </w:rPr>
        <w:t>, do Plenário</w:t>
      </w:r>
      <w:r w:rsidR="00A06EDB" w:rsidRPr="00FA5B17">
        <w:rPr>
          <w:sz w:val="22"/>
          <w:szCs w:val="22"/>
        </w:rPr>
        <w:t>.</w:t>
      </w:r>
      <w:r w:rsidR="00E0133D" w:rsidRPr="00FA5B17">
        <w:rPr>
          <w:color w:val="FF0000"/>
          <w:sz w:val="22"/>
          <w:szCs w:val="22"/>
        </w:rPr>
        <w:t xml:space="preserve"> </w:t>
      </w:r>
      <w:r w:rsidRPr="00FA5B17">
        <w:rPr>
          <w:b/>
          <w:i/>
          <w:sz w:val="22"/>
          <w:szCs w:val="22"/>
        </w:rPr>
        <w:t>Acórdão n.º 797</w:t>
      </w:r>
      <w:r w:rsidR="00A06EDB" w:rsidRPr="00FA5B17">
        <w:rPr>
          <w:b/>
          <w:i/>
          <w:sz w:val="22"/>
          <w:szCs w:val="22"/>
        </w:rPr>
        <w:t>/2011-Plenário, TC-0</w:t>
      </w:r>
      <w:r w:rsidRPr="00FA5B17">
        <w:rPr>
          <w:b/>
          <w:i/>
          <w:sz w:val="22"/>
          <w:szCs w:val="22"/>
        </w:rPr>
        <w:t>24</w:t>
      </w:r>
      <w:r w:rsidR="00A06EDB" w:rsidRPr="00FA5B17">
        <w:rPr>
          <w:b/>
          <w:i/>
          <w:sz w:val="22"/>
          <w:szCs w:val="22"/>
        </w:rPr>
        <w:t>.</w:t>
      </w:r>
      <w:r w:rsidRPr="00FA5B17">
        <w:rPr>
          <w:b/>
          <w:i/>
          <w:sz w:val="22"/>
          <w:szCs w:val="22"/>
        </w:rPr>
        <w:t>993</w:t>
      </w:r>
      <w:r w:rsidR="00A06EDB" w:rsidRPr="00FA5B17">
        <w:rPr>
          <w:b/>
          <w:i/>
          <w:sz w:val="22"/>
          <w:szCs w:val="22"/>
        </w:rPr>
        <w:t>/201</w:t>
      </w:r>
      <w:r w:rsidRPr="00FA5B17">
        <w:rPr>
          <w:b/>
          <w:i/>
          <w:sz w:val="22"/>
          <w:szCs w:val="22"/>
        </w:rPr>
        <w:t>0-7</w:t>
      </w:r>
      <w:r w:rsidR="00A06EDB" w:rsidRPr="00FA5B17">
        <w:rPr>
          <w:b/>
          <w:i/>
          <w:sz w:val="22"/>
          <w:szCs w:val="22"/>
        </w:rPr>
        <w:t xml:space="preserve">, rel. Min. </w:t>
      </w:r>
      <w:r w:rsidRPr="00FA5B17">
        <w:rPr>
          <w:b/>
          <w:i/>
          <w:sz w:val="22"/>
          <w:szCs w:val="22"/>
        </w:rPr>
        <w:t>Ubiratan Aguiar</w:t>
      </w:r>
      <w:r w:rsidR="00A06EDB" w:rsidRPr="00FA5B17">
        <w:rPr>
          <w:b/>
          <w:i/>
          <w:sz w:val="22"/>
          <w:szCs w:val="22"/>
        </w:rPr>
        <w:t>, 3</w:t>
      </w:r>
      <w:r w:rsidRPr="00FA5B17">
        <w:rPr>
          <w:b/>
          <w:i/>
          <w:sz w:val="22"/>
          <w:szCs w:val="22"/>
        </w:rPr>
        <w:t>0</w:t>
      </w:r>
      <w:r w:rsidR="00A06EDB" w:rsidRPr="00FA5B17">
        <w:rPr>
          <w:b/>
          <w:i/>
          <w:sz w:val="22"/>
          <w:szCs w:val="22"/>
        </w:rPr>
        <w:t>.03.2011.</w:t>
      </w:r>
    </w:p>
    <w:p w:rsidR="001E7019" w:rsidRDefault="001E7019" w:rsidP="006C7DE0">
      <w:pPr>
        <w:widowControl w:val="0"/>
        <w:spacing w:after="0"/>
        <w:ind w:left="0"/>
        <w:rPr>
          <w:color w:val="FF0000"/>
          <w:sz w:val="22"/>
          <w:szCs w:val="22"/>
        </w:rPr>
      </w:pPr>
    </w:p>
    <w:p w:rsidR="001C71E3" w:rsidRPr="00225D42" w:rsidRDefault="001C71E3" w:rsidP="00FA5B17">
      <w:pPr>
        <w:pStyle w:val="TCU-Recuo1Linha"/>
        <w:tabs>
          <w:tab w:val="left" w:pos="1134"/>
        </w:tabs>
        <w:spacing w:after="0"/>
        <w:ind w:firstLine="0"/>
        <w:rPr>
          <w:b/>
          <w:sz w:val="22"/>
          <w:szCs w:val="22"/>
        </w:rPr>
      </w:pPr>
      <w:r w:rsidRPr="00FA5B17">
        <w:rPr>
          <w:b/>
          <w:sz w:val="22"/>
          <w:szCs w:val="22"/>
        </w:rPr>
        <w:t xml:space="preserve">Participação de empresas optantes pelo regime tributário do Simples Nacional: </w:t>
      </w:r>
      <w:r>
        <w:rPr>
          <w:b/>
          <w:sz w:val="22"/>
          <w:szCs w:val="22"/>
        </w:rPr>
        <w:t xml:space="preserve">2 </w:t>
      </w:r>
      <w:r w:rsidR="00225D42">
        <w:rPr>
          <w:b/>
          <w:sz w:val="22"/>
          <w:szCs w:val="22"/>
        </w:rPr>
        <w:t>–</w:t>
      </w:r>
      <w:r>
        <w:rPr>
          <w:b/>
          <w:sz w:val="22"/>
          <w:szCs w:val="22"/>
        </w:rPr>
        <w:t xml:space="preserve"> </w:t>
      </w:r>
      <w:r w:rsidR="00225D42">
        <w:rPr>
          <w:b/>
          <w:sz w:val="22"/>
          <w:szCs w:val="22"/>
        </w:rPr>
        <w:t xml:space="preserve">É possível a participação de empresas optantes pelo Simples Nacional em licitações para contratação de serviços de cessão de mão de obra vedados pela Lei Complementar 123/2006, </w:t>
      </w:r>
      <w:r w:rsidR="00225D42" w:rsidRPr="00225D42">
        <w:rPr>
          <w:b/>
          <w:sz w:val="22"/>
          <w:szCs w:val="22"/>
        </w:rPr>
        <w:t xml:space="preserve">desde que comprovada a não utilização dos benefícios tributários do regime tributário diferenciado na proposta de preços e que, caso venha a ser contratada, faça a comunicação ao órgão fazendário competente, para fins de exclusão do regime diferenciado, e </w:t>
      </w:r>
      <w:r w:rsidR="007B65B3">
        <w:rPr>
          <w:b/>
          <w:sz w:val="22"/>
          <w:szCs w:val="22"/>
        </w:rPr>
        <w:t xml:space="preserve">para que </w:t>
      </w:r>
      <w:r w:rsidR="00225D42" w:rsidRPr="00225D42">
        <w:rPr>
          <w:b/>
          <w:sz w:val="22"/>
          <w:szCs w:val="22"/>
        </w:rPr>
        <w:t>passe a recolher os tributos pelo regime comum</w:t>
      </w:r>
    </w:p>
    <w:p w:rsidR="00545A47" w:rsidRPr="00FA5B17" w:rsidRDefault="00FA5B17" w:rsidP="007B65B3">
      <w:pPr>
        <w:pStyle w:val="TCU-Recuo1Linha"/>
        <w:tabs>
          <w:tab w:val="left" w:pos="1134"/>
        </w:tabs>
        <w:spacing w:after="0"/>
        <w:ind w:firstLine="0"/>
        <w:rPr>
          <w:b/>
          <w:i/>
          <w:sz w:val="22"/>
          <w:szCs w:val="22"/>
        </w:rPr>
      </w:pPr>
      <w:r>
        <w:rPr>
          <w:sz w:val="22"/>
          <w:szCs w:val="22"/>
        </w:rPr>
        <w:t>O</w:t>
      </w:r>
      <w:r w:rsidRPr="00FA5B17">
        <w:rPr>
          <w:sz w:val="22"/>
          <w:szCs w:val="22"/>
        </w:rPr>
        <w:t xml:space="preserve">utra suposta irregularidade </w:t>
      </w:r>
      <w:r>
        <w:rPr>
          <w:sz w:val="22"/>
          <w:szCs w:val="22"/>
        </w:rPr>
        <w:t xml:space="preserve">indicada </w:t>
      </w:r>
      <w:r w:rsidR="00385609" w:rsidRPr="00FA5B17">
        <w:rPr>
          <w:sz w:val="22"/>
          <w:szCs w:val="22"/>
        </w:rPr>
        <w:t>na d</w:t>
      </w:r>
      <w:r w:rsidR="00545A47" w:rsidRPr="00FA5B17">
        <w:rPr>
          <w:sz w:val="22"/>
          <w:szCs w:val="22"/>
        </w:rPr>
        <w:t>enúncia</w:t>
      </w:r>
      <w:r>
        <w:rPr>
          <w:sz w:val="22"/>
          <w:szCs w:val="22"/>
        </w:rPr>
        <w:t xml:space="preserve"> relacionada à participação da </w:t>
      </w:r>
      <w:r w:rsidR="00545A47" w:rsidRPr="00FA5B17">
        <w:rPr>
          <w:sz w:val="22"/>
          <w:szCs w:val="22"/>
        </w:rPr>
        <w:t>empresa AP Serviços de Limpeza, Asseio e Conservação Ltda</w:t>
      </w:r>
      <w:r w:rsidR="00D71B77" w:rsidRPr="00FA5B17">
        <w:rPr>
          <w:sz w:val="22"/>
          <w:szCs w:val="22"/>
        </w:rPr>
        <w:t xml:space="preserve">. </w:t>
      </w:r>
      <w:r>
        <w:rPr>
          <w:sz w:val="22"/>
          <w:szCs w:val="22"/>
        </w:rPr>
        <w:t xml:space="preserve">no </w:t>
      </w:r>
      <w:r w:rsidRPr="00FA5B17">
        <w:rPr>
          <w:sz w:val="22"/>
          <w:szCs w:val="22"/>
        </w:rPr>
        <w:t>Pregão Eletrônico nº 49/2009</w:t>
      </w:r>
      <w:r>
        <w:rPr>
          <w:sz w:val="22"/>
          <w:szCs w:val="22"/>
        </w:rPr>
        <w:t>,</w:t>
      </w:r>
      <w:r w:rsidRPr="00FA5B17">
        <w:rPr>
          <w:sz w:val="22"/>
          <w:szCs w:val="22"/>
        </w:rPr>
        <w:t xml:space="preserve"> </w:t>
      </w:r>
      <w:r w:rsidR="00545A47" w:rsidRPr="00FA5B17">
        <w:rPr>
          <w:sz w:val="22"/>
          <w:szCs w:val="22"/>
        </w:rPr>
        <w:t>promovid</w:t>
      </w:r>
      <w:r>
        <w:rPr>
          <w:sz w:val="22"/>
          <w:szCs w:val="22"/>
        </w:rPr>
        <w:t>o</w:t>
      </w:r>
      <w:r w:rsidR="00545A47" w:rsidRPr="00FA5B17">
        <w:rPr>
          <w:sz w:val="22"/>
          <w:szCs w:val="22"/>
        </w:rPr>
        <w:t xml:space="preserve"> pelo Instituto Federal de Educação, Ciência e Tecnologia de Santa Catarina - (IFSC),</w:t>
      </w:r>
      <w:r w:rsidR="00D71B77" w:rsidRPr="00FA5B17">
        <w:rPr>
          <w:sz w:val="22"/>
          <w:szCs w:val="22"/>
        </w:rPr>
        <w:t xml:space="preserve"> </w:t>
      </w:r>
      <w:r>
        <w:rPr>
          <w:sz w:val="22"/>
          <w:szCs w:val="22"/>
        </w:rPr>
        <w:t>também</w:t>
      </w:r>
      <w:r w:rsidR="00D71B77" w:rsidRPr="00FA5B17">
        <w:rPr>
          <w:sz w:val="22"/>
          <w:szCs w:val="22"/>
        </w:rPr>
        <w:t xml:space="preserve"> diretamente </w:t>
      </w:r>
      <w:r>
        <w:rPr>
          <w:sz w:val="22"/>
          <w:szCs w:val="22"/>
        </w:rPr>
        <w:t>liga</w:t>
      </w:r>
      <w:r w:rsidR="00D71B77" w:rsidRPr="00FA5B17">
        <w:rPr>
          <w:sz w:val="22"/>
          <w:szCs w:val="22"/>
        </w:rPr>
        <w:t xml:space="preserve">da ao fato de a </w:t>
      </w:r>
      <w:r w:rsidR="00D41A6A" w:rsidRPr="00FA5B17">
        <w:rPr>
          <w:sz w:val="22"/>
          <w:szCs w:val="22"/>
        </w:rPr>
        <w:t>LC 123/2006</w:t>
      </w:r>
      <w:r w:rsidR="00D71B77" w:rsidRPr="00FA5B17">
        <w:rPr>
          <w:sz w:val="22"/>
          <w:szCs w:val="22"/>
        </w:rPr>
        <w:t xml:space="preserve"> veda</w:t>
      </w:r>
      <w:r w:rsidR="001C71E3">
        <w:rPr>
          <w:sz w:val="22"/>
          <w:szCs w:val="22"/>
        </w:rPr>
        <w:t>r</w:t>
      </w:r>
      <w:r w:rsidR="00D71B77" w:rsidRPr="00FA5B17">
        <w:rPr>
          <w:sz w:val="22"/>
          <w:szCs w:val="22"/>
        </w:rPr>
        <w:t xml:space="preserve"> a opção pelo Simples Nacional por parte de empresas que prestam </w:t>
      </w:r>
      <w:r w:rsidR="00D41A6A" w:rsidRPr="00FA5B17">
        <w:rPr>
          <w:sz w:val="22"/>
          <w:szCs w:val="22"/>
        </w:rPr>
        <w:t xml:space="preserve">serviços de cessão ou locação de mão de obra </w:t>
      </w:r>
      <w:r>
        <w:rPr>
          <w:sz w:val="22"/>
          <w:szCs w:val="22"/>
        </w:rPr>
        <w:t xml:space="preserve">nas áreas </w:t>
      </w:r>
      <w:r w:rsidR="00D41A6A" w:rsidRPr="00FA5B17">
        <w:rPr>
          <w:sz w:val="22"/>
          <w:szCs w:val="22"/>
        </w:rPr>
        <w:t>de copeiragem e de recepção</w:t>
      </w:r>
      <w:r w:rsidR="001C71E3">
        <w:rPr>
          <w:sz w:val="22"/>
          <w:szCs w:val="22"/>
        </w:rPr>
        <w:t>, seria a firmatura pela empresa</w:t>
      </w:r>
      <w:r w:rsidR="00D41A6A" w:rsidRPr="00FA5B17">
        <w:rPr>
          <w:sz w:val="22"/>
          <w:szCs w:val="22"/>
        </w:rPr>
        <w:t xml:space="preserve"> AP Serviços com o IFSC </w:t>
      </w:r>
      <w:r w:rsidR="001C71E3">
        <w:rPr>
          <w:sz w:val="22"/>
          <w:szCs w:val="22"/>
        </w:rPr>
        <w:t xml:space="preserve">de quatro </w:t>
      </w:r>
      <w:r w:rsidR="00D41A6A" w:rsidRPr="00FA5B17">
        <w:rPr>
          <w:sz w:val="22"/>
          <w:szCs w:val="22"/>
        </w:rPr>
        <w:t>contratos</w:t>
      </w:r>
      <w:r w:rsidR="001C71E3">
        <w:rPr>
          <w:sz w:val="22"/>
          <w:szCs w:val="22"/>
        </w:rPr>
        <w:t xml:space="preserve"> nessas áreas, em </w:t>
      </w:r>
      <w:r w:rsidR="00DB30B1" w:rsidRPr="00FA5B17">
        <w:rPr>
          <w:sz w:val="22"/>
          <w:szCs w:val="22"/>
        </w:rPr>
        <w:t>consequ</w:t>
      </w:r>
      <w:r w:rsidR="001C71E3">
        <w:rPr>
          <w:sz w:val="22"/>
          <w:szCs w:val="22"/>
        </w:rPr>
        <w:t>ê</w:t>
      </w:r>
      <w:r w:rsidR="00DB30B1" w:rsidRPr="00FA5B17">
        <w:rPr>
          <w:sz w:val="22"/>
          <w:szCs w:val="22"/>
        </w:rPr>
        <w:t>ncia</w:t>
      </w:r>
      <w:r w:rsidR="001C71E3">
        <w:rPr>
          <w:sz w:val="22"/>
          <w:szCs w:val="22"/>
        </w:rPr>
        <w:t xml:space="preserve"> de ter vencido</w:t>
      </w:r>
      <w:r w:rsidR="001C71E3" w:rsidRPr="00FA5B17">
        <w:rPr>
          <w:sz w:val="22"/>
          <w:szCs w:val="22"/>
        </w:rPr>
        <w:t xml:space="preserve"> itens </w:t>
      </w:r>
      <w:r w:rsidR="00225D42">
        <w:rPr>
          <w:sz w:val="22"/>
          <w:szCs w:val="22"/>
        </w:rPr>
        <w:t>correspondentes n</w:t>
      </w:r>
      <w:r w:rsidR="001C71E3" w:rsidRPr="00FA5B17">
        <w:rPr>
          <w:sz w:val="22"/>
          <w:szCs w:val="22"/>
        </w:rPr>
        <w:t>o Pregão Eletrônico nº 49/2009</w:t>
      </w:r>
      <w:r w:rsidR="00DB30B1" w:rsidRPr="00FA5B17">
        <w:rPr>
          <w:sz w:val="22"/>
          <w:szCs w:val="22"/>
        </w:rPr>
        <w:t xml:space="preserve">. Em seu voto, o relator concordou que os serviços prestados pela AP Serviços por intermédio dos contratos </w:t>
      </w:r>
      <w:r w:rsidR="00225D42">
        <w:rPr>
          <w:sz w:val="22"/>
          <w:szCs w:val="22"/>
        </w:rPr>
        <w:t>firmados como o IFSC, realmente</w:t>
      </w:r>
      <w:r w:rsidR="00DB30B1" w:rsidRPr="00FA5B17">
        <w:rPr>
          <w:sz w:val="22"/>
          <w:szCs w:val="22"/>
        </w:rPr>
        <w:t xml:space="preserve"> não lhe permitiriam a opção pelo regime do Simples Nacional. Todavia, enfatizou</w:t>
      </w:r>
      <w:r w:rsidR="009E66EE" w:rsidRPr="00FA5B17">
        <w:rPr>
          <w:sz w:val="22"/>
          <w:szCs w:val="22"/>
        </w:rPr>
        <w:t xml:space="preserve"> que</w:t>
      </w:r>
      <w:r w:rsidR="00DB30B1" w:rsidRPr="00FA5B17">
        <w:rPr>
          <w:sz w:val="22"/>
          <w:szCs w:val="22"/>
        </w:rPr>
        <w:t xml:space="preserve">, de acordo com a jurisprudência do Tribunal, </w:t>
      </w:r>
      <w:r w:rsidR="009E66EE" w:rsidRPr="00FA5B17">
        <w:rPr>
          <w:sz w:val="22"/>
          <w:szCs w:val="22"/>
        </w:rPr>
        <w:t>“</w:t>
      </w:r>
      <w:r w:rsidR="009E66EE" w:rsidRPr="00FA5B17">
        <w:rPr>
          <w:i/>
          <w:sz w:val="22"/>
          <w:szCs w:val="22"/>
        </w:rPr>
        <w:t>determinada empresa optante do Simples pode participar de licitações cujo objeto seja a prestação de serviços vedados pela LC nº 123, de 2006, desde que comprovada a não utilização dos benefícios tributários do regime tributário diferenciado na proposta de preços e que, caso venha a ser contratada, faça a comunicação ao órgão fazendário competente, para fins de exclusão do regime diferenciado, e passe a recolher os tributos pelo regime comum e não pelo diferenciado - o Simples Nacional -, mais vantajoso</w:t>
      </w:r>
      <w:r w:rsidR="009E66EE" w:rsidRPr="00FA5B17">
        <w:rPr>
          <w:sz w:val="22"/>
          <w:szCs w:val="22"/>
        </w:rPr>
        <w:t>”. Nesse quadro, o TCU orientara suas próprias unidades administrativas que, “</w:t>
      </w:r>
      <w:r w:rsidR="009E66EE" w:rsidRPr="00FA5B17">
        <w:rPr>
          <w:i/>
          <w:sz w:val="22"/>
          <w:szCs w:val="22"/>
        </w:rPr>
        <w:t>na constatação de qualquer situação impeditiva de opção pelo Simples Nacional pelas microempresas ou empresas de pequeno porte contratadas pelas unidades gestoras executoras do TCU, as mesmas deverão ser consideradas excluídas do Simples Nacional, estando sujeitas às retenções de todos os tributos devidos. A situação de impedimento de opção pelo Simples Nacional deverá ser comunicada à Secretaria da Receita Federal do Brasil e à microempresa ou empresa de pequeno porte contratada, mediante ofício”</w:t>
      </w:r>
      <w:r w:rsidR="009E66EE" w:rsidRPr="00FA5B17">
        <w:rPr>
          <w:sz w:val="22"/>
          <w:szCs w:val="22"/>
        </w:rPr>
        <w:t>. No caso concreto, verificou</w:t>
      </w:r>
      <w:r w:rsidR="007B65B3">
        <w:rPr>
          <w:sz w:val="22"/>
          <w:szCs w:val="22"/>
        </w:rPr>
        <w:t xml:space="preserve"> o relator</w:t>
      </w:r>
      <w:r w:rsidR="009E66EE" w:rsidRPr="00FA5B17">
        <w:rPr>
          <w:sz w:val="22"/>
          <w:szCs w:val="22"/>
        </w:rPr>
        <w:t>, entretanto, não haver indícios que demonstrassem que a condição de optante pelo Simples Nacional tenha acarretado a vitória d</w:t>
      </w:r>
      <w:r w:rsidR="00F37AF6">
        <w:rPr>
          <w:sz w:val="22"/>
          <w:szCs w:val="22"/>
        </w:rPr>
        <w:t xml:space="preserve">a empresa AP Serviços em quatro </w:t>
      </w:r>
      <w:r w:rsidR="009E66EE" w:rsidRPr="00FA5B17">
        <w:rPr>
          <w:sz w:val="22"/>
          <w:szCs w:val="22"/>
        </w:rPr>
        <w:t>itens do Pregão Eletrônico nº 49/2009</w:t>
      </w:r>
      <w:r w:rsidR="007B65B3">
        <w:rPr>
          <w:sz w:val="22"/>
          <w:szCs w:val="22"/>
        </w:rPr>
        <w:t>, razão pela qual concluiu não confirmada a suspeita de fraude levantada pela denunciante. P</w:t>
      </w:r>
      <w:r w:rsidR="001A58D8" w:rsidRPr="00FA5B17">
        <w:rPr>
          <w:sz w:val="22"/>
          <w:szCs w:val="22"/>
        </w:rPr>
        <w:t xml:space="preserve">or outro lado, </w:t>
      </w:r>
      <w:r w:rsidR="007B65B3">
        <w:rPr>
          <w:sz w:val="22"/>
          <w:szCs w:val="22"/>
        </w:rPr>
        <w:t xml:space="preserve">entendeu o relator que </w:t>
      </w:r>
      <w:r w:rsidR="001A58D8" w:rsidRPr="00FA5B17">
        <w:rPr>
          <w:sz w:val="22"/>
          <w:szCs w:val="22"/>
        </w:rPr>
        <w:t xml:space="preserve">nada impediria a oportuna fiscalização dos órgãos fazendários competentes, com o fito de verificar se os recolhimentos por parte da empresa ocorreram no regime tributário correto. Por conseguinte, ao considerar a denúncia parcialmente procedente, e de maneira a evitar falha semelhante em futuras contratações do IFSC, votou por que se expedisse alerta à entidade </w:t>
      </w:r>
      <w:r w:rsidR="007B65B3">
        <w:rPr>
          <w:sz w:val="22"/>
          <w:szCs w:val="22"/>
        </w:rPr>
        <w:t xml:space="preserve">administrativa, </w:t>
      </w:r>
      <w:r w:rsidR="001A58D8" w:rsidRPr="00FA5B17">
        <w:rPr>
          <w:sz w:val="22"/>
          <w:szCs w:val="22"/>
        </w:rPr>
        <w:t>para que atente para situações que podem implicar ofensa às disposições da LC 123/2006 e que poderiam resultar</w:t>
      </w:r>
      <w:r w:rsidR="00F37AF6">
        <w:rPr>
          <w:sz w:val="22"/>
          <w:szCs w:val="22"/>
        </w:rPr>
        <w:t xml:space="preserve"> em</w:t>
      </w:r>
      <w:r w:rsidR="001A58D8" w:rsidRPr="00FA5B17">
        <w:rPr>
          <w:sz w:val="22"/>
          <w:szCs w:val="22"/>
        </w:rPr>
        <w:t xml:space="preserve"> oferta de preços </w:t>
      </w:r>
      <w:r w:rsidR="00F37AF6">
        <w:rPr>
          <w:sz w:val="22"/>
          <w:szCs w:val="22"/>
        </w:rPr>
        <w:t>mais baixos</w:t>
      </w:r>
      <w:r w:rsidR="001A58D8" w:rsidRPr="00FA5B17">
        <w:rPr>
          <w:sz w:val="22"/>
          <w:szCs w:val="22"/>
        </w:rPr>
        <w:t xml:space="preserve"> em licitações por empresas que se beneficiem de custos menores, em decorrência de serem optantes, de modo indevido, do Simples Nacional. </w:t>
      </w:r>
      <w:r w:rsidR="007B65B3">
        <w:rPr>
          <w:sz w:val="22"/>
          <w:szCs w:val="22"/>
        </w:rPr>
        <w:t xml:space="preserve">Nos termos do voto do relator, o Plenário manifestou sua anuência. </w:t>
      </w:r>
      <w:r w:rsidR="00545A47" w:rsidRPr="00FA5B17">
        <w:rPr>
          <w:sz w:val="22"/>
          <w:szCs w:val="22"/>
        </w:rPr>
        <w:t>Precedente citado:</w:t>
      </w:r>
      <w:r w:rsidR="00545A47" w:rsidRPr="00FA5B17">
        <w:rPr>
          <w:color w:val="FF0000"/>
          <w:sz w:val="22"/>
          <w:szCs w:val="22"/>
        </w:rPr>
        <w:t xml:space="preserve"> </w:t>
      </w:r>
      <w:r w:rsidR="00385609" w:rsidRPr="00FA5B17">
        <w:rPr>
          <w:sz w:val="22"/>
          <w:szCs w:val="22"/>
        </w:rPr>
        <w:t>Acórdão</w:t>
      </w:r>
      <w:r w:rsidR="00545A47" w:rsidRPr="00FA5B17">
        <w:rPr>
          <w:sz w:val="22"/>
          <w:szCs w:val="22"/>
        </w:rPr>
        <w:t xml:space="preserve"> 2</w:t>
      </w:r>
      <w:r w:rsidR="00385609" w:rsidRPr="00FA5B17">
        <w:rPr>
          <w:sz w:val="22"/>
          <w:szCs w:val="22"/>
        </w:rPr>
        <w:t>798</w:t>
      </w:r>
      <w:r w:rsidR="00545A47" w:rsidRPr="00FA5B17">
        <w:rPr>
          <w:sz w:val="22"/>
          <w:szCs w:val="22"/>
        </w:rPr>
        <w:t>/20</w:t>
      </w:r>
      <w:r w:rsidR="00385609" w:rsidRPr="00FA5B17">
        <w:rPr>
          <w:sz w:val="22"/>
          <w:szCs w:val="22"/>
        </w:rPr>
        <w:t>10</w:t>
      </w:r>
      <w:r w:rsidR="00545A47" w:rsidRPr="00FA5B17">
        <w:rPr>
          <w:sz w:val="22"/>
          <w:szCs w:val="22"/>
        </w:rPr>
        <w:t>, do Plenário.</w:t>
      </w:r>
      <w:r w:rsidR="00545A47" w:rsidRPr="00FA5B17">
        <w:rPr>
          <w:color w:val="FF0000"/>
          <w:sz w:val="22"/>
          <w:szCs w:val="22"/>
        </w:rPr>
        <w:t xml:space="preserve"> </w:t>
      </w:r>
      <w:r w:rsidR="00545A47" w:rsidRPr="00FA5B17">
        <w:rPr>
          <w:b/>
          <w:i/>
          <w:sz w:val="22"/>
          <w:szCs w:val="22"/>
        </w:rPr>
        <w:t>Acórdão n.º 797/2011-Plenário, TC-024.993/2010-7, rel. Min. Ubiratan Aguiar, 30.03.2011.</w:t>
      </w:r>
    </w:p>
    <w:p w:rsidR="00545A47" w:rsidRPr="0007259B" w:rsidRDefault="00545A47" w:rsidP="007B65B3">
      <w:pPr>
        <w:widowControl w:val="0"/>
        <w:spacing w:after="0"/>
        <w:ind w:left="0"/>
        <w:rPr>
          <w:color w:val="FF0000"/>
          <w:sz w:val="22"/>
          <w:szCs w:val="22"/>
        </w:rPr>
      </w:pPr>
    </w:p>
    <w:p w:rsidR="001A58D8" w:rsidRPr="004B36AE" w:rsidRDefault="004B36AE" w:rsidP="004B36AE">
      <w:pPr>
        <w:pStyle w:val="TCU-RelVoto-1"/>
        <w:tabs>
          <w:tab w:val="left" w:pos="1134"/>
        </w:tabs>
        <w:spacing w:after="0"/>
        <w:ind w:firstLine="0"/>
        <w:rPr>
          <w:b/>
          <w:sz w:val="22"/>
          <w:lang w:eastAsia="pt-BR"/>
        </w:rPr>
      </w:pPr>
      <w:r w:rsidRPr="004B36AE">
        <w:rPr>
          <w:b/>
          <w:sz w:val="22"/>
          <w:lang w:eastAsia="pt-BR"/>
        </w:rPr>
        <w:t>A escolha da utilização de convênios ou contratos não se insere no âmbito da discricionariedade e é determinada pelas normas aplicáveis à matéria</w:t>
      </w:r>
    </w:p>
    <w:p w:rsidR="001A58D8" w:rsidRPr="004B36AE" w:rsidRDefault="00AE713F" w:rsidP="007B65B3">
      <w:pPr>
        <w:spacing w:after="0"/>
        <w:ind w:left="0"/>
        <w:rPr>
          <w:sz w:val="22"/>
          <w:szCs w:val="22"/>
          <w:lang w:eastAsia="pt-BR"/>
        </w:rPr>
      </w:pPr>
      <w:r w:rsidRPr="007B65B3">
        <w:rPr>
          <w:color w:val="000000"/>
          <w:sz w:val="22"/>
          <w:szCs w:val="22"/>
          <w:lang w:eastAsia="pt-BR"/>
        </w:rPr>
        <w:t>Ao examinar r</w:t>
      </w:r>
      <w:r w:rsidR="00854B32" w:rsidRPr="007B65B3">
        <w:rPr>
          <w:color w:val="000000"/>
          <w:sz w:val="22"/>
          <w:szCs w:val="22"/>
          <w:lang w:eastAsia="pt-BR"/>
        </w:rPr>
        <w:t xml:space="preserve">epresentação </w:t>
      </w:r>
      <w:r w:rsidRPr="007B65B3">
        <w:rPr>
          <w:color w:val="000000"/>
          <w:sz w:val="22"/>
          <w:szCs w:val="22"/>
          <w:lang w:eastAsia="pt-BR"/>
        </w:rPr>
        <w:t xml:space="preserve">que </w:t>
      </w:r>
      <w:r w:rsidR="00854B32" w:rsidRPr="007B65B3">
        <w:rPr>
          <w:color w:val="000000"/>
          <w:sz w:val="22"/>
          <w:szCs w:val="22"/>
          <w:lang w:eastAsia="pt-BR"/>
        </w:rPr>
        <w:t xml:space="preserve">informou ao TCU possíveis irregularidades na execução do contrato celebrado entre a Caixa Seguradora S.A., coligada da Caixa Econômica Federal </w:t>
      </w:r>
      <w:r w:rsidR="00854B32" w:rsidRPr="007B65B3">
        <w:rPr>
          <w:sz w:val="22"/>
          <w:szCs w:val="22"/>
          <w:lang w:eastAsia="pt-BR"/>
        </w:rPr>
        <w:t>–</w:t>
      </w:r>
      <w:r w:rsidR="00854B32" w:rsidRPr="007B65B3">
        <w:rPr>
          <w:color w:val="000000"/>
          <w:sz w:val="22"/>
          <w:szCs w:val="22"/>
          <w:lang w:eastAsia="pt-BR"/>
        </w:rPr>
        <w:t xml:space="preserve"> Caixa, e a empresa Gerencial Brasitec Serviços Técnicos Ltda., cujo objeto consistiu na atuação desta última como responsável por fiscalizar, orçar custos e selecionar empresas para os serviços de reparação de imóveis vinculados à Apólice do Seguro Habitacional do Sistema Financeiro de Habitação – SH/SFH</w:t>
      </w:r>
      <w:r w:rsidR="00A063FE" w:rsidRPr="007B65B3">
        <w:rPr>
          <w:color w:val="000000"/>
          <w:sz w:val="22"/>
          <w:szCs w:val="22"/>
          <w:lang w:eastAsia="pt-BR"/>
        </w:rPr>
        <w:t xml:space="preserve">, o relator divergiu de entendimento mantido por unidade técnica do Tribunal </w:t>
      </w:r>
      <w:r w:rsidR="00A063FE" w:rsidRPr="007B65B3">
        <w:rPr>
          <w:sz w:val="22"/>
          <w:szCs w:val="22"/>
          <w:lang w:eastAsia="pt-BR"/>
        </w:rPr>
        <w:t>de que a escolha do instrumento de convênio ou contrato</w:t>
      </w:r>
      <w:r w:rsidR="004B36AE">
        <w:rPr>
          <w:sz w:val="22"/>
          <w:szCs w:val="22"/>
          <w:lang w:eastAsia="pt-BR"/>
        </w:rPr>
        <w:t>, no caso,</w:t>
      </w:r>
      <w:r w:rsidR="00A063FE" w:rsidRPr="007B65B3">
        <w:rPr>
          <w:sz w:val="22"/>
          <w:szCs w:val="22"/>
          <w:lang w:eastAsia="pt-BR"/>
        </w:rPr>
        <w:t xml:space="preserve"> </w:t>
      </w:r>
      <w:r w:rsidR="004B36AE">
        <w:rPr>
          <w:sz w:val="22"/>
          <w:szCs w:val="22"/>
          <w:lang w:eastAsia="pt-BR"/>
        </w:rPr>
        <w:t xml:space="preserve">estaria </w:t>
      </w:r>
      <w:r w:rsidR="00A063FE" w:rsidRPr="007B65B3">
        <w:rPr>
          <w:sz w:val="22"/>
          <w:szCs w:val="22"/>
          <w:lang w:eastAsia="pt-BR"/>
        </w:rPr>
        <w:t>inser</w:t>
      </w:r>
      <w:r w:rsidR="004B36AE">
        <w:rPr>
          <w:sz w:val="22"/>
          <w:szCs w:val="22"/>
          <w:lang w:eastAsia="pt-BR"/>
        </w:rPr>
        <w:t>ida</w:t>
      </w:r>
      <w:r w:rsidR="00A063FE" w:rsidRPr="007B65B3">
        <w:rPr>
          <w:sz w:val="22"/>
          <w:szCs w:val="22"/>
          <w:lang w:eastAsia="pt-BR"/>
        </w:rPr>
        <w:t xml:space="preserve"> no</w:t>
      </w:r>
      <w:r w:rsidR="004B36AE">
        <w:rPr>
          <w:sz w:val="22"/>
          <w:szCs w:val="22"/>
          <w:lang w:eastAsia="pt-BR"/>
        </w:rPr>
        <w:t xml:space="preserve"> âmbito da </w:t>
      </w:r>
      <w:r w:rsidR="00A063FE" w:rsidRPr="007B65B3">
        <w:rPr>
          <w:sz w:val="22"/>
          <w:szCs w:val="22"/>
          <w:lang w:eastAsia="pt-BR"/>
        </w:rPr>
        <w:t>disc</w:t>
      </w:r>
      <w:r w:rsidR="004B36AE">
        <w:rPr>
          <w:sz w:val="22"/>
          <w:szCs w:val="22"/>
          <w:lang w:eastAsia="pt-BR"/>
        </w:rPr>
        <w:t>ricionariedade das entidades</w:t>
      </w:r>
      <w:r w:rsidR="00A063FE" w:rsidRPr="007B65B3">
        <w:rPr>
          <w:sz w:val="22"/>
          <w:szCs w:val="22"/>
          <w:lang w:eastAsia="pt-BR"/>
        </w:rPr>
        <w:t xml:space="preserve"> administrativas</w:t>
      </w:r>
      <w:r w:rsidR="004B36AE">
        <w:rPr>
          <w:sz w:val="22"/>
          <w:szCs w:val="22"/>
          <w:lang w:eastAsia="pt-BR"/>
        </w:rPr>
        <w:t xml:space="preserve"> do Estado</w:t>
      </w:r>
      <w:r w:rsidR="00A063FE" w:rsidRPr="007B65B3">
        <w:rPr>
          <w:sz w:val="22"/>
          <w:szCs w:val="22"/>
          <w:lang w:eastAsia="pt-BR"/>
        </w:rPr>
        <w:t>. Para ele, “</w:t>
      </w:r>
      <w:r w:rsidR="00A063FE" w:rsidRPr="007B65B3">
        <w:rPr>
          <w:i/>
          <w:sz w:val="22"/>
          <w:szCs w:val="22"/>
          <w:lang w:eastAsia="pt-BR"/>
        </w:rPr>
        <w:t>na Administração Pública, a adoção de cada uma dessas modalidades de avença está vinculada ao disposto no art. 48 do Decreto nº 93.872/1996 e nos demais normativos em vigor</w:t>
      </w:r>
      <w:r w:rsidR="00A063FE" w:rsidRPr="007B65B3">
        <w:rPr>
          <w:sz w:val="22"/>
          <w:szCs w:val="22"/>
          <w:lang w:eastAsia="pt-BR"/>
        </w:rPr>
        <w:t>”. Na espécie, a Superintendência de Seguros Privados – (Susep) firmara</w:t>
      </w:r>
      <w:r w:rsidR="005B5B3D" w:rsidRPr="007B65B3">
        <w:rPr>
          <w:sz w:val="22"/>
          <w:szCs w:val="22"/>
          <w:lang w:eastAsia="pt-BR"/>
        </w:rPr>
        <w:t>, por intermédio da Portaria MF nº 29/2006,</w:t>
      </w:r>
      <w:r w:rsidR="00A063FE" w:rsidRPr="007B65B3">
        <w:rPr>
          <w:sz w:val="22"/>
          <w:szCs w:val="22"/>
          <w:lang w:eastAsia="pt-BR"/>
        </w:rPr>
        <w:t xml:space="preserve"> convênio de cooperação técnica com a Caixa</w:t>
      </w:r>
      <w:r w:rsidR="005B5B3D" w:rsidRPr="007B65B3">
        <w:rPr>
          <w:sz w:val="22"/>
          <w:szCs w:val="22"/>
          <w:lang w:eastAsia="pt-BR"/>
        </w:rPr>
        <w:t xml:space="preserve">, objetivando inspeção em imóveis financiados e vinculados à Apólice de Seguro Habitacional do SFH, com cobertura de </w:t>
      </w:r>
      <w:r w:rsidR="005B5B3D" w:rsidRPr="007B65B3">
        <w:rPr>
          <w:sz w:val="22"/>
          <w:szCs w:val="22"/>
        </w:rPr>
        <w:t>danos físicos aos imóveis (DFI)</w:t>
      </w:r>
      <w:r w:rsidR="005B5B3D" w:rsidRPr="007B65B3">
        <w:rPr>
          <w:sz w:val="22"/>
          <w:szCs w:val="22"/>
          <w:lang w:eastAsia="pt-BR"/>
        </w:rPr>
        <w:t xml:space="preserve"> reconhecida por seguradora. O objetivo do convênio seria a realização pela Caixa de vistorias técnicas de engenharia em obras de imóveis sinistrados por danos físicos, em vista de a Susep não contar em seu quadro de pessoal com engenheiros ou arquitetos, o que impossibilitaria </w:t>
      </w:r>
      <w:r w:rsidR="00F37AF6">
        <w:rPr>
          <w:sz w:val="22"/>
          <w:szCs w:val="22"/>
          <w:lang w:eastAsia="pt-BR"/>
        </w:rPr>
        <w:t>o cumprimento</w:t>
      </w:r>
      <w:r w:rsidR="005B5B3D" w:rsidRPr="007B65B3">
        <w:rPr>
          <w:sz w:val="22"/>
          <w:szCs w:val="22"/>
          <w:lang w:eastAsia="pt-BR"/>
        </w:rPr>
        <w:t xml:space="preserve"> de atribuições que haveriam lhe sido dadas pelo Conselho Nacional de Seguros Privados – (CNSP). Por conta do convênio, a Caixa seria remunerada pela Susep, em razão das vistorias a serem executadas, o que, na opinião do relator, constituiria, inequivocamente, pagamento da Susep à Caixa pela prestação de serviços de responsabilidade da primeira. </w:t>
      </w:r>
      <w:r w:rsidR="00C45DCE" w:rsidRPr="007B65B3">
        <w:rPr>
          <w:sz w:val="22"/>
          <w:szCs w:val="22"/>
          <w:lang w:eastAsia="pt-BR"/>
        </w:rPr>
        <w:t xml:space="preserve">Neste </w:t>
      </w:r>
      <w:r w:rsidR="005B5B3D" w:rsidRPr="007B65B3">
        <w:rPr>
          <w:sz w:val="22"/>
          <w:szCs w:val="22"/>
          <w:lang w:eastAsia="pt-BR"/>
        </w:rPr>
        <w:t>caso, ainda para o relator, have</w:t>
      </w:r>
      <w:r w:rsidR="00C45DCE" w:rsidRPr="007B65B3">
        <w:rPr>
          <w:sz w:val="22"/>
          <w:szCs w:val="22"/>
          <w:lang w:eastAsia="pt-BR"/>
        </w:rPr>
        <w:t>ria que se proceder a indispensável licitação, pois “</w:t>
      </w:r>
      <w:r w:rsidR="00C45DCE" w:rsidRPr="007B65B3">
        <w:rPr>
          <w:i/>
          <w:sz w:val="22"/>
          <w:szCs w:val="22"/>
          <w:lang w:eastAsia="pt-BR"/>
        </w:rPr>
        <w:t>as vistorias técnicas de engenharia podem ser realizadas por diversas empresas atuantes no mercado, por não constituírem objeto singular que exija notória especialização</w:t>
      </w:r>
      <w:r w:rsidR="00C45DCE" w:rsidRPr="007B65B3">
        <w:rPr>
          <w:sz w:val="22"/>
          <w:szCs w:val="22"/>
          <w:lang w:eastAsia="pt-BR"/>
        </w:rPr>
        <w:t>”. Desse modo, a Caixa somente poderia ser contratada se fosse vencedora de eventual certame licitatório, não sendo adequada a figura do convênio, utilizada para a firmatura do acordo entre as instituições. Por isso, votou por que se expedisse recomendação a todas as instituições públicas envolvidas, de modo a corrigir a situação, ajustando-a aos preceitos normativos referenciais</w:t>
      </w:r>
      <w:r w:rsidR="007B65B3" w:rsidRPr="007B65B3">
        <w:rPr>
          <w:sz w:val="22"/>
          <w:szCs w:val="22"/>
          <w:lang w:eastAsia="pt-BR"/>
        </w:rPr>
        <w:t>, no que contou com a aprovação do Plenário</w:t>
      </w:r>
      <w:r w:rsidR="00C45DCE" w:rsidRPr="007B65B3">
        <w:rPr>
          <w:sz w:val="22"/>
          <w:szCs w:val="22"/>
          <w:lang w:eastAsia="pt-BR"/>
        </w:rPr>
        <w:t xml:space="preserve">. </w:t>
      </w:r>
      <w:r w:rsidR="001A58D8" w:rsidRPr="007B65B3">
        <w:rPr>
          <w:b/>
          <w:i/>
          <w:sz w:val="22"/>
          <w:szCs w:val="22"/>
        </w:rPr>
        <w:t>Acórdão n.º 7</w:t>
      </w:r>
      <w:r w:rsidR="00C45DCE" w:rsidRPr="007B65B3">
        <w:rPr>
          <w:b/>
          <w:i/>
          <w:sz w:val="22"/>
          <w:szCs w:val="22"/>
        </w:rPr>
        <w:t>5</w:t>
      </w:r>
      <w:r w:rsidR="001A58D8" w:rsidRPr="007B65B3">
        <w:rPr>
          <w:b/>
          <w:i/>
          <w:sz w:val="22"/>
          <w:szCs w:val="22"/>
        </w:rPr>
        <w:t>9/2011-Plenário, TC-0</w:t>
      </w:r>
      <w:r w:rsidR="00C45DCE" w:rsidRPr="007B65B3">
        <w:rPr>
          <w:b/>
          <w:i/>
          <w:sz w:val="22"/>
          <w:szCs w:val="22"/>
        </w:rPr>
        <w:t>01</w:t>
      </w:r>
      <w:r w:rsidR="001A58D8" w:rsidRPr="007B65B3">
        <w:rPr>
          <w:b/>
          <w:i/>
          <w:sz w:val="22"/>
          <w:szCs w:val="22"/>
        </w:rPr>
        <w:t>.</w:t>
      </w:r>
      <w:r w:rsidR="00C45DCE" w:rsidRPr="007B65B3">
        <w:rPr>
          <w:b/>
          <w:i/>
          <w:sz w:val="22"/>
          <w:szCs w:val="22"/>
        </w:rPr>
        <w:t>066</w:t>
      </w:r>
      <w:r w:rsidR="001A58D8" w:rsidRPr="007B65B3">
        <w:rPr>
          <w:b/>
          <w:i/>
          <w:sz w:val="22"/>
          <w:szCs w:val="22"/>
        </w:rPr>
        <w:t>/200</w:t>
      </w:r>
      <w:r w:rsidR="00C45DCE" w:rsidRPr="007B65B3">
        <w:rPr>
          <w:b/>
          <w:i/>
          <w:sz w:val="22"/>
          <w:szCs w:val="22"/>
        </w:rPr>
        <w:t>4</w:t>
      </w:r>
      <w:r w:rsidR="001A58D8" w:rsidRPr="007B65B3">
        <w:rPr>
          <w:b/>
          <w:i/>
          <w:sz w:val="22"/>
          <w:szCs w:val="22"/>
        </w:rPr>
        <w:t>-</w:t>
      </w:r>
      <w:r w:rsidR="00C45DCE" w:rsidRPr="007B65B3">
        <w:rPr>
          <w:b/>
          <w:i/>
          <w:sz w:val="22"/>
          <w:szCs w:val="22"/>
        </w:rPr>
        <w:t>0</w:t>
      </w:r>
      <w:r w:rsidR="001A58D8" w:rsidRPr="007B65B3">
        <w:rPr>
          <w:b/>
          <w:i/>
          <w:sz w:val="22"/>
          <w:szCs w:val="22"/>
        </w:rPr>
        <w:t xml:space="preserve">, rel. Min. </w:t>
      </w:r>
      <w:r w:rsidR="00C45DCE" w:rsidRPr="007B65B3">
        <w:rPr>
          <w:b/>
          <w:i/>
          <w:sz w:val="22"/>
          <w:szCs w:val="22"/>
        </w:rPr>
        <w:t>Raimundo Carreiro</w:t>
      </w:r>
      <w:r w:rsidR="001A58D8" w:rsidRPr="007B65B3">
        <w:rPr>
          <w:b/>
          <w:i/>
          <w:sz w:val="22"/>
          <w:szCs w:val="22"/>
        </w:rPr>
        <w:t>, 30.03.2011.</w:t>
      </w:r>
    </w:p>
    <w:p w:rsidR="006C7DE0" w:rsidRPr="0007259B" w:rsidRDefault="006C7DE0" w:rsidP="006C7DE0">
      <w:pPr>
        <w:widowControl w:val="0"/>
        <w:tabs>
          <w:tab w:val="left" w:pos="90"/>
        </w:tabs>
        <w:autoSpaceDE w:val="0"/>
        <w:autoSpaceDN w:val="0"/>
        <w:adjustRightInd w:val="0"/>
        <w:spacing w:after="0"/>
        <w:ind w:left="0"/>
        <w:rPr>
          <w:b/>
          <w:color w:val="FF0000"/>
          <w:sz w:val="22"/>
          <w:szCs w:val="22"/>
        </w:rPr>
      </w:pPr>
    </w:p>
    <w:p w:rsidR="006C7DE0" w:rsidRPr="00FA45CD" w:rsidRDefault="006C7DE0" w:rsidP="00FA45CD">
      <w:pPr>
        <w:pStyle w:val="TCU-RelVoto-demais"/>
        <w:spacing w:after="0"/>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7C2A55" w:rsidTr="0030360F">
        <w:trPr>
          <w:trHeight w:val="779"/>
          <w:jc w:val="center"/>
        </w:trPr>
        <w:tc>
          <w:tcPr>
            <w:tcW w:w="0" w:type="auto"/>
            <w:vAlign w:val="center"/>
          </w:tcPr>
          <w:p w:rsidR="007334B1" w:rsidRPr="007C2A55" w:rsidRDefault="00C10DD5" w:rsidP="0030360F">
            <w:pPr>
              <w:pStyle w:val="enter-3pt"/>
              <w:spacing w:line="240" w:lineRule="auto"/>
              <w:jc w:val="center"/>
              <w:rPr>
                <w:b/>
                <w:i/>
                <w:sz w:val="18"/>
                <w:szCs w:val="18"/>
              </w:rPr>
            </w:pPr>
            <w:r>
              <w:rPr>
                <w:b/>
                <w:i/>
                <w:sz w:val="18"/>
                <w:szCs w:val="18"/>
              </w:rPr>
              <w:t>Elaboração: Secretaria das Sessões</w:t>
            </w:r>
          </w:p>
          <w:p w:rsidR="007334B1" w:rsidRPr="007C2A55" w:rsidRDefault="007334B1" w:rsidP="0030360F">
            <w:pPr>
              <w:pStyle w:val="enter-3pt"/>
              <w:spacing w:line="240" w:lineRule="auto"/>
              <w:jc w:val="center"/>
              <w:rPr>
                <w:b/>
                <w:i/>
                <w:sz w:val="22"/>
                <w:szCs w:val="22"/>
              </w:rPr>
            </w:pPr>
            <w:r w:rsidRPr="007C2A55">
              <w:rPr>
                <w:b/>
                <w:i/>
                <w:sz w:val="18"/>
                <w:szCs w:val="18"/>
              </w:rPr>
              <w:t xml:space="preserve">Contato: </w:t>
            </w:r>
            <w:hyperlink r:id="rId8" w:history="1">
              <w:r w:rsidRPr="007C2A55">
                <w:rPr>
                  <w:rStyle w:val="Hyperlink"/>
                  <w:b/>
                  <w:i/>
                  <w:color w:val="auto"/>
                  <w:sz w:val="18"/>
                  <w:szCs w:val="18"/>
                </w:rPr>
                <w:t>infojuris@tcu.gov.br</w:t>
              </w:r>
            </w:hyperlink>
          </w:p>
        </w:tc>
      </w:tr>
    </w:tbl>
    <w:p w:rsidR="007334B1" w:rsidRPr="007C2A55" w:rsidRDefault="007334B1" w:rsidP="007334B1">
      <w:pPr>
        <w:pStyle w:val="enter-3pt"/>
        <w:spacing w:line="240" w:lineRule="auto"/>
        <w:jc w:val="center"/>
        <w:rPr>
          <w:b/>
          <w:sz w:val="22"/>
          <w:szCs w:val="22"/>
        </w:rPr>
      </w:pPr>
    </w:p>
    <w:sectPr w:rsidR="007334B1" w:rsidRPr="007C2A55"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84" w:rsidRDefault="00104384" w:rsidP="008B0547">
      <w:pPr>
        <w:spacing w:after="0"/>
      </w:pPr>
      <w:r>
        <w:separator/>
      </w:r>
    </w:p>
  </w:endnote>
  <w:endnote w:type="continuationSeparator" w:id="0">
    <w:p w:rsidR="00104384" w:rsidRDefault="00104384"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2D2FF1">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84" w:rsidRDefault="00104384" w:rsidP="008B0547">
      <w:pPr>
        <w:spacing w:after="0"/>
      </w:pPr>
      <w:r>
        <w:separator/>
      </w:r>
    </w:p>
  </w:footnote>
  <w:footnote w:type="continuationSeparator" w:id="0">
    <w:p w:rsidR="00104384" w:rsidRDefault="00104384"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F209AB"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F209AB"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1C64"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274068">
      <w:rPr>
        <w:rFonts w:ascii="Arial" w:hAnsi="Arial" w:cs="Arial"/>
        <w:noProof/>
        <w:lang w:eastAsia="pt-BR"/>
      </w:rPr>
      <w:t>5</w:t>
    </w:r>
    <w:r w:rsidR="00917B6F">
      <w:rPr>
        <w:rFonts w:ascii="Arial" w:hAnsi="Arial" w:cs="Arial"/>
        <w:noProof/>
        <w:lang w:eastAsia="pt-BR"/>
      </w:rPr>
      <w:t>6</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8">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0">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1">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2">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7">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2">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14"/>
  </w:num>
  <w:num w:numId="3">
    <w:abstractNumId w:val="6"/>
  </w:num>
  <w:num w:numId="4">
    <w:abstractNumId w:val="0"/>
  </w:num>
  <w:num w:numId="5">
    <w:abstractNumId w:val="8"/>
  </w:num>
  <w:num w:numId="6">
    <w:abstractNumId w:val="13"/>
  </w:num>
  <w:num w:numId="7">
    <w:abstractNumId w:val="20"/>
  </w:num>
  <w:num w:numId="8">
    <w:abstractNumId w:val="18"/>
  </w:num>
  <w:num w:numId="9">
    <w:abstractNumId w:val="15"/>
  </w:num>
  <w:num w:numId="10">
    <w:abstractNumId w:val="4"/>
  </w:num>
  <w:num w:numId="11">
    <w:abstractNumId w:val="22"/>
  </w:num>
  <w:num w:numId="12">
    <w:abstractNumId w:val="3"/>
  </w:num>
  <w:num w:numId="13">
    <w:abstractNumId w:val="12"/>
  </w:num>
  <w:num w:numId="14">
    <w:abstractNumId w:val="19"/>
  </w:num>
  <w:num w:numId="15">
    <w:abstractNumId w:val="11"/>
  </w:num>
  <w:num w:numId="16">
    <w:abstractNumId w:val="2"/>
  </w:num>
  <w:num w:numId="17">
    <w:abstractNumId w:val="10"/>
  </w:num>
  <w:num w:numId="18">
    <w:abstractNumId w:val="21"/>
    <w:lvlOverride w:ilvl="0">
      <w:startOverride w:val="1"/>
    </w:lvlOverride>
  </w:num>
  <w:num w:numId="19">
    <w:abstractNumId w:val="16"/>
  </w:num>
  <w:num w:numId="20">
    <w:abstractNumId w:val="9"/>
  </w:num>
  <w:num w:numId="21">
    <w:abstractNumId w:val="5"/>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2468"/>
    <w:rsid w:val="0001636D"/>
    <w:rsid w:val="00023D72"/>
    <w:rsid w:val="00025450"/>
    <w:rsid w:val="000271FA"/>
    <w:rsid w:val="00032198"/>
    <w:rsid w:val="00037DCE"/>
    <w:rsid w:val="00041450"/>
    <w:rsid w:val="0004660A"/>
    <w:rsid w:val="00052B15"/>
    <w:rsid w:val="0005412B"/>
    <w:rsid w:val="00054432"/>
    <w:rsid w:val="000562CD"/>
    <w:rsid w:val="00056D51"/>
    <w:rsid w:val="0006028E"/>
    <w:rsid w:val="00061C2E"/>
    <w:rsid w:val="00065E95"/>
    <w:rsid w:val="00070785"/>
    <w:rsid w:val="0007259B"/>
    <w:rsid w:val="00074384"/>
    <w:rsid w:val="00074AC5"/>
    <w:rsid w:val="00077A56"/>
    <w:rsid w:val="00080148"/>
    <w:rsid w:val="000835D8"/>
    <w:rsid w:val="00084727"/>
    <w:rsid w:val="0009133A"/>
    <w:rsid w:val="000916AF"/>
    <w:rsid w:val="00092C2E"/>
    <w:rsid w:val="00094C5B"/>
    <w:rsid w:val="00097863"/>
    <w:rsid w:val="000A0EF8"/>
    <w:rsid w:val="000A152A"/>
    <w:rsid w:val="000A1EBD"/>
    <w:rsid w:val="000A2C56"/>
    <w:rsid w:val="000A6269"/>
    <w:rsid w:val="000A62BD"/>
    <w:rsid w:val="000B0ECB"/>
    <w:rsid w:val="000B0FEA"/>
    <w:rsid w:val="000B2AFA"/>
    <w:rsid w:val="000D1878"/>
    <w:rsid w:val="000D1FD7"/>
    <w:rsid w:val="000D6418"/>
    <w:rsid w:val="000D7DB6"/>
    <w:rsid w:val="000D7DED"/>
    <w:rsid w:val="000E2D47"/>
    <w:rsid w:val="000E3B31"/>
    <w:rsid w:val="000E504D"/>
    <w:rsid w:val="000F2F92"/>
    <w:rsid w:val="000F6D85"/>
    <w:rsid w:val="000F7CEE"/>
    <w:rsid w:val="000F7D84"/>
    <w:rsid w:val="001041ED"/>
    <w:rsid w:val="00104384"/>
    <w:rsid w:val="001104BA"/>
    <w:rsid w:val="00112676"/>
    <w:rsid w:val="00112A5F"/>
    <w:rsid w:val="0011373A"/>
    <w:rsid w:val="00114511"/>
    <w:rsid w:val="00126026"/>
    <w:rsid w:val="00133EA9"/>
    <w:rsid w:val="00140FED"/>
    <w:rsid w:val="00141D7A"/>
    <w:rsid w:val="001420D1"/>
    <w:rsid w:val="001444A2"/>
    <w:rsid w:val="00151F92"/>
    <w:rsid w:val="0015258E"/>
    <w:rsid w:val="00152ECC"/>
    <w:rsid w:val="001532E4"/>
    <w:rsid w:val="00156A48"/>
    <w:rsid w:val="00157614"/>
    <w:rsid w:val="00157AFE"/>
    <w:rsid w:val="00157C0F"/>
    <w:rsid w:val="001744E7"/>
    <w:rsid w:val="00176375"/>
    <w:rsid w:val="001A0CC1"/>
    <w:rsid w:val="001A330B"/>
    <w:rsid w:val="001A58D8"/>
    <w:rsid w:val="001A60A2"/>
    <w:rsid w:val="001A79D3"/>
    <w:rsid w:val="001B3E8E"/>
    <w:rsid w:val="001B4F90"/>
    <w:rsid w:val="001B6823"/>
    <w:rsid w:val="001B7F4F"/>
    <w:rsid w:val="001C0575"/>
    <w:rsid w:val="001C0974"/>
    <w:rsid w:val="001C437E"/>
    <w:rsid w:val="001C71E3"/>
    <w:rsid w:val="001D03C7"/>
    <w:rsid w:val="001D1478"/>
    <w:rsid w:val="001D1E52"/>
    <w:rsid w:val="001D56C3"/>
    <w:rsid w:val="001D74CE"/>
    <w:rsid w:val="001E0BF1"/>
    <w:rsid w:val="001E1E28"/>
    <w:rsid w:val="001E2620"/>
    <w:rsid w:val="001E4147"/>
    <w:rsid w:val="001E7019"/>
    <w:rsid w:val="001E747D"/>
    <w:rsid w:val="001E7C3D"/>
    <w:rsid w:val="001F00DF"/>
    <w:rsid w:val="001F1E8F"/>
    <w:rsid w:val="00200260"/>
    <w:rsid w:val="002002CE"/>
    <w:rsid w:val="0020066F"/>
    <w:rsid w:val="0020107A"/>
    <w:rsid w:val="0020135D"/>
    <w:rsid w:val="00202EAD"/>
    <w:rsid w:val="00203A6F"/>
    <w:rsid w:val="00211816"/>
    <w:rsid w:val="00225D42"/>
    <w:rsid w:val="00226AEF"/>
    <w:rsid w:val="00226D9D"/>
    <w:rsid w:val="00232158"/>
    <w:rsid w:val="002328F9"/>
    <w:rsid w:val="00233CE3"/>
    <w:rsid w:val="002343BF"/>
    <w:rsid w:val="002435FC"/>
    <w:rsid w:val="002442D9"/>
    <w:rsid w:val="00244BA7"/>
    <w:rsid w:val="0024593F"/>
    <w:rsid w:val="002476B6"/>
    <w:rsid w:val="00253242"/>
    <w:rsid w:val="00254590"/>
    <w:rsid w:val="00262359"/>
    <w:rsid w:val="0026362E"/>
    <w:rsid w:val="002649A7"/>
    <w:rsid w:val="00264FC3"/>
    <w:rsid w:val="002663B7"/>
    <w:rsid w:val="002666C5"/>
    <w:rsid w:val="00271D81"/>
    <w:rsid w:val="0027213F"/>
    <w:rsid w:val="00273E72"/>
    <w:rsid w:val="00274068"/>
    <w:rsid w:val="0027498E"/>
    <w:rsid w:val="0027686D"/>
    <w:rsid w:val="00276DC0"/>
    <w:rsid w:val="002810D9"/>
    <w:rsid w:val="00281830"/>
    <w:rsid w:val="002830F6"/>
    <w:rsid w:val="00287326"/>
    <w:rsid w:val="0029043B"/>
    <w:rsid w:val="00290A06"/>
    <w:rsid w:val="0029211E"/>
    <w:rsid w:val="0029450E"/>
    <w:rsid w:val="00297A00"/>
    <w:rsid w:val="002A190F"/>
    <w:rsid w:val="002A2129"/>
    <w:rsid w:val="002A3B3F"/>
    <w:rsid w:val="002B409B"/>
    <w:rsid w:val="002B4392"/>
    <w:rsid w:val="002B56C3"/>
    <w:rsid w:val="002B5AD5"/>
    <w:rsid w:val="002B5C5A"/>
    <w:rsid w:val="002B6422"/>
    <w:rsid w:val="002B71BA"/>
    <w:rsid w:val="002C208E"/>
    <w:rsid w:val="002C7B61"/>
    <w:rsid w:val="002C7B6D"/>
    <w:rsid w:val="002D1688"/>
    <w:rsid w:val="002D2FF1"/>
    <w:rsid w:val="002D35F5"/>
    <w:rsid w:val="002D47FE"/>
    <w:rsid w:val="002D532D"/>
    <w:rsid w:val="002D739A"/>
    <w:rsid w:val="002D76AB"/>
    <w:rsid w:val="002E1545"/>
    <w:rsid w:val="002E28BA"/>
    <w:rsid w:val="002E361C"/>
    <w:rsid w:val="002E3943"/>
    <w:rsid w:val="002E3F7C"/>
    <w:rsid w:val="002E4254"/>
    <w:rsid w:val="002E4F13"/>
    <w:rsid w:val="002E4FB7"/>
    <w:rsid w:val="002F1C09"/>
    <w:rsid w:val="002F5F3B"/>
    <w:rsid w:val="002F693C"/>
    <w:rsid w:val="002F7C6D"/>
    <w:rsid w:val="003020F4"/>
    <w:rsid w:val="003025C7"/>
    <w:rsid w:val="0030360F"/>
    <w:rsid w:val="00303984"/>
    <w:rsid w:val="00304A73"/>
    <w:rsid w:val="003069F9"/>
    <w:rsid w:val="00310208"/>
    <w:rsid w:val="0031058F"/>
    <w:rsid w:val="0031089E"/>
    <w:rsid w:val="00310D69"/>
    <w:rsid w:val="003147B7"/>
    <w:rsid w:val="00317E59"/>
    <w:rsid w:val="00322AE7"/>
    <w:rsid w:val="00325246"/>
    <w:rsid w:val="003275E4"/>
    <w:rsid w:val="0033244F"/>
    <w:rsid w:val="00337E16"/>
    <w:rsid w:val="00340E66"/>
    <w:rsid w:val="00340F10"/>
    <w:rsid w:val="0034486B"/>
    <w:rsid w:val="00344D92"/>
    <w:rsid w:val="003455A2"/>
    <w:rsid w:val="00350E87"/>
    <w:rsid w:val="00353B7C"/>
    <w:rsid w:val="0035438E"/>
    <w:rsid w:val="00355828"/>
    <w:rsid w:val="00356E38"/>
    <w:rsid w:val="00357CBE"/>
    <w:rsid w:val="00361487"/>
    <w:rsid w:val="00361661"/>
    <w:rsid w:val="00377407"/>
    <w:rsid w:val="00381780"/>
    <w:rsid w:val="003824E4"/>
    <w:rsid w:val="00383CFE"/>
    <w:rsid w:val="003853FF"/>
    <w:rsid w:val="00385609"/>
    <w:rsid w:val="00385DAB"/>
    <w:rsid w:val="0038696B"/>
    <w:rsid w:val="00390ED6"/>
    <w:rsid w:val="00392509"/>
    <w:rsid w:val="003943E5"/>
    <w:rsid w:val="00397D8E"/>
    <w:rsid w:val="003A105C"/>
    <w:rsid w:val="003A2222"/>
    <w:rsid w:val="003A3262"/>
    <w:rsid w:val="003A5479"/>
    <w:rsid w:val="003A5C1B"/>
    <w:rsid w:val="003A7C7F"/>
    <w:rsid w:val="003B0304"/>
    <w:rsid w:val="003B043F"/>
    <w:rsid w:val="003B155C"/>
    <w:rsid w:val="003B2E10"/>
    <w:rsid w:val="003B33CE"/>
    <w:rsid w:val="003B343D"/>
    <w:rsid w:val="003B56D7"/>
    <w:rsid w:val="003B7125"/>
    <w:rsid w:val="003C1911"/>
    <w:rsid w:val="003C1B4F"/>
    <w:rsid w:val="003C2288"/>
    <w:rsid w:val="003C3336"/>
    <w:rsid w:val="003C39E6"/>
    <w:rsid w:val="003C6DEB"/>
    <w:rsid w:val="003C7585"/>
    <w:rsid w:val="003C7A5C"/>
    <w:rsid w:val="003D660C"/>
    <w:rsid w:val="003D73BD"/>
    <w:rsid w:val="003D7CCE"/>
    <w:rsid w:val="003E0D8C"/>
    <w:rsid w:val="003E154A"/>
    <w:rsid w:val="003E1B68"/>
    <w:rsid w:val="003E65D7"/>
    <w:rsid w:val="003F1CE1"/>
    <w:rsid w:val="003F413A"/>
    <w:rsid w:val="003F54FB"/>
    <w:rsid w:val="003F6D1F"/>
    <w:rsid w:val="00412CEF"/>
    <w:rsid w:val="004169D8"/>
    <w:rsid w:val="004201AF"/>
    <w:rsid w:val="00425FF9"/>
    <w:rsid w:val="00427B3B"/>
    <w:rsid w:val="00427EBF"/>
    <w:rsid w:val="004362AB"/>
    <w:rsid w:val="004415FB"/>
    <w:rsid w:val="00441CE3"/>
    <w:rsid w:val="004421F5"/>
    <w:rsid w:val="0044434A"/>
    <w:rsid w:val="0044437F"/>
    <w:rsid w:val="00445E76"/>
    <w:rsid w:val="00447217"/>
    <w:rsid w:val="00452C60"/>
    <w:rsid w:val="004617A9"/>
    <w:rsid w:val="0046384E"/>
    <w:rsid w:val="0046706B"/>
    <w:rsid w:val="00467815"/>
    <w:rsid w:val="00471284"/>
    <w:rsid w:val="00473696"/>
    <w:rsid w:val="00473721"/>
    <w:rsid w:val="0047491E"/>
    <w:rsid w:val="004837C6"/>
    <w:rsid w:val="00483998"/>
    <w:rsid w:val="00484E4C"/>
    <w:rsid w:val="00491438"/>
    <w:rsid w:val="00492E3F"/>
    <w:rsid w:val="00493F5C"/>
    <w:rsid w:val="004A171B"/>
    <w:rsid w:val="004B0194"/>
    <w:rsid w:val="004B1113"/>
    <w:rsid w:val="004B1DC3"/>
    <w:rsid w:val="004B36AE"/>
    <w:rsid w:val="004C61A3"/>
    <w:rsid w:val="004C6E03"/>
    <w:rsid w:val="004C780C"/>
    <w:rsid w:val="004D3441"/>
    <w:rsid w:val="004D6A38"/>
    <w:rsid w:val="004D6A7B"/>
    <w:rsid w:val="004D708E"/>
    <w:rsid w:val="004D760C"/>
    <w:rsid w:val="004D7C91"/>
    <w:rsid w:val="004E357A"/>
    <w:rsid w:val="004E65EB"/>
    <w:rsid w:val="004F7174"/>
    <w:rsid w:val="00500DD0"/>
    <w:rsid w:val="0050355D"/>
    <w:rsid w:val="005055B5"/>
    <w:rsid w:val="00510D1D"/>
    <w:rsid w:val="00511BBF"/>
    <w:rsid w:val="00515E7B"/>
    <w:rsid w:val="005217F8"/>
    <w:rsid w:val="0052267A"/>
    <w:rsid w:val="00531143"/>
    <w:rsid w:val="00534A44"/>
    <w:rsid w:val="00536332"/>
    <w:rsid w:val="00542821"/>
    <w:rsid w:val="005438A1"/>
    <w:rsid w:val="00543B81"/>
    <w:rsid w:val="00543EB8"/>
    <w:rsid w:val="00544FCF"/>
    <w:rsid w:val="00545A47"/>
    <w:rsid w:val="00545FC7"/>
    <w:rsid w:val="0054634E"/>
    <w:rsid w:val="00554A33"/>
    <w:rsid w:val="0055716D"/>
    <w:rsid w:val="00557953"/>
    <w:rsid w:val="00560E55"/>
    <w:rsid w:val="0056301A"/>
    <w:rsid w:val="005635AD"/>
    <w:rsid w:val="005640E1"/>
    <w:rsid w:val="00564EA1"/>
    <w:rsid w:val="0056534C"/>
    <w:rsid w:val="00567CEE"/>
    <w:rsid w:val="005713F4"/>
    <w:rsid w:val="00571E64"/>
    <w:rsid w:val="00575CC3"/>
    <w:rsid w:val="00580F26"/>
    <w:rsid w:val="00581A7C"/>
    <w:rsid w:val="0058427E"/>
    <w:rsid w:val="005864FA"/>
    <w:rsid w:val="00590907"/>
    <w:rsid w:val="00594A7B"/>
    <w:rsid w:val="005A2D82"/>
    <w:rsid w:val="005A3835"/>
    <w:rsid w:val="005A3AEC"/>
    <w:rsid w:val="005A72F2"/>
    <w:rsid w:val="005B2194"/>
    <w:rsid w:val="005B2BC3"/>
    <w:rsid w:val="005B4CFA"/>
    <w:rsid w:val="005B5B3D"/>
    <w:rsid w:val="005C1A79"/>
    <w:rsid w:val="005C7644"/>
    <w:rsid w:val="005C7BF4"/>
    <w:rsid w:val="005D3352"/>
    <w:rsid w:val="005E269C"/>
    <w:rsid w:val="005E3586"/>
    <w:rsid w:val="005E4DEE"/>
    <w:rsid w:val="005E5FF1"/>
    <w:rsid w:val="005F01CE"/>
    <w:rsid w:val="005F70B6"/>
    <w:rsid w:val="005F7A87"/>
    <w:rsid w:val="00601F0A"/>
    <w:rsid w:val="00604DBE"/>
    <w:rsid w:val="006063E1"/>
    <w:rsid w:val="006065E4"/>
    <w:rsid w:val="00610039"/>
    <w:rsid w:val="00610381"/>
    <w:rsid w:val="00611E07"/>
    <w:rsid w:val="00612045"/>
    <w:rsid w:val="00612F12"/>
    <w:rsid w:val="00613AC9"/>
    <w:rsid w:val="00620E86"/>
    <w:rsid w:val="006219DD"/>
    <w:rsid w:val="00631FE7"/>
    <w:rsid w:val="00632ACC"/>
    <w:rsid w:val="006345C1"/>
    <w:rsid w:val="00637FDD"/>
    <w:rsid w:val="00641E57"/>
    <w:rsid w:val="006503A5"/>
    <w:rsid w:val="00650463"/>
    <w:rsid w:val="00651660"/>
    <w:rsid w:val="00652171"/>
    <w:rsid w:val="00666285"/>
    <w:rsid w:val="00670FEA"/>
    <w:rsid w:val="006734AA"/>
    <w:rsid w:val="0067353C"/>
    <w:rsid w:val="00676163"/>
    <w:rsid w:val="00677C22"/>
    <w:rsid w:val="006808CC"/>
    <w:rsid w:val="00685899"/>
    <w:rsid w:val="00692D30"/>
    <w:rsid w:val="00695597"/>
    <w:rsid w:val="00696A89"/>
    <w:rsid w:val="00697477"/>
    <w:rsid w:val="006A037E"/>
    <w:rsid w:val="006A2019"/>
    <w:rsid w:val="006A7140"/>
    <w:rsid w:val="006A7796"/>
    <w:rsid w:val="006B0495"/>
    <w:rsid w:val="006B0DCB"/>
    <w:rsid w:val="006B2408"/>
    <w:rsid w:val="006B3AF9"/>
    <w:rsid w:val="006B414C"/>
    <w:rsid w:val="006B4B0F"/>
    <w:rsid w:val="006C335E"/>
    <w:rsid w:val="006C5C6C"/>
    <w:rsid w:val="006C7DE0"/>
    <w:rsid w:val="006D4245"/>
    <w:rsid w:val="006E4064"/>
    <w:rsid w:val="006F2F67"/>
    <w:rsid w:val="006F4DE0"/>
    <w:rsid w:val="006F4FB2"/>
    <w:rsid w:val="006F6483"/>
    <w:rsid w:val="006F7332"/>
    <w:rsid w:val="0070385B"/>
    <w:rsid w:val="0070494F"/>
    <w:rsid w:val="00705758"/>
    <w:rsid w:val="0070717A"/>
    <w:rsid w:val="00707244"/>
    <w:rsid w:val="00712CCC"/>
    <w:rsid w:val="00713DE5"/>
    <w:rsid w:val="007174DA"/>
    <w:rsid w:val="00720910"/>
    <w:rsid w:val="00720F29"/>
    <w:rsid w:val="007224C2"/>
    <w:rsid w:val="00731409"/>
    <w:rsid w:val="007334B1"/>
    <w:rsid w:val="007339F3"/>
    <w:rsid w:val="00737FEC"/>
    <w:rsid w:val="00742B07"/>
    <w:rsid w:val="00756AA0"/>
    <w:rsid w:val="00757CE6"/>
    <w:rsid w:val="00764CB0"/>
    <w:rsid w:val="007671B6"/>
    <w:rsid w:val="007671DA"/>
    <w:rsid w:val="007719A8"/>
    <w:rsid w:val="00773CAE"/>
    <w:rsid w:val="00774593"/>
    <w:rsid w:val="00776EDA"/>
    <w:rsid w:val="00777599"/>
    <w:rsid w:val="00785CF8"/>
    <w:rsid w:val="00796068"/>
    <w:rsid w:val="00796CC0"/>
    <w:rsid w:val="007979EA"/>
    <w:rsid w:val="007A1A35"/>
    <w:rsid w:val="007A2166"/>
    <w:rsid w:val="007A2B7F"/>
    <w:rsid w:val="007A5922"/>
    <w:rsid w:val="007B259B"/>
    <w:rsid w:val="007B5018"/>
    <w:rsid w:val="007B65B3"/>
    <w:rsid w:val="007C4E99"/>
    <w:rsid w:val="007C546B"/>
    <w:rsid w:val="007C670D"/>
    <w:rsid w:val="007D0ED0"/>
    <w:rsid w:val="007D1F01"/>
    <w:rsid w:val="007D48CF"/>
    <w:rsid w:val="007D4A4A"/>
    <w:rsid w:val="007E0E05"/>
    <w:rsid w:val="007E1DD3"/>
    <w:rsid w:val="007E209F"/>
    <w:rsid w:val="007E2878"/>
    <w:rsid w:val="007E4655"/>
    <w:rsid w:val="007E55E0"/>
    <w:rsid w:val="007E5C50"/>
    <w:rsid w:val="007F0546"/>
    <w:rsid w:val="007F22A5"/>
    <w:rsid w:val="007F5688"/>
    <w:rsid w:val="008051DE"/>
    <w:rsid w:val="00810CC2"/>
    <w:rsid w:val="0081324B"/>
    <w:rsid w:val="0081440E"/>
    <w:rsid w:val="00816193"/>
    <w:rsid w:val="008165E4"/>
    <w:rsid w:val="00825155"/>
    <w:rsid w:val="00825EB9"/>
    <w:rsid w:val="008303E2"/>
    <w:rsid w:val="008341F8"/>
    <w:rsid w:val="008359F3"/>
    <w:rsid w:val="00835DB6"/>
    <w:rsid w:val="00836AC2"/>
    <w:rsid w:val="00844C5B"/>
    <w:rsid w:val="008501A4"/>
    <w:rsid w:val="008505A1"/>
    <w:rsid w:val="00850817"/>
    <w:rsid w:val="00851D16"/>
    <w:rsid w:val="00854B32"/>
    <w:rsid w:val="00856252"/>
    <w:rsid w:val="00857634"/>
    <w:rsid w:val="0086124E"/>
    <w:rsid w:val="008652C9"/>
    <w:rsid w:val="00866992"/>
    <w:rsid w:val="00872942"/>
    <w:rsid w:val="00875991"/>
    <w:rsid w:val="00877FDD"/>
    <w:rsid w:val="00880FED"/>
    <w:rsid w:val="008841C8"/>
    <w:rsid w:val="00885367"/>
    <w:rsid w:val="00887082"/>
    <w:rsid w:val="00892BB8"/>
    <w:rsid w:val="00893014"/>
    <w:rsid w:val="0089513A"/>
    <w:rsid w:val="00896755"/>
    <w:rsid w:val="008A2417"/>
    <w:rsid w:val="008A5D49"/>
    <w:rsid w:val="008A751E"/>
    <w:rsid w:val="008B0547"/>
    <w:rsid w:val="008B11A3"/>
    <w:rsid w:val="008B1FE5"/>
    <w:rsid w:val="008B3A74"/>
    <w:rsid w:val="008B3D72"/>
    <w:rsid w:val="008B434A"/>
    <w:rsid w:val="008B7B55"/>
    <w:rsid w:val="008C3A5B"/>
    <w:rsid w:val="008C5B71"/>
    <w:rsid w:val="008D2382"/>
    <w:rsid w:val="008D5667"/>
    <w:rsid w:val="008D6F5D"/>
    <w:rsid w:val="008E003A"/>
    <w:rsid w:val="008E15E3"/>
    <w:rsid w:val="008E2045"/>
    <w:rsid w:val="008E4C62"/>
    <w:rsid w:val="008E727E"/>
    <w:rsid w:val="008F2902"/>
    <w:rsid w:val="008F4593"/>
    <w:rsid w:val="008F660B"/>
    <w:rsid w:val="009005CE"/>
    <w:rsid w:val="00901376"/>
    <w:rsid w:val="009021A4"/>
    <w:rsid w:val="00904EC5"/>
    <w:rsid w:val="00914B48"/>
    <w:rsid w:val="0091511B"/>
    <w:rsid w:val="00917B6F"/>
    <w:rsid w:val="009239AA"/>
    <w:rsid w:val="009245B5"/>
    <w:rsid w:val="00925EF2"/>
    <w:rsid w:val="00935C40"/>
    <w:rsid w:val="00935F4D"/>
    <w:rsid w:val="0093795C"/>
    <w:rsid w:val="00937F7E"/>
    <w:rsid w:val="009440DE"/>
    <w:rsid w:val="009444E6"/>
    <w:rsid w:val="00944A8E"/>
    <w:rsid w:val="009455E6"/>
    <w:rsid w:val="00956BA7"/>
    <w:rsid w:val="00956FD8"/>
    <w:rsid w:val="009575F7"/>
    <w:rsid w:val="00957E4B"/>
    <w:rsid w:val="0096021A"/>
    <w:rsid w:val="00960F73"/>
    <w:rsid w:val="0096655D"/>
    <w:rsid w:val="00971139"/>
    <w:rsid w:val="0097401F"/>
    <w:rsid w:val="00981FA0"/>
    <w:rsid w:val="00984366"/>
    <w:rsid w:val="00984E80"/>
    <w:rsid w:val="0098690F"/>
    <w:rsid w:val="00987EE5"/>
    <w:rsid w:val="00991CD8"/>
    <w:rsid w:val="00991EBE"/>
    <w:rsid w:val="00993C2E"/>
    <w:rsid w:val="00997C8A"/>
    <w:rsid w:val="009A1339"/>
    <w:rsid w:val="009A3006"/>
    <w:rsid w:val="009A3994"/>
    <w:rsid w:val="009B62AF"/>
    <w:rsid w:val="009B7AB9"/>
    <w:rsid w:val="009C4B6D"/>
    <w:rsid w:val="009D0928"/>
    <w:rsid w:val="009D1B99"/>
    <w:rsid w:val="009D5445"/>
    <w:rsid w:val="009D565F"/>
    <w:rsid w:val="009D65B9"/>
    <w:rsid w:val="009E04DC"/>
    <w:rsid w:val="009E0FB3"/>
    <w:rsid w:val="009E5105"/>
    <w:rsid w:val="009E59A1"/>
    <w:rsid w:val="009E66EE"/>
    <w:rsid w:val="009F4326"/>
    <w:rsid w:val="00A0244C"/>
    <w:rsid w:val="00A033FF"/>
    <w:rsid w:val="00A0409E"/>
    <w:rsid w:val="00A06137"/>
    <w:rsid w:val="00A063FE"/>
    <w:rsid w:val="00A06EDB"/>
    <w:rsid w:val="00A07ACC"/>
    <w:rsid w:val="00A1329C"/>
    <w:rsid w:val="00A14E25"/>
    <w:rsid w:val="00A15C4A"/>
    <w:rsid w:val="00A16A60"/>
    <w:rsid w:val="00A17A3D"/>
    <w:rsid w:val="00A2062A"/>
    <w:rsid w:val="00A2066E"/>
    <w:rsid w:val="00A21E19"/>
    <w:rsid w:val="00A239A8"/>
    <w:rsid w:val="00A30683"/>
    <w:rsid w:val="00A3115F"/>
    <w:rsid w:val="00A33030"/>
    <w:rsid w:val="00A378A2"/>
    <w:rsid w:val="00A407B6"/>
    <w:rsid w:val="00A52DA1"/>
    <w:rsid w:val="00A5757E"/>
    <w:rsid w:val="00A60F52"/>
    <w:rsid w:val="00A62AA8"/>
    <w:rsid w:val="00A63B4C"/>
    <w:rsid w:val="00A664E7"/>
    <w:rsid w:val="00A66E7F"/>
    <w:rsid w:val="00A75C52"/>
    <w:rsid w:val="00A767B2"/>
    <w:rsid w:val="00A81B11"/>
    <w:rsid w:val="00A82B9E"/>
    <w:rsid w:val="00A84186"/>
    <w:rsid w:val="00A846F1"/>
    <w:rsid w:val="00A857B4"/>
    <w:rsid w:val="00A85B14"/>
    <w:rsid w:val="00A875C0"/>
    <w:rsid w:val="00A92706"/>
    <w:rsid w:val="00A9704A"/>
    <w:rsid w:val="00A97AD0"/>
    <w:rsid w:val="00AA1377"/>
    <w:rsid w:val="00AA49AF"/>
    <w:rsid w:val="00AA57CE"/>
    <w:rsid w:val="00AA7540"/>
    <w:rsid w:val="00AC0BAE"/>
    <w:rsid w:val="00AC126F"/>
    <w:rsid w:val="00AC4B34"/>
    <w:rsid w:val="00AD05A6"/>
    <w:rsid w:val="00AE05EA"/>
    <w:rsid w:val="00AE0EDF"/>
    <w:rsid w:val="00AE1128"/>
    <w:rsid w:val="00AE1AB0"/>
    <w:rsid w:val="00AE2609"/>
    <w:rsid w:val="00AE29A8"/>
    <w:rsid w:val="00AE439A"/>
    <w:rsid w:val="00AE617A"/>
    <w:rsid w:val="00AE713F"/>
    <w:rsid w:val="00AF09C7"/>
    <w:rsid w:val="00AF4BF4"/>
    <w:rsid w:val="00B03D35"/>
    <w:rsid w:val="00B05065"/>
    <w:rsid w:val="00B05194"/>
    <w:rsid w:val="00B17303"/>
    <w:rsid w:val="00B21343"/>
    <w:rsid w:val="00B219AA"/>
    <w:rsid w:val="00B25143"/>
    <w:rsid w:val="00B2585D"/>
    <w:rsid w:val="00B266FA"/>
    <w:rsid w:val="00B27359"/>
    <w:rsid w:val="00B33FC2"/>
    <w:rsid w:val="00B347F1"/>
    <w:rsid w:val="00B3502B"/>
    <w:rsid w:val="00B3599F"/>
    <w:rsid w:val="00B35C3E"/>
    <w:rsid w:val="00B36473"/>
    <w:rsid w:val="00B44029"/>
    <w:rsid w:val="00B45428"/>
    <w:rsid w:val="00B47943"/>
    <w:rsid w:val="00B50446"/>
    <w:rsid w:val="00B50A6E"/>
    <w:rsid w:val="00B527BF"/>
    <w:rsid w:val="00B530FD"/>
    <w:rsid w:val="00B53C9C"/>
    <w:rsid w:val="00B5639B"/>
    <w:rsid w:val="00B60C3E"/>
    <w:rsid w:val="00B615CB"/>
    <w:rsid w:val="00B645FA"/>
    <w:rsid w:val="00B64775"/>
    <w:rsid w:val="00B67B4F"/>
    <w:rsid w:val="00B81718"/>
    <w:rsid w:val="00B86AF6"/>
    <w:rsid w:val="00B86E2A"/>
    <w:rsid w:val="00B877AA"/>
    <w:rsid w:val="00B9389E"/>
    <w:rsid w:val="00B96EA4"/>
    <w:rsid w:val="00B97A3E"/>
    <w:rsid w:val="00BA2F02"/>
    <w:rsid w:val="00BA2FFD"/>
    <w:rsid w:val="00BA58B6"/>
    <w:rsid w:val="00BA62AD"/>
    <w:rsid w:val="00BB0267"/>
    <w:rsid w:val="00BB37AF"/>
    <w:rsid w:val="00BB4C08"/>
    <w:rsid w:val="00BB61BE"/>
    <w:rsid w:val="00BC1DBD"/>
    <w:rsid w:val="00BC5737"/>
    <w:rsid w:val="00BD1747"/>
    <w:rsid w:val="00BD3C68"/>
    <w:rsid w:val="00BD421D"/>
    <w:rsid w:val="00BD6B87"/>
    <w:rsid w:val="00BE4614"/>
    <w:rsid w:val="00BE4E6F"/>
    <w:rsid w:val="00BE5100"/>
    <w:rsid w:val="00BE529D"/>
    <w:rsid w:val="00BE6637"/>
    <w:rsid w:val="00BF10E8"/>
    <w:rsid w:val="00BF3158"/>
    <w:rsid w:val="00C03312"/>
    <w:rsid w:val="00C039A5"/>
    <w:rsid w:val="00C03A04"/>
    <w:rsid w:val="00C046F7"/>
    <w:rsid w:val="00C10C0B"/>
    <w:rsid w:val="00C10DD5"/>
    <w:rsid w:val="00C1776A"/>
    <w:rsid w:val="00C22519"/>
    <w:rsid w:val="00C2305C"/>
    <w:rsid w:val="00C233D0"/>
    <w:rsid w:val="00C2380D"/>
    <w:rsid w:val="00C24162"/>
    <w:rsid w:val="00C2509D"/>
    <w:rsid w:val="00C34ABD"/>
    <w:rsid w:val="00C35F43"/>
    <w:rsid w:val="00C37088"/>
    <w:rsid w:val="00C408D5"/>
    <w:rsid w:val="00C41D3C"/>
    <w:rsid w:val="00C43801"/>
    <w:rsid w:val="00C44A07"/>
    <w:rsid w:val="00C44BDC"/>
    <w:rsid w:val="00C45BFB"/>
    <w:rsid w:val="00C45DCE"/>
    <w:rsid w:val="00C50FF9"/>
    <w:rsid w:val="00C54B14"/>
    <w:rsid w:val="00C6352A"/>
    <w:rsid w:val="00C65B2D"/>
    <w:rsid w:val="00C65C5D"/>
    <w:rsid w:val="00C6656A"/>
    <w:rsid w:val="00C711E5"/>
    <w:rsid w:val="00C730CB"/>
    <w:rsid w:val="00C73782"/>
    <w:rsid w:val="00C80D90"/>
    <w:rsid w:val="00C81B05"/>
    <w:rsid w:val="00C83AEE"/>
    <w:rsid w:val="00C85563"/>
    <w:rsid w:val="00C85AC7"/>
    <w:rsid w:val="00C906CD"/>
    <w:rsid w:val="00CA0FB8"/>
    <w:rsid w:val="00CA15F3"/>
    <w:rsid w:val="00CA2680"/>
    <w:rsid w:val="00CA6716"/>
    <w:rsid w:val="00CB0D34"/>
    <w:rsid w:val="00CC1939"/>
    <w:rsid w:val="00CC42D4"/>
    <w:rsid w:val="00CC7712"/>
    <w:rsid w:val="00CD179A"/>
    <w:rsid w:val="00CD2536"/>
    <w:rsid w:val="00CD407F"/>
    <w:rsid w:val="00CE6D09"/>
    <w:rsid w:val="00CF0E4D"/>
    <w:rsid w:val="00CF230D"/>
    <w:rsid w:val="00CF5489"/>
    <w:rsid w:val="00CF7615"/>
    <w:rsid w:val="00D003F8"/>
    <w:rsid w:val="00D02FB7"/>
    <w:rsid w:val="00D04613"/>
    <w:rsid w:val="00D10769"/>
    <w:rsid w:val="00D11642"/>
    <w:rsid w:val="00D116C7"/>
    <w:rsid w:val="00D13AC5"/>
    <w:rsid w:val="00D14E5F"/>
    <w:rsid w:val="00D17CC6"/>
    <w:rsid w:val="00D2041E"/>
    <w:rsid w:val="00D20454"/>
    <w:rsid w:val="00D20D10"/>
    <w:rsid w:val="00D23801"/>
    <w:rsid w:val="00D341C9"/>
    <w:rsid w:val="00D3447D"/>
    <w:rsid w:val="00D3488B"/>
    <w:rsid w:val="00D361DE"/>
    <w:rsid w:val="00D3793E"/>
    <w:rsid w:val="00D41A6A"/>
    <w:rsid w:val="00D44B3D"/>
    <w:rsid w:val="00D46C4C"/>
    <w:rsid w:val="00D51F18"/>
    <w:rsid w:val="00D53537"/>
    <w:rsid w:val="00D551C8"/>
    <w:rsid w:val="00D564BB"/>
    <w:rsid w:val="00D565FA"/>
    <w:rsid w:val="00D568ED"/>
    <w:rsid w:val="00D6014E"/>
    <w:rsid w:val="00D630E7"/>
    <w:rsid w:val="00D700E5"/>
    <w:rsid w:val="00D71B77"/>
    <w:rsid w:val="00D76186"/>
    <w:rsid w:val="00D771E9"/>
    <w:rsid w:val="00D86DD4"/>
    <w:rsid w:val="00D92529"/>
    <w:rsid w:val="00DA1613"/>
    <w:rsid w:val="00DA5AAB"/>
    <w:rsid w:val="00DA6858"/>
    <w:rsid w:val="00DB1CD7"/>
    <w:rsid w:val="00DB2651"/>
    <w:rsid w:val="00DB30B1"/>
    <w:rsid w:val="00DB4717"/>
    <w:rsid w:val="00DC6F31"/>
    <w:rsid w:val="00DD6D82"/>
    <w:rsid w:val="00DE045E"/>
    <w:rsid w:val="00DE1AA5"/>
    <w:rsid w:val="00DE231A"/>
    <w:rsid w:val="00DE23D6"/>
    <w:rsid w:val="00DE2CB6"/>
    <w:rsid w:val="00DE2DDE"/>
    <w:rsid w:val="00DE395F"/>
    <w:rsid w:val="00DE5414"/>
    <w:rsid w:val="00DF0C37"/>
    <w:rsid w:val="00DF24FD"/>
    <w:rsid w:val="00DF2506"/>
    <w:rsid w:val="00DF301A"/>
    <w:rsid w:val="00DF3469"/>
    <w:rsid w:val="00DF3BE2"/>
    <w:rsid w:val="00DF4E2C"/>
    <w:rsid w:val="00DF75EC"/>
    <w:rsid w:val="00E0133D"/>
    <w:rsid w:val="00E019ED"/>
    <w:rsid w:val="00E04C48"/>
    <w:rsid w:val="00E06065"/>
    <w:rsid w:val="00E079C6"/>
    <w:rsid w:val="00E146CF"/>
    <w:rsid w:val="00E17711"/>
    <w:rsid w:val="00E23C05"/>
    <w:rsid w:val="00E2425F"/>
    <w:rsid w:val="00E247E2"/>
    <w:rsid w:val="00E304EB"/>
    <w:rsid w:val="00E329D0"/>
    <w:rsid w:val="00E33746"/>
    <w:rsid w:val="00E342B3"/>
    <w:rsid w:val="00E3451F"/>
    <w:rsid w:val="00E36B53"/>
    <w:rsid w:val="00E37585"/>
    <w:rsid w:val="00E41B64"/>
    <w:rsid w:val="00E42C35"/>
    <w:rsid w:val="00E469D5"/>
    <w:rsid w:val="00E46CD5"/>
    <w:rsid w:val="00E500D9"/>
    <w:rsid w:val="00E51AB5"/>
    <w:rsid w:val="00E52345"/>
    <w:rsid w:val="00E52763"/>
    <w:rsid w:val="00E563AE"/>
    <w:rsid w:val="00E662CD"/>
    <w:rsid w:val="00E67427"/>
    <w:rsid w:val="00E73271"/>
    <w:rsid w:val="00E74214"/>
    <w:rsid w:val="00E74D52"/>
    <w:rsid w:val="00E75855"/>
    <w:rsid w:val="00E7609C"/>
    <w:rsid w:val="00E85CBE"/>
    <w:rsid w:val="00E86566"/>
    <w:rsid w:val="00E875F5"/>
    <w:rsid w:val="00E92527"/>
    <w:rsid w:val="00E92A93"/>
    <w:rsid w:val="00E97045"/>
    <w:rsid w:val="00EA270C"/>
    <w:rsid w:val="00EA5CF4"/>
    <w:rsid w:val="00EB09B9"/>
    <w:rsid w:val="00EB76F7"/>
    <w:rsid w:val="00EB7CB1"/>
    <w:rsid w:val="00EC0569"/>
    <w:rsid w:val="00EC0C7B"/>
    <w:rsid w:val="00EC1C35"/>
    <w:rsid w:val="00EC5E45"/>
    <w:rsid w:val="00ED0557"/>
    <w:rsid w:val="00ED0CF0"/>
    <w:rsid w:val="00ED34D4"/>
    <w:rsid w:val="00EE30EE"/>
    <w:rsid w:val="00EE3C6D"/>
    <w:rsid w:val="00EE4C6E"/>
    <w:rsid w:val="00EE61BE"/>
    <w:rsid w:val="00EE6DE6"/>
    <w:rsid w:val="00EF057C"/>
    <w:rsid w:val="00EF1D14"/>
    <w:rsid w:val="00F01B31"/>
    <w:rsid w:val="00F03AB9"/>
    <w:rsid w:val="00F06479"/>
    <w:rsid w:val="00F076C5"/>
    <w:rsid w:val="00F120D9"/>
    <w:rsid w:val="00F124BE"/>
    <w:rsid w:val="00F209AB"/>
    <w:rsid w:val="00F24232"/>
    <w:rsid w:val="00F27170"/>
    <w:rsid w:val="00F30016"/>
    <w:rsid w:val="00F31C75"/>
    <w:rsid w:val="00F33277"/>
    <w:rsid w:val="00F340CD"/>
    <w:rsid w:val="00F341CC"/>
    <w:rsid w:val="00F37AF6"/>
    <w:rsid w:val="00F40CAB"/>
    <w:rsid w:val="00F47C5C"/>
    <w:rsid w:val="00F54856"/>
    <w:rsid w:val="00F57650"/>
    <w:rsid w:val="00F579FC"/>
    <w:rsid w:val="00F60C74"/>
    <w:rsid w:val="00F62773"/>
    <w:rsid w:val="00F64F51"/>
    <w:rsid w:val="00F67A35"/>
    <w:rsid w:val="00F765E8"/>
    <w:rsid w:val="00F8200C"/>
    <w:rsid w:val="00F85D77"/>
    <w:rsid w:val="00F86D88"/>
    <w:rsid w:val="00F87FA7"/>
    <w:rsid w:val="00F90898"/>
    <w:rsid w:val="00F914C8"/>
    <w:rsid w:val="00F9473C"/>
    <w:rsid w:val="00FA40A3"/>
    <w:rsid w:val="00FA45CD"/>
    <w:rsid w:val="00FA5B17"/>
    <w:rsid w:val="00FB3BA6"/>
    <w:rsid w:val="00FB4D65"/>
    <w:rsid w:val="00FB5954"/>
    <w:rsid w:val="00FB6695"/>
    <w:rsid w:val="00FC0CDF"/>
    <w:rsid w:val="00FC0D7C"/>
    <w:rsid w:val="00FC183A"/>
    <w:rsid w:val="00FC19F5"/>
    <w:rsid w:val="00FC3D1C"/>
    <w:rsid w:val="00FD08A7"/>
    <w:rsid w:val="00FD1295"/>
    <w:rsid w:val="00FD2E55"/>
    <w:rsid w:val="00FD2FA9"/>
    <w:rsid w:val="00FD3572"/>
    <w:rsid w:val="00FD54CC"/>
    <w:rsid w:val="00FE06A2"/>
    <w:rsid w:val="00FE79EF"/>
    <w:rsid w:val="00FF025A"/>
    <w:rsid w:val="00FF088B"/>
    <w:rsid w:val="00FF0AC4"/>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6605151-A466-4ADC-A25D-031B9CF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BF44-C90F-45CD-9AC7-7D7692DE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9035</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10686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2011-04-29T21:10:00Z</cp:lastPrinted>
  <dcterms:created xsi:type="dcterms:W3CDTF">2015-05-07T12:37:00Z</dcterms:created>
  <dcterms:modified xsi:type="dcterms:W3CDTF">2015-05-07T12:37:00Z</dcterms:modified>
</cp:coreProperties>
</file>