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097863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1B6823">
        <w:rPr>
          <w:rFonts w:ascii="Times New Roman" w:hAnsi="Times New Roman"/>
          <w:b/>
          <w:i w:val="0"/>
          <w:color w:val="000000"/>
          <w:sz w:val="22"/>
          <w:szCs w:val="22"/>
        </w:rPr>
        <w:t>22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1B6823">
        <w:rPr>
          <w:rFonts w:ascii="Times New Roman" w:hAnsi="Times New Roman"/>
          <w:b/>
          <w:i w:val="0"/>
          <w:color w:val="000000"/>
          <w:sz w:val="22"/>
          <w:szCs w:val="22"/>
        </w:rPr>
        <w:t>23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3C3336">
        <w:rPr>
          <w:rFonts w:ascii="Times New Roman" w:hAnsi="Times New Roman"/>
          <w:b/>
          <w:i w:val="0"/>
          <w:color w:val="000000"/>
          <w:sz w:val="22"/>
          <w:szCs w:val="22"/>
        </w:rPr>
        <w:t>março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D4104">
      <w:pPr>
        <w:pBdr>
          <w:top w:val="threeDEmboss" w:sz="24" w:space="2" w:color="auto"/>
        </w:pBdr>
        <w:tabs>
          <w:tab w:val="left" w:pos="284"/>
        </w:tabs>
        <w:spacing w:before="60"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9E59A1" w:rsidRDefault="009444E6" w:rsidP="00AD4104">
      <w:pPr>
        <w:pStyle w:val="tita"/>
        <w:spacing w:before="60" w:after="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9E59A1">
        <w:rPr>
          <w:i w:val="0"/>
          <w:iCs w:val="0"/>
          <w:color w:val="000000"/>
          <w:sz w:val="22"/>
          <w:szCs w:val="22"/>
        </w:rPr>
        <w:t>Plenário</w:t>
      </w:r>
    </w:p>
    <w:p w:rsidR="00FA45CD" w:rsidRPr="006C7DE0" w:rsidRDefault="006C7DE0" w:rsidP="00AD4104">
      <w:pPr>
        <w:pStyle w:val="TCU-RelVoto-1"/>
        <w:tabs>
          <w:tab w:val="left" w:pos="1134"/>
        </w:tabs>
        <w:spacing w:before="60" w:after="0"/>
        <w:ind w:firstLine="0"/>
        <w:rPr>
          <w:color w:val="FF0000"/>
          <w:sz w:val="22"/>
        </w:rPr>
      </w:pPr>
      <w:r w:rsidRPr="006C7DE0">
        <w:rPr>
          <w:color w:val="000000"/>
          <w:sz w:val="22"/>
          <w:lang w:eastAsia="pt-BR"/>
        </w:rPr>
        <w:t>Deve ser justificada a limitação excepcional quanto ao número de empresas a integrarem consórcios, quando seja admitida a participação destes em processo licitatório</w:t>
      </w:r>
      <w:r w:rsidR="00FA45CD" w:rsidRPr="00046E6E">
        <w:rPr>
          <w:sz w:val="22"/>
        </w:rPr>
        <w:t>.</w:t>
      </w:r>
    </w:p>
    <w:p w:rsidR="006C7DE0" w:rsidRPr="006C7DE0" w:rsidRDefault="006C7DE0" w:rsidP="00AD4104">
      <w:pPr>
        <w:tabs>
          <w:tab w:val="left" w:pos="1134"/>
        </w:tabs>
        <w:spacing w:before="60" w:after="0"/>
        <w:ind w:left="0"/>
        <w:rPr>
          <w:rFonts w:ascii="TimesNewRoman" w:hAnsi="TimesNewRoman" w:cs="TimesNewRoman"/>
          <w:sz w:val="22"/>
          <w:szCs w:val="22"/>
          <w:lang w:eastAsia="pt-BR"/>
        </w:rPr>
      </w:pPr>
      <w:r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No caso de serem extrapolados valores máximos contidos em normativo referencial, caberia à instituição promovedora da licitação apresentar justificativas para a situação. </w:t>
      </w:r>
    </w:p>
    <w:p w:rsidR="006C7DE0" w:rsidRPr="006C7DE0" w:rsidRDefault="006C7DE0" w:rsidP="00AD410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/>
        <w:ind w:left="0"/>
        <w:rPr>
          <w:color w:val="000000"/>
          <w:sz w:val="22"/>
          <w:szCs w:val="22"/>
        </w:rPr>
      </w:pPr>
      <w:r w:rsidRPr="006C7DE0">
        <w:rPr>
          <w:color w:val="000000"/>
          <w:sz w:val="22"/>
          <w:szCs w:val="22"/>
        </w:rPr>
        <w:t>Na realização de processos licitatórios deve ser observada a segregação de funções, não se admitindo o acúmulo de atribuições em desconformidade com tal princípio.</w:t>
      </w:r>
    </w:p>
    <w:p w:rsidR="006C7DE0" w:rsidRPr="006C7DE0" w:rsidRDefault="006C7DE0" w:rsidP="006C7DE0">
      <w:pPr>
        <w:pStyle w:val="TCU-RelVoto-1"/>
        <w:tabs>
          <w:tab w:val="left" w:pos="1134"/>
        </w:tabs>
        <w:spacing w:after="0"/>
        <w:ind w:firstLine="0"/>
        <w:rPr>
          <w:b/>
          <w:color w:val="000000"/>
          <w:sz w:val="22"/>
          <w:lang w:eastAsia="pt-BR"/>
        </w:rPr>
      </w:pPr>
    </w:p>
    <w:p w:rsidR="003C6DEB" w:rsidRPr="00D53537" w:rsidRDefault="003C6DEB" w:rsidP="00A06ED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6C7DE0" w:rsidRDefault="003C6DEB" w:rsidP="006C7DE0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B219AA" w:rsidRPr="006C7DE0" w:rsidRDefault="006F4FB2" w:rsidP="006C7DE0">
      <w:pPr>
        <w:pStyle w:val="TCU-RelVoto-1"/>
        <w:tabs>
          <w:tab w:val="left" w:pos="1134"/>
        </w:tabs>
        <w:spacing w:after="0"/>
        <w:ind w:firstLine="0"/>
        <w:rPr>
          <w:b/>
          <w:color w:val="000000"/>
          <w:sz w:val="22"/>
          <w:lang w:eastAsia="pt-BR"/>
        </w:rPr>
      </w:pPr>
      <w:r w:rsidRPr="006C7DE0">
        <w:rPr>
          <w:b/>
          <w:color w:val="000000"/>
          <w:sz w:val="22"/>
          <w:lang w:eastAsia="pt-BR"/>
        </w:rPr>
        <w:t>Deve ser justificada a</w:t>
      </w:r>
      <w:r w:rsidR="00B219AA" w:rsidRPr="006C7DE0">
        <w:rPr>
          <w:b/>
          <w:color w:val="000000"/>
          <w:sz w:val="22"/>
          <w:lang w:eastAsia="pt-BR"/>
        </w:rPr>
        <w:t xml:space="preserve"> limitação </w:t>
      </w:r>
      <w:r w:rsidRPr="006C7DE0">
        <w:rPr>
          <w:b/>
          <w:color w:val="000000"/>
          <w:sz w:val="22"/>
          <w:lang w:eastAsia="pt-BR"/>
        </w:rPr>
        <w:t>excepcional quanto ao número de</w:t>
      </w:r>
      <w:r w:rsidR="00B219AA" w:rsidRPr="006C7DE0">
        <w:rPr>
          <w:b/>
          <w:color w:val="000000"/>
          <w:sz w:val="22"/>
          <w:lang w:eastAsia="pt-BR"/>
        </w:rPr>
        <w:t xml:space="preserve"> empresas </w:t>
      </w:r>
      <w:r w:rsidRPr="006C7DE0">
        <w:rPr>
          <w:b/>
          <w:color w:val="000000"/>
          <w:sz w:val="22"/>
          <w:lang w:eastAsia="pt-BR"/>
        </w:rPr>
        <w:t xml:space="preserve">a </w:t>
      </w:r>
      <w:r w:rsidR="00B219AA" w:rsidRPr="006C7DE0">
        <w:rPr>
          <w:b/>
          <w:color w:val="000000"/>
          <w:sz w:val="22"/>
          <w:lang w:eastAsia="pt-BR"/>
        </w:rPr>
        <w:t>integra</w:t>
      </w:r>
      <w:r w:rsidRPr="006C7DE0">
        <w:rPr>
          <w:b/>
          <w:color w:val="000000"/>
          <w:sz w:val="22"/>
          <w:lang w:eastAsia="pt-BR"/>
        </w:rPr>
        <w:t>rem</w:t>
      </w:r>
      <w:r w:rsidR="00B219AA" w:rsidRPr="006C7DE0">
        <w:rPr>
          <w:b/>
          <w:color w:val="000000"/>
          <w:sz w:val="22"/>
          <w:lang w:eastAsia="pt-BR"/>
        </w:rPr>
        <w:t xml:space="preserve"> consórcios, quando seja admitida a participação destes em processo licitatório</w:t>
      </w:r>
    </w:p>
    <w:p w:rsidR="00A06EDB" w:rsidRPr="006C7DE0" w:rsidRDefault="00EE3C6D" w:rsidP="006C7DE0">
      <w:pPr>
        <w:pStyle w:val="TCU-RelVoto-1"/>
        <w:tabs>
          <w:tab w:val="left" w:pos="1134"/>
        </w:tabs>
        <w:spacing w:after="0"/>
        <w:ind w:firstLine="0"/>
        <w:rPr>
          <w:b/>
          <w:i/>
          <w:color w:val="000000"/>
          <w:sz w:val="22"/>
        </w:rPr>
      </w:pPr>
      <w:r w:rsidRPr="006C7DE0">
        <w:rPr>
          <w:color w:val="000000"/>
          <w:sz w:val="22"/>
          <w:lang w:eastAsia="pt-BR"/>
        </w:rPr>
        <w:t>Denúncia formulada ao Tribunal trouxe notícia acerca de possíveis irregularidades na Concorrência Internacional 010/2010</w:t>
      </w:r>
      <w:r w:rsidR="00B219AA" w:rsidRPr="006C7DE0">
        <w:rPr>
          <w:color w:val="000000"/>
          <w:sz w:val="22"/>
          <w:lang w:eastAsia="pt-BR"/>
        </w:rPr>
        <w:t>, realizada pel</w:t>
      </w:r>
      <w:r w:rsidRPr="006C7DE0">
        <w:rPr>
          <w:color w:val="000000"/>
          <w:sz w:val="22"/>
          <w:lang w:eastAsia="pt-BR"/>
        </w:rPr>
        <w:t xml:space="preserve">a Empresa Brasileira de Infraestrutura Aeroportuária – (Infraero), cujo objeto consistiu na contratação de empresa para execução das obras e serviços de engenharia para reforma, ampliação e modernização do terminal de passageiros do Aeroporto Internacional Tancredo Neves – Confins. Dentre tais irregularidades, estaria o impedimento, mediante cláusula do edital norteador do certame, da participação de consórcios, o que poderia, para a unidade técnica, restringir o caráter competitivo do certame. Ao ser ouvida a respeito, a Infraero alegou que tal medida foi adotada tendo em conta </w:t>
      </w:r>
      <w:r w:rsidR="00383CFE" w:rsidRPr="006C7DE0">
        <w:rPr>
          <w:color w:val="000000"/>
          <w:sz w:val="22"/>
          <w:lang w:eastAsia="pt-BR"/>
        </w:rPr>
        <w:t xml:space="preserve">diversos problemas incorridos em contratações </w:t>
      </w:r>
      <w:r w:rsidRPr="006C7DE0">
        <w:rPr>
          <w:color w:val="000000"/>
          <w:sz w:val="22"/>
          <w:lang w:eastAsia="pt-BR"/>
        </w:rPr>
        <w:t xml:space="preserve">efetuadas </w:t>
      </w:r>
      <w:r w:rsidR="00383CFE" w:rsidRPr="006C7DE0">
        <w:rPr>
          <w:color w:val="000000"/>
          <w:sz w:val="22"/>
          <w:lang w:eastAsia="pt-BR"/>
        </w:rPr>
        <w:t xml:space="preserve">recentemente </w:t>
      </w:r>
      <w:r w:rsidRPr="006C7DE0">
        <w:rPr>
          <w:color w:val="000000"/>
          <w:sz w:val="22"/>
          <w:lang w:eastAsia="pt-BR"/>
        </w:rPr>
        <w:t xml:space="preserve">com consórcios, com muitos problemas advindos daí. Por conseguinte, demandou a entidade autorização do Tribunal para que, em caráter excepcional, aceitasse a </w:t>
      </w:r>
      <w:r w:rsidR="00C9571B">
        <w:rPr>
          <w:color w:val="000000"/>
          <w:sz w:val="22"/>
          <w:lang w:eastAsia="pt-BR"/>
        </w:rPr>
        <w:t>formação de</w:t>
      </w:r>
      <w:r w:rsidR="008F4593" w:rsidRPr="006C7DE0">
        <w:rPr>
          <w:color w:val="000000"/>
          <w:sz w:val="22"/>
          <w:lang w:eastAsia="pt-BR"/>
        </w:rPr>
        <w:t xml:space="preserve"> consórcio</w:t>
      </w:r>
      <w:r w:rsidR="00383CFE" w:rsidRPr="006C7DE0">
        <w:rPr>
          <w:color w:val="000000"/>
          <w:sz w:val="22"/>
          <w:lang w:eastAsia="pt-BR"/>
        </w:rPr>
        <w:t xml:space="preserve">s </w:t>
      </w:r>
      <w:r w:rsidR="008F4593" w:rsidRPr="006C7DE0">
        <w:rPr>
          <w:color w:val="000000"/>
          <w:sz w:val="22"/>
          <w:lang w:eastAsia="pt-BR"/>
        </w:rPr>
        <w:t>com</w:t>
      </w:r>
      <w:r w:rsidR="00C9571B">
        <w:rPr>
          <w:color w:val="000000"/>
          <w:sz w:val="22"/>
          <w:lang w:eastAsia="pt-BR"/>
        </w:rPr>
        <w:t xml:space="preserve"> no </w:t>
      </w:r>
      <w:r w:rsidR="00C9571B" w:rsidRPr="006C7DE0">
        <w:rPr>
          <w:color w:val="000000"/>
          <w:sz w:val="22"/>
          <w:lang w:eastAsia="pt-BR"/>
        </w:rPr>
        <w:t>máxim</w:t>
      </w:r>
      <w:r w:rsidR="00C9571B">
        <w:rPr>
          <w:color w:val="000000"/>
          <w:sz w:val="22"/>
          <w:lang w:eastAsia="pt-BR"/>
        </w:rPr>
        <w:t>o</w:t>
      </w:r>
      <w:r w:rsidR="00383CFE" w:rsidRPr="006C7DE0">
        <w:rPr>
          <w:color w:val="000000"/>
          <w:sz w:val="22"/>
          <w:lang w:eastAsia="pt-BR"/>
        </w:rPr>
        <w:t xml:space="preserve"> </w:t>
      </w:r>
      <w:r w:rsidR="00C9571B">
        <w:rPr>
          <w:color w:val="000000"/>
          <w:sz w:val="22"/>
          <w:lang w:eastAsia="pt-BR"/>
        </w:rPr>
        <w:t>três</w:t>
      </w:r>
      <w:r w:rsidRPr="006C7DE0">
        <w:rPr>
          <w:color w:val="000000"/>
          <w:sz w:val="22"/>
          <w:lang w:eastAsia="pt-BR"/>
        </w:rPr>
        <w:t xml:space="preserve"> empresas, sendo tal excepcionalidade estendida aos demais empreendimentos vinculados à Copa do Mund</w:t>
      </w:r>
      <w:r w:rsidR="008F4593" w:rsidRPr="006C7DE0">
        <w:rPr>
          <w:color w:val="000000"/>
          <w:sz w:val="22"/>
          <w:lang w:eastAsia="pt-BR"/>
        </w:rPr>
        <w:t xml:space="preserve">o e de incumbência da </w:t>
      </w:r>
      <w:r w:rsidR="00383CFE" w:rsidRPr="006C7DE0">
        <w:rPr>
          <w:color w:val="000000"/>
          <w:sz w:val="22"/>
          <w:lang w:eastAsia="pt-BR"/>
        </w:rPr>
        <w:t>estatal</w:t>
      </w:r>
      <w:r w:rsidR="008F4593" w:rsidRPr="006C7DE0">
        <w:rPr>
          <w:color w:val="000000"/>
          <w:sz w:val="22"/>
          <w:lang w:eastAsia="pt-BR"/>
        </w:rPr>
        <w:t>. No caso da obra de Confins</w:t>
      </w:r>
      <w:r w:rsidR="00B219AA" w:rsidRPr="006C7DE0">
        <w:rPr>
          <w:color w:val="000000"/>
          <w:sz w:val="22"/>
          <w:lang w:eastAsia="pt-BR"/>
        </w:rPr>
        <w:t>, ainda para a Infraero,</w:t>
      </w:r>
      <w:r w:rsidR="008F4593" w:rsidRPr="006C7DE0">
        <w:rPr>
          <w:color w:val="000000"/>
          <w:sz w:val="22"/>
          <w:lang w:eastAsia="pt-BR"/>
        </w:rPr>
        <w:t xml:space="preserve"> o número de três seria justificável</w:t>
      </w:r>
      <w:r w:rsidR="00B219AA" w:rsidRPr="006C7DE0">
        <w:rPr>
          <w:color w:val="000000"/>
          <w:sz w:val="22"/>
          <w:lang w:eastAsia="pt-BR"/>
        </w:rPr>
        <w:t>,</w:t>
      </w:r>
      <w:r w:rsidR="008F4593" w:rsidRPr="006C7DE0">
        <w:rPr>
          <w:color w:val="000000"/>
          <w:sz w:val="22"/>
          <w:lang w:eastAsia="pt-BR"/>
        </w:rPr>
        <w:t xml:space="preserve"> pois no empreendimento haveria três especialidades distintas: obras civis, sistemas eletromecânicos e sistemas eletroeletrônicos</w:t>
      </w:r>
      <w:r w:rsidR="008F4593" w:rsidRPr="006C7DE0">
        <w:rPr>
          <w:i/>
          <w:color w:val="000000"/>
          <w:sz w:val="22"/>
          <w:lang w:eastAsia="pt-BR"/>
        </w:rPr>
        <w:t>.</w:t>
      </w:r>
      <w:r w:rsidR="00383CFE" w:rsidRPr="006C7DE0">
        <w:rPr>
          <w:color w:val="000000"/>
          <w:sz w:val="22"/>
          <w:lang w:eastAsia="pt-BR"/>
        </w:rPr>
        <w:t xml:space="preserve"> Ao examinar a matéria, a unidade instrutiva destacou, inicialmente, que a participação de consórcios seria discricionariedade para a Administração, em face de dispositivo constante da Lei 8.666/1993 (art. 33), e em linha com a jurisprudência do TCU, na qual, como regra geral, o Tribunal tem decidido que</w:t>
      </w:r>
      <w:r w:rsidR="00B219AA" w:rsidRPr="006C7DE0">
        <w:rPr>
          <w:color w:val="000000"/>
          <w:sz w:val="22"/>
          <w:lang w:eastAsia="pt-BR"/>
        </w:rPr>
        <w:t>, “</w:t>
      </w:r>
      <w:r w:rsidR="00383CFE" w:rsidRPr="006C7DE0">
        <w:rPr>
          <w:i/>
          <w:color w:val="000000"/>
          <w:sz w:val="22"/>
          <w:lang w:eastAsia="pt-BR"/>
        </w:rPr>
        <w:t>por ausência de previsão legal, é irregular a condição que estabeleça número mínimo ou máximo de empresas participantes no consórcio”.</w:t>
      </w:r>
      <w:r w:rsidR="00383CFE" w:rsidRPr="006C7DE0">
        <w:rPr>
          <w:color w:val="000000"/>
          <w:sz w:val="22"/>
          <w:lang w:eastAsia="pt-BR"/>
        </w:rPr>
        <w:t xml:space="preserve"> Seriam, então, duas situações: por um lado, permitir ou não a participação de empresas em consórcio, </w:t>
      </w:r>
      <w:r w:rsidR="00C9571B">
        <w:rPr>
          <w:color w:val="000000"/>
          <w:sz w:val="22"/>
          <w:lang w:eastAsia="pt-BR"/>
        </w:rPr>
        <w:t xml:space="preserve">estaria </w:t>
      </w:r>
      <w:r w:rsidR="00383CFE" w:rsidRPr="006C7DE0">
        <w:rPr>
          <w:color w:val="000000"/>
          <w:sz w:val="22"/>
          <w:lang w:eastAsia="pt-BR"/>
        </w:rPr>
        <w:t>dentro da discricionariedade concedida à Administração; por outro, caso permitida a participação de consórcios, não caberia à Administração estabelecer condições não previstas expressamente na Lei.</w:t>
      </w:r>
      <w:r w:rsidR="00AC4B34" w:rsidRPr="006C7DE0">
        <w:rPr>
          <w:color w:val="000000"/>
          <w:sz w:val="22"/>
          <w:lang w:eastAsia="pt-BR"/>
        </w:rPr>
        <w:t xml:space="preserve"> </w:t>
      </w:r>
      <w:r w:rsidR="00B219AA" w:rsidRPr="006C7DE0">
        <w:rPr>
          <w:color w:val="000000"/>
          <w:sz w:val="22"/>
          <w:lang w:eastAsia="pt-BR"/>
        </w:rPr>
        <w:t xml:space="preserve">Todavia, no caso concreto, </w:t>
      </w:r>
      <w:r w:rsidR="00AC4B34" w:rsidRPr="006C7DE0">
        <w:rPr>
          <w:color w:val="000000"/>
          <w:sz w:val="22"/>
          <w:lang w:eastAsia="pt-BR"/>
        </w:rPr>
        <w:t>para a unidade técnica seria “</w:t>
      </w:r>
      <w:r w:rsidR="00AC4B34" w:rsidRPr="006C7DE0">
        <w:rPr>
          <w:i/>
          <w:color w:val="000000"/>
          <w:sz w:val="22"/>
          <w:lang w:eastAsia="pt-BR"/>
        </w:rPr>
        <w:t>perfeitamente aceitável a limitação do número de empresas consorciadas, em caráter excepcional, impedindo a pulverização de responsabilidades</w:t>
      </w:r>
      <w:r w:rsidR="00AC4B34" w:rsidRPr="006C7DE0">
        <w:rPr>
          <w:color w:val="000000"/>
          <w:sz w:val="22"/>
          <w:lang w:eastAsia="pt-BR"/>
        </w:rPr>
        <w:t>”</w:t>
      </w:r>
      <w:r w:rsidR="00B219AA" w:rsidRPr="006C7DE0">
        <w:rPr>
          <w:color w:val="000000"/>
          <w:sz w:val="22"/>
          <w:lang w:eastAsia="pt-BR"/>
        </w:rPr>
        <w:t>, considerando-se, ademais, a importância das obras, necessárias à infraestrutura aeroportuária para a Copa do Mundo de 2014</w:t>
      </w:r>
      <w:r w:rsidR="00AC4B34" w:rsidRPr="006C7DE0">
        <w:rPr>
          <w:color w:val="000000"/>
          <w:sz w:val="22"/>
          <w:lang w:eastAsia="pt-BR"/>
        </w:rPr>
        <w:t xml:space="preserve">. Ao concordar com as análises da unidade técnica, o relator enfatizou que a Infraero deverá, em cada caso concreto, justificar a decisão por eventual limitação a um número máximo de </w:t>
      </w:r>
      <w:r w:rsidR="00B219AA" w:rsidRPr="006C7DE0">
        <w:rPr>
          <w:color w:val="000000"/>
          <w:sz w:val="22"/>
          <w:lang w:eastAsia="pt-BR"/>
        </w:rPr>
        <w:t>empresas integra</w:t>
      </w:r>
      <w:r w:rsidR="00AC4B34" w:rsidRPr="006C7DE0">
        <w:rPr>
          <w:color w:val="000000"/>
          <w:sz w:val="22"/>
          <w:lang w:eastAsia="pt-BR"/>
        </w:rPr>
        <w:t>ntes</w:t>
      </w:r>
      <w:r w:rsidR="00B219AA" w:rsidRPr="006C7DE0">
        <w:rPr>
          <w:color w:val="000000"/>
          <w:sz w:val="22"/>
          <w:lang w:eastAsia="pt-BR"/>
        </w:rPr>
        <w:t xml:space="preserve"> em consórcios, quando seja admitida a participação destes em processo licitatório pela empresa</w:t>
      </w:r>
      <w:r w:rsidR="00AC4B34" w:rsidRPr="006C7DE0">
        <w:rPr>
          <w:color w:val="000000"/>
          <w:sz w:val="22"/>
          <w:lang w:eastAsia="pt-BR"/>
        </w:rPr>
        <w:t xml:space="preserve">, razão pela qual propôs que se expedisse determinação à entidade nesse sentido, o que foi acolhido pelo Plenário. </w:t>
      </w:r>
      <w:r w:rsidR="00383CFE" w:rsidRPr="006C7DE0">
        <w:rPr>
          <w:color w:val="000000"/>
          <w:sz w:val="22"/>
        </w:rPr>
        <w:t xml:space="preserve">Precedentes citados: </w:t>
      </w:r>
      <w:r w:rsidR="00383CFE" w:rsidRPr="006C7DE0">
        <w:rPr>
          <w:color w:val="000000"/>
          <w:sz w:val="22"/>
          <w:lang w:eastAsia="pt-BR"/>
        </w:rPr>
        <w:t>312/2003, 1297/2003 e 1454/2003, todos do Plenário</w:t>
      </w:r>
      <w:r w:rsidR="00A06EDB" w:rsidRPr="006C7DE0">
        <w:rPr>
          <w:color w:val="000000"/>
          <w:sz w:val="22"/>
          <w:lang w:eastAsia="pt-BR"/>
        </w:rPr>
        <w:t>.</w:t>
      </w:r>
      <w:r w:rsidR="00E0133D" w:rsidRPr="006C7DE0">
        <w:rPr>
          <w:color w:val="000000"/>
          <w:sz w:val="22"/>
        </w:rPr>
        <w:t xml:space="preserve"> </w:t>
      </w:r>
      <w:r w:rsidR="00A06EDB" w:rsidRPr="006C7DE0">
        <w:rPr>
          <w:b/>
          <w:i/>
          <w:color w:val="000000"/>
          <w:sz w:val="22"/>
        </w:rPr>
        <w:t>Acórdão n.º 718/2011-Plenário, TC-000.658/2011-1, rel. Min. Valmir Campelo, 23.03.2011.</w:t>
      </w:r>
    </w:p>
    <w:p w:rsidR="001E7019" w:rsidRPr="006C7DE0" w:rsidRDefault="001E7019" w:rsidP="006C7DE0">
      <w:pPr>
        <w:widowControl w:val="0"/>
        <w:spacing w:after="0"/>
        <w:ind w:left="0"/>
        <w:rPr>
          <w:color w:val="FF0000"/>
          <w:sz w:val="22"/>
          <w:szCs w:val="22"/>
        </w:rPr>
      </w:pPr>
    </w:p>
    <w:p w:rsidR="006C7DE0" w:rsidRPr="006C7DE0" w:rsidRDefault="006C7DE0" w:rsidP="006C7DE0">
      <w:pPr>
        <w:tabs>
          <w:tab w:val="left" w:pos="1134"/>
        </w:tabs>
        <w:spacing w:after="0"/>
        <w:ind w:left="0"/>
        <w:rPr>
          <w:rFonts w:ascii="TimesNewRoman" w:hAnsi="TimesNewRoman" w:cs="TimesNewRoman"/>
          <w:b/>
          <w:sz w:val="22"/>
          <w:szCs w:val="22"/>
          <w:lang w:eastAsia="pt-BR"/>
        </w:rPr>
      </w:pPr>
      <w:r w:rsidRPr="006C7DE0">
        <w:rPr>
          <w:rFonts w:ascii="TimesNewRoman" w:hAnsi="TimesNewRoman" w:cs="TimesNewRoman"/>
          <w:b/>
          <w:sz w:val="22"/>
          <w:szCs w:val="22"/>
          <w:lang w:eastAsia="pt-BR"/>
        </w:rPr>
        <w:t xml:space="preserve">No caso de serem extrapolados valores máximos contidos em normativo referencial, caberia à instituição promovedora da licitação apresentar justificativas para a situação </w:t>
      </w:r>
    </w:p>
    <w:p w:rsidR="00A857B4" w:rsidRPr="006C7DE0" w:rsidRDefault="00776EDA" w:rsidP="006C7DE0">
      <w:pPr>
        <w:tabs>
          <w:tab w:val="left" w:pos="1134"/>
        </w:tabs>
        <w:spacing w:after="0"/>
        <w:ind w:left="0"/>
        <w:rPr>
          <w:color w:val="FF0000"/>
          <w:sz w:val="22"/>
          <w:szCs w:val="22"/>
        </w:rPr>
      </w:pPr>
      <w:r w:rsidRPr="006C7DE0">
        <w:rPr>
          <w:rFonts w:ascii="TimesNewRoman" w:hAnsi="TimesNewRoman" w:cs="TimesNewRoman"/>
          <w:sz w:val="22"/>
          <w:szCs w:val="22"/>
          <w:lang w:eastAsia="pt-BR"/>
        </w:rPr>
        <w:t>Mediante representação, o Tribunal apurou suposta irregularidade no Pregão nº 59/2010, levado a efeito pela Universidade Federal do Paraná - (UFPR)</w:t>
      </w:r>
      <w:r w:rsidR="006C7DE0">
        <w:rPr>
          <w:rFonts w:ascii="TimesNewRoman" w:hAnsi="TimesNewRoman" w:cs="TimesNewRoman"/>
          <w:sz w:val="22"/>
          <w:szCs w:val="22"/>
          <w:lang w:eastAsia="pt-BR"/>
        </w:rPr>
        <w:t>,</w:t>
      </w:r>
      <w:r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 para a contratação de empresa especializada na prestação de serviços de vigilância armada e desarmada. Para o relator, a questão central em debate nos autos residiria no descumprimento, por parte dos gestores da UFPR, dos preços mensais máximos, por postos de vigilância, estabelecidos na Portaria nº 4, de 18/5/2009, da Secretaria de Logística e Tecnologia da Informação do Ministério do Planejamento, Orçamento e Gestão - (SLTI/MP). </w:t>
      </w:r>
      <w:r w:rsidR="006F4FB2" w:rsidRPr="006C7DE0">
        <w:rPr>
          <w:rFonts w:ascii="TimesNewRoman" w:hAnsi="TimesNewRoman" w:cs="TimesNewRoman"/>
          <w:sz w:val="22"/>
          <w:szCs w:val="22"/>
          <w:lang w:eastAsia="pt-BR"/>
        </w:rPr>
        <w:t>Na espécie, p</w:t>
      </w:r>
      <w:r w:rsidR="00F62773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ara estimar o preço da contratação, a UFPR elaborara </w:t>
      </w:r>
      <w:r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orçamento referencial por meio de cotação de preços com três sociedades empresárias do ramo, em descompasso com </w:t>
      </w:r>
      <w:r w:rsidR="006C7DE0">
        <w:rPr>
          <w:rFonts w:ascii="TimesNewRoman" w:hAnsi="TimesNewRoman" w:cs="TimesNewRoman"/>
          <w:sz w:val="22"/>
          <w:szCs w:val="22"/>
          <w:lang w:eastAsia="pt-BR"/>
        </w:rPr>
        <w:t>os</w:t>
      </w:r>
      <w:r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 fixad</w:t>
      </w:r>
      <w:r w:rsidR="006C7DE0">
        <w:rPr>
          <w:rFonts w:ascii="TimesNewRoman" w:hAnsi="TimesNewRoman" w:cs="TimesNewRoman"/>
          <w:sz w:val="22"/>
          <w:szCs w:val="22"/>
          <w:lang w:eastAsia="pt-BR"/>
        </w:rPr>
        <w:t>os</w:t>
      </w:r>
      <w:r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 naquele normativo.</w:t>
      </w:r>
      <w:r w:rsidR="006F4FB2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 Para o relator, o procedimento adotado pela Universidade Paranaense estaria em consonânci</w:t>
      </w:r>
      <w:r w:rsidR="00140FED" w:rsidRPr="006C7DE0">
        <w:rPr>
          <w:rFonts w:ascii="TimesNewRoman" w:hAnsi="TimesNewRoman" w:cs="TimesNewRoman"/>
          <w:sz w:val="22"/>
          <w:szCs w:val="22"/>
          <w:lang w:eastAsia="pt-BR"/>
        </w:rPr>
        <w:t>a com as disposições do Decreto Federal 5.450, de 2005 – que regulamenta o pregão, na forma eletrônica, para aquisição de bens e serviços comuns, uma vez que “</w:t>
      </w:r>
      <w:r w:rsidR="00140FED" w:rsidRPr="006C7DE0">
        <w:rPr>
          <w:rFonts w:ascii="TimesNewRoman" w:hAnsi="TimesNewRoman" w:cs="TimesNewRoman"/>
          <w:i/>
          <w:sz w:val="22"/>
          <w:szCs w:val="22"/>
          <w:lang w:eastAsia="pt-BR"/>
        </w:rPr>
        <w:t>a observância aos preços mensais máximos fixados em portaria não obsta a cotação de preços pela Administração, mesmo porque tal aferição pode resultar na economicidade dos contratos administrativos, haja vista a possibilidade de evidenciar custos referenciais mais condizentes com a realidade de mercado</w:t>
      </w:r>
      <w:r w:rsidR="00140FED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”. </w:t>
      </w:r>
      <w:r w:rsidR="00D02FB7" w:rsidRPr="006C7DE0">
        <w:rPr>
          <w:rFonts w:ascii="TimesNewRoman" w:hAnsi="TimesNewRoman" w:cs="TimesNewRoman"/>
          <w:sz w:val="22"/>
          <w:szCs w:val="22"/>
          <w:lang w:eastAsia="pt-BR"/>
        </w:rPr>
        <w:t>Nesse quadro</w:t>
      </w:r>
      <w:r w:rsidR="00140FED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, sendo o caso de serem extrapolados valores contidos </w:t>
      </w:r>
      <w:r w:rsidR="00D02FB7" w:rsidRPr="006C7DE0">
        <w:rPr>
          <w:rFonts w:ascii="TimesNewRoman" w:hAnsi="TimesNewRoman" w:cs="TimesNewRoman"/>
          <w:sz w:val="22"/>
          <w:szCs w:val="22"/>
          <w:lang w:eastAsia="pt-BR"/>
        </w:rPr>
        <w:t>em</w:t>
      </w:r>
      <w:r w:rsidR="00140FED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 normativo</w:t>
      </w:r>
      <w:r w:rsidR="00D02FB7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 referencial</w:t>
      </w:r>
      <w:r w:rsidR="00140FED" w:rsidRPr="006C7DE0">
        <w:rPr>
          <w:rFonts w:ascii="TimesNewRoman" w:hAnsi="TimesNewRoman" w:cs="TimesNewRoman"/>
          <w:sz w:val="22"/>
          <w:szCs w:val="22"/>
          <w:lang w:eastAsia="pt-BR"/>
        </w:rPr>
        <w:t xml:space="preserve">, caberia à UFPR justificar tal situação, o que não ocorrera, efetivamente. </w:t>
      </w:r>
      <w:r w:rsidR="00D02FB7" w:rsidRPr="006C7DE0">
        <w:rPr>
          <w:rFonts w:ascii="TimesNewRoman" w:hAnsi="TimesNewRoman" w:cs="TimesNewRoman"/>
          <w:sz w:val="22"/>
          <w:szCs w:val="22"/>
          <w:lang w:eastAsia="pt-BR"/>
        </w:rPr>
        <w:t>Entretanto, ao analisar os preços praticados, o relator concluiu não ter havido ato antieconômico, apesar da falha formal detectada, e, por conseguinte, votou por que fosse expedida determinação corretiva à UFPR, de modo a evitar falha semelhante em seus futuros certames licitatórios. Nos termos do voto do relator, o Plenário manifestou sua anuência.</w:t>
      </w:r>
      <w:r w:rsidR="00D02FB7" w:rsidRPr="006C7DE0">
        <w:rPr>
          <w:sz w:val="22"/>
          <w:szCs w:val="22"/>
        </w:rPr>
        <w:t xml:space="preserve"> Precedente citado: </w:t>
      </w:r>
      <w:r w:rsidR="00D02FB7" w:rsidRPr="006C7DE0">
        <w:rPr>
          <w:rFonts w:ascii="TimesNewRoman" w:hAnsi="TimesNewRoman" w:cs="TimesNewRoman"/>
          <w:sz w:val="22"/>
          <w:szCs w:val="22"/>
          <w:lang w:eastAsia="pt-BR"/>
        </w:rPr>
        <w:t>Acórdão nº 2.532/2008, do Plenário</w:t>
      </w:r>
      <w:r w:rsidR="00A92706" w:rsidRPr="006C7DE0">
        <w:rPr>
          <w:sz w:val="22"/>
          <w:szCs w:val="22"/>
        </w:rPr>
        <w:t xml:space="preserve">. </w:t>
      </w:r>
      <w:r w:rsidR="00FD1295" w:rsidRPr="006C7DE0">
        <w:rPr>
          <w:b/>
          <w:i/>
          <w:sz w:val="22"/>
          <w:szCs w:val="22"/>
        </w:rPr>
        <w:t xml:space="preserve">Acórdão n.º </w:t>
      </w:r>
      <w:r w:rsidRPr="006C7DE0">
        <w:rPr>
          <w:b/>
          <w:i/>
          <w:sz w:val="22"/>
          <w:szCs w:val="22"/>
        </w:rPr>
        <w:t>651</w:t>
      </w:r>
      <w:r w:rsidR="00FD1295" w:rsidRPr="006C7DE0">
        <w:rPr>
          <w:b/>
          <w:i/>
          <w:sz w:val="22"/>
          <w:szCs w:val="22"/>
        </w:rPr>
        <w:t xml:space="preserve">/2011-Plenário, </w:t>
      </w:r>
      <w:r w:rsidR="00A857B4" w:rsidRPr="006C7DE0">
        <w:rPr>
          <w:b/>
          <w:i/>
          <w:sz w:val="22"/>
          <w:szCs w:val="22"/>
        </w:rPr>
        <w:t>TC-0</w:t>
      </w:r>
      <w:r w:rsidRPr="006C7DE0">
        <w:rPr>
          <w:b/>
          <w:i/>
          <w:sz w:val="22"/>
          <w:szCs w:val="22"/>
        </w:rPr>
        <w:t>20</w:t>
      </w:r>
      <w:r w:rsidR="00A857B4" w:rsidRPr="006C7DE0">
        <w:rPr>
          <w:b/>
          <w:i/>
          <w:sz w:val="22"/>
          <w:szCs w:val="22"/>
        </w:rPr>
        <w:t>.</w:t>
      </w:r>
      <w:r w:rsidRPr="006C7DE0">
        <w:rPr>
          <w:b/>
          <w:i/>
          <w:sz w:val="22"/>
          <w:szCs w:val="22"/>
        </w:rPr>
        <w:t>064</w:t>
      </w:r>
      <w:r w:rsidR="00A857B4" w:rsidRPr="006C7DE0">
        <w:rPr>
          <w:b/>
          <w:i/>
          <w:sz w:val="22"/>
          <w:szCs w:val="22"/>
        </w:rPr>
        <w:t>/20</w:t>
      </w:r>
      <w:r w:rsidRPr="006C7DE0">
        <w:rPr>
          <w:b/>
          <w:i/>
          <w:sz w:val="22"/>
          <w:szCs w:val="22"/>
        </w:rPr>
        <w:t>1</w:t>
      </w:r>
      <w:r w:rsidR="00A857B4" w:rsidRPr="006C7DE0">
        <w:rPr>
          <w:b/>
          <w:i/>
          <w:sz w:val="22"/>
          <w:szCs w:val="22"/>
        </w:rPr>
        <w:t>0-</w:t>
      </w:r>
      <w:r w:rsidRPr="006C7DE0">
        <w:rPr>
          <w:b/>
          <w:i/>
          <w:sz w:val="22"/>
          <w:szCs w:val="22"/>
        </w:rPr>
        <w:t>1</w:t>
      </w:r>
      <w:r w:rsidR="00A857B4" w:rsidRPr="006C7DE0">
        <w:rPr>
          <w:b/>
          <w:i/>
          <w:sz w:val="22"/>
          <w:szCs w:val="22"/>
        </w:rPr>
        <w:t xml:space="preserve">, rel. Min. </w:t>
      </w:r>
      <w:r w:rsidR="00A06EDB" w:rsidRPr="006C7DE0">
        <w:rPr>
          <w:b/>
          <w:i/>
          <w:sz w:val="22"/>
          <w:szCs w:val="22"/>
        </w:rPr>
        <w:t>Augusto Nardes</w:t>
      </w:r>
      <w:r w:rsidR="00A857B4" w:rsidRPr="006C7DE0">
        <w:rPr>
          <w:b/>
          <w:i/>
          <w:sz w:val="22"/>
          <w:szCs w:val="22"/>
        </w:rPr>
        <w:t xml:space="preserve">, </w:t>
      </w:r>
      <w:r w:rsidR="00B3599F" w:rsidRPr="006C7DE0">
        <w:rPr>
          <w:b/>
          <w:i/>
          <w:sz w:val="22"/>
          <w:szCs w:val="22"/>
        </w:rPr>
        <w:t>23</w:t>
      </w:r>
      <w:r w:rsidR="00A06EDB" w:rsidRPr="006C7DE0">
        <w:rPr>
          <w:b/>
          <w:i/>
          <w:sz w:val="22"/>
          <w:szCs w:val="22"/>
        </w:rPr>
        <w:t>.03</w:t>
      </w:r>
      <w:r w:rsidR="00A857B4" w:rsidRPr="006C7DE0">
        <w:rPr>
          <w:b/>
          <w:i/>
          <w:sz w:val="22"/>
          <w:szCs w:val="22"/>
        </w:rPr>
        <w:t xml:space="preserve">.2011. </w:t>
      </w:r>
    </w:p>
    <w:p w:rsidR="006C7DE0" w:rsidRPr="006C7DE0" w:rsidRDefault="006C7DE0" w:rsidP="006C7DE0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FF0000"/>
          <w:sz w:val="22"/>
          <w:szCs w:val="22"/>
        </w:rPr>
      </w:pPr>
    </w:p>
    <w:p w:rsidR="00E019ED" w:rsidRPr="006C7DE0" w:rsidRDefault="006C7DE0" w:rsidP="006C7DE0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  <w:r w:rsidRPr="006C7DE0">
        <w:rPr>
          <w:b/>
          <w:color w:val="000000"/>
          <w:sz w:val="22"/>
          <w:szCs w:val="22"/>
        </w:rPr>
        <w:t>Na realização de processos licitatórios deve ser observada a segregação de funções, não se admitindo o acúmulo de atribuições em desconformidade com tal princípio</w:t>
      </w:r>
    </w:p>
    <w:p w:rsidR="00E019ED" w:rsidRPr="006C7DE0" w:rsidRDefault="002435FC" w:rsidP="006C7DE0">
      <w:pPr>
        <w:pStyle w:val="TCU-Epgrafe"/>
        <w:tabs>
          <w:tab w:val="left" w:pos="1134"/>
        </w:tabs>
        <w:ind w:left="0"/>
        <w:rPr>
          <w:b/>
          <w:i/>
          <w:color w:val="FF0000"/>
          <w:sz w:val="22"/>
          <w:szCs w:val="22"/>
        </w:rPr>
      </w:pPr>
      <w:r w:rsidRPr="006C7DE0">
        <w:rPr>
          <w:sz w:val="22"/>
          <w:szCs w:val="22"/>
        </w:rPr>
        <w:t xml:space="preserve">Por intermédio de representação, foram trazidas informações ao Tribunal a respeito de possíveis irregularidades ocorridas em procedimentos licitatórios para a aquisição de medicamentos pela Secretaria Municipal de Saúde do Município de Cachoeiro de Itapemirim, no Espírito Santo. </w:t>
      </w:r>
      <w:r w:rsidR="00904EC5" w:rsidRPr="006C7DE0">
        <w:rPr>
          <w:sz w:val="22"/>
          <w:szCs w:val="22"/>
        </w:rPr>
        <w:t xml:space="preserve">Diversas condutas adotadas pelos responsáveis pelas licitações examinadas mereceram a reprovação do relator, em especial, a condição de um dos membros da Comissão de Licitação, que, ao mesmo tempo, seria </w:t>
      </w:r>
      <w:r w:rsidR="00904EC5" w:rsidRPr="006C7DE0">
        <w:rPr>
          <w:iCs/>
          <w:sz w:val="22"/>
          <w:szCs w:val="22"/>
        </w:rPr>
        <w:t xml:space="preserve">Chefe do Setor de Compras do órgão. Tal situação seria inadequada, pois o referido membro, </w:t>
      </w:r>
      <w:r w:rsidR="00904EC5" w:rsidRPr="006C7DE0">
        <w:rPr>
          <w:color w:val="000000"/>
          <w:sz w:val="22"/>
          <w:szCs w:val="22"/>
        </w:rPr>
        <w:t xml:space="preserve">ao exercer a dupla função de elaborar os editais licitatórios e de participar do julgamento das propostas, agiria em desconformidade com o princípio de segregação de funções. Em consequência, </w:t>
      </w:r>
      <w:r w:rsidR="00C9571B">
        <w:rPr>
          <w:color w:val="000000"/>
          <w:sz w:val="22"/>
          <w:szCs w:val="22"/>
        </w:rPr>
        <w:t xml:space="preserve">por conta dessa circunstância, </w:t>
      </w:r>
      <w:r w:rsidR="00904EC5" w:rsidRPr="006C7DE0">
        <w:rPr>
          <w:color w:val="000000"/>
          <w:sz w:val="22"/>
          <w:szCs w:val="22"/>
        </w:rPr>
        <w:t xml:space="preserve">propôs o relator a expedição </w:t>
      </w:r>
      <w:r w:rsidR="006C7DE0" w:rsidRPr="006C7DE0">
        <w:rPr>
          <w:color w:val="000000"/>
          <w:sz w:val="22"/>
          <w:szCs w:val="22"/>
        </w:rPr>
        <w:t xml:space="preserve">determinações corretivas ao Município de Cachoeiro do Itapemirim, </w:t>
      </w:r>
      <w:r w:rsidR="00904EC5" w:rsidRPr="006C7DE0">
        <w:rPr>
          <w:color w:val="000000"/>
          <w:sz w:val="22"/>
          <w:szCs w:val="22"/>
        </w:rPr>
        <w:t xml:space="preserve">de </w:t>
      </w:r>
      <w:r w:rsidR="006C7DE0" w:rsidRPr="006C7DE0">
        <w:rPr>
          <w:color w:val="000000"/>
          <w:sz w:val="22"/>
          <w:szCs w:val="22"/>
        </w:rPr>
        <w:t xml:space="preserve">maneira a </w:t>
      </w:r>
      <w:r w:rsidR="006C7DE0" w:rsidRPr="006C7DE0">
        <w:rPr>
          <w:sz w:val="22"/>
          <w:szCs w:val="22"/>
        </w:rPr>
        <w:t xml:space="preserve">evitar falhas semelhantes nas futuras licitações que envolvam recursos públicos federais, em especial a inobservância da segregação de funções. </w:t>
      </w:r>
      <w:r w:rsidR="00E019ED" w:rsidRPr="006C7DE0">
        <w:rPr>
          <w:b/>
          <w:i/>
          <w:color w:val="000000"/>
          <w:sz w:val="22"/>
          <w:szCs w:val="22"/>
        </w:rPr>
        <w:t xml:space="preserve">Acórdão nº </w:t>
      </w:r>
      <w:r w:rsidRPr="006C7DE0">
        <w:rPr>
          <w:b/>
          <w:i/>
          <w:color w:val="000000"/>
          <w:sz w:val="22"/>
          <w:szCs w:val="22"/>
        </w:rPr>
        <w:t>686</w:t>
      </w:r>
      <w:r w:rsidR="00E019ED" w:rsidRPr="006C7DE0">
        <w:rPr>
          <w:b/>
          <w:i/>
          <w:color w:val="000000"/>
          <w:sz w:val="22"/>
          <w:szCs w:val="22"/>
        </w:rPr>
        <w:t>/2011-Plenário, TC-00</w:t>
      </w:r>
      <w:r w:rsidRPr="006C7DE0">
        <w:rPr>
          <w:b/>
          <w:i/>
          <w:color w:val="000000"/>
          <w:sz w:val="22"/>
          <w:szCs w:val="22"/>
        </w:rPr>
        <w:t>1</w:t>
      </w:r>
      <w:r w:rsidR="00E019ED" w:rsidRPr="006C7DE0">
        <w:rPr>
          <w:b/>
          <w:i/>
          <w:color w:val="000000"/>
          <w:sz w:val="22"/>
          <w:szCs w:val="22"/>
        </w:rPr>
        <w:t>.</w:t>
      </w:r>
      <w:r w:rsidRPr="006C7DE0">
        <w:rPr>
          <w:b/>
          <w:i/>
          <w:color w:val="000000"/>
          <w:sz w:val="22"/>
          <w:szCs w:val="22"/>
        </w:rPr>
        <w:t>594</w:t>
      </w:r>
      <w:r w:rsidR="00E019ED" w:rsidRPr="006C7DE0">
        <w:rPr>
          <w:b/>
          <w:i/>
          <w:color w:val="000000"/>
          <w:sz w:val="22"/>
          <w:szCs w:val="22"/>
        </w:rPr>
        <w:t>/200</w:t>
      </w:r>
      <w:r w:rsidRPr="006C7DE0">
        <w:rPr>
          <w:b/>
          <w:i/>
          <w:color w:val="000000"/>
          <w:sz w:val="22"/>
          <w:szCs w:val="22"/>
        </w:rPr>
        <w:t>7</w:t>
      </w:r>
      <w:r w:rsidR="00E019ED" w:rsidRPr="006C7DE0">
        <w:rPr>
          <w:b/>
          <w:i/>
          <w:color w:val="000000"/>
          <w:sz w:val="22"/>
          <w:szCs w:val="22"/>
        </w:rPr>
        <w:t>-</w:t>
      </w:r>
      <w:r w:rsidRPr="006C7DE0">
        <w:rPr>
          <w:b/>
          <w:i/>
          <w:color w:val="000000"/>
          <w:sz w:val="22"/>
          <w:szCs w:val="22"/>
        </w:rPr>
        <w:t>6</w:t>
      </w:r>
      <w:r w:rsidR="00E019ED" w:rsidRPr="006C7DE0">
        <w:rPr>
          <w:b/>
          <w:i/>
          <w:color w:val="000000"/>
          <w:sz w:val="22"/>
          <w:szCs w:val="22"/>
        </w:rPr>
        <w:t xml:space="preserve">, rel. Min-Subst. </w:t>
      </w:r>
      <w:r w:rsidRPr="006C7DE0">
        <w:rPr>
          <w:b/>
          <w:i/>
          <w:color w:val="000000"/>
          <w:sz w:val="22"/>
          <w:szCs w:val="22"/>
        </w:rPr>
        <w:t>André Luís de Carvalho</w:t>
      </w:r>
      <w:r w:rsidR="00E019ED" w:rsidRPr="006C7DE0">
        <w:rPr>
          <w:b/>
          <w:i/>
          <w:color w:val="000000"/>
          <w:sz w:val="22"/>
          <w:szCs w:val="22"/>
        </w:rPr>
        <w:t>, 23.0</w:t>
      </w:r>
      <w:r w:rsidRPr="006C7DE0">
        <w:rPr>
          <w:b/>
          <w:i/>
          <w:color w:val="000000"/>
          <w:sz w:val="22"/>
          <w:szCs w:val="22"/>
        </w:rPr>
        <w:t>3</w:t>
      </w:r>
      <w:r w:rsidR="00E019ED" w:rsidRPr="006C7DE0">
        <w:rPr>
          <w:b/>
          <w:i/>
          <w:color w:val="000000"/>
          <w:sz w:val="22"/>
          <w:szCs w:val="22"/>
        </w:rPr>
        <w:t>.2011.</w:t>
      </w:r>
    </w:p>
    <w:p w:rsidR="009E59A1" w:rsidRDefault="009E59A1" w:rsidP="00FA45CD">
      <w:pPr>
        <w:pStyle w:val="TCU-RelVoto-demais"/>
        <w:spacing w:after="0"/>
        <w:rPr>
          <w:sz w:val="22"/>
        </w:rPr>
      </w:pPr>
    </w:p>
    <w:p w:rsidR="006C7DE0" w:rsidRPr="00FA45CD" w:rsidRDefault="006C7DE0" w:rsidP="00FA45CD">
      <w:pPr>
        <w:pStyle w:val="TCU-RelVoto-demais"/>
        <w:spacing w:after="0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7C2A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2A55" w:rsidRDefault="00C10DD5" w:rsidP="0030360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7C2A55" w:rsidRDefault="007334B1" w:rsidP="007334B1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7334B1" w:rsidRPr="007C2A55" w:rsidSect="00F340CD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5A" w:rsidRDefault="000D7F5A" w:rsidP="008B0547">
      <w:pPr>
        <w:spacing w:after="0"/>
      </w:pPr>
      <w:r>
        <w:separator/>
      </w:r>
    </w:p>
  </w:endnote>
  <w:endnote w:type="continuationSeparator" w:id="0">
    <w:p w:rsidR="000D7F5A" w:rsidRDefault="000D7F5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7385B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5A" w:rsidRDefault="000D7F5A" w:rsidP="008B0547">
      <w:pPr>
        <w:spacing w:after="0"/>
      </w:pPr>
      <w:r>
        <w:separator/>
      </w:r>
    </w:p>
  </w:footnote>
  <w:footnote w:type="continuationSeparator" w:id="0">
    <w:p w:rsidR="000D7F5A" w:rsidRDefault="000D7F5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FC1DB9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FC1DB9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74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274068">
      <w:rPr>
        <w:rFonts w:ascii="Arial" w:hAnsi="Arial" w:cs="Arial"/>
        <w:noProof/>
        <w:lang w:eastAsia="pt-BR"/>
      </w:rPr>
      <w:t>5</w:t>
    </w:r>
    <w:r w:rsidR="006C7DE0">
      <w:rPr>
        <w:rFonts w:ascii="Arial" w:hAnsi="Arial" w:cs="Arial"/>
        <w:noProof/>
        <w:lang w:eastAsia="pt-BR"/>
      </w:rPr>
      <w:t>5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7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9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1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3"/>
  </w:num>
  <w:num w:numId="11">
    <w:abstractNumId w:val="21"/>
  </w:num>
  <w:num w:numId="12">
    <w:abstractNumId w:val="2"/>
  </w:num>
  <w:num w:numId="13">
    <w:abstractNumId w:val="11"/>
  </w:num>
  <w:num w:numId="14">
    <w:abstractNumId w:val="18"/>
  </w:num>
  <w:num w:numId="15">
    <w:abstractNumId w:val="10"/>
  </w:num>
  <w:num w:numId="16">
    <w:abstractNumId w:val="1"/>
  </w:num>
  <w:num w:numId="17">
    <w:abstractNumId w:val="9"/>
  </w:num>
  <w:num w:numId="18">
    <w:abstractNumId w:val="20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37DCE"/>
    <w:rsid w:val="00041450"/>
    <w:rsid w:val="0004660A"/>
    <w:rsid w:val="00046E6E"/>
    <w:rsid w:val="00052B15"/>
    <w:rsid w:val="0005412B"/>
    <w:rsid w:val="00054432"/>
    <w:rsid w:val="000562CD"/>
    <w:rsid w:val="00056D51"/>
    <w:rsid w:val="0006028E"/>
    <w:rsid w:val="00061C2E"/>
    <w:rsid w:val="00065E95"/>
    <w:rsid w:val="00070785"/>
    <w:rsid w:val="0007385B"/>
    <w:rsid w:val="00074384"/>
    <w:rsid w:val="00074AC5"/>
    <w:rsid w:val="00077A56"/>
    <w:rsid w:val="00080148"/>
    <w:rsid w:val="000835D8"/>
    <w:rsid w:val="00084727"/>
    <w:rsid w:val="0009133A"/>
    <w:rsid w:val="000916AF"/>
    <w:rsid w:val="00092C2E"/>
    <w:rsid w:val="00094C5B"/>
    <w:rsid w:val="00097863"/>
    <w:rsid w:val="000A0EF8"/>
    <w:rsid w:val="000A152A"/>
    <w:rsid w:val="000A1EBD"/>
    <w:rsid w:val="000A2C56"/>
    <w:rsid w:val="000A6269"/>
    <w:rsid w:val="000A62BD"/>
    <w:rsid w:val="000B0ECB"/>
    <w:rsid w:val="000B0FEA"/>
    <w:rsid w:val="000B2AFA"/>
    <w:rsid w:val="000D1878"/>
    <w:rsid w:val="000D1FD7"/>
    <w:rsid w:val="000D6418"/>
    <w:rsid w:val="000D7DB6"/>
    <w:rsid w:val="000D7DED"/>
    <w:rsid w:val="000D7F5A"/>
    <w:rsid w:val="000E2D47"/>
    <w:rsid w:val="000E3B31"/>
    <w:rsid w:val="000E504D"/>
    <w:rsid w:val="000F2F92"/>
    <w:rsid w:val="000F6D85"/>
    <w:rsid w:val="000F7CEE"/>
    <w:rsid w:val="000F7D84"/>
    <w:rsid w:val="001041ED"/>
    <w:rsid w:val="001104BA"/>
    <w:rsid w:val="00112676"/>
    <w:rsid w:val="00112A5F"/>
    <w:rsid w:val="0011373A"/>
    <w:rsid w:val="00114511"/>
    <w:rsid w:val="00126026"/>
    <w:rsid w:val="00133EA9"/>
    <w:rsid w:val="00140FED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A0CC1"/>
    <w:rsid w:val="001A330B"/>
    <w:rsid w:val="001A60A2"/>
    <w:rsid w:val="001A79D3"/>
    <w:rsid w:val="001B3E8E"/>
    <w:rsid w:val="001B4F90"/>
    <w:rsid w:val="001B6823"/>
    <w:rsid w:val="001B7F4F"/>
    <w:rsid w:val="001C0575"/>
    <w:rsid w:val="001C437E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60"/>
    <w:rsid w:val="002002CE"/>
    <w:rsid w:val="0020066F"/>
    <w:rsid w:val="0020107A"/>
    <w:rsid w:val="0020135D"/>
    <w:rsid w:val="00202EAD"/>
    <w:rsid w:val="00203A6F"/>
    <w:rsid w:val="00211816"/>
    <w:rsid w:val="00226AEF"/>
    <w:rsid w:val="00226D9D"/>
    <w:rsid w:val="00232158"/>
    <w:rsid w:val="002328F9"/>
    <w:rsid w:val="00233CE3"/>
    <w:rsid w:val="002343BF"/>
    <w:rsid w:val="002435FC"/>
    <w:rsid w:val="002442D9"/>
    <w:rsid w:val="00244BA7"/>
    <w:rsid w:val="0024593F"/>
    <w:rsid w:val="002476B6"/>
    <w:rsid w:val="00253242"/>
    <w:rsid w:val="00254590"/>
    <w:rsid w:val="00262359"/>
    <w:rsid w:val="0026362E"/>
    <w:rsid w:val="002649A7"/>
    <w:rsid w:val="00264FC3"/>
    <w:rsid w:val="002663B7"/>
    <w:rsid w:val="002666C5"/>
    <w:rsid w:val="00271D81"/>
    <w:rsid w:val="0027213F"/>
    <w:rsid w:val="00273E72"/>
    <w:rsid w:val="00274068"/>
    <w:rsid w:val="0027498E"/>
    <w:rsid w:val="0027686D"/>
    <w:rsid w:val="00276DC0"/>
    <w:rsid w:val="002810D9"/>
    <w:rsid w:val="00281830"/>
    <w:rsid w:val="002830F6"/>
    <w:rsid w:val="0029043B"/>
    <w:rsid w:val="00290A06"/>
    <w:rsid w:val="0029211E"/>
    <w:rsid w:val="0029450E"/>
    <w:rsid w:val="00297A00"/>
    <w:rsid w:val="002A190F"/>
    <w:rsid w:val="002A2129"/>
    <w:rsid w:val="002A3B3F"/>
    <w:rsid w:val="002B409B"/>
    <w:rsid w:val="002B4392"/>
    <w:rsid w:val="002B56C3"/>
    <w:rsid w:val="002B5AD5"/>
    <w:rsid w:val="002B5C5A"/>
    <w:rsid w:val="002B6422"/>
    <w:rsid w:val="002B71BA"/>
    <w:rsid w:val="002C208E"/>
    <w:rsid w:val="002C7B61"/>
    <w:rsid w:val="002C7B6D"/>
    <w:rsid w:val="002D35F5"/>
    <w:rsid w:val="002D47FE"/>
    <w:rsid w:val="002D532D"/>
    <w:rsid w:val="002D739A"/>
    <w:rsid w:val="002D76AB"/>
    <w:rsid w:val="002E1545"/>
    <w:rsid w:val="002E28BA"/>
    <w:rsid w:val="002E361C"/>
    <w:rsid w:val="002E3943"/>
    <w:rsid w:val="002E4254"/>
    <w:rsid w:val="002E4F13"/>
    <w:rsid w:val="002E4FB7"/>
    <w:rsid w:val="002F1C09"/>
    <w:rsid w:val="002F5F3B"/>
    <w:rsid w:val="002F693C"/>
    <w:rsid w:val="002F7C6D"/>
    <w:rsid w:val="003020F4"/>
    <w:rsid w:val="003025C7"/>
    <w:rsid w:val="0030360F"/>
    <w:rsid w:val="00303984"/>
    <w:rsid w:val="00304A73"/>
    <w:rsid w:val="003069F9"/>
    <w:rsid w:val="00310208"/>
    <w:rsid w:val="0031058F"/>
    <w:rsid w:val="0031089E"/>
    <w:rsid w:val="00310D69"/>
    <w:rsid w:val="003147B7"/>
    <w:rsid w:val="00317E59"/>
    <w:rsid w:val="00322AE7"/>
    <w:rsid w:val="00325246"/>
    <w:rsid w:val="003275E4"/>
    <w:rsid w:val="0033244F"/>
    <w:rsid w:val="00337E16"/>
    <w:rsid w:val="00340E66"/>
    <w:rsid w:val="00340F10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487"/>
    <w:rsid w:val="00361661"/>
    <w:rsid w:val="00377407"/>
    <w:rsid w:val="00381780"/>
    <w:rsid w:val="003824E4"/>
    <w:rsid w:val="00383CFE"/>
    <w:rsid w:val="003853FF"/>
    <w:rsid w:val="00385DAB"/>
    <w:rsid w:val="0038696B"/>
    <w:rsid w:val="00390ED6"/>
    <w:rsid w:val="00392509"/>
    <w:rsid w:val="003943E5"/>
    <w:rsid w:val="00397D8E"/>
    <w:rsid w:val="003A105C"/>
    <w:rsid w:val="003A2222"/>
    <w:rsid w:val="003A3262"/>
    <w:rsid w:val="003A5479"/>
    <w:rsid w:val="003A5C1B"/>
    <w:rsid w:val="003A7C7F"/>
    <w:rsid w:val="003B0304"/>
    <w:rsid w:val="003B043F"/>
    <w:rsid w:val="003B155C"/>
    <w:rsid w:val="003B2E10"/>
    <w:rsid w:val="003B33CE"/>
    <w:rsid w:val="003B343D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169D8"/>
    <w:rsid w:val="004201AF"/>
    <w:rsid w:val="00425FF9"/>
    <w:rsid w:val="00427B3B"/>
    <w:rsid w:val="00427EBF"/>
    <w:rsid w:val="004362AB"/>
    <w:rsid w:val="004415FB"/>
    <w:rsid w:val="00441CE3"/>
    <w:rsid w:val="004421F5"/>
    <w:rsid w:val="0044434A"/>
    <w:rsid w:val="0044437F"/>
    <w:rsid w:val="00445E76"/>
    <w:rsid w:val="00447217"/>
    <w:rsid w:val="00452C60"/>
    <w:rsid w:val="0046145D"/>
    <w:rsid w:val="004617A9"/>
    <w:rsid w:val="0046384E"/>
    <w:rsid w:val="0046706B"/>
    <w:rsid w:val="00467815"/>
    <w:rsid w:val="00471284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B0194"/>
    <w:rsid w:val="004B1113"/>
    <w:rsid w:val="004B1DC3"/>
    <w:rsid w:val="004C61A3"/>
    <w:rsid w:val="004C6E03"/>
    <w:rsid w:val="004C780C"/>
    <w:rsid w:val="004D3441"/>
    <w:rsid w:val="004D6A38"/>
    <w:rsid w:val="004D708E"/>
    <w:rsid w:val="004D760C"/>
    <w:rsid w:val="004D7C91"/>
    <w:rsid w:val="004E357A"/>
    <w:rsid w:val="004E65EB"/>
    <w:rsid w:val="004F7174"/>
    <w:rsid w:val="00500DD0"/>
    <w:rsid w:val="0050355D"/>
    <w:rsid w:val="005055B5"/>
    <w:rsid w:val="00511BBF"/>
    <w:rsid w:val="00515E7B"/>
    <w:rsid w:val="005217F8"/>
    <w:rsid w:val="0052267A"/>
    <w:rsid w:val="00531143"/>
    <w:rsid w:val="00534A44"/>
    <w:rsid w:val="00536332"/>
    <w:rsid w:val="005438A1"/>
    <w:rsid w:val="00543B81"/>
    <w:rsid w:val="00543EB8"/>
    <w:rsid w:val="00544FCF"/>
    <w:rsid w:val="00545FC7"/>
    <w:rsid w:val="0054634E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5CC3"/>
    <w:rsid w:val="00580F26"/>
    <w:rsid w:val="00581A7C"/>
    <w:rsid w:val="0058427E"/>
    <w:rsid w:val="00590907"/>
    <w:rsid w:val="00594A7B"/>
    <w:rsid w:val="005A2D82"/>
    <w:rsid w:val="005A3835"/>
    <w:rsid w:val="005A72F2"/>
    <w:rsid w:val="005B2194"/>
    <w:rsid w:val="005B2BC3"/>
    <w:rsid w:val="005B4CFA"/>
    <w:rsid w:val="005C1A79"/>
    <w:rsid w:val="005C7644"/>
    <w:rsid w:val="005C7BF4"/>
    <w:rsid w:val="005D3352"/>
    <w:rsid w:val="005E269C"/>
    <w:rsid w:val="005E3586"/>
    <w:rsid w:val="005E4DEE"/>
    <w:rsid w:val="005E5FF1"/>
    <w:rsid w:val="005F01CE"/>
    <w:rsid w:val="005F70B6"/>
    <w:rsid w:val="005F7A87"/>
    <w:rsid w:val="00601F0A"/>
    <w:rsid w:val="00604DBE"/>
    <w:rsid w:val="006063E1"/>
    <w:rsid w:val="006065E4"/>
    <w:rsid w:val="00610039"/>
    <w:rsid w:val="00610381"/>
    <w:rsid w:val="00611E07"/>
    <w:rsid w:val="00612045"/>
    <w:rsid w:val="00612F12"/>
    <w:rsid w:val="00613AC9"/>
    <w:rsid w:val="00620E86"/>
    <w:rsid w:val="006219DD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66285"/>
    <w:rsid w:val="00670FEA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7796"/>
    <w:rsid w:val="006B0495"/>
    <w:rsid w:val="006B0DCB"/>
    <w:rsid w:val="006B2408"/>
    <w:rsid w:val="006B3AF9"/>
    <w:rsid w:val="006B414C"/>
    <w:rsid w:val="006B4B0F"/>
    <w:rsid w:val="006C335E"/>
    <w:rsid w:val="006C5C6C"/>
    <w:rsid w:val="006C7DE0"/>
    <w:rsid w:val="006D4245"/>
    <w:rsid w:val="006E4064"/>
    <w:rsid w:val="006F2F67"/>
    <w:rsid w:val="006F4DE0"/>
    <w:rsid w:val="006F4FB2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2B07"/>
    <w:rsid w:val="00756AA0"/>
    <w:rsid w:val="00757CE6"/>
    <w:rsid w:val="00764CB0"/>
    <w:rsid w:val="007671B6"/>
    <w:rsid w:val="007671DA"/>
    <w:rsid w:val="007719A8"/>
    <w:rsid w:val="00773CAE"/>
    <w:rsid w:val="00774593"/>
    <w:rsid w:val="00776EDA"/>
    <w:rsid w:val="00777599"/>
    <w:rsid w:val="00785CF8"/>
    <w:rsid w:val="00796068"/>
    <w:rsid w:val="00796CC0"/>
    <w:rsid w:val="007979EA"/>
    <w:rsid w:val="007A1A35"/>
    <w:rsid w:val="007A2166"/>
    <w:rsid w:val="007A2B7F"/>
    <w:rsid w:val="007A5922"/>
    <w:rsid w:val="007B259B"/>
    <w:rsid w:val="007B5018"/>
    <w:rsid w:val="007C4E99"/>
    <w:rsid w:val="007C546B"/>
    <w:rsid w:val="007C670D"/>
    <w:rsid w:val="007D0ED0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22A5"/>
    <w:rsid w:val="007F5688"/>
    <w:rsid w:val="008051DE"/>
    <w:rsid w:val="00810CC2"/>
    <w:rsid w:val="0081324B"/>
    <w:rsid w:val="0081440E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51D16"/>
    <w:rsid w:val="00856252"/>
    <w:rsid w:val="00857634"/>
    <w:rsid w:val="0086124E"/>
    <w:rsid w:val="008652C9"/>
    <w:rsid w:val="00866992"/>
    <w:rsid w:val="00872942"/>
    <w:rsid w:val="00875991"/>
    <w:rsid w:val="00877FDD"/>
    <w:rsid w:val="00880FED"/>
    <w:rsid w:val="008841C8"/>
    <w:rsid w:val="00885367"/>
    <w:rsid w:val="00887082"/>
    <w:rsid w:val="00892BB8"/>
    <w:rsid w:val="00893014"/>
    <w:rsid w:val="0089513A"/>
    <w:rsid w:val="00896755"/>
    <w:rsid w:val="008A2417"/>
    <w:rsid w:val="008A5D49"/>
    <w:rsid w:val="008A751E"/>
    <w:rsid w:val="008A77F0"/>
    <w:rsid w:val="008B0547"/>
    <w:rsid w:val="008B11A3"/>
    <w:rsid w:val="008B1FE5"/>
    <w:rsid w:val="008B3A74"/>
    <w:rsid w:val="008B3D72"/>
    <w:rsid w:val="008B434A"/>
    <w:rsid w:val="008B7B55"/>
    <w:rsid w:val="008C3A5B"/>
    <w:rsid w:val="008C5B71"/>
    <w:rsid w:val="008D2382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21A4"/>
    <w:rsid w:val="00904EC5"/>
    <w:rsid w:val="00914B48"/>
    <w:rsid w:val="0091511B"/>
    <w:rsid w:val="009239AA"/>
    <w:rsid w:val="009245B5"/>
    <w:rsid w:val="00925EF2"/>
    <w:rsid w:val="00935C40"/>
    <w:rsid w:val="00935F4D"/>
    <w:rsid w:val="0093795C"/>
    <w:rsid w:val="00937F7E"/>
    <w:rsid w:val="009440D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D0928"/>
    <w:rsid w:val="009D1B99"/>
    <w:rsid w:val="009D5445"/>
    <w:rsid w:val="009D565F"/>
    <w:rsid w:val="009D65B9"/>
    <w:rsid w:val="009E04DC"/>
    <w:rsid w:val="009E0FB3"/>
    <w:rsid w:val="009E5105"/>
    <w:rsid w:val="009E59A1"/>
    <w:rsid w:val="009F4326"/>
    <w:rsid w:val="009F5F5B"/>
    <w:rsid w:val="00A0244C"/>
    <w:rsid w:val="00A033FF"/>
    <w:rsid w:val="00A0409E"/>
    <w:rsid w:val="00A06137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9A8"/>
    <w:rsid w:val="00A30683"/>
    <w:rsid w:val="00A3115F"/>
    <w:rsid w:val="00A33030"/>
    <w:rsid w:val="00A35DDD"/>
    <w:rsid w:val="00A378A2"/>
    <w:rsid w:val="00A407B6"/>
    <w:rsid w:val="00A52DA1"/>
    <w:rsid w:val="00A60F52"/>
    <w:rsid w:val="00A62AA8"/>
    <w:rsid w:val="00A63B4C"/>
    <w:rsid w:val="00A664E7"/>
    <w:rsid w:val="00A66E7F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92706"/>
    <w:rsid w:val="00A9704A"/>
    <w:rsid w:val="00A97AD0"/>
    <w:rsid w:val="00AA1377"/>
    <w:rsid w:val="00AA49AF"/>
    <w:rsid w:val="00AA57CE"/>
    <w:rsid w:val="00AA7540"/>
    <w:rsid w:val="00AC0BAE"/>
    <w:rsid w:val="00AC126F"/>
    <w:rsid w:val="00AC4B34"/>
    <w:rsid w:val="00AD05A6"/>
    <w:rsid w:val="00AD4104"/>
    <w:rsid w:val="00AE05EA"/>
    <w:rsid w:val="00AE0EDF"/>
    <w:rsid w:val="00AE1128"/>
    <w:rsid w:val="00AE1AB0"/>
    <w:rsid w:val="00AE2609"/>
    <w:rsid w:val="00AE29A8"/>
    <w:rsid w:val="00AE439A"/>
    <w:rsid w:val="00AE617A"/>
    <w:rsid w:val="00AF09C7"/>
    <w:rsid w:val="00AF4BF4"/>
    <w:rsid w:val="00B03D35"/>
    <w:rsid w:val="00B05065"/>
    <w:rsid w:val="00B05194"/>
    <w:rsid w:val="00B17303"/>
    <w:rsid w:val="00B21343"/>
    <w:rsid w:val="00B219AA"/>
    <w:rsid w:val="00B25143"/>
    <w:rsid w:val="00B2585D"/>
    <w:rsid w:val="00B266FA"/>
    <w:rsid w:val="00B27359"/>
    <w:rsid w:val="00B33FC2"/>
    <w:rsid w:val="00B347F1"/>
    <w:rsid w:val="00B3502B"/>
    <w:rsid w:val="00B3599F"/>
    <w:rsid w:val="00B35C3E"/>
    <w:rsid w:val="00B36473"/>
    <w:rsid w:val="00B41CC8"/>
    <w:rsid w:val="00B44029"/>
    <w:rsid w:val="00B45428"/>
    <w:rsid w:val="00B47943"/>
    <w:rsid w:val="00B50446"/>
    <w:rsid w:val="00B50A6E"/>
    <w:rsid w:val="00B527BF"/>
    <w:rsid w:val="00B530FD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877AA"/>
    <w:rsid w:val="00B9389E"/>
    <w:rsid w:val="00B96EA4"/>
    <w:rsid w:val="00B97A3E"/>
    <w:rsid w:val="00BA2F02"/>
    <w:rsid w:val="00BA2FFD"/>
    <w:rsid w:val="00BA58B6"/>
    <w:rsid w:val="00BA62AD"/>
    <w:rsid w:val="00BB0267"/>
    <w:rsid w:val="00BB37AF"/>
    <w:rsid w:val="00BB4C08"/>
    <w:rsid w:val="00BC1DBD"/>
    <w:rsid w:val="00BC5737"/>
    <w:rsid w:val="00BD1747"/>
    <w:rsid w:val="00BD3C68"/>
    <w:rsid w:val="00BD421D"/>
    <w:rsid w:val="00BD6B87"/>
    <w:rsid w:val="00BE4614"/>
    <w:rsid w:val="00BE4E6F"/>
    <w:rsid w:val="00BE5100"/>
    <w:rsid w:val="00BE529D"/>
    <w:rsid w:val="00BE6637"/>
    <w:rsid w:val="00BF10E8"/>
    <w:rsid w:val="00BF3158"/>
    <w:rsid w:val="00C03312"/>
    <w:rsid w:val="00C039A5"/>
    <w:rsid w:val="00C03A04"/>
    <w:rsid w:val="00C046F7"/>
    <w:rsid w:val="00C10C0B"/>
    <w:rsid w:val="00C10DD5"/>
    <w:rsid w:val="00C1776A"/>
    <w:rsid w:val="00C22519"/>
    <w:rsid w:val="00C2305C"/>
    <w:rsid w:val="00C233D0"/>
    <w:rsid w:val="00C2380D"/>
    <w:rsid w:val="00C24162"/>
    <w:rsid w:val="00C2509D"/>
    <w:rsid w:val="00C34ABD"/>
    <w:rsid w:val="00C35F43"/>
    <w:rsid w:val="00C37088"/>
    <w:rsid w:val="00C408D5"/>
    <w:rsid w:val="00C41D3C"/>
    <w:rsid w:val="00C43801"/>
    <w:rsid w:val="00C44A07"/>
    <w:rsid w:val="00C44BDC"/>
    <w:rsid w:val="00C45BFB"/>
    <w:rsid w:val="00C50FF9"/>
    <w:rsid w:val="00C54B14"/>
    <w:rsid w:val="00C6352A"/>
    <w:rsid w:val="00C65B2D"/>
    <w:rsid w:val="00C65C5D"/>
    <w:rsid w:val="00C6656A"/>
    <w:rsid w:val="00C711E5"/>
    <w:rsid w:val="00C730CB"/>
    <w:rsid w:val="00C73782"/>
    <w:rsid w:val="00C81B05"/>
    <w:rsid w:val="00C83AEE"/>
    <w:rsid w:val="00C85563"/>
    <w:rsid w:val="00C85AC7"/>
    <w:rsid w:val="00C906CD"/>
    <w:rsid w:val="00C9571B"/>
    <w:rsid w:val="00CA0FB8"/>
    <w:rsid w:val="00CA15F3"/>
    <w:rsid w:val="00CA2680"/>
    <w:rsid w:val="00CA6716"/>
    <w:rsid w:val="00CB0D34"/>
    <w:rsid w:val="00CC1939"/>
    <w:rsid w:val="00CC42D4"/>
    <w:rsid w:val="00CD179A"/>
    <w:rsid w:val="00CD2536"/>
    <w:rsid w:val="00CD407F"/>
    <w:rsid w:val="00CE6D09"/>
    <w:rsid w:val="00CF230D"/>
    <w:rsid w:val="00CF5489"/>
    <w:rsid w:val="00CF7615"/>
    <w:rsid w:val="00D003F8"/>
    <w:rsid w:val="00D02FB7"/>
    <w:rsid w:val="00D04613"/>
    <w:rsid w:val="00D10769"/>
    <w:rsid w:val="00D11642"/>
    <w:rsid w:val="00D116C7"/>
    <w:rsid w:val="00D13AC5"/>
    <w:rsid w:val="00D14E5F"/>
    <w:rsid w:val="00D17CC6"/>
    <w:rsid w:val="00D2041E"/>
    <w:rsid w:val="00D20454"/>
    <w:rsid w:val="00D20D10"/>
    <w:rsid w:val="00D23801"/>
    <w:rsid w:val="00D341C9"/>
    <w:rsid w:val="00D3447D"/>
    <w:rsid w:val="00D3488B"/>
    <w:rsid w:val="00D361DE"/>
    <w:rsid w:val="00D3793E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6186"/>
    <w:rsid w:val="00D771E9"/>
    <w:rsid w:val="00D86DD4"/>
    <w:rsid w:val="00D92529"/>
    <w:rsid w:val="00DA1613"/>
    <w:rsid w:val="00DA5AAB"/>
    <w:rsid w:val="00DA6858"/>
    <w:rsid w:val="00DB1CD7"/>
    <w:rsid w:val="00DB2651"/>
    <w:rsid w:val="00DB4717"/>
    <w:rsid w:val="00DC6F31"/>
    <w:rsid w:val="00DD6D82"/>
    <w:rsid w:val="00DE045E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75EC"/>
    <w:rsid w:val="00E0133D"/>
    <w:rsid w:val="00E019ED"/>
    <w:rsid w:val="00E04C48"/>
    <w:rsid w:val="00E06065"/>
    <w:rsid w:val="00E079C6"/>
    <w:rsid w:val="00E07F6B"/>
    <w:rsid w:val="00E146CF"/>
    <w:rsid w:val="00E17711"/>
    <w:rsid w:val="00E23C05"/>
    <w:rsid w:val="00E2425F"/>
    <w:rsid w:val="00E247E2"/>
    <w:rsid w:val="00E304EB"/>
    <w:rsid w:val="00E329D0"/>
    <w:rsid w:val="00E33746"/>
    <w:rsid w:val="00E342B3"/>
    <w:rsid w:val="00E3451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73271"/>
    <w:rsid w:val="00E74214"/>
    <w:rsid w:val="00E74D52"/>
    <w:rsid w:val="00E75855"/>
    <w:rsid w:val="00E7609C"/>
    <w:rsid w:val="00E85CBE"/>
    <w:rsid w:val="00E86566"/>
    <w:rsid w:val="00E875F5"/>
    <w:rsid w:val="00E92527"/>
    <w:rsid w:val="00E92A93"/>
    <w:rsid w:val="00E97045"/>
    <w:rsid w:val="00EA270C"/>
    <w:rsid w:val="00EA5CF4"/>
    <w:rsid w:val="00EB09B9"/>
    <w:rsid w:val="00EB76F7"/>
    <w:rsid w:val="00EB7CB1"/>
    <w:rsid w:val="00EC0569"/>
    <w:rsid w:val="00EC1C35"/>
    <w:rsid w:val="00EC5E45"/>
    <w:rsid w:val="00ED0557"/>
    <w:rsid w:val="00ED0CF0"/>
    <w:rsid w:val="00ED34D4"/>
    <w:rsid w:val="00EE30EE"/>
    <w:rsid w:val="00EE3C6D"/>
    <w:rsid w:val="00EE4C6E"/>
    <w:rsid w:val="00EE61B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24232"/>
    <w:rsid w:val="00F27170"/>
    <w:rsid w:val="00F30016"/>
    <w:rsid w:val="00F31C75"/>
    <w:rsid w:val="00F33277"/>
    <w:rsid w:val="00F340CD"/>
    <w:rsid w:val="00F341CC"/>
    <w:rsid w:val="00F40CAB"/>
    <w:rsid w:val="00F47C5C"/>
    <w:rsid w:val="00F54856"/>
    <w:rsid w:val="00F57650"/>
    <w:rsid w:val="00F579FC"/>
    <w:rsid w:val="00F60C74"/>
    <w:rsid w:val="00F62773"/>
    <w:rsid w:val="00F64F51"/>
    <w:rsid w:val="00F67A35"/>
    <w:rsid w:val="00F765E8"/>
    <w:rsid w:val="00F8200C"/>
    <w:rsid w:val="00F86D88"/>
    <w:rsid w:val="00F87FA7"/>
    <w:rsid w:val="00F90898"/>
    <w:rsid w:val="00F914C8"/>
    <w:rsid w:val="00F9473C"/>
    <w:rsid w:val="00FA40A3"/>
    <w:rsid w:val="00FA45CD"/>
    <w:rsid w:val="00FB3BA6"/>
    <w:rsid w:val="00FB4D65"/>
    <w:rsid w:val="00FB5954"/>
    <w:rsid w:val="00FB6695"/>
    <w:rsid w:val="00FC0CDF"/>
    <w:rsid w:val="00FC0D7C"/>
    <w:rsid w:val="00FC183A"/>
    <w:rsid w:val="00FC19F5"/>
    <w:rsid w:val="00FC1DB9"/>
    <w:rsid w:val="00FC3D1C"/>
    <w:rsid w:val="00FD08A7"/>
    <w:rsid w:val="00FD1295"/>
    <w:rsid w:val="00FD2E55"/>
    <w:rsid w:val="00FD2FA9"/>
    <w:rsid w:val="00FD3572"/>
    <w:rsid w:val="00FD54CC"/>
    <w:rsid w:val="00FE06A2"/>
    <w:rsid w:val="00FE79EF"/>
    <w:rsid w:val="00FF025A"/>
    <w:rsid w:val="00FF088B"/>
    <w:rsid w:val="00FF0AC4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54BCEA4-F282-48AC-8677-8404FB0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3F54-0657-4ABE-A1CD-A5C07AA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6788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8029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2011-02-04T20:41:00Z</cp:lastPrinted>
  <dcterms:created xsi:type="dcterms:W3CDTF">2015-05-07T12:37:00Z</dcterms:created>
  <dcterms:modified xsi:type="dcterms:W3CDTF">2015-05-07T12:37:00Z</dcterms:modified>
</cp:coreProperties>
</file>