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62" w:rsidRPr="00097863" w:rsidRDefault="009444E6" w:rsidP="00097863">
      <w:pPr>
        <w:pStyle w:val="Ttulo8"/>
        <w:tabs>
          <w:tab w:val="right" w:pos="4423"/>
        </w:tabs>
        <w:spacing w:before="0" w:after="0"/>
        <w:ind w:left="0"/>
        <w:rPr>
          <w:rFonts w:ascii="Times New Roman" w:hAnsi="Times New Roman"/>
          <w:b/>
          <w:i w:val="0"/>
          <w:color w:val="000000"/>
          <w:sz w:val="22"/>
          <w:szCs w:val="22"/>
        </w:rPr>
      </w:pPr>
      <w:bookmarkStart w:id="0" w:name="_GoBack"/>
      <w:bookmarkEnd w:id="0"/>
      <w:r w:rsidRPr="00097863">
        <w:rPr>
          <w:rFonts w:ascii="Times New Roman" w:hAnsi="Times New Roman"/>
          <w:b/>
          <w:i w:val="0"/>
          <w:color w:val="000000"/>
          <w:sz w:val="22"/>
          <w:szCs w:val="22"/>
        </w:rPr>
        <w:t xml:space="preserve">Sessões: </w:t>
      </w:r>
      <w:r w:rsidR="00063D0E">
        <w:rPr>
          <w:rFonts w:ascii="Times New Roman" w:hAnsi="Times New Roman"/>
          <w:b/>
          <w:i w:val="0"/>
          <w:color w:val="000000"/>
          <w:sz w:val="22"/>
          <w:szCs w:val="22"/>
        </w:rPr>
        <w:t>1º</w:t>
      </w:r>
      <w:r w:rsidR="00467815" w:rsidRPr="00097863">
        <w:rPr>
          <w:rFonts w:ascii="Times New Roman" w:hAnsi="Times New Roman"/>
          <w:b/>
          <w:i w:val="0"/>
          <w:color w:val="000000"/>
          <w:sz w:val="22"/>
          <w:szCs w:val="22"/>
        </w:rPr>
        <w:t xml:space="preserve"> </w:t>
      </w:r>
      <w:r w:rsidR="00F01B31" w:rsidRPr="00097863">
        <w:rPr>
          <w:rFonts w:ascii="Times New Roman" w:hAnsi="Times New Roman"/>
          <w:b/>
          <w:i w:val="0"/>
          <w:color w:val="000000"/>
          <w:sz w:val="22"/>
          <w:szCs w:val="22"/>
        </w:rPr>
        <w:t xml:space="preserve">e </w:t>
      </w:r>
      <w:r w:rsidR="003A3B7F">
        <w:rPr>
          <w:rFonts w:ascii="Times New Roman" w:hAnsi="Times New Roman"/>
          <w:b/>
          <w:i w:val="0"/>
          <w:color w:val="000000"/>
          <w:sz w:val="22"/>
          <w:szCs w:val="22"/>
        </w:rPr>
        <w:t>02</w:t>
      </w:r>
      <w:r w:rsidRPr="00097863">
        <w:rPr>
          <w:rFonts w:ascii="Times New Roman" w:hAnsi="Times New Roman"/>
          <w:b/>
          <w:i w:val="0"/>
          <w:color w:val="000000"/>
          <w:sz w:val="22"/>
          <w:szCs w:val="22"/>
        </w:rPr>
        <w:t xml:space="preserve"> de </w:t>
      </w:r>
      <w:r w:rsidR="00063D0E">
        <w:rPr>
          <w:rFonts w:ascii="Times New Roman" w:hAnsi="Times New Roman"/>
          <w:b/>
          <w:i w:val="0"/>
          <w:color w:val="000000"/>
          <w:sz w:val="22"/>
          <w:szCs w:val="22"/>
        </w:rPr>
        <w:t>março</w:t>
      </w:r>
      <w:r w:rsidRPr="00097863">
        <w:rPr>
          <w:rFonts w:ascii="Times New Roman" w:hAnsi="Times New Roman"/>
          <w:b/>
          <w:i w:val="0"/>
          <w:color w:val="000000"/>
          <w:sz w:val="22"/>
          <w:szCs w:val="22"/>
        </w:rPr>
        <w:t xml:space="preserve"> de 201</w:t>
      </w:r>
      <w:r w:rsidR="00467815" w:rsidRPr="00097863">
        <w:rPr>
          <w:rFonts w:ascii="Times New Roman" w:hAnsi="Times New Roman"/>
          <w:b/>
          <w:i w:val="0"/>
          <w:color w:val="000000"/>
          <w:sz w:val="22"/>
          <w:szCs w:val="22"/>
        </w:rPr>
        <w:t>1</w:t>
      </w:r>
    </w:p>
    <w:p w:rsidR="002D35F5" w:rsidRPr="00097863" w:rsidRDefault="002D35F5" w:rsidP="00097863">
      <w:pPr>
        <w:pStyle w:val="Corpodetexto2"/>
        <w:spacing w:after="0" w:line="240" w:lineRule="auto"/>
        <w:ind w:left="0"/>
        <w:rPr>
          <w:sz w:val="22"/>
          <w:szCs w:val="22"/>
        </w:rPr>
      </w:pPr>
      <w:r w:rsidRPr="00097863">
        <w:rPr>
          <w:sz w:val="22"/>
          <w:szCs w:val="22"/>
        </w:rPr>
        <w:t>Este Informativo, elaborado a partir das deliberações tomadas pelo Tribunal nas sessões de julgamento das Câmaras e do Plenário, contém resumos de algumas decisões proferidas nas datas acima indicadas, relativas a licitações e contratos, e tem por finalidade facilitar o acompanhamento, pelo leitor, da jurisprudência do TCU quanto aos aspectos relevantes que envolvem o tema. Por esse motivo,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w:t>
      </w:r>
    </w:p>
    <w:p w:rsidR="00FF7C62" w:rsidRPr="00097863" w:rsidRDefault="00FF7C62" w:rsidP="00097863">
      <w:pPr>
        <w:pStyle w:val="Corpodetexto2"/>
        <w:spacing w:after="0" w:line="240" w:lineRule="auto"/>
        <w:ind w:left="0"/>
        <w:rPr>
          <w:sz w:val="22"/>
          <w:szCs w:val="22"/>
        </w:rPr>
      </w:pPr>
    </w:p>
    <w:p w:rsidR="002D35F5" w:rsidRPr="00D53537" w:rsidRDefault="002D35F5" w:rsidP="005950EE">
      <w:pPr>
        <w:pBdr>
          <w:top w:val="threeDEmboss" w:sz="24" w:space="2" w:color="auto"/>
        </w:pBdr>
        <w:tabs>
          <w:tab w:val="left" w:pos="284"/>
        </w:tabs>
        <w:spacing w:after="0"/>
        <w:ind w:left="0"/>
        <w:jc w:val="center"/>
        <w:rPr>
          <w:rFonts w:ascii="Cambria" w:hAnsi="Cambria"/>
          <w:b/>
          <w:bCs/>
          <w:smallCaps/>
          <w:sz w:val="22"/>
          <w:szCs w:val="22"/>
        </w:rPr>
      </w:pPr>
      <w:r w:rsidRPr="00D53537">
        <w:rPr>
          <w:rFonts w:ascii="Cambria" w:hAnsi="Cambria"/>
          <w:b/>
          <w:bCs/>
          <w:smallCaps/>
          <w:sz w:val="22"/>
          <w:szCs w:val="22"/>
        </w:rPr>
        <w:t>S</w:t>
      </w:r>
      <w:r w:rsidR="00FF7C62" w:rsidRPr="00D53537">
        <w:rPr>
          <w:rFonts w:ascii="Cambria" w:hAnsi="Cambria"/>
          <w:b/>
          <w:bCs/>
          <w:smallCaps/>
          <w:sz w:val="22"/>
          <w:szCs w:val="22"/>
        </w:rPr>
        <w:t>UMÁRIO</w:t>
      </w:r>
    </w:p>
    <w:p w:rsidR="009444E6" w:rsidRPr="009E59A1" w:rsidRDefault="009444E6" w:rsidP="005950EE">
      <w:pPr>
        <w:pStyle w:val="tita"/>
        <w:spacing w:before="60" w:after="0" w:line="240" w:lineRule="auto"/>
        <w:jc w:val="both"/>
        <w:rPr>
          <w:i w:val="0"/>
          <w:iCs w:val="0"/>
          <w:color w:val="000000"/>
          <w:sz w:val="22"/>
          <w:szCs w:val="22"/>
        </w:rPr>
      </w:pPr>
      <w:r w:rsidRPr="009E59A1">
        <w:rPr>
          <w:i w:val="0"/>
          <w:iCs w:val="0"/>
          <w:color w:val="000000"/>
          <w:sz w:val="22"/>
          <w:szCs w:val="22"/>
        </w:rPr>
        <w:t>Plenário</w:t>
      </w:r>
    </w:p>
    <w:p w:rsidR="00ED0820" w:rsidRPr="00EE4FF1" w:rsidRDefault="00EE4FF1" w:rsidP="005950EE">
      <w:pPr>
        <w:pStyle w:val="TCU-Epgrafe"/>
        <w:spacing w:before="60"/>
        <w:ind w:left="0"/>
        <w:rPr>
          <w:sz w:val="22"/>
          <w:szCs w:val="22"/>
        </w:rPr>
      </w:pPr>
      <w:r w:rsidRPr="00EE4FF1">
        <w:rPr>
          <w:sz w:val="22"/>
          <w:szCs w:val="22"/>
        </w:rPr>
        <w:t>O regime de empreitada por preço global é compatível com a realização de medições mensais, para o pagamento de serviços executados</w:t>
      </w:r>
      <w:r w:rsidR="00ED0820" w:rsidRPr="00EE4FF1">
        <w:rPr>
          <w:sz w:val="22"/>
          <w:szCs w:val="22"/>
        </w:rPr>
        <w:t>.</w:t>
      </w:r>
    </w:p>
    <w:p w:rsidR="00EE4FF1" w:rsidRPr="00EE4FF1" w:rsidRDefault="00EE4FF1" w:rsidP="005950EE">
      <w:pPr>
        <w:widowControl w:val="0"/>
        <w:tabs>
          <w:tab w:val="left" w:pos="90"/>
        </w:tabs>
        <w:autoSpaceDE w:val="0"/>
        <w:autoSpaceDN w:val="0"/>
        <w:adjustRightInd w:val="0"/>
        <w:spacing w:before="60" w:after="0"/>
        <w:ind w:left="0"/>
        <w:rPr>
          <w:sz w:val="22"/>
          <w:szCs w:val="22"/>
        </w:rPr>
      </w:pPr>
      <w:r w:rsidRPr="00EE4FF1">
        <w:rPr>
          <w:sz w:val="22"/>
          <w:szCs w:val="22"/>
        </w:rPr>
        <w:t>Licitações do tipo técnica e preço: atribuição de pontuação distinta para técnica e preço demanda justi</w:t>
      </w:r>
      <w:r>
        <w:rPr>
          <w:sz w:val="22"/>
          <w:szCs w:val="22"/>
        </w:rPr>
        <w:t>ficativa</w:t>
      </w:r>
      <w:r w:rsidRPr="00EE4FF1">
        <w:rPr>
          <w:sz w:val="22"/>
          <w:szCs w:val="22"/>
        </w:rPr>
        <w:t>.</w:t>
      </w:r>
    </w:p>
    <w:p w:rsidR="00EE4FF1" w:rsidRPr="00EE4FF1" w:rsidRDefault="00EE4FF1" w:rsidP="005950EE">
      <w:pPr>
        <w:widowControl w:val="0"/>
        <w:tabs>
          <w:tab w:val="left" w:pos="90"/>
        </w:tabs>
        <w:autoSpaceDE w:val="0"/>
        <w:autoSpaceDN w:val="0"/>
        <w:adjustRightInd w:val="0"/>
        <w:spacing w:before="60" w:after="0"/>
        <w:ind w:left="0"/>
        <w:rPr>
          <w:sz w:val="22"/>
          <w:szCs w:val="22"/>
        </w:rPr>
      </w:pPr>
      <w:r w:rsidRPr="00EE4FF1">
        <w:rPr>
          <w:sz w:val="22"/>
          <w:szCs w:val="22"/>
        </w:rPr>
        <w:t>Licitações de obras públicas: devem ser desclassificadas as propostas de licitantes que não contenham a composição de todos os custos unitários dos itens</w:t>
      </w:r>
      <w:r>
        <w:rPr>
          <w:sz w:val="22"/>
          <w:szCs w:val="22"/>
        </w:rPr>
        <w:t>.</w:t>
      </w:r>
    </w:p>
    <w:p w:rsidR="00EE4FF1" w:rsidRPr="00EE4FF1" w:rsidRDefault="00EE4FF1" w:rsidP="005950EE">
      <w:pPr>
        <w:widowControl w:val="0"/>
        <w:tabs>
          <w:tab w:val="left" w:pos="90"/>
        </w:tabs>
        <w:autoSpaceDE w:val="0"/>
        <w:autoSpaceDN w:val="0"/>
        <w:adjustRightInd w:val="0"/>
        <w:spacing w:before="60" w:after="0"/>
        <w:ind w:left="0"/>
        <w:rPr>
          <w:sz w:val="22"/>
          <w:szCs w:val="22"/>
        </w:rPr>
      </w:pPr>
      <w:r w:rsidRPr="00EE4FF1">
        <w:rPr>
          <w:sz w:val="22"/>
          <w:szCs w:val="22"/>
        </w:rPr>
        <w:t>Licitação para aquisição de cartuchos e toners originais do fabricante: é adequado o uso da expressão “de qualidade equivalente”</w:t>
      </w:r>
      <w:r>
        <w:rPr>
          <w:sz w:val="22"/>
          <w:szCs w:val="22"/>
        </w:rPr>
        <w:t>.</w:t>
      </w:r>
    </w:p>
    <w:p w:rsidR="00070785" w:rsidRPr="00D53537" w:rsidRDefault="00070785" w:rsidP="002E789C">
      <w:pPr>
        <w:pStyle w:val="enter-3pt"/>
        <w:spacing w:before="60" w:after="60" w:line="240" w:lineRule="auto"/>
        <w:rPr>
          <w:b/>
          <w:sz w:val="22"/>
          <w:szCs w:val="22"/>
        </w:rPr>
      </w:pPr>
    </w:p>
    <w:p w:rsidR="003C6DEB" w:rsidRDefault="003C6DEB" w:rsidP="009E59A1">
      <w:pPr>
        <w:pBdr>
          <w:top w:val="threeDEmboss" w:sz="24" w:space="0" w:color="auto"/>
        </w:pBdr>
        <w:tabs>
          <w:tab w:val="left" w:pos="284"/>
        </w:tabs>
        <w:spacing w:after="0"/>
        <w:ind w:left="0"/>
        <w:jc w:val="center"/>
        <w:rPr>
          <w:rFonts w:ascii="Cambria" w:hAnsi="Cambria"/>
          <w:b/>
          <w:bCs/>
          <w:smallCaps/>
          <w:sz w:val="22"/>
          <w:szCs w:val="22"/>
        </w:rPr>
      </w:pPr>
      <w:r w:rsidRPr="00D53537">
        <w:rPr>
          <w:rFonts w:ascii="Cambria" w:hAnsi="Cambria"/>
          <w:b/>
          <w:bCs/>
          <w:smallCaps/>
          <w:sz w:val="22"/>
          <w:szCs w:val="22"/>
        </w:rPr>
        <w:t>PLENÁRIO</w:t>
      </w:r>
    </w:p>
    <w:p w:rsidR="004470AD" w:rsidRPr="00D53537" w:rsidRDefault="004470AD" w:rsidP="009E59A1">
      <w:pPr>
        <w:pBdr>
          <w:top w:val="threeDEmboss" w:sz="24" w:space="0" w:color="auto"/>
        </w:pBdr>
        <w:tabs>
          <w:tab w:val="left" w:pos="284"/>
        </w:tabs>
        <w:spacing w:after="0"/>
        <w:ind w:left="0"/>
        <w:jc w:val="center"/>
        <w:rPr>
          <w:rFonts w:ascii="Cambria" w:hAnsi="Cambria"/>
          <w:b/>
          <w:bCs/>
          <w:smallCaps/>
          <w:sz w:val="22"/>
          <w:szCs w:val="22"/>
        </w:rPr>
      </w:pPr>
    </w:p>
    <w:p w:rsidR="004470AD" w:rsidRPr="004470AD" w:rsidRDefault="004470AD" w:rsidP="004470AD">
      <w:pPr>
        <w:pStyle w:val="TCU-Epgrafe"/>
        <w:ind w:left="0"/>
        <w:rPr>
          <w:b/>
          <w:sz w:val="22"/>
          <w:szCs w:val="22"/>
        </w:rPr>
      </w:pPr>
      <w:r w:rsidRPr="004470AD">
        <w:rPr>
          <w:b/>
          <w:sz w:val="22"/>
          <w:szCs w:val="22"/>
        </w:rPr>
        <w:t>O regime de empreitada por preço global é compatível com a realização de medições mensais, para o pagamento de serviços executados</w:t>
      </w:r>
    </w:p>
    <w:p w:rsidR="002D532D" w:rsidRPr="004470AD" w:rsidRDefault="0088365E" w:rsidP="003A4F15">
      <w:pPr>
        <w:pStyle w:val="TCU-Epgrafe"/>
        <w:ind w:left="0"/>
        <w:rPr>
          <w:b/>
          <w:i/>
          <w:sz w:val="22"/>
          <w:szCs w:val="22"/>
        </w:rPr>
      </w:pPr>
      <w:r w:rsidRPr="004470AD">
        <w:rPr>
          <w:sz w:val="22"/>
          <w:szCs w:val="22"/>
        </w:rPr>
        <w:t xml:space="preserve">O TCU, mediante representação, examinou possíveis irregularidades na Concorrência nº 172/2010, </w:t>
      </w:r>
      <w:r w:rsidR="004470AD" w:rsidRPr="004470AD">
        <w:rPr>
          <w:sz w:val="22"/>
          <w:szCs w:val="22"/>
        </w:rPr>
        <w:t>levada à efeito</w:t>
      </w:r>
      <w:r w:rsidRPr="004470AD">
        <w:rPr>
          <w:sz w:val="22"/>
          <w:szCs w:val="22"/>
        </w:rPr>
        <w:t xml:space="preserve"> pelo Serviço Social da Indústria – Departamento Regional no Espírito Santo </w:t>
      </w:r>
      <w:r w:rsidR="00096B1B" w:rsidRPr="004470AD">
        <w:rPr>
          <w:sz w:val="22"/>
          <w:szCs w:val="22"/>
        </w:rPr>
        <w:t>–</w:t>
      </w:r>
      <w:r w:rsidRPr="004470AD">
        <w:rPr>
          <w:sz w:val="22"/>
          <w:szCs w:val="22"/>
        </w:rPr>
        <w:t xml:space="preserve"> </w:t>
      </w:r>
      <w:r w:rsidR="00096B1B" w:rsidRPr="004470AD">
        <w:rPr>
          <w:sz w:val="22"/>
          <w:szCs w:val="22"/>
        </w:rPr>
        <w:t>(</w:t>
      </w:r>
      <w:r w:rsidRPr="004470AD">
        <w:rPr>
          <w:sz w:val="22"/>
          <w:szCs w:val="22"/>
        </w:rPr>
        <w:t>Sesi/DR-ES</w:t>
      </w:r>
      <w:r w:rsidR="00096B1B" w:rsidRPr="004470AD">
        <w:rPr>
          <w:sz w:val="22"/>
          <w:szCs w:val="22"/>
        </w:rPr>
        <w:t>)</w:t>
      </w:r>
      <w:r w:rsidRPr="004470AD">
        <w:rPr>
          <w:sz w:val="22"/>
          <w:szCs w:val="22"/>
        </w:rPr>
        <w:t xml:space="preserve"> </w:t>
      </w:r>
      <w:r w:rsidR="00096B1B" w:rsidRPr="004470AD">
        <w:rPr>
          <w:sz w:val="22"/>
          <w:szCs w:val="22"/>
        </w:rPr>
        <w:t xml:space="preserve">e </w:t>
      </w:r>
      <w:r w:rsidRPr="004470AD">
        <w:rPr>
          <w:sz w:val="22"/>
          <w:szCs w:val="22"/>
        </w:rPr>
        <w:t xml:space="preserve">destinada à contratação de empresa </w:t>
      </w:r>
      <w:r w:rsidRPr="004470AD">
        <w:rPr>
          <w:snapToGrid w:val="0"/>
          <w:sz w:val="22"/>
          <w:szCs w:val="22"/>
        </w:rPr>
        <w:t xml:space="preserve">para construção do Centro Integrado do Sesi/Senai na cidade de Anchieta/ES. Dentre tais irregularidades, constou a </w:t>
      </w:r>
      <w:r w:rsidRPr="004470AD">
        <w:rPr>
          <w:sz w:val="22"/>
          <w:szCs w:val="22"/>
        </w:rPr>
        <w:t>previsão d</w:t>
      </w:r>
      <w:r w:rsidR="004470AD" w:rsidRPr="004470AD">
        <w:rPr>
          <w:sz w:val="22"/>
          <w:szCs w:val="22"/>
        </w:rPr>
        <w:t>a</w:t>
      </w:r>
      <w:r w:rsidRPr="004470AD">
        <w:rPr>
          <w:sz w:val="22"/>
          <w:szCs w:val="22"/>
        </w:rPr>
        <w:t xml:space="preserve"> realização de medições mensais dos serviços executados, </w:t>
      </w:r>
      <w:r w:rsidR="00096B1B" w:rsidRPr="004470AD">
        <w:rPr>
          <w:sz w:val="22"/>
          <w:szCs w:val="22"/>
        </w:rPr>
        <w:t>o que seria, aparentemente,</w:t>
      </w:r>
      <w:r w:rsidRPr="004470AD">
        <w:rPr>
          <w:sz w:val="22"/>
          <w:szCs w:val="22"/>
        </w:rPr>
        <w:t xml:space="preserve"> incompatíve</w:t>
      </w:r>
      <w:r w:rsidR="00096B1B" w:rsidRPr="004470AD">
        <w:rPr>
          <w:sz w:val="22"/>
          <w:szCs w:val="22"/>
        </w:rPr>
        <w:t>l</w:t>
      </w:r>
      <w:r w:rsidRPr="004470AD">
        <w:rPr>
          <w:sz w:val="22"/>
          <w:szCs w:val="22"/>
        </w:rPr>
        <w:t xml:space="preserve"> com o regime de empreitada por preço global, implicitamente adotado no certame, para o qual as medições deve</w:t>
      </w:r>
      <w:r w:rsidR="00096B1B" w:rsidRPr="004470AD">
        <w:rPr>
          <w:sz w:val="22"/>
          <w:szCs w:val="22"/>
        </w:rPr>
        <w:t>ria</w:t>
      </w:r>
      <w:r w:rsidRPr="004470AD">
        <w:rPr>
          <w:sz w:val="22"/>
          <w:szCs w:val="22"/>
        </w:rPr>
        <w:t>m ser efetuadas por eventos</w:t>
      </w:r>
      <w:r w:rsidR="00096B1B" w:rsidRPr="004470AD">
        <w:rPr>
          <w:sz w:val="22"/>
          <w:szCs w:val="22"/>
        </w:rPr>
        <w:t>, no entender da unidade instrutiva. Para o relator, todavia, não haveria incompatibilidade entre tal regime e a feitura de medições, conforme jurisprudência do próprio TCU. Segundo ele, “a</w:t>
      </w:r>
      <w:r w:rsidR="00096B1B" w:rsidRPr="004470AD">
        <w:rPr>
          <w:i/>
          <w:sz w:val="22"/>
          <w:szCs w:val="22"/>
        </w:rPr>
        <w:t>s medições – que podem até ser mensais – são necessárias para verificar o andamento das etapas previstas da obra ou do serviço e evitar que haja pagamentos antecipados ou indevidos</w:t>
      </w:r>
      <w:r w:rsidR="00096B1B" w:rsidRPr="004470AD">
        <w:rPr>
          <w:sz w:val="22"/>
          <w:szCs w:val="22"/>
        </w:rPr>
        <w:t>”. No caso concreto, em que sequer teria havido a elaboração de cronograma das obras, teria sido necessário “</w:t>
      </w:r>
      <w:r w:rsidR="00096B1B" w:rsidRPr="004470AD">
        <w:rPr>
          <w:i/>
          <w:sz w:val="22"/>
          <w:szCs w:val="22"/>
        </w:rPr>
        <w:t>definir, prévia e objetivamente, as etapas previstas para execução da obra, mediante a apresentação de memorial descritivo ou cronograma físico-financeiro detalhado</w:t>
      </w:r>
      <w:r w:rsidR="00096B1B" w:rsidRPr="004470AD">
        <w:rPr>
          <w:sz w:val="22"/>
          <w:szCs w:val="22"/>
        </w:rPr>
        <w:t xml:space="preserve">”, o que, de fato, não ocorrera. </w:t>
      </w:r>
      <w:r w:rsidR="003A4F15">
        <w:rPr>
          <w:sz w:val="22"/>
          <w:szCs w:val="22"/>
        </w:rPr>
        <w:t>Contudo</w:t>
      </w:r>
      <w:r w:rsidR="00096B1B" w:rsidRPr="004470AD">
        <w:rPr>
          <w:sz w:val="22"/>
          <w:szCs w:val="22"/>
        </w:rPr>
        <w:t xml:space="preserve">, apesar de considerar regular o uso de medições combinado com o regime de empreitada por preço global, em razão de diversas outras irregularidades, entendeu ser a providência mais adequada </w:t>
      </w:r>
      <w:r w:rsidR="00AB0F2E" w:rsidRPr="004470AD">
        <w:rPr>
          <w:sz w:val="22"/>
          <w:szCs w:val="22"/>
        </w:rPr>
        <w:t xml:space="preserve">determinar ao Sesi/DR-ES a adoção das providências com vistas à anulação da Concorrência nº 172/2010, apresentando voto nesse sentido, no que contou com a anuência do Plenário. </w:t>
      </w:r>
      <w:r w:rsidR="00096B1B" w:rsidRPr="004470AD">
        <w:rPr>
          <w:sz w:val="22"/>
          <w:szCs w:val="22"/>
        </w:rPr>
        <w:t>Precedentes citados: Acórdãos n</w:t>
      </w:r>
      <w:r w:rsidR="00096B1B" w:rsidRPr="004470AD">
        <w:rPr>
          <w:sz w:val="22"/>
          <w:szCs w:val="22"/>
          <w:u w:val="single"/>
          <w:vertAlign w:val="superscript"/>
        </w:rPr>
        <w:t>os</w:t>
      </w:r>
      <w:r w:rsidR="00096B1B" w:rsidRPr="004470AD">
        <w:rPr>
          <w:sz w:val="22"/>
          <w:szCs w:val="22"/>
        </w:rPr>
        <w:t xml:space="preserve"> 1998/2008 e 81/2010 e Decisão 535/2000, todos do Plenário</w:t>
      </w:r>
      <w:r w:rsidR="00935C40" w:rsidRPr="004470AD">
        <w:rPr>
          <w:sz w:val="22"/>
          <w:szCs w:val="22"/>
        </w:rPr>
        <w:t xml:space="preserve">. </w:t>
      </w:r>
      <w:r w:rsidR="002D532D" w:rsidRPr="004470AD">
        <w:rPr>
          <w:b/>
          <w:i/>
          <w:sz w:val="22"/>
          <w:szCs w:val="22"/>
        </w:rPr>
        <w:t xml:space="preserve">Acórdão n.º </w:t>
      </w:r>
      <w:r w:rsidRPr="004470AD">
        <w:rPr>
          <w:b/>
          <w:i/>
          <w:sz w:val="22"/>
          <w:szCs w:val="22"/>
        </w:rPr>
        <w:t>53</w:t>
      </w:r>
      <w:r w:rsidR="002D532D" w:rsidRPr="004470AD">
        <w:rPr>
          <w:b/>
          <w:i/>
          <w:sz w:val="22"/>
          <w:szCs w:val="22"/>
        </w:rPr>
        <w:t>4/2011-Plenário, TC-0</w:t>
      </w:r>
      <w:r w:rsidRPr="004470AD">
        <w:rPr>
          <w:b/>
          <w:i/>
          <w:sz w:val="22"/>
          <w:szCs w:val="22"/>
        </w:rPr>
        <w:t>32</w:t>
      </w:r>
      <w:r w:rsidR="002D532D" w:rsidRPr="004470AD">
        <w:rPr>
          <w:b/>
          <w:i/>
          <w:sz w:val="22"/>
          <w:szCs w:val="22"/>
        </w:rPr>
        <w:t>.</w:t>
      </w:r>
      <w:r w:rsidRPr="004470AD">
        <w:rPr>
          <w:b/>
          <w:i/>
          <w:sz w:val="22"/>
          <w:szCs w:val="22"/>
        </w:rPr>
        <w:t>619</w:t>
      </w:r>
      <w:r w:rsidR="002D532D" w:rsidRPr="004470AD">
        <w:rPr>
          <w:b/>
          <w:i/>
          <w:sz w:val="22"/>
          <w:szCs w:val="22"/>
        </w:rPr>
        <w:t>/20</w:t>
      </w:r>
      <w:r w:rsidRPr="004470AD">
        <w:rPr>
          <w:b/>
          <w:i/>
          <w:sz w:val="22"/>
          <w:szCs w:val="22"/>
        </w:rPr>
        <w:t>1</w:t>
      </w:r>
      <w:r w:rsidR="002D532D" w:rsidRPr="004470AD">
        <w:rPr>
          <w:b/>
          <w:i/>
          <w:sz w:val="22"/>
          <w:szCs w:val="22"/>
        </w:rPr>
        <w:t>0-</w:t>
      </w:r>
      <w:r w:rsidRPr="004470AD">
        <w:rPr>
          <w:b/>
          <w:i/>
          <w:sz w:val="22"/>
          <w:szCs w:val="22"/>
        </w:rPr>
        <w:t>3</w:t>
      </w:r>
      <w:r w:rsidR="002D532D" w:rsidRPr="004470AD">
        <w:rPr>
          <w:b/>
          <w:i/>
          <w:sz w:val="22"/>
          <w:szCs w:val="22"/>
        </w:rPr>
        <w:t xml:space="preserve">, rel. Min. Ubiratan Aguiar, </w:t>
      </w:r>
      <w:r w:rsidRPr="004470AD">
        <w:rPr>
          <w:b/>
          <w:i/>
          <w:sz w:val="22"/>
          <w:szCs w:val="22"/>
        </w:rPr>
        <w:t>02</w:t>
      </w:r>
      <w:r w:rsidR="002D532D" w:rsidRPr="004470AD">
        <w:rPr>
          <w:b/>
          <w:i/>
          <w:sz w:val="22"/>
          <w:szCs w:val="22"/>
        </w:rPr>
        <w:t>.0</w:t>
      </w:r>
      <w:r w:rsidRPr="004470AD">
        <w:rPr>
          <w:b/>
          <w:i/>
          <w:sz w:val="22"/>
          <w:szCs w:val="22"/>
        </w:rPr>
        <w:t>3</w:t>
      </w:r>
      <w:r w:rsidR="002D532D" w:rsidRPr="004470AD">
        <w:rPr>
          <w:b/>
          <w:i/>
          <w:sz w:val="22"/>
          <w:szCs w:val="22"/>
        </w:rPr>
        <w:t>.2011.</w:t>
      </w:r>
    </w:p>
    <w:p w:rsidR="002D532D" w:rsidRPr="00646EB7" w:rsidRDefault="002D532D" w:rsidP="003A4F15">
      <w:pPr>
        <w:pStyle w:val="Corpodetexto"/>
        <w:tabs>
          <w:tab w:val="left" w:pos="1134"/>
        </w:tabs>
        <w:spacing w:after="0"/>
        <w:ind w:left="0"/>
        <w:rPr>
          <w:b/>
          <w:color w:val="FF0000"/>
          <w:sz w:val="22"/>
          <w:szCs w:val="22"/>
        </w:rPr>
      </w:pPr>
    </w:p>
    <w:p w:rsidR="00C144D5" w:rsidRPr="004470AD" w:rsidRDefault="004470AD" w:rsidP="003A4F15">
      <w:pPr>
        <w:widowControl w:val="0"/>
        <w:tabs>
          <w:tab w:val="left" w:pos="90"/>
        </w:tabs>
        <w:autoSpaceDE w:val="0"/>
        <w:autoSpaceDN w:val="0"/>
        <w:adjustRightInd w:val="0"/>
        <w:spacing w:after="0"/>
        <w:ind w:left="0"/>
        <w:rPr>
          <w:b/>
          <w:sz w:val="22"/>
          <w:szCs w:val="22"/>
        </w:rPr>
      </w:pPr>
      <w:r>
        <w:rPr>
          <w:b/>
          <w:sz w:val="22"/>
          <w:szCs w:val="22"/>
        </w:rPr>
        <w:t>Licitações do tipo técnica e preço: atribuição de p</w:t>
      </w:r>
      <w:r w:rsidR="00DE7083" w:rsidRPr="004470AD">
        <w:rPr>
          <w:b/>
          <w:sz w:val="22"/>
          <w:szCs w:val="22"/>
        </w:rPr>
        <w:t>ontuação distinta para técnica e preço</w:t>
      </w:r>
      <w:r>
        <w:rPr>
          <w:b/>
          <w:sz w:val="22"/>
          <w:szCs w:val="22"/>
        </w:rPr>
        <w:t xml:space="preserve"> demanda justi</w:t>
      </w:r>
      <w:r w:rsidR="00EE4FF1">
        <w:rPr>
          <w:b/>
          <w:sz w:val="22"/>
          <w:szCs w:val="22"/>
        </w:rPr>
        <w:t>ficativa</w:t>
      </w:r>
    </w:p>
    <w:p w:rsidR="00C144D5" w:rsidRPr="004470AD" w:rsidRDefault="00C144D5" w:rsidP="003A4F15">
      <w:pPr>
        <w:tabs>
          <w:tab w:val="left" w:pos="0"/>
          <w:tab w:val="left" w:pos="1134"/>
        </w:tabs>
        <w:spacing w:after="0"/>
        <w:ind w:left="0"/>
        <w:rPr>
          <w:b/>
          <w:i/>
          <w:sz w:val="22"/>
          <w:szCs w:val="22"/>
        </w:rPr>
      </w:pPr>
      <w:r w:rsidRPr="004470AD">
        <w:rPr>
          <w:sz w:val="22"/>
          <w:szCs w:val="22"/>
        </w:rPr>
        <w:t xml:space="preserve">Para </w:t>
      </w:r>
      <w:r w:rsidR="004470AD">
        <w:rPr>
          <w:sz w:val="22"/>
          <w:szCs w:val="22"/>
        </w:rPr>
        <w:t>o exame de</w:t>
      </w:r>
      <w:r w:rsidRPr="004470AD">
        <w:rPr>
          <w:sz w:val="22"/>
          <w:szCs w:val="22"/>
        </w:rPr>
        <w:t xml:space="preserve"> representação por meio da qual teve notícias de possíveis irregularidades na Concorrência 1/2010, promovida pela Secretaria Executiva do Ministério do Esporte, e que teve por objeto a contratação de empresa especializada na prestação de serviços de consultoria, planejamento estratégico e prestação de serviços de assessoria de imprensa e relações públicas para promover o Ministério do Esporte, seus programas e suas ações, no Brasil e no exterior, o TCU promoveu diligência para esclarecer, dentre outros fatos, </w:t>
      </w:r>
      <w:r w:rsidRPr="004470AD">
        <w:rPr>
          <w:sz w:val="22"/>
          <w:szCs w:val="22"/>
          <w:lang w:eastAsia="pt-BR"/>
        </w:rPr>
        <w:t xml:space="preserve">as razões para atribuição de peso 6 para a proposta técnica e peso 4 à proposta de preço, em desconformidade com o item 9.3.6 do Acórdão 1488, de 2009, do  Plenário do Tribunal. Naquela oportunidade, o colegiado entendeu elevados os pesos 7, para técnica, e 3, para preço. Para o Ministério, a atribuição dos pesos na Concorrência 1/2010 estaria de acordo </w:t>
      </w:r>
      <w:r w:rsidR="003A4F15">
        <w:rPr>
          <w:sz w:val="22"/>
          <w:szCs w:val="22"/>
          <w:lang w:eastAsia="pt-BR"/>
        </w:rPr>
        <w:t xml:space="preserve">com </w:t>
      </w:r>
      <w:r w:rsidRPr="004470AD">
        <w:rPr>
          <w:sz w:val="22"/>
          <w:szCs w:val="22"/>
          <w:lang w:eastAsia="pt-BR"/>
        </w:rPr>
        <w:t xml:space="preserve">o </w:t>
      </w:r>
      <w:r w:rsidRPr="004470AD">
        <w:rPr>
          <w:b/>
          <w:sz w:val="22"/>
          <w:szCs w:val="22"/>
          <w:lang w:eastAsia="pt-BR"/>
        </w:rPr>
        <w:t xml:space="preserve">decisum </w:t>
      </w:r>
      <w:r w:rsidRPr="004470AD">
        <w:rPr>
          <w:sz w:val="22"/>
          <w:szCs w:val="22"/>
          <w:lang w:eastAsia="pt-BR"/>
        </w:rPr>
        <w:t xml:space="preserve">de 2009, </w:t>
      </w:r>
      <w:r w:rsidR="00DE7083" w:rsidRPr="004470AD">
        <w:rPr>
          <w:sz w:val="22"/>
          <w:szCs w:val="22"/>
          <w:lang w:eastAsia="pt-BR"/>
        </w:rPr>
        <w:t>do que divergiu o relator</w:t>
      </w:r>
      <w:r w:rsidR="003A4F15">
        <w:rPr>
          <w:sz w:val="22"/>
          <w:szCs w:val="22"/>
          <w:lang w:eastAsia="pt-BR"/>
        </w:rPr>
        <w:t>.</w:t>
      </w:r>
      <w:r w:rsidR="00DE7083" w:rsidRPr="004470AD">
        <w:rPr>
          <w:sz w:val="22"/>
          <w:szCs w:val="22"/>
          <w:lang w:eastAsia="pt-BR"/>
        </w:rPr>
        <w:t xml:space="preserve"> </w:t>
      </w:r>
      <w:r w:rsidR="003A4F15">
        <w:rPr>
          <w:sz w:val="22"/>
          <w:szCs w:val="22"/>
          <w:lang w:eastAsia="pt-BR"/>
        </w:rPr>
        <w:t>P</w:t>
      </w:r>
      <w:r w:rsidR="00DE7083" w:rsidRPr="004470AD">
        <w:rPr>
          <w:sz w:val="22"/>
          <w:szCs w:val="22"/>
          <w:lang w:eastAsia="pt-BR"/>
        </w:rPr>
        <w:t xml:space="preserve">ara </w:t>
      </w:r>
      <w:r w:rsidR="003A4F15">
        <w:rPr>
          <w:sz w:val="22"/>
          <w:szCs w:val="22"/>
          <w:lang w:eastAsia="pt-BR"/>
        </w:rPr>
        <w:t xml:space="preserve">ele, </w:t>
      </w:r>
      <w:r w:rsidR="00DE7083" w:rsidRPr="004470AD">
        <w:rPr>
          <w:sz w:val="22"/>
          <w:szCs w:val="22"/>
          <w:lang w:eastAsia="pt-BR"/>
        </w:rPr>
        <w:t>na espécie, “</w:t>
      </w:r>
      <w:r w:rsidR="00DE7083" w:rsidRPr="004470AD">
        <w:rPr>
          <w:i/>
          <w:sz w:val="22"/>
          <w:szCs w:val="22"/>
          <w:lang w:eastAsia="pt-BR"/>
        </w:rPr>
        <w:t>a redução da diferença entre os pesos, embora signifique avanço em relação ao edital anterior, não atende integralmente a determinação do Acórdão 1.488/2009 – Plenário</w:t>
      </w:r>
      <w:r w:rsidR="00DE7083" w:rsidRPr="004470AD">
        <w:rPr>
          <w:sz w:val="22"/>
          <w:szCs w:val="22"/>
          <w:lang w:eastAsia="pt-BR"/>
        </w:rPr>
        <w:t>”. Ainda segundo o relator, seria essencial, e não constou do edital da Concorrência 1/2010, a apresentação de justificativas técnicas que demonstrem a razoabilidade da ponderação, uma vez que “</w:t>
      </w:r>
      <w:r w:rsidR="00DE7083" w:rsidRPr="004470AD">
        <w:rPr>
          <w:i/>
          <w:sz w:val="22"/>
          <w:szCs w:val="22"/>
          <w:lang w:eastAsia="pt-BR"/>
        </w:rPr>
        <w:t>a adoção de critério desproporcional poderia acarretar prejuízo à competitividade do certame e à obtenção da proposta mais vantajosa pela Administração</w:t>
      </w:r>
      <w:r w:rsidR="00DE7083" w:rsidRPr="004470AD">
        <w:rPr>
          <w:sz w:val="22"/>
          <w:szCs w:val="22"/>
          <w:lang w:eastAsia="pt-BR"/>
        </w:rPr>
        <w:t xml:space="preserve">”. Nesse sentido, estaria configurado o descumprimento parcial da determinação anterior do Tribunal. Entendeu, </w:t>
      </w:r>
      <w:r w:rsidR="003A4F15">
        <w:rPr>
          <w:sz w:val="22"/>
          <w:szCs w:val="22"/>
          <w:lang w:eastAsia="pt-BR"/>
        </w:rPr>
        <w:t>todavia</w:t>
      </w:r>
      <w:r w:rsidR="00DE7083" w:rsidRPr="004470AD">
        <w:rPr>
          <w:sz w:val="22"/>
          <w:szCs w:val="22"/>
          <w:lang w:eastAsia="pt-BR"/>
        </w:rPr>
        <w:t>, ser suficiente, no ponto, a expedição de alerta ao Ministério do Esporte</w:t>
      </w:r>
      <w:r w:rsidR="004470AD" w:rsidRPr="004470AD">
        <w:rPr>
          <w:sz w:val="22"/>
          <w:szCs w:val="22"/>
          <w:lang w:eastAsia="pt-BR"/>
        </w:rPr>
        <w:t>, de modo a evitar irregularidade semelhante em suas futuras licitações</w:t>
      </w:r>
      <w:r w:rsidR="00DE7083" w:rsidRPr="004470AD">
        <w:rPr>
          <w:sz w:val="22"/>
          <w:szCs w:val="22"/>
          <w:lang w:eastAsia="pt-BR"/>
        </w:rPr>
        <w:t>, votando nesse sentido, no que foi acompanhado pelo Plenário.</w:t>
      </w:r>
      <w:r w:rsidRPr="004470AD">
        <w:rPr>
          <w:sz w:val="22"/>
          <w:szCs w:val="22"/>
        </w:rPr>
        <w:t xml:space="preserve"> </w:t>
      </w:r>
      <w:r w:rsidRPr="004470AD">
        <w:rPr>
          <w:b/>
          <w:i/>
          <w:sz w:val="22"/>
          <w:szCs w:val="22"/>
        </w:rPr>
        <w:t xml:space="preserve">Acórdão nº 546/2011-Plenário, TC-033.677/2010-7, rel. Min-Subst. Augusto Sherman Cavalcanti, </w:t>
      </w:r>
      <w:r w:rsidR="008C13A1" w:rsidRPr="004470AD">
        <w:rPr>
          <w:b/>
          <w:i/>
          <w:sz w:val="22"/>
          <w:szCs w:val="22"/>
        </w:rPr>
        <w:t>02</w:t>
      </w:r>
      <w:r w:rsidRPr="004470AD">
        <w:rPr>
          <w:b/>
          <w:i/>
          <w:sz w:val="22"/>
          <w:szCs w:val="22"/>
        </w:rPr>
        <w:t>.03.2011.</w:t>
      </w:r>
    </w:p>
    <w:p w:rsidR="00A857B4" w:rsidRPr="00646EB7" w:rsidRDefault="00A857B4" w:rsidP="00DE3099">
      <w:pPr>
        <w:pStyle w:val="TCU-RelVoto-demais"/>
        <w:spacing w:after="0"/>
        <w:rPr>
          <w:color w:val="FF0000"/>
          <w:sz w:val="22"/>
        </w:rPr>
      </w:pPr>
      <w:r w:rsidRPr="00646EB7">
        <w:rPr>
          <w:b/>
          <w:i/>
          <w:color w:val="FF0000"/>
          <w:sz w:val="22"/>
        </w:rPr>
        <w:t xml:space="preserve"> </w:t>
      </w:r>
    </w:p>
    <w:p w:rsidR="008C13A1" w:rsidRPr="00EE4FF1" w:rsidRDefault="00C3271F" w:rsidP="008C13A1">
      <w:pPr>
        <w:widowControl w:val="0"/>
        <w:tabs>
          <w:tab w:val="left" w:pos="90"/>
        </w:tabs>
        <w:autoSpaceDE w:val="0"/>
        <w:autoSpaceDN w:val="0"/>
        <w:adjustRightInd w:val="0"/>
        <w:spacing w:after="0"/>
        <w:ind w:left="0"/>
        <w:rPr>
          <w:b/>
          <w:color w:val="FF0000"/>
          <w:sz w:val="22"/>
          <w:szCs w:val="22"/>
        </w:rPr>
      </w:pPr>
      <w:r w:rsidRPr="00EE4FF1">
        <w:rPr>
          <w:b/>
          <w:sz w:val="22"/>
          <w:szCs w:val="22"/>
        </w:rPr>
        <w:t xml:space="preserve">Licitações de obras públicas: </w:t>
      </w:r>
      <w:r w:rsidR="00EE4FF1" w:rsidRPr="00EE4FF1">
        <w:rPr>
          <w:b/>
          <w:sz w:val="22"/>
          <w:szCs w:val="22"/>
        </w:rPr>
        <w:t xml:space="preserve">devem ser desclassificadas as </w:t>
      </w:r>
      <w:r w:rsidR="003A4F15" w:rsidRPr="00EE4FF1">
        <w:rPr>
          <w:b/>
          <w:sz w:val="22"/>
          <w:szCs w:val="22"/>
        </w:rPr>
        <w:t xml:space="preserve">propostas de licitantes </w:t>
      </w:r>
      <w:r w:rsidR="00EE4FF1" w:rsidRPr="00EE4FF1">
        <w:rPr>
          <w:b/>
          <w:sz w:val="22"/>
          <w:szCs w:val="22"/>
        </w:rPr>
        <w:t>que não contenham a</w:t>
      </w:r>
      <w:r w:rsidR="003A4F15" w:rsidRPr="00EE4FF1">
        <w:rPr>
          <w:b/>
          <w:sz w:val="22"/>
          <w:szCs w:val="22"/>
        </w:rPr>
        <w:t xml:space="preserve"> composição de todos os custos unitários </w:t>
      </w:r>
      <w:r w:rsidR="00EE4FF1" w:rsidRPr="00EE4FF1">
        <w:rPr>
          <w:b/>
          <w:sz w:val="22"/>
          <w:szCs w:val="22"/>
        </w:rPr>
        <w:t>dos itens</w:t>
      </w:r>
    </w:p>
    <w:p w:rsidR="008C13A1" w:rsidRPr="00EE4FF1" w:rsidRDefault="008C13A1" w:rsidP="00C3271F">
      <w:pPr>
        <w:pStyle w:val="TCU-Epgrafe"/>
        <w:tabs>
          <w:tab w:val="left" w:pos="1134"/>
        </w:tabs>
        <w:ind w:left="0"/>
        <w:rPr>
          <w:b/>
          <w:i/>
          <w:sz w:val="22"/>
          <w:szCs w:val="22"/>
        </w:rPr>
      </w:pPr>
      <w:r w:rsidRPr="00EE4FF1">
        <w:rPr>
          <w:sz w:val="22"/>
          <w:szCs w:val="22"/>
        </w:rPr>
        <w:t xml:space="preserve">Levantamento de auditoria realizado pelo TCU na superintendência regional do </w:t>
      </w:r>
      <w:r w:rsidRPr="00EE4FF1">
        <w:rPr>
          <w:sz w:val="22"/>
          <w:szCs w:val="22"/>
          <w:lang w:val="pt-PT"/>
        </w:rPr>
        <w:t>Departamento Nacional de Infraestrutura de Transportes</w:t>
      </w:r>
      <w:r w:rsidRPr="00EE4FF1">
        <w:rPr>
          <w:rFonts w:ascii="Tahoma" w:hAnsi="Tahoma" w:cs="Tahoma"/>
          <w:sz w:val="22"/>
          <w:szCs w:val="22"/>
          <w:lang w:val="pt-PT"/>
        </w:rPr>
        <w:t xml:space="preserve"> </w:t>
      </w:r>
      <w:r w:rsidRPr="00EE4FF1">
        <w:rPr>
          <w:sz w:val="22"/>
          <w:szCs w:val="22"/>
        </w:rPr>
        <w:t>– (D</w:t>
      </w:r>
      <w:r w:rsidR="004E3A0D" w:rsidRPr="00EE4FF1">
        <w:rPr>
          <w:sz w:val="22"/>
          <w:szCs w:val="22"/>
        </w:rPr>
        <w:t>NIT</w:t>
      </w:r>
      <w:r w:rsidRPr="00EE4FF1">
        <w:rPr>
          <w:sz w:val="22"/>
          <w:szCs w:val="22"/>
        </w:rPr>
        <w:t xml:space="preserve">) nos estados de Rondônia e Acre </w:t>
      </w:r>
      <w:r w:rsidR="003A4F15" w:rsidRPr="00EE4FF1">
        <w:rPr>
          <w:sz w:val="22"/>
          <w:szCs w:val="22"/>
        </w:rPr>
        <w:t>acerca</w:t>
      </w:r>
      <w:r w:rsidRPr="00EE4FF1">
        <w:rPr>
          <w:sz w:val="22"/>
          <w:szCs w:val="22"/>
        </w:rPr>
        <w:t xml:space="preserve"> </w:t>
      </w:r>
      <w:r w:rsidR="003A4F15" w:rsidRPr="00EE4FF1">
        <w:rPr>
          <w:sz w:val="22"/>
          <w:szCs w:val="22"/>
        </w:rPr>
        <w:t>d</w:t>
      </w:r>
      <w:r w:rsidRPr="00EE4FF1">
        <w:rPr>
          <w:sz w:val="22"/>
          <w:szCs w:val="22"/>
        </w:rPr>
        <w:t xml:space="preserve">as obras de manutenção de trechos rodoviários da BR-364/RO identificou, dentre outras potenciais irregularidades, </w:t>
      </w:r>
      <w:r w:rsidRPr="00EE4FF1">
        <w:rPr>
          <w:color w:val="000000"/>
          <w:sz w:val="22"/>
          <w:szCs w:val="22"/>
        </w:rPr>
        <w:t xml:space="preserve">suposto prejuízo derivado do excessivo rigor na desclassificação da proposta </w:t>
      </w:r>
      <w:r w:rsidR="00BE3E1D">
        <w:rPr>
          <w:color w:val="000000"/>
          <w:sz w:val="22"/>
          <w:szCs w:val="22"/>
        </w:rPr>
        <w:t>da empresa</w:t>
      </w:r>
      <w:r w:rsidRPr="00EE4FF1">
        <w:rPr>
          <w:color w:val="000000"/>
          <w:sz w:val="22"/>
          <w:szCs w:val="22"/>
        </w:rPr>
        <w:t xml:space="preserve"> A. A. Construções Ltda</w:t>
      </w:r>
      <w:r w:rsidR="004E3A0D" w:rsidRPr="00EE4FF1">
        <w:rPr>
          <w:sz w:val="22"/>
          <w:szCs w:val="22"/>
        </w:rPr>
        <w:t xml:space="preserve">., </w:t>
      </w:r>
      <w:r w:rsidR="00C3271F" w:rsidRPr="00EE4FF1">
        <w:rPr>
          <w:sz w:val="22"/>
          <w:szCs w:val="22"/>
        </w:rPr>
        <w:t>por</w:t>
      </w:r>
      <w:r w:rsidR="004E3A0D" w:rsidRPr="00EE4FF1">
        <w:rPr>
          <w:sz w:val="22"/>
          <w:szCs w:val="22"/>
        </w:rPr>
        <w:t xml:space="preserve"> ter apresentado</w:t>
      </w:r>
      <w:r w:rsidR="00C3271F" w:rsidRPr="00EE4FF1">
        <w:rPr>
          <w:sz w:val="22"/>
          <w:szCs w:val="22"/>
        </w:rPr>
        <w:t>,</w:t>
      </w:r>
      <w:r w:rsidR="004E3A0D" w:rsidRPr="00EE4FF1">
        <w:rPr>
          <w:sz w:val="22"/>
          <w:szCs w:val="22"/>
        </w:rPr>
        <w:t xml:space="preserve"> em duas licitações referentes à manutenção de trechos rodoviários da BR-364/RO</w:t>
      </w:r>
      <w:r w:rsidR="00C3271F" w:rsidRPr="00EE4FF1">
        <w:rPr>
          <w:sz w:val="22"/>
          <w:szCs w:val="22"/>
        </w:rPr>
        <w:t>,</w:t>
      </w:r>
      <w:r w:rsidR="004E3A0D" w:rsidRPr="00EE4FF1">
        <w:rPr>
          <w:sz w:val="22"/>
          <w:szCs w:val="22"/>
        </w:rPr>
        <w:t xml:space="preserve"> propostas sem as composições de preços unitários dos itens “aquisição de material betuminoso” e “transporte de material betuminoso”, em desacordo com o preceituado no item 15.4, alínea “a”, dos editais dos sobreditos </w:t>
      </w:r>
      <w:r w:rsidR="00C3271F" w:rsidRPr="00EE4FF1">
        <w:rPr>
          <w:sz w:val="22"/>
          <w:szCs w:val="22"/>
        </w:rPr>
        <w:t>certames licitatórios</w:t>
      </w:r>
      <w:r w:rsidR="004E3A0D" w:rsidRPr="00EE4FF1">
        <w:rPr>
          <w:sz w:val="22"/>
          <w:szCs w:val="22"/>
        </w:rPr>
        <w:t>. Para a unidade instrutiva, a Comissão Permanente de Licitação- (CPL) do DNIT deveria ter diligenciado à empresa, com vistas a sanar as falhas formais da proposta</w:t>
      </w:r>
      <w:r w:rsidR="00C3271F" w:rsidRPr="00EE4FF1">
        <w:rPr>
          <w:sz w:val="22"/>
          <w:szCs w:val="22"/>
        </w:rPr>
        <w:t>, antes de sua desclassificação</w:t>
      </w:r>
      <w:r w:rsidR="004E3A0D" w:rsidRPr="00EE4FF1">
        <w:rPr>
          <w:sz w:val="22"/>
          <w:szCs w:val="22"/>
        </w:rPr>
        <w:t xml:space="preserve">. Além disso, os membros da Comissão não teriam acolhido recurso interposto pela A.A. Construções Ltda., por meio do qual a licitante teria apresentado todas as composições de custos unitários. Por isso, para a unidade técnica, </w:t>
      </w:r>
      <w:r w:rsidR="004470AD" w:rsidRPr="00EE4FF1">
        <w:rPr>
          <w:sz w:val="22"/>
          <w:szCs w:val="22"/>
        </w:rPr>
        <w:t xml:space="preserve">os membros da CPL-DNIT </w:t>
      </w:r>
      <w:r w:rsidR="00C3271F" w:rsidRPr="00EE4FF1">
        <w:rPr>
          <w:sz w:val="22"/>
          <w:szCs w:val="22"/>
        </w:rPr>
        <w:t xml:space="preserve">deveriam </w:t>
      </w:r>
      <w:r w:rsidR="004470AD" w:rsidRPr="00EE4FF1">
        <w:rPr>
          <w:sz w:val="22"/>
          <w:szCs w:val="22"/>
        </w:rPr>
        <w:t>ser responsabilizados solidariamente pelo débito</w:t>
      </w:r>
      <w:r w:rsidR="00C3271F" w:rsidRPr="00EE4FF1">
        <w:rPr>
          <w:sz w:val="22"/>
          <w:szCs w:val="22"/>
        </w:rPr>
        <w:t>, por meio de processo de tomada de contas especial - TCE,</w:t>
      </w:r>
      <w:r w:rsidR="004470AD" w:rsidRPr="00EE4FF1">
        <w:rPr>
          <w:sz w:val="22"/>
          <w:szCs w:val="22"/>
        </w:rPr>
        <w:t xml:space="preserve"> </w:t>
      </w:r>
      <w:r w:rsidR="003A4F15" w:rsidRPr="00EE4FF1">
        <w:rPr>
          <w:sz w:val="22"/>
          <w:szCs w:val="22"/>
        </w:rPr>
        <w:t>quantificado a partir do</w:t>
      </w:r>
      <w:r w:rsidR="004470AD" w:rsidRPr="00EE4FF1">
        <w:rPr>
          <w:sz w:val="22"/>
          <w:szCs w:val="22"/>
        </w:rPr>
        <w:t xml:space="preserve"> somatório das diferenças, a menor, </w:t>
      </w:r>
      <w:r w:rsidR="003A4F15" w:rsidRPr="00EE4FF1">
        <w:rPr>
          <w:sz w:val="22"/>
          <w:szCs w:val="22"/>
        </w:rPr>
        <w:t>dos valores ofertado</w:t>
      </w:r>
      <w:r w:rsidR="004470AD" w:rsidRPr="00EE4FF1">
        <w:rPr>
          <w:sz w:val="22"/>
          <w:szCs w:val="22"/>
        </w:rPr>
        <w:t>s pela A.A. Construções Ltda., nos referidos certames, em comparação com as propostas das demais licitantes</w:t>
      </w:r>
      <w:r w:rsidR="00BE3E1D">
        <w:rPr>
          <w:sz w:val="22"/>
          <w:szCs w:val="22"/>
        </w:rPr>
        <w:t xml:space="preserve"> vencedoras</w:t>
      </w:r>
      <w:r w:rsidR="004470AD" w:rsidRPr="00EE4FF1">
        <w:rPr>
          <w:sz w:val="22"/>
          <w:szCs w:val="22"/>
        </w:rPr>
        <w:t>. No voto, o relator</w:t>
      </w:r>
      <w:r w:rsidR="005B3043" w:rsidRPr="00EE4FF1">
        <w:rPr>
          <w:sz w:val="22"/>
          <w:szCs w:val="22"/>
        </w:rPr>
        <w:t>, ao apresentar sua</w:t>
      </w:r>
      <w:r w:rsidR="004470AD" w:rsidRPr="00EE4FF1">
        <w:rPr>
          <w:sz w:val="22"/>
          <w:szCs w:val="22"/>
        </w:rPr>
        <w:t xml:space="preserve"> discord</w:t>
      </w:r>
      <w:r w:rsidR="005B3043" w:rsidRPr="00EE4FF1">
        <w:rPr>
          <w:sz w:val="22"/>
          <w:szCs w:val="22"/>
        </w:rPr>
        <w:t>ância, argumentou que, “</w:t>
      </w:r>
      <w:r w:rsidR="005B3043" w:rsidRPr="00EE4FF1">
        <w:rPr>
          <w:i/>
          <w:sz w:val="22"/>
          <w:szCs w:val="22"/>
        </w:rPr>
        <w:t>ainda que aparentemente mais vantajosa à Administração, a proposta que não guardar consonância com o edital deverá ser desclassificada em atenção ao disposto no art. 48, inciso I, da Lei nº 8.666, de 1993, por meio de decisão motivada, registrada em ata</w:t>
      </w:r>
      <w:r w:rsidR="005B3043" w:rsidRPr="00EE4FF1">
        <w:rPr>
          <w:sz w:val="22"/>
          <w:szCs w:val="22"/>
        </w:rPr>
        <w:t>”. Ademais, ainda para o relator, “</w:t>
      </w:r>
      <w:r w:rsidR="005B3043" w:rsidRPr="00EE4FF1">
        <w:rPr>
          <w:i/>
          <w:sz w:val="22"/>
          <w:szCs w:val="22"/>
        </w:rPr>
        <w:t>a inobservância a dispositivos do edital, incluindo-se a obrigatoriedade de apresentação da composição de todos os custos unitários, tem, por vezes, levado à imposição de penalidade aos membros da CPL e a gestores que não promovem a desclassificação das propostas desconformes com o instrumento convocatório, em desacordo com o art. 41 da Lei de Licitações</w:t>
      </w:r>
      <w:r w:rsidR="005B3043" w:rsidRPr="00EE4FF1">
        <w:rPr>
          <w:sz w:val="22"/>
          <w:szCs w:val="22"/>
        </w:rPr>
        <w:t xml:space="preserve">”. Assim, </w:t>
      </w:r>
      <w:r w:rsidR="00C3271F" w:rsidRPr="00EE4FF1">
        <w:rPr>
          <w:sz w:val="22"/>
          <w:szCs w:val="22"/>
        </w:rPr>
        <w:t xml:space="preserve">conforme o relator, </w:t>
      </w:r>
      <w:r w:rsidR="005B3043" w:rsidRPr="00EE4FF1">
        <w:rPr>
          <w:sz w:val="22"/>
          <w:szCs w:val="22"/>
        </w:rPr>
        <w:t>teriam agido com razão os membros da CPL-DNIT, ao promover a desclassificação da A.A. Construções Ltda</w:t>
      </w:r>
      <w:r w:rsidR="00C3271F" w:rsidRPr="00EE4FF1">
        <w:rPr>
          <w:sz w:val="22"/>
          <w:szCs w:val="22"/>
        </w:rPr>
        <w:t xml:space="preserve">, razão pela qual propôs que não fosse feita a conversão do processo em TCE, o que foi acolhido pelo Plenário. </w:t>
      </w:r>
      <w:r w:rsidRPr="00EE4FF1">
        <w:rPr>
          <w:b/>
          <w:i/>
          <w:sz w:val="22"/>
          <w:szCs w:val="22"/>
        </w:rPr>
        <w:t>Acórdão nº 550/2011-Plenário, TC-019.160/2008-4, rel. Min-Subst. André Luís Carvalho, 02.03.2011.</w:t>
      </w:r>
    </w:p>
    <w:p w:rsidR="009E59A1" w:rsidRPr="00681D69" w:rsidRDefault="009E59A1" w:rsidP="00DE3099">
      <w:pPr>
        <w:pStyle w:val="TCU-RelVoto-demais"/>
        <w:spacing w:after="0"/>
        <w:rPr>
          <w:sz w:val="22"/>
        </w:rPr>
      </w:pPr>
    </w:p>
    <w:p w:rsidR="00E019ED" w:rsidRPr="00681D69" w:rsidRDefault="003A4F15" w:rsidP="00DE3099">
      <w:pPr>
        <w:widowControl w:val="0"/>
        <w:tabs>
          <w:tab w:val="left" w:pos="90"/>
        </w:tabs>
        <w:autoSpaceDE w:val="0"/>
        <w:autoSpaceDN w:val="0"/>
        <w:adjustRightInd w:val="0"/>
        <w:spacing w:after="0"/>
        <w:ind w:left="0"/>
        <w:rPr>
          <w:b/>
          <w:sz w:val="22"/>
          <w:szCs w:val="22"/>
        </w:rPr>
      </w:pPr>
      <w:r>
        <w:rPr>
          <w:b/>
          <w:sz w:val="22"/>
          <w:szCs w:val="22"/>
        </w:rPr>
        <w:t xml:space="preserve">Licitação para aquisição de cartuchos e toners originais do fabricante: é adequado o uso da expressão </w:t>
      </w:r>
      <w:r w:rsidRPr="003A4F15">
        <w:rPr>
          <w:b/>
          <w:sz w:val="22"/>
          <w:szCs w:val="22"/>
        </w:rPr>
        <w:t>“de qualidade equivalente”</w:t>
      </w:r>
    </w:p>
    <w:p w:rsidR="00E019ED" w:rsidRPr="00681D69" w:rsidRDefault="003D399B" w:rsidP="00EB6F57">
      <w:pPr>
        <w:pStyle w:val="TCU-RelVoto-demais"/>
        <w:spacing w:after="0"/>
        <w:rPr>
          <w:b/>
          <w:i/>
          <w:sz w:val="22"/>
        </w:rPr>
      </w:pPr>
      <w:r w:rsidRPr="00681D69">
        <w:rPr>
          <w:sz w:val="22"/>
        </w:rPr>
        <w:t xml:space="preserve">Mediante representação, o Tribunal tomou conhecimento de potenciais irregularidades ocorridas no Pregão 95.380-05/20, conduzido pela Base de Fuzileiros Navais da Ilha das Flores da Marinha do Brasil – </w:t>
      </w:r>
      <w:r w:rsidR="00EB6F57" w:rsidRPr="00681D69">
        <w:rPr>
          <w:sz w:val="22"/>
        </w:rPr>
        <w:t>(</w:t>
      </w:r>
      <w:r w:rsidRPr="00681D69">
        <w:rPr>
          <w:sz w:val="22"/>
        </w:rPr>
        <w:t>BFNIF</w:t>
      </w:r>
      <w:r w:rsidR="00EB6F57" w:rsidRPr="00681D69">
        <w:rPr>
          <w:sz w:val="22"/>
        </w:rPr>
        <w:t>)</w:t>
      </w:r>
      <w:r w:rsidRPr="00681D69">
        <w:rPr>
          <w:sz w:val="22"/>
        </w:rPr>
        <w:t xml:space="preserve">, cujo objeto consistiu na formalização de ata de registro de preços de materiais de informática, processamentos de dados, eletroeletrônicos e materiais para cozinha. Dentre elas, constou a exigência de que os cartuchos e </w:t>
      </w:r>
      <w:r w:rsidRPr="00681D69">
        <w:rPr>
          <w:b/>
          <w:sz w:val="22"/>
        </w:rPr>
        <w:t>toners</w:t>
      </w:r>
      <w:r w:rsidR="003A4F15">
        <w:rPr>
          <w:b/>
          <w:sz w:val="22"/>
        </w:rPr>
        <w:t xml:space="preserve"> </w:t>
      </w:r>
      <w:r w:rsidRPr="00681D69">
        <w:rPr>
          <w:sz w:val="22"/>
        </w:rPr>
        <w:t>deveriam ser</w:t>
      </w:r>
      <w:r w:rsidR="003A4F15">
        <w:rPr>
          <w:sz w:val="22"/>
        </w:rPr>
        <w:t>,</w:t>
      </w:r>
      <w:r w:rsidRPr="00681D69">
        <w:rPr>
          <w:sz w:val="22"/>
        </w:rPr>
        <w:t xml:space="preserve"> obrigatoriamente</w:t>
      </w:r>
      <w:r w:rsidR="003A4F15">
        <w:rPr>
          <w:sz w:val="22"/>
        </w:rPr>
        <w:t>,</w:t>
      </w:r>
      <w:r w:rsidRPr="00681D69">
        <w:rPr>
          <w:sz w:val="22"/>
        </w:rPr>
        <w:t xml:space="preserve"> originais do fabricante das impressoras</w:t>
      </w:r>
      <w:r w:rsidR="00EB6F57" w:rsidRPr="00681D69">
        <w:rPr>
          <w:sz w:val="22"/>
        </w:rPr>
        <w:t>. Ao examinar o feito, o relator consignou que deveria ser rejeitada a redação do item em questão, que previu</w:t>
      </w:r>
      <w:r w:rsidR="00EB6F57" w:rsidRPr="00681D69">
        <w:rPr>
          <w:i/>
          <w:sz w:val="22"/>
        </w:rPr>
        <w:t xml:space="preserve"> </w:t>
      </w:r>
      <w:r w:rsidR="00EB6F57" w:rsidRPr="00681D69">
        <w:rPr>
          <w:sz w:val="22"/>
        </w:rPr>
        <w:t>que os licitantes, caso apresentassem bens diferentes dos especificados, ofertassem produtos comprovadamente de padrão superior e de marcas reconhecidas pelo mercado e pelos órgãos de controles. Para ele, tal exigência feriria os princípios da igualdade e do julgamento objetivo, visto que “</w:t>
      </w:r>
      <w:r w:rsidR="00EB6F57" w:rsidRPr="00681D69">
        <w:rPr>
          <w:i/>
          <w:sz w:val="22"/>
        </w:rPr>
        <w:t>pode permitir a apresentação de produtos que não atendam estritamente à especificação do edital, até porque a definição da dita ‘qualidade superior’ guarda inegável grau de subjetividade, de modo que pode contrariar os preceitos básicos de um certame pelo uso do pregão, que pressupõe critérios objetivos de especificação de qualidade”</w:t>
      </w:r>
      <w:r w:rsidR="00EB6F57" w:rsidRPr="00681D69">
        <w:rPr>
          <w:sz w:val="22"/>
        </w:rPr>
        <w:t>. Entretanto, ainda para o relator, a expressão “de qualidade equivalente” seria mais adequada à situação narrada e informa</w:t>
      </w:r>
      <w:r w:rsidR="003A4F15">
        <w:rPr>
          <w:sz w:val="22"/>
        </w:rPr>
        <w:t>ria</w:t>
      </w:r>
      <w:r w:rsidR="00EB6F57" w:rsidRPr="00681D69">
        <w:rPr>
          <w:sz w:val="22"/>
        </w:rPr>
        <w:t xml:space="preserve"> que é cabível exigir dos licitantes o fornecimento de produtos novos, não remanufaturados, e solicitar amostras do licitante classificado em primeiro lugar. Por conseguinte, propôs a expedição de determinações corretivas, de modo a evitar a irregularidade em futuras licitações a serem promovidas pelo o BFNIF. O Plenário, nos termos do voto, </w:t>
      </w:r>
      <w:r w:rsidR="00EE4FF1">
        <w:rPr>
          <w:sz w:val="22"/>
        </w:rPr>
        <w:t>concordo</w:t>
      </w:r>
      <w:r w:rsidR="00EB6F57" w:rsidRPr="00681D69">
        <w:rPr>
          <w:sz w:val="22"/>
        </w:rPr>
        <w:t>u a proposição.</w:t>
      </w:r>
      <w:r w:rsidR="003A105C" w:rsidRPr="00681D69">
        <w:rPr>
          <w:sz w:val="22"/>
        </w:rPr>
        <w:t xml:space="preserve"> </w:t>
      </w:r>
      <w:r w:rsidR="00E019ED" w:rsidRPr="00681D69">
        <w:rPr>
          <w:b/>
          <w:i/>
          <w:sz w:val="22"/>
        </w:rPr>
        <w:t xml:space="preserve">Acórdão nº </w:t>
      </w:r>
      <w:r w:rsidR="00646EB7" w:rsidRPr="00681D69">
        <w:rPr>
          <w:b/>
          <w:i/>
          <w:sz w:val="22"/>
        </w:rPr>
        <w:t>553/2011-Plenário, TC-033</w:t>
      </w:r>
      <w:r w:rsidR="00E019ED" w:rsidRPr="00681D69">
        <w:rPr>
          <w:b/>
          <w:i/>
          <w:sz w:val="22"/>
        </w:rPr>
        <w:t>.</w:t>
      </w:r>
      <w:r w:rsidR="00646EB7" w:rsidRPr="00681D69">
        <w:rPr>
          <w:b/>
          <w:i/>
          <w:sz w:val="22"/>
        </w:rPr>
        <w:t>960</w:t>
      </w:r>
      <w:r w:rsidR="00E019ED" w:rsidRPr="00681D69">
        <w:rPr>
          <w:b/>
          <w:i/>
          <w:sz w:val="22"/>
        </w:rPr>
        <w:t>/2010-</w:t>
      </w:r>
      <w:r w:rsidR="00646EB7" w:rsidRPr="00681D69">
        <w:rPr>
          <w:b/>
          <w:i/>
          <w:sz w:val="22"/>
        </w:rPr>
        <w:t>0</w:t>
      </w:r>
      <w:r w:rsidR="00E019ED" w:rsidRPr="00681D69">
        <w:rPr>
          <w:b/>
          <w:i/>
          <w:sz w:val="22"/>
        </w:rPr>
        <w:t xml:space="preserve">, rel. Min-Subst. </w:t>
      </w:r>
      <w:r w:rsidR="00646EB7" w:rsidRPr="00681D69">
        <w:rPr>
          <w:b/>
          <w:i/>
          <w:sz w:val="22"/>
        </w:rPr>
        <w:t>André Luís Carvalho</w:t>
      </w:r>
      <w:r w:rsidR="00E019ED" w:rsidRPr="00681D69">
        <w:rPr>
          <w:b/>
          <w:i/>
          <w:sz w:val="22"/>
        </w:rPr>
        <w:t xml:space="preserve">, </w:t>
      </w:r>
      <w:r w:rsidR="008C13A1" w:rsidRPr="00681D69">
        <w:rPr>
          <w:b/>
          <w:i/>
          <w:sz w:val="22"/>
        </w:rPr>
        <w:t>02</w:t>
      </w:r>
      <w:r w:rsidR="00E019ED" w:rsidRPr="00681D69">
        <w:rPr>
          <w:b/>
          <w:i/>
          <w:sz w:val="22"/>
        </w:rPr>
        <w:t>.0</w:t>
      </w:r>
      <w:r w:rsidR="00646EB7" w:rsidRPr="00681D69">
        <w:rPr>
          <w:b/>
          <w:i/>
          <w:sz w:val="22"/>
        </w:rPr>
        <w:t>3</w:t>
      </w:r>
      <w:r w:rsidR="00E019ED" w:rsidRPr="00681D69">
        <w:rPr>
          <w:b/>
          <w:i/>
          <w:sz w:val="22"/>
        </w:rPr>
        <w:t>.2011.</w:t>
      </w:r>
    </w:p>
    <w:p w:rsidR="00EB6F57" w:rsidRDefault="00EB6F57" w:rsidP="00FA45CD">
      <w:pPr>
        <w:pStyle w:val="TCU-RelVoto-demais"/>
        <w:spacing w:after="0"/>
        <w:rPr>
          <w:sz w:val="22"/>
        </w:rPr>
      </w:pPr>
    </w:p>
    <w:p w:rsidR="00681D69" w:rsidRPr="00804DF4" w:rsidRDefault="00681D69" w:rsidP="00FA45CD">
      <w:pPr>
        <w:pStyle w:val="TCU-RelVoto-demais"/>
        <w:spacing w:after="0"/>
        <w:rPr>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1"/>
      </w:tblGrid>
      <w:tr w:rsidR="007334B1" w:rsidRPr="007C2A55" w:rsidTr="0030360F">
        <w:trPr>
          <w:trHeight w:val="779"/>
          <w:jc w:val="center"/>
        </w:trPr>
        <w:tc>
          <w:tcPr>
            <w:tcW w:w="0" w:type="auto"/>
            <w:vAlign w:val="center"/>
          </w:tcPr>
          <w:p w:rsidR="007334B1" w:rsidRPr="007C2A55" w:rsidRDefault="00C10DD5" w:rsidP="0030360F">
            <w:pPr>
              <w:pStyle w:val="enter-3pt"/>
              <w:spacing w:line="240" w:lineRule="auto"/>
              <w:jc w:val="center"/>
              <w:rPr>
                <w:b/>
                <w:i/>
                <w:sz w:val="18"/>
                <w:szCs w:val="18"/>
              </w:rPr>
            </w:pPr>
            <w:r>
              <w:rPr>
                <w:b/>
                <w:i/>
                <w:sz w:val="18"/>
                <w:szCs w:val="18"/>
              </w:rPr>
              <w:t>Elaboração: Secretaria das Sessões</w:t>
            </w:r>
          </w:p>
          <w:p w:rsidR="007334B1" w:rsidRPr="007C2A55" w:rsidRDefault="007334B1" w:rsidP="0030360F">
            <w:pPr>
              <w:pStyle w:val="enter-3pt"/>
              <w:spacing w:line="240" w:lineRule="auto"/>
              <w:jc w:val="center"/>
              <w:rPr>
                <w:b/>
                <w:i/>
                <w:sz w:val="22"/>
                <w:szCs w:val="22"/>
              </w:rPr>
            </w:pPr>
            <w:r w:rsidRPr="007C2A55">
              <w:rPr>
                <w:b/>
                <w:i/>
                <w:sz w:val="18"/>
                <w:szCs w:val="18"/>
              </w:rPr>
              <w:t xml:space="preserve">Contato: </w:t>
            </w:r>
            <w:hyperlink r:id="rId8" w:history="1">
              <w:r w:rsidRPr="007C2A55">
                <w:rPr>
                  <w:rStyle w:val="Hyperlink"/>
                  <w:b/>
                  <w:i/>
                  <w:color w:val="auto"/>
                  <w:sz w:val="18"/>
                  <w:szCs w:val="18"/>
                </w:rPr>
                <w:t>infojuris@tcu.gov.br</w:t>
              </w:r>
            </w:hyperlink>
          </w:p>
        </w:tc>
      </w:tr>
    </w:tbl>
    <w:p w:rsidR="007334B1" w:rsidRPr="007C2A55" w:rsidRDefault="007334B1" w:rsidP="007334B1">
      <w:pPr>
        <w:pStyle w:val="enter-3pt"/>
        <w:spacing w:line="240" w:lineRule="auto"/>
        <w:jc w:val="center"/>
        <w:rPr>
          <w:b/>
          <w:sz w:val="22"/>
          <w:szCs w:val="22"/>
        </w:rPr>
      </w:pPr>
    </w:p>
    <w:sectPr w:rsidR="007334B1" w:rsidRPr="007C2A55" w:rsidSect="005950EE">
      <w:headerReference w:type="default" r:id="rId9"/>
      <w:footerReference w:type="default" r:id="rId10"/>
      <w:pgSz w:w="11906" w:h="16838" w:code="9"/>
      <w:pgMar w:top="1134" w:right="851" w:bottom="851"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438" w:rsidRDefault="00115438" w:rsidP="008B0547">
      <w:pPr>
        <w:spacing w:after="0"/>
      </w:pPr>
      <w:r>
        <w:separator/>
      </w:r>
    </w:p>
  </w:endnote>
  <w:endnote w:type="continuationSeparator" w:id="0">
    <w:p w:rsidR="00115438" w:rsidRDefault="00115438"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547" w:rsidRPr="00C906CD" w:rsidRDefault="00C906CD" w:rsidP="004E357A">
    <w:pPr>
      <w:pStyle w:val="Rodap"/>
      <w:jc w:val="right"/>
      <w:rPr>
        <w:sz w:val="20"/>
        <w:szCs w:val="20"/>
      </w:rPr>
    </w:pPr>
    <w:r w:rsidRPr="00C906CD">
      <w:rPr>
        <w:sz w:val="20"/>
        <w:szCs w:val="20"/>
      </w:rPr>
      <w:fldChar w:fldCharType="begin"/>
    </w:r>
    <w:r w:rsidRPr="00C906CD">
      <w:rPr>
        <w:sz w:val="20"/>
        <w:szCs w:val="20"/>
      </w:rPr>
      <w:instrText xml:space="preserve"> PAGE   \* MERGEFORMAT </w:instrText>
    </w:r>
    <w:r w:rsidRPr="00C906CD">
      <w:rPr>
        <w:sz w:val="20"/>
        <w:szCs w:val="20"/>
      </w:rPr>
      <w:fldChar w:fldCharType="separate"/>
    </w:r>
    <w:r w:rsidR="003D6196">
      <w:rPr>
        <w:noProof/>
        <w:sz w:val="20"/>
        <w:szCs w:val="20"/>
      </w:rPr>
      <w:t>1</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438" w:rsidRDefault="00115438" w:rsidP="008B0547">
      <w:pPr>
        <w:spacing w:after="0"/>
      </w:pPr>
      <w:r>
        <w:separator/>
      </w:r>
    </w:p>
  </w:footnote>
  <w:footnote w:type="continuationSeparator" w:id="0">
    <w:p w:rsidR="00115438" w:rsidRDefault="00115438"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547" w:rsidRDefault="00EE5BC8" w:rsidP="00080148">
    <w:pPr>
      <w:spacing w:after="0"/>
      <w:rPr>
        <w:rFonts w:ascii="Arial" w:hAnsi="Arial" w:cs="Arial"/>
        <w:b/>
      </w:rPr>
    </w:pPr>
    <w:r>
      <w:rPr>
        <w:rFonts w:ascii="Arial" w:hAnsi="Arial" w:cs="Arial"/>
        <w:b/>
        <w:noProof/>
        <w:lang w:eastAsia="pt-BR"/>
      </w:rPr>
      <w:drawing>
        <wp:anchor distT="0" distB="0" distL="114300" distR="114300" simplePos="0" relativeHeight="251657216" behindDoc="0" locked="0" layoutInCell="1" allowOverlap="1">
          <wp:simplePos x="0" y="0"/>
          <wp:positionH relativeFrom="column">
            <wp:posOffset>-37465</wp:posOffset>
          </wp:positionH>
          <wp:positionV relativeFrom="paragraph">
            <wp:posOffset>-71120</wp:posOffset>
          </wp:positionV>
          <wp:extent cx="551815" cy="436880"/>
          <wp:effectExtent l="0" t="0" r="635" b="1270"/>
          <wp:wrapNone/>
          <wp:docPr id="2" name="Imagem 1"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8B0547">
      <w:rPr>
        <w:rFonts w:ascii="Arial" w:hAnsi="Arial" w:cs="Arial"/>
        <w:b/>
      </w:rPr>
      <w:t>TRIBUNAL DE CONTAS DA UNIÃO</w:t>
    </w:r>
  </w:p>
  <w:p w:rsidR="008B0547" w:rsidRPr="00515E7B" w:rsidRDefault="00EE5BC8" w:rsidP="00080148">
    <w:pPr>
      <w:spacing w:after="0"/>
      <w:rPr>
        <w:rFonts w:ascii="Arial" w:hAnsi="Arial" w:cs="Arial"/>
        <w:b/>
      </w:rPr>
    </w:pPr>
    <w:r w:rsidRPr="00515E7B">
      <w:rPr>
        <w:rFonts w:ascii="Arial" w:hAnsi="Arial" w:cs="Arial"/>
        <w:noProof/>
        <w:lang w:eastAsia="pt-BR"/>
      </w:rPr>
      <mc:AlternateContent>
        <mc:Choice Requires="wps">
          <w:drawing>
            <wp:anchor distT="0" distB="0" distL="114300" distR="114300" simplePos="0" relativeHeight="251658240" behindDoc="0" locked="0" layoutInCell="1" allowOverlap="1">
              <wp:simplePos x="0" y="0"/>
              <wp:positionH relativeFrom="margin">
                <wp:posOffset>37465</wp:posOffset>
              </wp:positionH>
              <wp:positionV relativeFrom="paragraph">
                <wp:posOffset>243840</wp:posOffset>
              </wp:positionV>
              <wp:extent cx="6120130" cy="0"/>
              <wp:effectExtent l="8890" t="5715" r="508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CAE39"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5pt,19.2pt" to="484.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R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">
              <w10:wrap anchorx="margin"/>
            </v:line>
          </w:pict>
        </mc:Fallback>
      </mc:AlternateContent>
    </w:r>
    <w:r w:rsidR="00515E7B" w:rsidRPr="00515E7B">
      <w:rPr>
        <w:rFonts w:ascii="Arial" w:hAnsi="Arial" w:cs="Arial"/>
        <w:noProof/>
        <w:lang w:eastAsia="pt-BR"/>
      </w:rPr>
      <w:t>Info</w:t>
    </w:r>
    <w:r w:rsidR="006F4DE0">
      <w:rPr>
        <w:rFonts w:ascii="Arial" w:hAnsi="Arial" w:cs="Arial"/>
        <w:noProof/>
        <w:lang w:eastAsia="pt-BR"/>
      </w:rPr>
      <w:t>rmativo</w:t>
    </w:r>
    <w:r w:rsidR="00515E7B">
      <w:rPr>
        <w:rFonts w:ascii="Arial" w:hAnsi="Arial" w:cs="Arial"/>
        <w:noProof/>
        <w:lang w:eastAsia="pt-BR"/>
      </w:rPr>
      <w:t xml:space="preserve"> </w:t>
    </w:r>
    <w:r w:rsidR="002810D9">
      <w:rPr>
        <w:rFonts w:ascii="Arial" w:hAnsi="Arial" w:cs="Arial"/>
        <w:noProof/>
        <w:lang w:eastAsia="pt-BR"/>
      </w:rPr>
      <w:t>de Jurisprudência sobre</w:t>
    </w:r>
    <w:r w:rsidR="00515E7B">
      <w:rPr>
        <w:rFonts w:ascii="Arial" w:hAnsi="Arial" w:cs="Arial"/>
        <w:noProof/>
        <w:lang w:eastAsia="pt-BR"/>
      </w:rPr>
      <w:t xml:space="preserve"> </w:t>
    </w:r>
    <w:r w:rsidR="002810D9">
      <w:rPr>
        <w:rFonts w:ascii="Arial" w:hAnsi="Arial" w:cs="Arial"/>
        <w:noProof/>
        <w:lang w:eastAsia="pt-BR"/>
      </w:rPr>
      <w:t>L</w:t>
    </w:r>
    <w:r w:rsidR="00515E7B" w:rsidRPr="00515E7B">
      <w:rPr>
        <w:rFonts w:ascii="Arial" w:hAnsi="Arial" w:cs="Arial"/>
        <w:noProof/>
        <w:lang w:eastAsia="pt-BR"/>
      </w:rPr>
      <w:t xml:space="preserve">icitações e </w:t>
    </w:r>
    <w:r w:rsidR="002810D9">
      <w:rPr>
        <w:rFonts w:ascii="Arial" w:hAnsi="Arial" w:cs="Arial"/>
        <w:noProof/>
        <w:lang w:eastAsia="pt-BR"/>
      </w:rPr>
      <w:t>C</w:t>
    </w:r>
    <w:r w:rsidR="00515E7B" w:rsidRPr="00515E7B">
      <w:rPr>
        <w:rFonts w:ascii="Arial" w:hAnsi="Arial" w:cs="Arial"/>
        <w:noProof/>
        <w:lang w:eastAsia="pt-BR"/>
      </w:rPr>
      <w:t>ontratos</w:t>
    </w:r>
    <w:r w:rsidR="00FF7C62">
      <w:rPr>
        <w:rFonts w:ascii="Arial" w:hAnsi="Arial" w:cs="Arial"/>
        <w:noProof/>
        <w:lang w:eastAsia="pt-BR"/>
      </w:rPr>
      <w:t xml:space="preserve"> nº </w:t>
    </w:r>
    <w:r w:rsidR="00274068">
      <w:rPr>
        <w:rFonts w:ascii="Arial" w:hAnsi="Arial" w:cs="Arial"/>
        <w:noProof/>
        <w:lang w:eastAsia="pt-BR"/>
      </w:rPr>
      <w:t>5</w:t>
    </w:r>
    <w:r w:rsidR="00063D0E">
      <w:rPr>
        <w:rFonts w:ascii="Arial" w:hAnsi="Arial" w:cs="Arial"/>
        <w:noProof/>
        <w:lang w:eastAsia="pt-BR"/>
      </w:rPr>
      <w:t>3</w:t>
    </w:r>
  </w:p>
  <w:p w:rsidR="008B0547" w:rsidRDefault="008B054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1BB1"/>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11202DB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85F349C"/>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9283672"/>
    <w:multiLevelType w:val="hybridMultilevel"/>
    <w:tmpl w:val="889899D2"/>
    <w:lvl w:ilvl="0" w:tplc="E45636D6">
      <w:start w:val="2"/>
      <w:numFmt w:val="decimal"/>
      <w:pStyle w:val="Normal-numerado-VOT01"/>
      <w:lvlText w:val="%1."/>
      <w:lvlJc w:val="left"/>
      <w:pPr>
        <w:ind w:left="720" w:hanging="360"/>
      </w:pPr>
      <w:rPr>
        <w:rFonts w:ascii="Times New Roman" w:hAnsi="Times New Roman" w:cs="Times New Roman"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5">
    <w:nsid w:val="1A66630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00E7711"/>
    <w:multiLevelType w:val="singleLevel"/>
    <w:tmpl w:val="16926312"/>
    <w:lvl w:ilvl="0">
      <w:start w:val="2"/>
      <w:numFmt w:val="decimal"/>
      <w:lvlText w:val="%1."/>
      <w:lvlJc w:val="left"/>
      <w:pPr>
        <w:tabs>
          <w:tab w:val="num" w:pos="360"/>
        </w:tabs>
        <w:ind w:left="0" w:firstLine="0"/>
      </w:pPr>
      <w:rPr>
        <w:sz w:val="24"/>
        <w:szCs w:val="24"/>
      </w:rPr>
    </w:lvl>
  </w:abstractNum>
  <w:abstractNum w:abstractNumId="7">
    <w:nsid w:val="214212D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22E7845"/>
    <w:multiLevelType w:val="multilevel"/>
    <w:tmpl w:val="90E2DA72"/>
    <w:lvl w:ilvl="0">
      <w:start w:val="9"/>
      <w:numFmt w:val="decimal"/>
      <w:lvlText w:val="%1."/>
      <w:lvlJc w:val="left"/>
      <w:pPr>
        <w:ind w:left="360" w:hanging="360"/>
      </w:pPr>
      <w:rPr>
        <w:rFonts w:cs="Times New Roman" w:hint="default"/>
      </w:rPr>
    </w:lvl>
    <w:lvl w:ilvl="1">
      <w:start w:val="2"/>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9">
    <w:nsid w:val="239C54D4"/>
    <w:multiLevelType w:val="hybridMultilevel"/>
    <w:tmpl w:val="EFBED870"/>
    <w:lvl w:ilvl="0" w:tplc="04160017">
      <w:start w:val="1"/>
      <w:numFmt w:val="lowerLetter"/>
      <w:lvlText w:val="%1)"/>
      <w:lvlJc w:val="left"/>
      <w:pPr>
        <w:ind w:left="1500" w:hanging="360"/>
      </w:pPr>
      <w:rPr>
        <w:rFonts w:cs="Times New Roman" w:hint="default"/>
        <w:b/>
        <w:color w:val="auto"/>
      </w:rPr>
    </w:lvl>
    <w:lvl w:ilvl="1" w:tplc="04160019" w:tentative="1">
      <w:start w:val="1"/>
      <w:numFmt w:val="lowerLetter"/>
      <w:lvlText w:val="%2."/>
      <w:lvlJc w:val="left"/>
      <w:pPr>
        <w:ind w:left="2220" w:hanging="360"/>
      </w:pPr>
      <w:rPr>
        <w:rFonts w:cs="Times New Roman"/>
      </w:rPr>
    </w:lvl>
    <w:lvl w:ilvl="2" w:tplc="0416001B" w:tentative="1">
      <w:start w:val="1"/>
      <w:numFmt w:val="lowerRoman"/>
      <w:lvlText w:val="%3."/>
      <w:lvlJc w:val="right"/>
      <w:pPr>
        <w:ind w:left="2940" w:hanging="180"/>
      </w:pPr>
      <w:rPr>
        <w:rFonts w:cs="Times New Roman"/>
      </w:rPr>
    </w:lvl>
    <w:lvl w:ilvl="3" w:tplc="0416000F" w:tentative="1">
      <w:start w:val="1"/>
      <w:numFmt w:val="decimal"/>
      <w:lvlText w:val="%4."/>
      <w:lvlJc w:val="left"/>
      <w:pPr>
        <w:ind w:left="3660" w:hanging="360"/>
      </w:pPr>
      <w:rPr>
        <w:rFonts w:cs="Times New Roman"/>
      </w:rPr>
    </w:lvl>
    <w:lvl w:ilvl="4" w:tplc="04160019" w:tentative="1">
      <w:start w:val="1"/>
      <w:numFmt w:val="lowerLetter"/>
      <w:lvlText w:val="%5."/>
      <w:lvlJc w:val="left"/>
      <w:pPr>
        <w:ind w:left="4380" w:hanging="360"/>
      </w:pPr>
      <w:rPr>
        <w:rFonts w:cs="Times New Roman"/>
      </w:rPr>
    </w:lvl>
    <w:lvl w:ilvl="5" w:tplc="0416001B" w:tentative="1">
      <w:start w:val="1"/>
      <w:numFmt w:val="lowerRoman"/>
      <w:lvlText w:val="%6."/>
      <w:lvlJc w:val="right"/>
      <w:pPr>
        <w:ind w:left="5100" w:hanging="180"/>
      </w:pPr>
      <w:rPr>
        <w:rFonts w:cs="Times New Roman"/>
      </w:rPr>
    </w:lvl>
    <w:lvl w:ilvl="6" w:tplc="0416000F" w:tentative="1">
      <w:start w:val="1"/>
      <w:numFmt w:val="decimal"/>
      <w:lvlText w:val="%7."/>
      <w:lvlJc w:val="left"/>
      <w:pPr>
        <w:ind w:left="5820" w:hanging="360"/>
      </w:pPr>
      <w:rPr>
        <w:rFonts w:cs="Times New Roman"/>
      </w:rPr>
    </w:lvl>
    <w:lvl w:ilvl="7" w:tplc="04160019" w:tentative="1">
      <w:start w:val="1"/>
      <w:numFmt w:val="lowerLetter"/>
      <w:lvlText w:val="%8."/>
      <w:lvlJc w:val="left"/>
      <w:pPr>
        <w:ind w:left="6540" w:hanging="360"/>
      </w:pPr>
      <w:rPr>
        <w:rFonts w:cs="Times New Roman"/>
      </w:rPr>
    </w:lvl>
    <w:lvl w:ilvl="8" w:tplc="0416001B" w:tentative="1">
      <w:start w:val="1"/>
      <w:numFmt w:val="lowerRoman"/>
      <w:lvlText w:val="%9."/>
      <w:lvlJc w:val="right"/>
      <w:pPr>
        <w:ind w:left="7260" w:hanging="180"/>
      </w:pPr>
      <w:rPr>
        <w:rFonts w:cs="Times New Roman"/>
      </w:rPr>
    </w:lvl>
  </w:abstractNum>
  <w:abstractNum w:abstractNumId="10">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11">
    <w:nsid w:val="39384A0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3B0318E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425027A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4C576ABE"/>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16">
    <w:nsid w:val="561A6E6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5CFC6DC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671316A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E4770F8"/>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21">
    <w:nsid w:val="7E7641F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6"/>
  </w:num>
  <w:num w:numId="2">
    <w:abstractNumId w:val="13"/>
  </w:num>
  <w:num w:numId="3">
    <w:abstractNumId w:val="5"/>
  </w:num>
  <w:num w:numId="4">
    <w:abstractNumId w:val="0"/>
  </w:num>
  <w:num w:numId="5">
    <w:abstractNumId w:val="7"/>
  </w:num>
  <w:num w:numId="6">
    <w:abstractNumId w:val="12"/>
  </w:num>
  <w:num w:numId="7">
    <w:abstractNumId w:val="19"/>
  </w:num>
  <w:num w:numId="8">
    <w:abstractNumId w:val="17"/>
  </w:num>
  <w:num w:numId="9">
    <w:abstractNumId w:val="14"/>
  </w:num>
  <w:num w:numId="10">
    <w:abstractNumId w:val="3"/>
  </w:num>
  <w:num w:numId="11">
    <w:abstractNumId w:val="21"/>
  </w:num>
  <w:num w:numId="12">
    <w:abstractNumId w:val="2"/>
  </w:num>
  <w:num w:numId="13">
    <w:abstractNumId w:val="11"/>
  </w:num>
  <w:num w:numId="14">
    <w:abstractNumId w:val="18"/>
  </w:num>
  <w:num w:numId="15">
    <w:abstractNumId w:val="10"/>
  </w:num>
  <w:num w:numId="16">
    <w:abstractNumId w:val="1"/>
  </w:num>
  <w:num w:numId="17">
    <w:abstractNumId w:val="9"/>
  </w:num>
  <w:num w:numId="18">
    <w:abstractNumId w:val="20"/>
    <w:lvlOverride w:ilvl="0">
      <w:startOverride w:val="1"/>
    </w:lvlOverride>
  </w:num>
  <w:num w:numId="19">
    <w:abstractNumId w:val="15"/>
  </w:num>
  <w:num w:numId="20">
    <w:abstractNumId w:val="8"/>
  </w:num>
  <w:num w:numId="21">
    <w:abstractNumId w:val="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605"/>
    <w:rsid w:val="00001878"/>
    <w:rsid w:val="00003CEA"/>
    <w:rsid w:val="00004614"/>
    <w:rsid w:val="00005435"/>
    <w:rsid w:val="00005E1E"/>
    <w:rsid w:val="00012468"/>
    <w:rsid w:val="0001636D"/>
    <w:rsid w:val="00023D72"/>
    <w:rsid w:val="00025450"/>
    <w:rsid w:val="000271FA"/>
    <w:rsid w:val="00032198"/>
    <w:rsid w:val="00037DCE"/>
    <w:rsid w:val="00041450"/>
    <w:rsid w:val="0004660A"/>
    <w:rsid w:val="00052B15"/>
    <w:rsid w:val="0005412B"/>
    <w:rsid w:val="00054432"/>
    <w:rsid w:val="000562CD"/>
    <w:rsid w:val="00056D51"/>
    <w:rsid w:val="0006028E"/>
    <w:rsid w:val="00061C2E"/>
    <w:rsid w:val="00063D0E"/>
    <w:rsid w:val="00065DC2"/>
    <w:rsid w:val="00065E95"/>
    <w:rsid w:val="00070785"/>
    <w:rsid w:val="00074384"/>
    <w:rsid w:val="00074AC5"/>
    <w:rsid w:val="00077A56"/>
    <w:rsid w:val="00080148"/>
    <w:rsid w:val="000835D8"/>
    <w:rsid w:val="00084727"/>
    <w:rsid w:val="0009133A"/>
    <w:rsid w:val="000916AF"/>
    <w:rsid w:val="00092C2E"/>
    <w:rsid w:val="00094C5B"/>
    <w:rsid w:val="00096B1B"/>
    <w:rsid w:val="00097863"/>
    <w:rsid w:val="000A0EF8"/>
    <w:rsid w:val="000A152A"/>
    <w:rsid w:val="000A1EBD"/>
    <w:rsid w:val="000A2C56"/>
    <w:rsid w:val="000A3504"/>
    <w:rsid w:val="000A6269"/>
    <w:rsid w:val="000A62BD"/>
    <w:rsid w:val="000B0ECB"/>
    <w:rsid w:val="000B0FEA"/>
    <w:rsid w:val="000B2AFA"/>
    <w:rsid w:val="000D0FEF"/>
    <w:rsid w:val="000D1878"/>
    <w:rsid w:val="000D1FD7"/>
    <w:rsid w:val="000D6418"/>
    <w:rsid w:val="000D7DB6"/>
    <w:rsid w:val="000D7DED"/>
    <w:rsid w:val="000E2D47"/>
    <w:rsid w:val="000E3B31"/>
    <w:rsid w:val="000E504D"/>
    <w:rsid w:val="000F2F92"/>
    <w:rsid w:val="000F6D85"/>
    <w:rsid w:val="000F7CEE"/>
    <w:rsid w:val="000F7D84"/>
    <w:rsid w:val="001041ED"/>
    <w:rsid w:val="001104BA"/>
    <w:rsid w:val="00112676"/>
    <w:rsid w:val="00112A5F"/>
    <w:rsid w:val="0011373A"/>
    <w:rsid w:val="00114511"/>
    <w:rsid w:val="00115438"/>
    <w:rsid w:val="0011718A"/>
    <w:rsid w:val="00126026"/>
    <w:rsid w:val="00133EA9"/>
    <w:rsid w:val="00141D7A"/>
    <w:rsid w:val="001420D1"/>
    <w:rsid w:val="001444A2"/>
    <w:rsid w:val="00151F92"/>
    <w:rsid w:val="0015258E"/>
    <w:rsid w:val="00152ECC"/>
    <w:rsid w:val="001532E4"/>
    <w:rsid w:val="00156A48"/>
    <w:rsid w:val="00157614"/>
    <w:rsid w:val="00157AFE"/>
    <w:rsid w:val="00157C0F"/>
    <w:rsid w:val="001744E7"/>
    <w:rsid w:val="00176375"/>
    <w:rsid w:val="00195730"/>
    <w:rsid w:val="001A0CC1"/>
    <w:rsid w:val="001A330B"/>
    <w:rsid w:val="001A60A2"/>
    <w:rsid w:val="001A79D3"/>
    <w:rsid w:val="001B3E8E"/>
    <w:rsid w:val="001B4F90"/>
    <w:rsid w:val="001B6823"/>
    <w:rsid w:val="001B7F4F"/>
    <w:rsid w:val="001C0575"/>
    <w:rsid w:val="001C437E"/>
    <w:rsid w:val="001D03C7"/>
    <w:rsid w:val="001D1478"/>
    <w:rsid w:val="001D1E52"/>
    <w:rsid w:val="001D56C3"/>
    <w:rsid w:val="001D74CE"/>
    <w:rsid w:val="001E0BF1"/>
    <w:rsid w:val="001E1E28"/>
    <w:rsid w:val="001E2620"/>
    <w:rsid w:val="001E2716"/>
    <w:rsid w:val="001E4147"/>
    <w:rsid w:val="001E7019"/>
    <w:rsid w:val="001E747D"/>
    <w:rsid w:val="001E7C3D"/>
    <w:rsid w:val="001F00DF"/>
    <w:rsid w:val="001F1E8F"/>
    <w:rsid w:val="00200260"/>
    <w:rsid w:val="002002CE"/>
    <w:rsid w:val="0020066F"/>
    <w:rsid w:val="0020107A"/>
    <w:rsid w:val="0020135D"/>
    <w:rsid w:val="00202EAD"/>
    <w:rsid w:val="00203A6F"/>
    <w:rsid w:val="00211816"/>
    <w:rsid w:val="00226AEF"/>
    <w:rsid w:val="00226D9D"/>
    <w:rsid w:val="00232158"/>
    <w:rsid w:val="002328F9"/>
    <w:rsid w:val="00233CE3"/>
    <w:rsid w:val="002343BF"/>
    <w:rsid w:val="002442D9"/>
    <w:rsid w:val="00244BA7"/>
    <w:rsid w:val="0024593F"/>
    <w:rsid w:val="002476B6"/>
    <w:rsid w:val="00253242"/>
    <w:rsid w:val="00254590"/>
    <w:rsid w:val="00262359"/>
    <w:rsid w:val="0026280F"/>
    <w:rsid w:val="0026362E"/>
    <w:rsid w:val="00264315"/>
    <w:rsid w:val="002649A7"/>
    <w:rsid w:val="00264FC3"/>
    <w:rsid w:val="002663B7"/>
    <w:rsid w:val="002666C5"/>
    <w:rsid w:val="00271D81"/>
    <w:rsid w:val="0027213F"/>
    <w:rsid w:val="00273E72"/>
    <w:rsid w:val="00274068"/>
    <w:rsid w:val="0027498E"/>
    <w:rsid w:val="0027686D"/>
    <w:rsid w:val="00276DC0"/>
    <w:rsid w:val="002810D9"/>
    <w:rsid w:val="00281830"/>
    <w:rsid w:val="002830F6"/>
    <w:rsid w:val="0029043B"/>
    <w:rsid w:val="00290A06"/>
    <w:rsid w:val="0029184C"/>
    <w:rsid w:val="0029211E"/>
    <w:rsid w:val="0029450E"/>
    <w:rsid w:val="00297A00"/>
    <w:rsid w:val="002A190F"/>
    <w:rsid w:val="002A2129"/>
    <w:rsid w:val="002A3B3F"/>
    <w:rsid w:val="002B409B"/>
    <w:rsid w:val="002B4392"/>
    <w:rsid w:val="002B56C3"/>
    <w:rsid w:val="002B5AD5"/>
    <w:rsid w:val="002B5C5A"/>
    <w:rsid w:val="002B6422"/>
    <w:rsid w:val="002B71BA"/>
    <w:rsid w:val="002C208E"/>
    <w:rsid w:val="002C7B61"/>
    <w:rsid w:val="002C7B6D"/>
    <w:rsid w:val="002D35F5"/>
    <w:rsid w:val="002D47FE"/>
    <w:rsid w:val="002D532D"/>
    <w:rsid w:val="002D739A"/>
    <w:rsid w:val="002D76AB"/>
    <w:rsid w:val="002E28BA"/>
    <w:rsid w:val="002E361C"/>
    <w:rsid w:val="002E3943"/>
    <w:rsid w:val="002E4254"/>
    <w:rsid w:val="002E4F13"/>
    <w:rsid w:val="002E4FB7"/>
    <w:rsid w:val="002E789C"/>
    <w:rsid w:val="002F1C09"/>
    <w:rsid w:val="002F2ABC"/>
    <w:rsid w:val="002F5F3B"/>
    <w:rsid w:val="002F693C"/>
    <w:rsid w:val="002F7C6D"/>
    <w:rsid w:val="003020F4"/>
    <w:rsid w:val="003025C7"/>
    <w:rsid w:val="0030360F"/>
    <w:rsid w:val="00303984"/>
    <w:rsid w:val="00304A73"/>
    <w:rsid w:val="003069F9"/>
    <w:rsid w:val="00310208"/>
    <w:rsid w:val="0031058F"/>
    <w:rsid w:val="0031089E"/>
    <w:rsid w:val="00310D69"/>
    <w:rsid w:val="003147B7"/>
    <w:rsid w:val="00317E59"/>
    <w:rsid w:val="00322AE7"/>
    <w:rsid w:val="00325246"/>
    <w:rsid w:val="003275E4"/>
    <w:rsid w:val="0033244F"/>
    <w:rsid w:val="00337E16"/>
    <w:rsid w:val="00340921"/>
    <w:rsid w:val="00340E66"/>
    <w:rsid w:val="00340F10"/>
    <w:rsid w:val="0034486B"/>
    <w:rsid w:val="00344D92"/>
    <w:rsid w:val="003455A2"/>
    <w:rsid w:val="00350E87"/>
    <w:rsid w:val="00353B7C"/>
    <w:rsid w:val="0035438E"/>
    <w:rsid w:val="00355828"/>
    <w:rsid w:val="00356E38"/>
    <w:rsid w:val="00357CBE"/>
    <w:rsid w:val="00361487"/>
    <w:rsid w:val="00361661"/>
    <w:rsid w:val="00377407"/>
    <w:rsid w:val="00381780"/>
    <w:rsid w:val="003824E4"/>
    <w:rsid w:val="003853FF"/>
    <w:rsid w:val="00385DAB"/>
    <w:rsid w:val="0038696B"/>
    <w:rsid w:val="00390ED6"/>
    <w:rsid w:val="00392509"/>
    <w:rsid w:val="003943E5"/>
    <w:rsid w:val="00397D8E"/>
    <w:rsid w:val="003A105C"/>
    <w:rsid w:val="003A2222"/>
    <w:rsid w:val="003A3262"/>
    <w:rsid w:val="003A3B7F"/>
    <w:rsid w:val="003A4F15"/>
    <w:rsid w:val="003A5479"/>
    <w:rsid w:val="003A5C1B"/>
    <w:rsid w:val="003A7C7F"/>
    <w:rsid w:val="003B0304"/>
    <w:rsid w:val="003B043F"/>
    <w:rsid w:val="003B155C"/>
    <w:rsid w:val="003B2E10"/>
    <w:rsid w:val="003B33CE"/>
    <w:rsid w:val="003B343D"/>
    <w:rsid w:val="003B56D7"/>
    <w:rsid w:val="003C1911"/>
    <w:rsid w:val="003C1B4F"/>
    <w:rsid w:val="003C2288"/>
    <w:rsid w:val="003C39E6"/>
    <w:rsid w:val="003C6DEB"/>
    <w:rsid w:val="003C7585"/>
    <w:rsid w:val="003C7A5C"/>
    <w:rsid w:val="003D399B"/>
    <w:rsid w:val="003D6196"/>
    <w:rsid w:val="003D660C"/>
    <w:rsid w:val="003D73BD"/>
    <w:rsid w:val="003D7CCE"/>
    <w:rsid w:val="003E0D8C"/>
    <w:rsid w:val="003E154A"/>
    <w:rsid w:val="003E1B68"/>
    <w:rsid w:val="003E65D7"/>
    <w:rsid w:val="003F1CE1"/>
    <w:rsid w:val="003F413A"/>
    <w:rsid w:val="003F54FB"/>
    <w:rsid w:val="003F6D1F"/>
    <w:rsid w:val="004169D8"/>
    <w:rsid w:val="004201AF"/>
    <w:rsid w:val="004252DE"/>
    <w:rsid w:val="00425FF9"/>
    <w:rsid w:val="00427B3B"/>
    <w:rsid w:val="00427EBF"/>
    <w:rsid w:val="004362AB"/>
    <w:rsid w:val="004415FB"/>
    <w:rsid w:val="00441CE3"/>
    <w:rsid w:val="004421F5"/>
    <w:rsid w:val="0044434A"/>
    <w:rsid w:val="0044437F"/>
    <w:rsid w:val="00445E76"/>
    <w:rsid w:val="004470AD"/>
    <w:rsid w:val="00447217"/>
    <w:rsid w:val="00452C60"/>
    <w:rsid w:val="004617A9"/>
    <w:rsid w:val="0046384E"/>
    <w:rsid w:val="0046706B"/>
    <w:rsid w:val="00467815"/>
    <w:rsid w:val="00471284"/>
    <w:rsid w:val="00473696"/>
    <w:rsid w:val="00473721"/>
    <w:rsid w:val="0047491E"/>
    <w:rsid w:val="004837C6"/>
    <w:rsid w:val="00483998"/>
    <w:rsid w:val="00484E4C"/>
    <w:rsid w:val="00491438"/>
    <w:rsid w:val="00492E3F"/>
    <w:rsid w:val="0049392D"/>
    <w:rsid w:val="00493F5C"/>
    <w:rsid w:val="004A171B"/>
    <w:rsid w:val="004B0194"/>
    <w:rsid w:val="004B1113"/>
    <w:rsid w:val="004B1DC3"/>
    <w:rsid w:val="004C61A3"/>
    <w:rsid w:val="004C6E03"/>
    <w:rsid w:val="004C780C"/>
    <w:rsid w:val="004D3441"/>
    <w:rsid w:val="004D6A38"/>
    <w:rsid w:val="004D708E"/>
    <w:rsid w:val="004D760C"/>
    <w:rsid w:val="004D7C91"/>
    <w:rsid w:val="004E357A"/>
    <w:rsid w:val="004E3A0D"/>
    <w:rsid w:val="004E65EB"/>
    <w:rsid w:val="004F7174"/>
    <w:rsid w:val="00500DD0"/>
    <w:rsid w:val="0050355D"/>
    <w:rsid w:val="005055B5"/>
    <w:rsid w:val="00511BBF"/>
    <w:rsid w:val="00515E7B"/>
    <w:rsid w:val="005217F8"/>
    <w:rsid w:val="0052267A"/>
    <w:rsid w:val="00531143"/>
    <w:rsid w:val="00534A44"/>
    <w:rsid w:val="00536332"/>
    <w:rsid w:val="005438A1"/>
    <w:rsid w:val="00543B81"/>
    <w:rsid w:val="00543EB8"/>
    <w:rsid w:val="00544FCF"/>
    <w:rsid w:val="00545FC7"/>
    <w:rsid w:val="0054634E"/>
    <w:rsid w:val="00554A33"/>
    <w:rsid w:val="0055716D"/>
    <w:rsid w:val="00557953"/>
    <w:rsid w:val="00560E55"/>
    <w:rsid w:val="0056301A"/>
    <w:rsid w:val="005635AD"/>
    <w:rsid w:val="005640E1"/>
    <w:rsid w:val="00564EA1"/>
    <w:rsid w:val="0056534C"/>
    <w:rsid w:val="00567CEE"/>
    <w:rsid w:val="005713F4"/>
    <w:rsid w:val="00571E64"/>
    <w:rsid w:val="00575CC3"/>
    <w:rsid w:val="00580F26"/>
    <w:rsid w:val="00581A7C"/>
    <w:rsid w:val="0058427E"/>
    <w:rsid w:val="00590907"/>
    <w:rsid w:val="00594A7B"/>
    <w:rsid w:val="005950EE"/>
    <w:rsid w:val="005A2D82"/>
    <w:rsid w:val="005A3835"/>
    <w:rsid w:val="005A72F2"/>
    <w:rsid w:val="005B2194"/>
    <w:rsid w:val="005B2BC3"/>
    <w:rsid w:val="005B3043"/>
    <w:rsid w:val="005B4CFA"/>
    <w:rsid w:val="005C1A79"/>
    <w:rsid w:val="005C7644"/>
    <w:rsid w:val="005C7BF4"/>
    <w:rsid w:val="005D3352"/>
    <w:rsid w:val="005E269C"/>
    <w:rsid w:val="005E3586"/>
    <w:rsid w:val="005E4DEE"/>
    <w:rsid w:val="005E5FF1"/>
    <w:rsid w:val="005F01CE"/>
    <w:rsid w:val="005F70B6"/>
    <w:rsid w:val="005F7A87"/>
    <w:rsid w:val="00601F0A"/>
    <w:rsid w:val="00604DBE"/>
    <w:rsid w:val="006063E1"/>
    <w:rsid w:val="006065E4"/>
    <w:rsid w:val="00610039"/>
    <w:rsid w:val="00610381"/>
    <w:rsid w:val="00611E07"/>
    <w:rsid w:val="00612045"/>
    <w:rsid w:val="00612F12"/>
    <w:rsid w:val="00613AC9"/>
    <w:rsid w:val="00616FB7"/>
    <w:rsid w:val="00620E86"/>
    <w:rsid w:val="006219DD"/>
    <w:rsid w:val="00631FE7"/>
    <w:rsid w:val="00632ACC"/>
    <w:rsid w:val="006345C1"/>
    <w:rsid w:val="00637FDD"/>
    <w:rsid w:val="00641E57"/>
    <w:rsid w:val="00646EB7"/>
    <w:rsid w:val="006503A5"/>
    <w:rsid w:val="00650463"/>
    <w:rsid w:val="00651660"/>
    <w:rsid w:val="00652171"/>
    <w:rsid w:val="00662E39"/>
    <w:rsid w:val="00666285"/>
    <w:rsid w:val="00670FEA"/>
    <w:rsid w:val="006734AA"/>
    <w:rsid w:val="0067353C"/>
    <w:rsid w:val="00676163"/>
    <w:rsid w:val="00677C22"/>
    <w:rsid w:val="006808CC"/>
    <w:rsid w:val="00681D69"/>
    <w:rsid w:val="00685899"/>
    <w:rsid w:val="00691604"/>
    <w:rsid w:val="00692D30"/>
    <w:rsid w:val="00695597"/>
    <w:rsid w:val="00696A89"/>
    <w:rsid w:val="00697477"/>
    <w:rsid w:val="006A037E"/>
    <w:rsid w:val="006A2019"/>
    <w:rsid w:val="006A7796"/>
    <w:rsid w:val="006B0495"/>
    <w:rsid w:val="006B0DCB"/>
    <w:rsid w:val="006B2408"/>
    <w:rsid w:val="006B3AF9"/>
    <w:rsid w:val="006B414C"/>
    <w:rsid w:val="006B4B0F"/>
    <w:rsid w:val="006C5C6C"/>
    <w:rsid w:val="006D4245"/>
    <w:rsid w:val="006E4064"/>
    <w:rsid w:val="006F2F67"/>
    <w:rsid w:val="006F4DE0"/>
    <w:rsid w:val="006F6483"/>
    <w:rsid w:val="006F7332"/>
    <w:rsid w:val="0070385B"/>
    <w:rsid w:val="0070494F"/>
    <w:rsid w:val="00705758"/>
    <w:rsid w:val="0070717A"/>
    <w:rsid w:val="00707244"/>
    <w:rsid w:val="00712CCC"/>
    <w:rsid w:val="00713DE5"/>
    <w:rsid w:val="007174DA"/>
    <w:rsid w:val="00720910"/>
    <w:rsid w:val="00720F29"/>
    <w:rsid w:val="007224C2"/>
    <w:rsid w:val="00731409"/>
    <w:rsid w:val="007334B1"/>
    <w:rsid w:val="007339F3"/>
    <w:rsid w:val="00737FEC"/>
    <w:rsid w:val="00742B07"/>
    <w:rsid w:val="00756AA0"/>
    <w:rsid w:val="00757CE6"/>
    <w:rsid w:val="00764CB0"/>
    <w:rsid w:val="007671B6"/>
    <w:rsid w:val="007671DA"/>
    <w:rsid w:val="007719A8"/>
    <w:rsid w:val="00773CAE"/>
    <w:rsid w:val="00774593"/>
    <w:rsid w:val="00777599"/>
    <w:rsid w:val="00785CF8"/>
    <w:rsid w:val="00796068"/>
    <w:rsid w:val="00796CC0"/>
    <w:rsid w:val="007979EA"/>
    <w:rsid w:val="007A1A35"/>
    <w:rsid w:val="007A2166"/>
    <w:rsid w:val="007A2B7F"/>
    <w:rsid w:val="007A5922"/>
    <w:rsid w:val="007B259B"/>
    <w:rsid w:val="007B5018"/>
    <w:rsid w:val="007C02A5"/>
    <w:rsid w:val="007C4E99"/>
    <w:rsid w:val="007C546B"/>
    <w:rsid w:val="007C670D"/>
    <w:rsid w:val="007D0ED0"/>
    <w:rsid w:val="007D48CF"/>
    <w:rsid w:val="007D4A4A"/>
    <w:rsid w:val="007E0E05"/>
    <w:rsid w:val="007E1DD3"/>
    <w:rsid w:val="007E209F"/>
    <w:rsid w:val="007E2878"/>
    <w:rsid w:val="007E4655"/>
    <w:rsid w:val="007E55E0"/>
    <w:rsid w:val="007E5C50"/>
    <w:rsid w:val="007F0546"/>
    <w:rsid w:val="007F22A5"/>
    <w:rsid w:val="007F5688"/>
    <w:rsid w:val="00800C54"/>
    <w:rsid w:val="00804DF4"/>
    <w:rsid w:val="008051DE"/>
    <w:rsid w:val="00810CC2"/>
    <w:rsid w:val="0081324B"/>
    <w:rsid w:val="0081440E"/>
    <w:rsid w:val="00816193"/>
    <w:rsid w:val="008165E4"/>
    <w:rsid w:val="00825155"/>
    <w:rsid w:val="00825EB9"/>
    <w:rsid w:val="008303E2"/>
    <w:rsid w:val="008341F8"/>
    <w:rsid w:val="008359F3"/>
    <w:rsid w:val="00835DB6"/>
    <w:rsid w:val="00836AC2"/>
    <w:rsid w:val="00844C5B"/>
    <w:rsid w:val="008501A4"/>
    <w:rsid w:val="008505A1"/>
    <w:rsid w:val="00850817"/>
    <w:rsid w:val="00851D16"/>
    <w:rsid w:val="00856252"/>
    <w:rsid w:val="00857634"/>
    <w:rsid w:val="0086124E"/>
    <w:rsid w:val="008652C9"/>
    <w:rsid w:val="00866992"/>
    <w:rsid w:val="00872942"/>
    <w:rsid w:val="00875991"/>
    <w:rsid w:val="00877FDD"/>
    <w:rsid w:val="00880FED"/>
    <w:rsid w:val="0088365E"/>
    <w:rsid w:val="008841C8"/>
    <w:rsid w:val="00885367"/>
    <w:rsid w:val="00887082"/>
    <w:rsid w:val="00892BB8"/>
    <w:rsid w:val="00893014"/>
    <w:rsid w:val="0089513A"/>
    <w:rsid w:val="00896755"/>
    <w:rsid w:val="008A2417"/>
    <w:rsid w:val="008A5D49"/>
    <w:rsid w:val="008A751E"/>
    <w:rsid w:val="008B0547"/>
    <w:rsid w:val="008B11A3"/>
    <w:rsid w:val="008B1FE5"/>
    <w:rsid w:val="008B3A74"/>
    <w:rsid w:val="008B3D72"/>
    <w:rsid w:val="008B434A"/>
    <w:rsid w:val="008B7B55"/>
    <w:rsid w:val="008C13A1"/>
    <w:rsid w:val="008C3A5B"/>
    <w:rsid w:val="008C5B71"/>
    <w:rsid w:val="008D2382"/>
    <w:rsid w:val="008D6F5D"/>
    <w:rsid w:val="008E003A"/>
    <w:rsid w:val="008E15E3"/>
    <w:rsid w:val="008E4C62"/>
    <w:rsid w:val="008E727E"/>
    <w:rsid w:val="008F2902"/>
    <w:rsid w:val="008F660B"/>
    <w:rsid w:val="009005CE"/>
    <w:rsid w:val="00901376"/>
    <w:rsid w:val="009021A4"/>
    <w:rsid w:val="00914B48"/>
    <w:rsid w:val="0091511B"/>
    <w:rsid w:val="009239AA"/>
    <w:rsid w:val="009245B5"/>
    <w:rsid w:val="00925EF2"/>
    <w:rsid w:val="00935C40"/>
    <w:rsid w:val="00935F4D"/>
    <w:rsid w:val="0093795C"/>
    <w:rsid w:val="00937F7E"/>
    <w:rsid w:val="009440DE"/>
    <w:rsid w:val="009444E6"/>
    <w:rsid w:val="00944A8E"/>
    <w:rsid w:val="009455E6"/>
    <w:rsid w:val="00956BA7"/>
    <w:rsid w:val="00956FD8"/>
    <w:rsid w:val="009575F7"/>
    <w:rsid w:val="00957E4B"/>
    <w:rsid w:val="0096021A"/>
    <w:rsid w:val="00960F73"/>
    <w:rsid w:val="0096655D"/>
    <w:rsid w:val="00971139"/>
    <w:rsid w:val="0097401F"/>
    <w:rsid w:val="00981FA0"/>
    <w:rsid w:val="00984366"/>
    <w:rsid w:val="00984E80"/>
    <w:rsid w:val="0098690F"/>
    <w:rsid w:val="00987EE5"/>
    <w:rsid w:val="00991CD8"/>
    <w:rsid w:val="00991EBE"/>
    <w:rsid w:val="00993C2E"/>
    <w:rsid w:val="00997C8A"/>
    <w:rsid w:val="009A1339"/>
    <w:rsid w:val="009A3006"/>
    <w:rsid w:val="009A3994"/>
    <w:rsid w:val="009B62AF"/>
    <w:rsid w:val="009B7AB9"/>
    <w:rsid w:val="009C4B6D"/>
    <w:rsid w:val="009D0928"/>
    <w:rsid w:val="009D1B99"/>
    <w:rsid w:val="009D5445"/>
    <w:rsid w:val="009D565F"/>
    <w:rsid w:val="009D65B9"/>
    <w:rsid w:val="009E04DC"/>
    <w:rsid w:val="009E0FB3"/>
    <w:rsid w:val="009E5105"/>
    <w:rsid w:val="009E59A1"/>
    <w:rsid w:val="009F4326"/>
    <w:rsid w:val="00A0244C"/>
    <w:rsid w:val="00A033FF"/>
    <w:rsid w:val="00A0409E"/>
    <w:rsid w:val="00A06137"/>
    <w:rsid w:val="00A07ACC"/>
    <w:rsid w:val="00A1329C"/>
    <w:rsid w:val="00A14E25"/>
    <w:rsid w:val="00A156E5"/>
    <w:rsid w:val="00A16A60"/>
    <w:rsid w:val="00A17A3D"/>
    <w:rsid w:val="00A2062A"/>
    <w:rsid w:val="00A2066E"/>
    <w:rsid w:val="00A21E19"/>
    <w:rsid w:val="00A239A8"/>
    <w:rsid w:val="00A30683"/>
    <w:rsid w:val="00A3115F"/>
    <w:rsid w:val="00A33030"/>
    <w:rsid w:val="00A378A2"/>
    <w:rsid w:val="00A407B6"/>
    <w:rsid w:val="00A52DA1"/>
    <w:rsid w:val="00A60F52"/>
    <w:rsid w:val="00A62AA8"/>
    <w:rsid w:val="00A63B4C"/>
    <w:rsid w:val="00A664E7"/>
    <w:rsid w:val="00A66E7F"/>
    <w:rsid w:val="00A75C52"/>
    <w:rsid w:val="00A767B2"/>
    <w:rsid w:val="00A81B11"/>
    <w:rsid w:val="00A82B9E"/>
    <w:rsid w:val="00A84186"/>
    <w:rsid w:val="00A846F1"/>
    <w:rsid w:val="00A857B4"/>
    <w:rsid w:val="00A85B14"/>
    <w:rsid w:val="00A875C0"/>
    <w:rsid w:val="00A92706"/>
    <w:rsid w:val="00A9704A"/>
    <w:rsid w:val="00A97AD0"/>
    <w:rsid w:val="00AA1377"/>
    <w:rsid w:val="00AA49AF"/>
    <w:rsid w:val="00AA57CE"/>
    <w:rsid w:val="00AA7540"/>
    <w:rsid w:val="00AB0F2E"/>
    <w:rsid w:val="00AC0BAE"/>
    <w:rsid w:val="00AC126F"/>
    <w:rsid w:val="00AD05A6"/>
    <w:rsid w:val="00AE05EA"/>
    <w:rsid w:val="00AE0EDF"/>
    <w:rsid w:val="00AE1128"/>
    <w:rsid w:val="00AE1AB0"/>
    <w:rsid w:val="00AE2609"/>
    <w:rsid w:val="00AE29A8"/>
    <w:rsid w:val="00AE439A"/>
    <w:rsid w:val="00AE617A"/>
    <w:rsid w:val="00AF09C7"/>
    <w:rsid w:val="00AF4BF4"/>
    <w:rsid w:val="00B03D35"/>
    <w:rsid w:val="00B05065"/>
    <w:rsid w:val="00B05194"/>
    <w:rsid w:val="00B17303"/>
    <w:rsid w:val="00B21343"/>
    <w:rsid w:val="00B25143"/>
    <w:rsid w:val="00B2585D"/>
    <w:rsid w:val="00B266FA"/>
    <w:rsid w:val="00B27359"/>
    <w:rsid w:val="00B33FC2"/>
    <w:rsid w:val="00B347F1"/>
    <w:rsid w:val="00B3502B"/>
    <w:rsid w:val="00B3599F"/>
    <w:rsid w:val="00B35C3E"/>
    <w:rsid w:val="00B36473"/>
    <w:rsid w:val="00B44029"/>
    <w:rsid w:val="00B45428"/>
    <w:rsid w:val="00B47943"/>
    <w:rsid w:val="00B50446"/>
    <w:rsid w:val="00B50A6E"/>
    <w:rsid w:val="00B527BF"/>
    <w:rsid w:val="00B530FD"/>
    <w:rsid w:val="00B53C9C"/>
    <w:rsid w:val="00B5639B"/>
    <w:rsid w:val="00B60C3E"/>
    <w:rsid w:val="00B615CB"/>
    <w:rsid w:val="00B645FA"/>
    <w:rsid w:val="00B64775"/>
    <w:rsid w:val="00B67B4F"/>
    <w:rsid w:val="00B81718"/>
    <w:rsid w:val="00B86AF6"/>
    <w:rsid w:val="00B86E2A"/>
    <w:rsid w:val="00B877AA"/>
    <w:rsid w:val="00B9389E"/>
    <w:rsid w:val="00B96EA4"/>
    <w:rsid w:val="00B97A3E"/>
    <w:rsid w:val="00BA2F02"/>
    <w:rsid w:val="00BA2FFD"/>
    <w:rsid w:val="00BA58B6"/>
    <w:rsid w:val="00BA62AD"/>
    <w:rsid w:val="00BB0267"/>
    <w:rsid w:val="00BB37AF"/>
    <w:rsid w:val="00BB4C08"/>
    <w:rsid w:val="00BC1DBD"/>
    <w:rsid w:val="00BC5737"/>
    <w:rsid w:val="00BD1747"/>
    <w:rsid w:val="00BD3C68"/>
    <w:rsid w:val="00BD421D"/>
    <w:rsid w:val="00BD6B87"/>
    <w:rsid w:val="00BE3E1D"/>
    <w:rsid w:val="00BE4614"/>
    <w:rsid w:val="00BE4E6F"/>
    <w:rsid w:val="00BE5100"/>
    <w:rsid w:val="00BE529D"/>
    <w:rsid w:val="00BE6637"/>
    <w:rsid w:val="00BF10E8"/>
    <w:rsid w:val="00BF3158"/>
    <w:rsid w:val="00C03312"/>
    <w:rsid w:val="00C039A5"/>
    <w:rsid w:val="00C03A04"/>
    <w:rsid w:val="00C046F7"/>
    <w:rsid w:val="00C10C0B"/>
    <w:rsid w:val="00C10DD5"/>
    <w:rsid w:val="00C144D5"/>
    <w:rsid w:val="00C1776A"/>
    <w:rsid w:val="00C22519"/>
    <w:rsid w:val="00C2305C"/>
    <w:rsid w:val="00C233D0"/>
    <w:rsid w:val="00C2380D"/>
    <w:rsid w:val="00C24162"/>
    <w:rsid w:val="00C2509D"/>
    <w:rsid w:val="00C3271F"/>
    <w:rsid w:val="00C34ABD"/>
    <w:rsid w:val="00C35F43"/>
    <w:rsid w:val="00C37088"/>
    <w:rsid w:val="00C408D5"/>
    <w:rsid w:val="00C41D3C"/>
    <w:rsid w:val="00C43801"/>
    <w:rsid w:val="00C44A07"/>
    <w:rsid w:val="00C44BDC"/>
    <w:rsid w:val="00C45BFB"/>
    <w:rsid w:val="00C50FF9"/>
    <w:rsid w:val="00C52716"/>
    <w:rsid w:val="00C5387B"/>
    <w:rsid w:val="00C54B14"/>
    <w:rsid w:val="00C6352A"/>
    <w:rsid w:val="00C65B2D"/>
    <w:rsid w:val="00C65C5D"/>
    <w:rsid w:val="00C6656A"/>
    <w:rsid w:val="00C711E5"/>
    <w:rsid w:val="00C730CB"/>
    <w:rsid w:val="00C73782"/>
    <w:rsid w:val="00C81B05"/>
    <w:rsid w:val="00C83AEE"/>
    <w:rsid w:val="00C85563"/>
    <w:rsid w:val="00C85AC7"/>
    <w:rsid w:val="00C906CD"/>
    <w:rsid w:val="00CA0FB8"/>
    <w:rsid w:val="00CA15F3"/>
    <w:rsid w:val="00CA2680"/>
    <w:rsid w:val="00CA6716"/>
    <w:rsid w:val="00CB0D34"/>
    <w:rsid w:val="00CC1939"/>
    <w:rsid w:val="00CC42D4"/>
    <w:rsid w:val="00CD179A"/>
    <w:rsid w:val="00CD2536"/>
    <w:rsid w:val="00CD407F"/>
    <w:rsid w:val="00CE6D09"/>
    <w:rsid w:val="00CF230D"/>
    <w:rsid w:val="00CF5489"/>
    <w:rsid w:val="00CF7615"/>
    <w:rsid w:val="00D003F8"/>
    <w:rsid w:val="00D04613"/>
    <w:rsid w:val="00D10769"/>
    <w:rsid w:val="00D11642"/>
    <w:rsid w:val="00D116C7"/>
    <w:rsid w:val="00D13AC5"/>
    <w:rsid w:val="00D14E5F"/>
    <w:rsid w:val="00D17CC6"/>
    <w:rsid w:val="00D2041E"/>
    <w:rsid w:val="00D20454"/>
    <w:rsid w:val="00D20D10"/>
    <w:rsid w:val="00D23801"/>
    <w:rsid w:val="00D341C9"/>
    <w:rsid w:val="00D3447D"/>
    <w:rsid w:val="00D3488B"/>
    <w:rsid w:val="00D361DE"/>
    <w:rsid w:val="00D3793E"/>
    <w:rsid w:val="00D44B3D"/>
    <w:rsid w:val="00D46C4C"/>
    <w:rsid w:val="00D51F18"/>
    <w:rsid w:val="00D53537"/>
    <w:rsid w:val="00D551C8"/>
    <w:rsid w:val="00D564BB"/>
    <w:rsid w:val="00D565FA"/>
    <w:rsid w:val="00D568ED"/>
    <w:rsid w:val="00D6014E"/>
    <w:rsid w:val="00D630E7"/>
    <w:rsid w:val="00D700E5"/>
    <w:rsid w:val="00D76186"/>
    <w:rsid w:val="00D771E9"/>
    <w:rsid w:val="00D86DD4"/>
    <w:rsid w:val="00D92529"/>
    <w:rsid w:val="00DA1613"/>
    <w:rsid w:val="00DA5AAB"/>
    <w:rsid w:val="00DA6858"/>
    <w:rsid w:val="00DB1CD7"/>
    <w:rsid w:val="00DB2651"/>
    <w:rsid w:val="00DB4717"/>
    <w:rsid w:val="00DC6F31"/>
    <w:rsid w:val="00DD6D82"/>
    <w:rsid w:val="00DE045E"/>
    <w:rsid w:val="00DE1AA5"/>
    <w:rsid w:val="00DE231A"/>
    <w:rsid w:val="00DE23D6"/>
    <w:rsid w:val="00DE2CB6"/>
    <w:rsid w:val="00DE2DDE"/>
    <w:rsid w:val="00DE3099"/>
    <w:rsid w:val="00DE395F"/>
    <w:rsid w:val="00DE5414"/>
    <w:rsid w:val="00DE7083"/>
    <w:rsid w:val="00DF0C37"/>
    <w:rsid w:val="00DF24FD"/>
    <w:rsid w:val="00DF2506"/>
    <w:rsid w:val="00DF301A"/>
    <w:rsid w:val="00DF3469"/>
    <w:rsid w:val="00DF3BE2"/>
    <w:rsid w:val="00DF4E2C"/>
    <w:rsid w:val="00DF75EC"/>
    <w:rsid w:val="00E0133D"/>
    <w:rsid w:val="00E019ED"/>
    <w:rsid w:val="00E04C48"/>
    <w:rsid w:val="00E06065"/>
    <w:rsid w:val="00E079C6"/>
    <w:rsid w:val="00E146CF"/>
    <w:rsid w:val="00E17711"/>
    <w:rsid w:val="00E23C05"/>
    <w:rsid w:val="00E2425F"/>
    <w:rsid w:val="00E247E2"/>
    <w:rsid w:val="00E304EB"/>
    <w:rsid w:val="00E329D0"/>
    <w:rsid w:val="00E33746"/>
    <w:rsid w:val="00E342B3"/>
    <w:rsid w:val="00E3451F"/>
    <w:rsid w:val="00E36B53"/>
    <w:rsid w:val="00E37585"/>
    <w:rsid w:val="00E41B64"/>
    <w:rsid w:val="00E42C35"/>
    <w:rsid w:val="00E469D5"/>
    <w:rsid w:val="00E46CD5"/>
    <w:rsid w:val="00E500D9"/>
    <w:rsid w:val="00E51AB5"/>
    <w:rsid w:val="00E52345"/>
    <w:rsid w:val="00E52763"/>
    <w:rsid w:val="00E563AE"/>
    <w:rsid w:val="00E662CD"/>
    <w:rsid w:val="00E67427"/>
    <w:rsid w:val="00E73271"/>
    <w:rsid w:val="00E74214"/>
    <w:rsid w:val="00E74D52"/>
    <w:rsid w:val="00E75855"/>
    <w:rsid w:val="00E7609C"/>
    <w:rsid w:val="00E85CBE"/>
    <w:rsid w:val="00E86566"/>
    <w:rsid w:val="00E875F5"/>
    <w:rsid w:val="00E92527"/>
    <w:rsid w:val="00E929A6"/>
    <w:rsid w:val="00E97045"/>
    <w:rsid w:val="00EA270C"/>
    <w:rsid w:val="00EA5CF4"/>
    <w:rsid w:val="00EB09B9"/>
    <w:rsid w:val="00EB6F57"/>
    <w:rsid w:val="00EB76F7"/>
    <w:rsid w:val="00EB7CB1"/>
    <w:rsid w:val="00EC0569"/>
    <w:rsid w:val="00EC1C35"/>
    <w:rsid w:val="00EC5E45"/>
    <w:rsid w:val="00ED0557"/>
    <w:rsid w:val="00ED0820"/>
    <w:rsid w:val="00ED0CF0"/>
    <w:rsid w:val="00ED34D4"/>
    <w:rsid w:val="00EE30EE"/>
    <w:rsid w:val="00EE4C6E"/>
    <w:rsid w:val="00EE4FF1"/>
    <w:rsid w:val="00EE5BC8"/>
    <w:rsid w:val="00EE61BE"/>
    <w:rsid w:val="00EE6DE6"/>
    <w:rsid w:val="00EF057C"/>
    <w:rsid w:val="00EF1D14"/>
    <w:rsid w:val="00F01B31"/>
    <w:rsid w:val="00F03AB9"/>
    <w:rsid w:val="00F06479"/>
    <w:rsid w:val="00F076C5"/>
    <w:rsid w:val="00F120D9"/>
    <w:rsid w:val="00F124BE"/>
    <w:rsid w:val="00F24232"/>
    <w:rsid w:val="00F25B2F"/>
    <w:rsid w:val="00F27170"/>
    <w:rsid w:val="00F30016"/>
    <w:rsid w:val="00F31C75"/>
    <w:rsid w:val="00F33277"/>
    <w:rsid w:val="00F340CD"/>
    <w:rsid w:val="00F341CC"/>
    <w:rsid w:val="00F40CAB"/>
    <w:rsid w:val="00F47C5C"/>
    <w:rsid w:val="00F54856"/>
    <w:rsid w:val="00F57650"/>
    <w:rsid w:val="00F579FC"/>
    <w:rsid w:val="00F60C74"/>
    <w:rsid w:val="00F64F51"/>
    <w:rsid w:val="00F67A35"/>
    <w:rsid w:val="00F765E8"/>
    <w:rsid w:val="00F8200C"/>
    <w:rsid w:val="00F86D88"/>
    <w:rsid w:val="00F87FA7"/>
    <w:rsid w:val="00F90898"/>
    <w:rsid w:val="00F914C8"/>
    <w:rsid w:val="00F9473C"/>
    <w:rsid w:val="00FA40A3"/>
    <w:rsid w:val="00FA45CD"/>
    <w:rsid w:val="00FB3BA6"/>
    <w:rsid w:val="00FB4D65"/>
    <w:rsid w:val="00FB5954"/>
    <w:rsid w:val="00FB6695"/>
    <w:rsid w:val="00FC0CDF"/>
    <w:rsid w:val="00FC0D7C"/>
    <w:rsid w:val="00FC183A"/>
    <w:rsid w:val="00FC19F5"/>
    <w:rsid w:val="00FC3D1C"/>
    <w:rsid w:val="00FD08A7"/>
    <w:rsid w:val="00FD1295"/>
    <w:rsid w:val="00FD2E55"/>
    <w:rsid w:val="00FD2FA9"/>
    <w:rsid w:val="00FD3572"/>
    <w:rsid w:val="00FD3B1A"/>
    <w:rsid w:val="00FD54CC"/>
    <w:rsid w:val="00FE06A2"/>
    <w:rsid w:val="00FE79EF"/>
    <w:rsid w:val="00FF025A"/>
    <w:rsid w:val="00FF088B"/>
    <w:rsid w:val="00FF0AC4"/>
    <w:rsid w:val="00FF10AF"/>
    <w:rsid w:val="00FF243E"/>
    <w:rsid w:val="00FF334E"/>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A06D9CDC-6562-4131-9BF0-8F702F456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35"/>
    <w:pPr>
      <w:spacing w:after="120"/>
      <w:ind w:left="1134"/>
      <w:jc w:val="both"/>
    </w:pPr>
    <w:rPr>
      <w:sz w:val="24"/>
      <w:szCs w:val="24"/>
      <w:lang w:eastAsia="en-US"/>
    </w:rPr>
  </w:style>
  <w:style w:type="paragraph" w:styleId="Ttulo2">
    <w:name w:val="heading 2"/>
    <w:basedOn w:val="Normal"/>
    <w:next w:val="Normal"/>
    <w:link w:val="Ttulo2Char"/>
    <w:qFormat/>
    <w:rsid w:val="00AE1AB0"/>
    <w:pPr>
      <w:keepNext/>
      <w:spacing w:after="0"/>
      <w:ind w:left="708" w:firstLine="708"/>
      <w:jc w:val="center"/>
      <w:outlineLvl w:val="1"/>
    </w:pPr>
    <w:rPr>
      <w:rFonts w:eastAsia="Times New Roman"/>
      <w:szCs w:val="20"/>
      <w:lang w:eastAsia="pt-BR"/>
    </w:rPr>
  </w:style>
  <w:style w:type="paragraph" w:styleId="Ttulo3">
    <w:name w:val="heading 3"/>
    <w:basedOn w:val="Normal"/>
    <w:next w:val="Normal"/>
    <w:link w:val="Ttulo3Char"/>
    <w:uiPriority w:val="9"/>
    <w:semiHidden/>
    <w:unhideWhenUsed/>
    <w:qFormat/>
    <w:rsid w:val="005438A1"/>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5438A1"/>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iPriority w:val="9"/>
    <w:unhideWhenUsed/>
    <w:qFormat/>
    <w:rsid w:val="005438A1"/>
    <w:pPr>
      <w:keepNext/>
      <w:keepLines/>
      <w:spacing w:before="200" w:after="0"/>
      <w:ind w:left="0"/>
      <w:jc w:val="left"/>
      <w:outlineLvl w:val="4"/>
    </w:pPr>
    <w:rPr>
      <w:rFonts w:ascii="Cambria" w:eastAsia="Times New Roman" w:hAnsi="Cambria"/>
      <w:color w:val="243F60"/>
      <w:szCs w:val="22"/>
    </w:rPr>
  </w:style>
  <w:style w:type="paragraph" w:styleId="Ttulo6">
    <w:name w:val="heading 6"/>
    <w:basedOn w:val="Normal"/>
    <w:next w:val="Normal"/>
    <w:link w:val="Ttulo6Char"/>
    <w:uiPriority w:val="9"/>
    <w:semiHidden/>
    <w:unhideWhenUsed/>
    <w:qFormat/>
    <w:rsid w:val="00E75855"/>
    <w:pPr>
      <w:spacing w:before="240" w:after="60"/>
      <w:outlineLvl w:val="5"/>
    </w:pPr>
    <w:rPr>
      <w:rFonts w:ascii="Calibri" w:eastAsia="Times New Roman" w:hAnsi="Calibri"/>
      <w:b/>
      <w:bCs/>
      <w:sz w:val="22"/>
      <w:szCs w:val="22"/>
    </w:rPr>
  </w:style>
  <w:style w:type="paragraph" w:styleId="Ttulo8">
    <w:name w:val="heading 8"/>
    <w:basedOn w:val="Normal"/>
    <w:next w:val="Normal"/>
    <w:link w:val="Ttulo8Char"/>
    <w:uiPriority w:val="9"/>
    <w:unhideWhenUsed/>
    <w:qFormat/>
    <w:rsid w:val="00515E7B"/>
    <w:pPr>
      <w:spacing w:before="240" w:after="60"/>
      <w:outlineLvl w:val="7"/>
    </w:pPr>
    <w:rPr>
      <w:rFonts w:ascii="Calibri" w:eastAsia="Times New Roman" w:hAnsi="Calibri"/>
      <w:i/>
      <w:iCs/>
    </w:rPr>
  </w:style>
  <w:style w:type="paragraph" w:styleId="Ttulo9">
    <w:name w:val="heading 9"/>
    <w:basedOn w:val="Normal"/>
    <w:next w:val="Normal"/>
    <w:link w:val="Ttulo9Char"/>
    <w:uiPriority w:val="9"/>
    <w:semiHidden/>
    <w:unhideWhenUsed/>
    <w:qFormat/>
    <w:rsid w:val="00515E7B"/>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semiHidden/>
    <w:unhideWhenUsed/>
    <w:rsid w:val="008B0547"/>
    <w:pPr>
      <w:tabs>
        <w:tab w:val="center" w:pos="4252"/>
        <w:tab w:val="right" w:pos="8504"/>
      </w:tabs>
      <w:spacing w:after="0"/>
    </w:pPr>
  </w:style>
  <w:style w:type="character" w:customStyle="1" w:styleId="RodapChar">
    <w:name w:val="Rodapé Char"/>
    <w:basedOn w:val="Fontepargpadro"/>
    <w:link w:val="Rodap"/>
    <w:uiPriority w:val="99"/>
    <w:semiHidden/>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basedOn w:val="Fontepargpadro"/>
    <w:link w:val="Ttulo2"/>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eastAsia="pt-BR"/>
    </w:rPr>
  </w:style>
  <w:style w:type="character" w:customStyle="1" w:styleId="RecuodecorpodetextoChar">
    <w:name w:val="Recuo de corpo de texto Char"/>
    <w:basedOn w:val="Fontepargpadro"/>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00605"/>
    <w:rPr>
      <w:rFonts w:ascii="Tahoma" w:hAnsi="Tahoma" w:cs="Tahoma"/>
      <w:sz w:val="16"/>
      <w:szCs w:val="16"/>
      <w:lang w:eastAsia="en-US"/>
    </w:rPr>
  </w:style>
  <w:style w:type="character" w:customStyle="1" w:styleId="Ttulo6Char">
    <w:name w:val="Título 6 Char"/>
    <w:basedOn w:val="Fontepargpadro"/>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style>
  <w:style w:type="character" w:customStyle="1" w:styleId="CorpodetextoChar">
    <w:name w:val="Corpo de texto Char"/>
    <w:basedOn w:val="Fontepargpadro"/>
    <w:link w:val="Corpodetexto"/>
    <w:rsid w:val="00E75855"/>
    <w:rPr>
      <w:sz w:val="24"/>
      <w:szCs w:val="24"/>
      <w:lang w:eastAsia="en-US"/>
    </w:rPr>
  </w:style>
  <w:style w:type="paragraph" w:styleId="Corpodetexto2">
    <w:name w:val="Body Text 2"/>
    <w:basedOn w:val="Normal"/>
    <w:link w:val="Corpodetexto2Char"/>
    <w:uiPriority w:val="99"/>
    <w:semiHidden/>
    <w:unhideWhenUsed/>
    <w:rsid w:val="00E75855"/>
    <w:pPr>
      <w:spacing w:line="480" w:lineRule="auto"/>
    </w:pPr>
  </w:style>
  <w:style w:type="character" w:customStyle="1" w:styleId="Corpodetexto2Char">
    <w:name w:val="Corpo de texto 2 Char"/>
    <w:basedOn w:val="Fontepargpadro"/>
    <w:link w:val="Corpodetexto2"/>
    <w:uiPriority w:val="99"/>
    <w:semiHidden/>
    <w:rsid w:val="00E75855"/>
    <w:rPr>
      <w:sz w:val="24"/>
      <w:szCs w:val="24"/>
      <w:lang w:eastAsia="en-US"/>
    </w:rPr>
  </w:style>
  <w:style w:type="character" w:styleId="Hyperlink">
    <w:name w:val="Hyperlink"/>
    <w:basedOn w:val="Fontepargpadro"/>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basedOn w:val="Fontepargpadro"/>
    <w:uiPriority w:val="22"/>
    <w:qFormat/>
    <w:rsid w:val="00E75855"/>
    <w:rPr>
      <w:b/>
      <w:bCs/>
    </w:rPr>
  </w:style>
  <w:style w:type="character" w:customStyle="1" w:styleId="Ttulo8Char">
    <w:name w:val="Título 8 Char"/>
    <w:basedOn w:val="Fontepargpadro"/>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basedOn w:val="Fontepargpadro"/>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uiPriority w:val="99"/>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5"/>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uiPriority w:val="99"/>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16"/>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uiPriority w:val="99"/>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18"/>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basedOn w:val="Fontepargpadro"/>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basedOn w:val="Fontepargpadro"/>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basedOn w:val="Fontepargpadro"/>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19"/>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uiPriority w:val="99"/>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21"/>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SemRecuo">
    <w:name w:val="TCU - Sem Recuo"/>
    <w:basedOn w:val="Normal"/>
    <w:uiPriority w:val="99"/>
    <w:rsid w:val="00C5387B"/>
    <w:pPr>
      <w:tabs>
        <w:tab w:val="left" w:pos="1134"/>
      </w:tabs>
      <w:spacing w:after="160"/>
      <w:ind w:left="0"/>
    </w:pPr>
    <w:rPr>
      <w:rFonts w:eastAsia="Times New Roman"/>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juris@tcu.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DACF2-51CF-40F5-AE6D-4E6E94AD7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1575</Words>
  <Characters>8511</Characters>
  <Application>Microsoft Office Word</Application>
  <DocSecurity>4</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10066</CharactersWithSpaces>
  <SharedDoc>false</SharedDoc>
  <HLinks>
    <vt:vector size="6" baseType="variant">
      <vt:variant>
        <vt:i4>7602203</vt:i4>
      </vt:variant>
      <vt:variant>
        <vt:i4>0</vt:i4>
      </vt:variant>
      <vt:variant>
        <vt:i4>0</vt:i4>
      </vt:variant>
      <vt:variant>
        <vt:i4>5</vt:i4>
      </vt:variant>
      <vt:variant>
        <vt:lpwstr>mailto:infojuris@tcu.gov.br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dc:description/>
  <cp:lastModifiedBy>LUIZ FELYPE TABOSA PORTO</cp:lastModifiedBy>
  <cp:revision>2</cp:revision>
  <cp:lastPrinted>2011-04-08T12:26:00Z</cp:lastPrinted>
  <dcterms:created xsi:type="dcterms:W3CDTF">2015-05-07T12:37:00Z</dcterms:created>
  <dcterms:modified xsi:type="dcterms:W3CDTF">2015-05-07T12:37:00Z</dcterms:modified>
</cp:coreProperties>
</file>