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097863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274068">
        <w:rPr>
          <w:rFonts w:ascii="Times New Roman" w:hAnsi="Times New Roman"/>
          <w:b/>
          <w:i w:val="0"/>
          <w:color w:val="000000"/>
          <w:sz w:val="22"/>
          <w:szCs w:val="22"/>
        </w:rPr>
        <w:t>8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274068">
        <w:rPr>
          <w:rFonts w:ascii="Times New Roman" w:hAnsi="Times New Roman"/>
          <w:b/>
          <w:i w:val="0"/>
          <w:color w:val="000000"/>
          <w:sz w:val="22"/>
          <w:szCs w:val="22"/>
        </w:rPr>
        <w:t>9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B615CB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fevereiro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D5353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8B3D72" w:rsidRDefault="009444E6" w:rsidP="0081440E">
      <w:pPr>
        <w:pStyle w:val="tita"/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8B3D72">
        <w:rPr>
          <w:i w:val="0"/>
          <w:iCs w:val="0"/>
          <w:color w:val="000000"/>
          <w:sz w:val="22"/>
          <w:szCs w:val="22"/>
        </w:rPr>
        <w:t>Plenário</w:t>
      </w:r>
    </w:p>
    <w:p w:rsidR="00C85563" w:rsidRPr="0081440E" w:rsidRDefault="00C85563" w:rsidP="0081440E">
      <w:pPr>
        <w:pStyle w:val="Corpodetexto"/>
        <w:tabs>
          <w:tab w:val="left" w:pos="1134"/>
        </w:tabs>
        <w:spacing w:before="60" w:after="60"/>
        <w:ind w:left="0"/>
        <w:rPr>
          <w:color w:val="000000"/>
          <w:sz w:val="22"/>
          <w:szCs w:val="22"/>
        </w:rPr>
      </w:pPr>
      <w:r w:rsidRPr="00C85563">
        <w:rPr>
          <w:color w:val="000000"/>
          <w:sz w:val="22"/>
          <w:szCs w:val="22"/>
        </w:rPr>
        <w:t xml:space="preserve">Serviços de conservação de rodovias são de natureza contínua, e, no caso de prorrogação do contrato, deve-se </w:t>
      </w:r>
      <w:r w:rsidRPr="0081440E">
        <w:rPr>
          <w:color w:val="000000"/>
          <w:sz w:val="22"/>
          <w:szCs w:val="22"/>
          <w:lang w:eastAsia="pt-BR"/>
        </w:rPr>
        <w:t>manter os mesmos itens e preços unitários contidos no orçamento do contrato original</w:t>
      </w:r>
      <w:r w:rsidR="0081440E">
        <w:rPr>
          <w:color w:val="000000"/>
          <w:sz w:val="22"/>
          <w:szCs w:val="22"/>
          <w:lang w:eastAsia="pt-BR"/>
        </w:rPr>
        <w:t>.</w:t>
      </w:r>
    </w:p>
    <w:p w:rsidR="00097863" w:rsidRPr="0081440E" w:rsidRDefault="00C85563" w:rsidP="0081440E">
      <w:pPr>
        <w:pStyle w:val="indice"/>
        <w:spacing w:before="60" w:after="60" w:line="240" w:lineRule="auto"/>
        <w:rPr>
          <w:b/>
        </w:rPr>
      </w:pPr>
      <w:r w:rsidRPr="0081440E">
        <w:t>Bens e serviços de tecnologia da informação podem, em regra, ser considerados comuns e licitados por intermédio de pregão</w:t>
      </w:r>
      <w:r w:rsidR="00097863" w:rsidRPr="0081440E">
        <w:t>.</w:t>
      </w:r>
    </w:p>
    <w:p w:rsidR="00097863" w:rsidRPr="0081440E" w:rsidRDefault="00C85563" w:rsidP="0081440E">
      <w:pPr>
        <w:pStyle w:val="indice"/>
        <w:spacing w:before="60" w:after="60" w:line="240" w:lineRule="auto"/>
      </w:pPr>
      <w:r w:rsidRPr="0081440E">
        <w:t xml:space="preserve">Deve ser aferido o faturamento do ano anterior para que a empresa seja beneficiada com o tratamento diferenciado dado às microempresas e empresas de pequeno porte, em razão da Lei </w:t>
      </w:r>
      <w:r w:rsidR="00CE6D09">
        <w:t>C</w:t>
      </w:r>
      <w:r w:rsidRPr="0081440E">
        <w:t>omplementar 123/2006 (</w:t>
      </w:r>
      <w:r w:rsidR="00CE6D09">
        <w:t>E</w:t>
      </w:r>
      <w:r w:rsidRPr="0081440E">
        <w:t>statuto d</w:t>
      </w:r>
      <w:r w:rsidR="00CE6D09">
        <w:t>as Micros e Pequenas Empresas</w:t>
      </w:r>
      <w:r w:rsidRPr="0081440E">
        <w:t>)</w:t>
      </w:r>
      <w:r w:rsidR="00097863" w:rsidRPr="0081440E">
        <w:t>.</w:t>
      </w:r>
    </w:p>
    <w:p w:rsidR="00C85563" w:rsidRPr="00C85563" w:rsidRDefault="00C85563" w:rsidP="0081440E">
      <w:pPr>
        <w:pStyle w:val="indice"/>
        <w:spacing w:before="60" w:after="60" w:line="240" w:lineRule="auto"/>
      </w:pPr>
      <w:r w:rsidRPr="0081440E">
        <w:t>Fornecimento de vales-alimentação</w:t>
      </w:r>
      <w:r w:rsidRPr="00C85563">
        <w:t xml:space="preserve">: a exigência quanto à apresentação da rede credenciada de estabelecimentos por parte das empresas deve ocorrer na fase de contratação e não </w:t>
      </w:r>
      <w:r w:rsidR="0081440E">
        <w:t xml:space="preserve">na </w:t>
      </w:r>
      <w:r w:rsidRPr="00C85563">
        <w:t>de habilitação do certame.</w:t>
      </w:r>
    </w:p>
    <w:p w:rsidR="00C85563" w:rsidRPr="00C85563" w:rsidRDefault="00C85563" w:rsidP="0081440E">
      <w:pPr>
        <w:pStyle w:val="indice"/>
        <w:spacing w:before="60" w:after="60" w:line="240" w:lineRule="auto"/>
      </w:pPr>
      <w:r w:rsidRPr="00C85563">
        <w:t>Contratação de obras públicas:</w:t>
      </w:r>
    </w:p>
    <w:p w:rsidR="00C85563" w:rsidRPr="00C85563" w:rsidRDefault="00C85563" w:rsidP="0081440E">
      <w:pPr>
        <w:pStyle w:val="indice"/>
        <w:spacing w:before="60" w:after="60" w:line="240" w:lineRule="auto"/>
        <w:ind w:firstLine="708"/>
      </w:pPr>
      <w:r>
        <w:t>1</w:t>
      </w:r>
      <w:r w:rsidRPr="00C85563">
        <w:t>– É necessário que os itens do orçamento de referência da contratação sejam detalhados adequadamente, sendo irrelevante se a contratação ocorrerá por preço global ou unitário</w:t>
      </w:r>
      <w:r w:rsidR="0081440E">
        <w:t>;</w:t>
      </w:r>
    </w:p>
    <w:p w:rsidR="00D53537" w:rsidRPr="00C85563" w:rsidRDefault="00D53537" w:rsidP="0081440E">
      <w:pPr>
        <w:pStyle w:val="indice"/>
        <w:spacing w:before="60" w:after="60" w:line="240" w:lineRule="auto"/>
        <w:ind w:firstLine="708"/>
      </w:pPr>
      <w:r w:rsidRPr="00C85563">
        <w:t>2</w:t>
      </w:r>
      <w:r w:rsidR="00C85563">
        <w:t xml:space="preserve"> </w:t>
      </w:r>
      <w:r w:rsidRPr="00C85563">
        <w:t xml:space="preserve">– </w:t>
      </w:r>
      <w:r w:rsidR="00C85563" w:rsidRPr="00C85563">
        <w:t>Eventos futuros e incertos ensejam, quando ocorrentes, o reequilíbrio econômico-financeiro de um contrato, não podendo ser cobertos por dotações genéricas</w:t>
      </w:r>
      <w:r w:rsidRPr="00C85563">
        <w:t>.</w:t>
      </w:r>
    </w:p>
    <w:p w:rsidR="00B53C9C" w:rsidRPr="008B3D72" w:rsidRDefault="00B53C9C" w:rsidP="0081440E">
      <w:pPr>
        <w:pStyle w:val="tita"/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8B3D72">
        <w:rPr>
          <w:i w:val="0"/>
          <w:iCs w:val="0"/>
          <w:color w:val="000000"/>
          <w:sz w:val="22"/>
          <w:szCs w:val="22"/>
        </w:rPr>
        <w:t>Primeira Câmara</w:t>
      </w:r>
    </w:p>
    <w:p w:rsidR="00B53C9C" w:rsidRPr="0081440E" w:rsidRDefault="0081440E" w:rsidP="0081440E">
      <w:pPr>
        <w:pStyle w:val="enter-3pt"/>
        <w:spacing w:before="60" w:after="60" w:line="240" w:lineRule="auto"/>
        <w:rPr>
          <w:color w:val="FF0000"/>
          <w:sz w:val="22"/>
          <w:szCs w:val="22"/>
        </w:rPr>
      </w:pPr>
      <w:r w:rsidRPr="0081440E">
        <w:rPr>
          <w:color w:val="000000"/>
          <w:sz w:val="22"/>
          <w:szCs w:val="22"/>
        </w:rPr>
        <w:t>O pagamento de valores a título de “taxa de administração” em contratações públicas intermediadas por outras instituições só se legitima quando demonstrada a inviabilidade da atuação direta do próprio órgão público</w:t>
      </w:r>
      <w:r w:rsidR="00B53C9C" w:rsidRPr="0081440E">
        <w:rPr>
          <w:color w:val="000000"/>
          <w:sz w:val="22"/>
          <w:szCs w:val="22"/>
        </w:rPr>
        <w:t>.</w:t>
      </w:r>
    </w:p>
    <w:p w:rsidR="00070785" w:rsidRPr="00D53537" w:rsidRDefault="00070785" w:rsidP="00D53537">
      <w:pPr>
        <w:pStyle w:val="enter-3pt"/>
        <w:spacing w:line="240" w:lineRule="auto"/>
        <w:rPr>
          <w:b/>
          <w:sz w:val="22"/>
          <w:szCs w:val="22"/>
        </w:rPr>
      </w:pPr>
    </w:p>
    <w:p w:rsidR="003C6DEB" w:rsidRPr="00D53537" w:rsidRDefault="003C6DEB" w:rsidP="00631FE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D53537" w:rsidRDefault="003C6DEB" w:rsidP="00631FE7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1E7019" w:rsidRPr="002666C5" w:rsidRDefault="002666C5" w:rsidP="00631FE7">
      <w:pPr>
        <w:pStyle w:val="Corpodetexto"/>
        <w:tabs>
          <w:tab w:val="left" w:pos="1134"/>
        </w:tabs>
        <w:spacing w:after="0"/>
        <w:ind w:left="0"/>
        <w:rPr>
          <w:b/>
          <w:color w:val="FF0000"/>
          <w:sz w:val="22"/>
          <w:szCs w:val="22"/>
        </w:rPr>
      </w:pPr>
      <w:r w:rsidRPr="002666C5">
        <w:rPr>
          <w:b/>
          <w:color w:val="000000"/>
          <w:sz w:val="22"/>
          <w:szCs w:val="22"/>
        </w:rPr>
        <w:t>Serviços de conservação de rodovias são de natureza contínua, e, no caso de prorrogação</w:t>
      </w:r>
      <w:r w:rsidR="00BD6B87">
        <w:rPr>
          <w:b/>
          <w:color w:val="000000"/>
          <w:sz w:val="22"/>
          <w:szCs w:val="22"/>
        </w:rPr>
        <w:t xml:space="preserve"> do contrato</w:t>
      </w:r>
      <w:r w:rsidRPr="002666C5">
        <w:rPr>
          <w:b/>
          <w:color w:val="000000"/>
          <w:sz w:val="22"/>
          <w:szCs w:val="22"/>
        </w:rPr>
        <w:t>, deve</w:t>
      </w:r>
      <w:r w:rsidR="00BD6B87">
        <w:rPr>
          <w:b/>
          <w:color w:val="000000"/>
          <w:sz w:val="22"/>
          <w:szCs w:val="22"/>
        </w:rPr>
        <w:t>-se</w:t>
      </w:r>
      <w:r w:rsidRPr="002666C5">
        <w:rPr>
          <w:b/>
          <w:color w:val="000000"/>
          <w:sz w:val="22"/>
          <w:szCs w:val="22"/>
        </w:rPr>
        <w:t xml:space="preserve"> </w:t>
      </w:r>
      <w:r w:rsidRPr="002666C5">
        <w:rPr>
          <w:b/>
          <w:sz w:val="22"/>
          <w:szCs w:val="22"/>
          <w:lang w:eastAsia="pt-BR"/>
        </w:rPr>
        <w:t>manter os mesmos itens e preços unitários contidos no orçamento do contrato original</w:t>
      </w:r>
    </w:p>
    <w:p w:rsidR="001E7019" w:rsidRPr="002666C5" w:rsidRDefault="00AD05A6" w:rsidP="00631FE7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2666C5">
        <w:rPr>
          <w:sz w:val="22"/>
          <w:szCs w:val="22"/>
          <w:lang w:eastAsia="pt-BR"/>
        </w:rPr>
        <w:t>Levantamento de auditoria realizado no âmbito do Programa Emergencial de Trafegabilidade e Segurança nas Estradas – PETSE, especificamente nas obras rodoviárias emergenciais da BR-222/MA, detectou a classificação do objeto do contrato</w:t>
      </w:r>
      <w:r w:rsidR="00CE6D09">
        <w:rPr>
          <w:sz w:val="22"/>
          <w:szCs w:val="22"/>
          <w:lang w:eastAsia="pt-BR"/>
        </w:rPr>
        <w:t xml:space="preserve"> de conservação rodoviária</w:t>
      </w:r>
      <w:r w:rsidRPr="002666C5">
        <w:rPr>
          <w:sz w:val="22"/>
          <w:szCs w:val="22"/>
          <w:lang w:eastAsia="pt-BR"/>
        </w:rPr>
        <w:t xml:space="preserve"> como sendo de natureza continuada, permitindo sucessivas dilações no prazo de execução dos respectivos serviços, em </w:t>
      </w:r>
      <w:r w:rsidR="00CE6D09">
        <w:rPr>
          <w:sz w:val="22"/>
          <w:szCs w:val="22"/>
          <w:lang w:eastAsia="pt-BR"/>
        </w:rPr>
        <w:t xml:space="preserve">suposta </w:t>
      </w:r>
      <w:r w:rsidRPr="002666C5">
        <w:rPr>
          <w:sz w:val="22"/>
          <w:szCs w:val="22"/>
          <w:lang w:eastAsia="pt-BR"/>
        </w:rPr>
        <w:t xml:space="preserve">afronta ao disposto no subitem 1.1.1 da Instrução Normativa n° 18/1997/Mare, ao art. 57, inciso II, da Lei n° 8.666/1993 e a precedentes do Tribunal. </w:t>
      </w:r>
      <w:r w:rsidR="00CE6D09">
        <w:rPr>
          <w:sz w:val="22"/>
          <w:szCs w:val="22"/>
          <w:lang w:eastAsia="pt-BR"/>
        </w:rPr>
        <w:t>O</w:t>
      </w:r>
      <w:r w:rsidRPr="002666C5">
        <w:rPr>
          <w:sz w:val="22"/>
          <w:szCs w:val="22"/>
          <w:lang w:eastAsia="pt-BR"/>
        </w:rPr>
        <w:t xml:space="preserve"> relator destacou em seu voto, inicialmente, que a classificação dos contratos de conservação rodoviária é questão contumaz nas fiscalizações do TCU, o qual tem mantido o entendimento de que os mesmos “</w:t>
      </w:r>
      <w:r w:rsidRPr="002666C5">
        <w:rPr>
          <w:i/>
          <w:sz w:val="22"/>
          <w:szCs w:val="22"/>
          <w:lang w:eastAsia="pt-BR"/>
        </w:rPr>
        <w:t xml:space="preserve">podem ser considerados serviços de execução continuada, para efeito da incidência do art. 57, inciso II, da Lei de Licitações”. </w:t>
      </w:r>
      <w:r w:rsidR="00CE6D09">
        <w:rPr>
          <w:sz w:val="22"/>
          <w:szCs w:val="22"/>
          <w:lang w:eastAsia="pt-BR"/>
        </w:rPr>
        <w:t>A</w:t>
      </w:r>
      <w:r w:rsidRPr="002666C5">
        <w:rPr>
          <w:sz w:val="22"/>
          <w:szCs w:val="22"/>
          <w:lang w:eastAsia="pt-BR"/>
        </w:rPr>
        <w:t xml:space="preserve">inda </w:t>
      </w:r>
      <w:r w:rsidR="00CE6D09">
        <w:rPr>
          <w:sz w:val="22"/>
          <w:szCs w:val="22"/>
          <w:lang w:eastAsia="pt-BR"/>
        </w:rPr>
        <w:t>segundo o</w:t>
      </w:r>
      <w:r w:rsidRPr="002666C5">
        <w:rPr>
          <w:sz w:val="22"/>
          <w:szCs w:val="22"/>
          <w:lang w:eastAsia="pt-BR"/>
        </w:rPr>
        <w:t xml:space="preserve"> relator, </w:t>
      </w:r>
      <w:r w:rsidR="00CE6D09">
        <w:rPr>
          <w:sz w:val="22"/>
          <w:szCs w:val="22"/>
          <w:lang w:eastAsia="pt-BR"/>
        </w:rPr>
        <w:t>esta Corte pensa</w:t>
      </w:r>
      <w:r w:rsidRPr="002666C5">
        <w:rPr>
          <w:i/>
          <w:sz w:val="22"/>
          <w:szCs w:val="22"/>
          <w:lang w:eastAsia="pt-BR"/>
        </w:rPr>
        <w:t xml:space="preserve"> </w:t>
      </w:r>
      <w:r w:rsidR="00CE6D09">
        <w:rPr>
          <w:i/>
          <w:sz w:val="22"/>
          <w:szCs w:val="22"/>
          <w:lang w:eastAsia="pt-BR"/>
        </w:rPr>
        <w:t>“</w:t>
      </w:r>
      <w:r w:rsidRPr="002666C5">
        <w:rPr>
          <w:i/>
          <w:sz w:val="22"/>
          <w:szCs w:val="22"/>
          <w:lang w:eastAsia="pt-BR"/>
        </w:rPr>
        <w:t>ser possível, com fundamento no art. 57, inciso II, da Lei nº 8.666/1993, prorrogações de prazo em contratos dessa natureza, cujo objeto se refira exclusivamente a serviços de conservação rodoviária, entendimento também sufragado no Acórdão nº 1.243/2004-Plenário</w:t>
      </w:r>
      <w:r w:rsidRPr="002666C5">
        <w:rPr>
          <w:sz w:val="22"/>
          <w:szCs w:val="22"/>
          <w:lang w:eastAsia="pt-BR"/>
        </w:rPr>
        <w:t xml:space="preserve">”. Todavia, com base </w:t>
      </w:r>
      <w:r w:rsidR="00CE6D09">
        <w:rPr>
          <w:sz w:val="22"/>
          <w:szCs w:val="22"/>
          <w:lang w:eastAsia="pt-BR"/>
        </w:rPr>
        <w:t>na</w:t>
      </w:r>
      <w:r w:rsidRPr="002666C5">
        <w:rPr>
          <w:sz w:val="22"/>
          <w:szCs w:val="22"/>
          <w:lang w:eastAsia="pt-BR"/>
        </w:rPr>
        <w:t xml:space="preserve"> jurisprud</w:t>
      </w:r>
      <w:r w:rsidR="00CE6D09">
        <w:rPr>
          <w:sz w:val="22"/>
          <w:szCs w:val="22"/>
          <w:lang w:eastAsia="pt-BR"/>
        </w:rPr>
        <w:t>ência</w:t>
      </w:r>
      <w:r w:rsidRPr="002666C5">
        <w:rPr>
          <w:sz w:val="22"/>
          <w:szCs w:val="22"/>
          <w:lang w:eastAsia="pt-BR"/>
        </w:rPr>
        <w:t xml:space="preserve">, </w:t>
      </w:r>
      <w:r w:rsidR="00FF0AC4" w:rsidRPr="002666C5">
        <w:rPr>
          <w:sz w:val="22"/>
          <w:szCs w:val="22"/>
          <w:lang w:eastAsia="pt-BR"/>
        </w:rPr>
        <w:t>destacou quanto a contratos de conservação rodoviária que, no caso de prorrogação, os ajustes “</w:t>
      </w:r>
      <w:r w:rsidR="00FF0AC4" w:rsidRPr="002666C5">
        <w:rPr>
          <w:i/>
          <w:sz w:val="22"/>
          <w:szCs w:val="22"/>
          <w:lang w:eastAsia="pt-BR"/>
        </w:rPr>
        <w:t>devem manter os mesmos itens e preços unitários contidos no orçamento do contrato original, permitindo-se, apenas, que sejam incluídos os quantitativos necessários para fazer frente à respectiva prorrogação de prazo, referente ao período de interesse da Administração</w:t>
      </w:r>
      <w:r w:rsidR="00FF0AC4" w:rsidRPr="002666C5">
        <w:rPr>
          <w:sz w:val="22"/>
          <w:szCs w:val="22"/>
          <w:lang w:eastAsia="pt-BR"/>
        </w:rPr>
        <w:t>”. Por conseguinte, votou pelo acatamento das justificativas apresentadas pelos responsáveis, no que contou com a anuência do Plenário. Precedentes citados: Acórdãos n</w:t>
      </w:r>
      <w:r w:rsidR="00FF0AC4" w:rsidRPr="002666C5">
        <w:rPr>
          <w:sz w:val="22"/>
          <w:szCs w:val="22"/>
          <w:u w:val="single"/>
          <w:vertAlign w:val="superscript"/>
          <w:lang w:eastAsia="pt-BR"/>
        </w:rPr>
        <w:t>os</w:t>
      </w:r>
      <w:r w:rsidR="00FF0AC4" w:rsidRPr="002666C5">
        <w:rPr>
          <w:sz w:val="22"/>
          <w:szCs w:val="22"/>
          <w:lang w:eastAsia="pt-BR"/>
        </w:rPr>
        <w:t xml:space="preserve"> 1.243/2004, 643/2007 e 1626/2007, todos do Plenário. </w:t>
      </w:r>
      <w:r w:rsidR="001E7019" w:rsidRPr="002666C5">
        <w:rPr>
          <w:b/>
          <w:i/>
          <w:sz w:val="22"/>
          <w:szCs w:val="22"/>
        </w:rPr>
        <w:t>Acórdão n.º 27</w:t>
      </w:r>
      <w:r w:rsidR="00FE06A2" w:rsidRPr="002666C5">
        <w:rPr>
          <w:b/>
          <w:i/>
          <w:sz w:val="22"/>
          <w:szCs w:val="22"/>
        </w:rPr>
        <w:t>8</w:t>
      </w:r>
      <w:r w:rsidR="001E7019" w:rsidRPr="002666C5">
        <w:rPr>
          <w:b/>
          <w:i/>
          <w:sz w:val="22"/>
          <w:szCs w:val="22"/>
        </w:rPr>
        <w:t>/2011-Plenário, TC-00</w:t>
      </w:r>
      <w:r w:rsidR="00FE06A2" w:rsidRPr="002666C5">
        <w:rPr>
          <w:b/>
          <w:i/>
          <w:sz w:val="22"/>
          <w:szCs w:val="22"/>
        </w:rPr>
        <w:t>6.23</w:t>
      </w:r>
      <w:r w:rsidR="001E7019" w:rsidRPr="002666C5">
        <w:rPr>
          <w:b/>
          <w:i/>
          <w:sz w:val="22"/>
          <w:szCs w:val="22"/>
        </w:rPr>
        <w:t>4/200</w:t>
      </w:r>
      <w:r w:rsidR="00FE06A2" w:rsidRPr="002666C5">
        <w:rPr>
          <w:b/>
          <w:i/>
          <w:sz w:val="22"/>
          <w:szCs w:val="22"/>
        </w:rPr>
        <w:t>6-6</w:t>
      </w:r>
      <w:r w:rsidR="001E7019" w:rsidRPr="002666C5">
        <w:rPr>
          <w:b/>
          <w:i/>
          <w:sz w:val="22"/>
          <w:szCs w:val="22"/>
        </w:rPr>
        <w:t>, rel. Min. Augusto Nardes, 0</w:t>
      </w:r>
      <w:r w:rsidR="00FE06A2" w:rsidRPr="002666C5">
        <w:rPr>
          <w:b/>
          <w:i/>
          <w:sz w:val="22"/>
          <w:szCs w:val="22"/>
        </w:rPr>
        <w:t>9</w:t>
      </w:r>
      <w:r w:rsidR="001E7019" w:rsidRPr="002666C5">
        <w:rPr>
          <w:b/>
          <w:i/>
          <w:sz w:val="22"/>
          <w:szCs w:val="22"/>
        </w:rPr>
        <w:t>.02.2011.</w:t>
      </w:r>
    </w:p>
    <w:p w:rsidR="001E7019" w:rsidRPr="00274068" w:rsidRDefault="001E7019" w:rsidP="00631FE7">
      <w:pPr>
        <w:tabs>
          <w:tab w:val="left" w:pos="1134"/>
        </w:tabs>
        <w:spacing w:after="0"/>
        <w:ind w:left="0"/>
        <w:rPr>
          <w:color w:val="FF0000"/>
          <w:sz w:val="22"/>
          <w:szCs w:val="22"/>
        </w:rPr>
      </w:pPr>
    </w:p>
    <w:p w:rsidR="00A857B4" w:rsidRPr="00991CD8" w:rsidRDefault="00631FE7" w:rsidP="00631FE7">
      <w:pPr>
        <w:pStyle w:val="indice"/>
        <w:spacing w:line="240" w:lineRule="auto"/>
        <w:rPr>
          <w:b/>
        </w:rPr>
      </w:pPr>
      <w:r>
        <w:rPr>
          <w:b/>
        </w:rPr>
        <w:t>B</w:t>
      </w:r>
      <w:r w:rsidR="00991CD8" w:rsidRPr="00991CD8">
        <w:rPr>
          <w:b/>
        </w:rPr>
        <w:t>ens e serviços de tecnologia da informação podem, em regra, ser considerados comuns e licitados por intermédio de pregão</w:t>
      </w:r>
    </w:p>
    <w:p w:rsidR="00A857B4" w:rsidRPr="00991CD8" w:rsidRDefault="00A857B4" w:rsidP="00631FE7">
      <w:pPr>
        <w:pStyle w:val="TCU-Transcrio"/>
        <w:spacing w:after="0"/>
        <w:ind w:left="0" w:firstLine="0"/>
        <w:rPr>
          <w:color w:val="000000"/>
          <w:sz w:val="22"/>
        </w:rPr>
      </w:pPr>
      <w:r w:rsidRPr="00991CD8">
        <w:rPr>
          <w:i w:val="0"/>
          <w:color w:val="000000"/>
          <w:sz w:val="22"/>
        </w:rPr>
        <w:t xml:space="preserve">Mediante representação, o Tribunal tomou conhecimento de potenciais irregularidades </w:t>
      </w:r>
      <w:r w:rsidR="00FD1295" w:rsidRPr="00991CD8">
        <w:rPr>
          <w:i w:val="0"/>
          <w:color w:val="000000"/>
          <w:sz w:val="22"/>
        </w:rPr>
        <w:t>em licitações</w:t>
      </w:r>
      <w:r w:rsidR="00FD1295" w:rsidRPr="00991CD8">
        <w:rPr>
          <w:i w:val="0"/>
          <w:sz w:val="22"/>
        </w:rPr>
        <w:t xml:space="preserve"> conduzidas pela Telebrás. Dentre elas, estaria o uso do pregão para a implementação das redes de transporte</w:t>
      </w:r>
      <w:r w:rsidR="00991CD8">
        <w:rPr>
          <w:i w:val="0"/>
          <w:sz w:val="22"/>
        </w:rPr>
        <w:t>,</w:t>
      </w:r>
      <w:r w:rsidR="00FD1295" w:rsidRPr="00991CD8">
        <w:rPr>
          <w:i w:val="0"/>
          <w:sz w:val="22"/>
        </w:rPr>
        <w:t xml:space="preserve"> baseada</w:t>
      </w:r>
      <w:r w:rsidR="00991CD8">
        <w:rPr>
          <w:i w:val="0"/>
          <w:sz w:val="22"/>
        </w:rPr>
        <w:t>s</w:t>
      </w:r>
      <w:r w:rsidR="00FD1295" w:rsidRPr="00991CD8">
        <w:rPr>
          <w:i w:val="0"/>
          <w:sz w:val="22"/>
        </w:rPr>
        <w:t xml:space="preserve"> na tecnologia DWDM e de dados IP/MPLS, bem como de rádios ponto a ponto e ponto multiponto. No entender da representante, além de outras razões,</w:t>
      </w:r>
      <w:r w:rsidR="00FD1295" w:rsidRPr="00991CD8">
        <w:rPr>
          <w:sz w:val="22"/>
        </w:rPr>
        <w:t xml:space="preserve"> </w:t>
      </w:r>
      <w:r w:rsidR="00FD1295" w:rsidRPr="00991CD8">
        <w:rPr>
          <w:i w:val="0"/>
          <w:sz w:val="22"/>
        </w:rPr>
        <w:t>“</w:t>
      </w:r>
      <w:r w:rsidR="00FD1295" w:rsidRPr="00991CD8">
        <w:rPr>
          <w:sz w:val="22"/>
        </w:rPr>
        <w:t>haveria grande complexidade na implementação da solução de topologia de redes de transporte DWDM, de dados IP/MPLS e dos rádios ponto a ponto e ponto multiponto definida pela Telebrás, em face da necessidade de configuração e dimensionamento dos elementos de rede para cursar o tráfego esperado, assim como definir a hierarquização da rede, as tabelas de roteamento, as sumarizações de rotas, entre outros (fl. 7 da Representação)</w:t>
      </w:r>
      <w:r w:rsidR="00FD1295" w:rsidRPr="00991CD8">
        <w:rPr>
          <w:i w:val="0"/>
          <w:sz w:val="22"/>
        </w:rPr>
        <w:t xml:space="preserve">”. Todavia, o relator divergiu da tese. Nesse sentido, destacou, a partir da jurisprudência do TCU, que </w:t>
      </w:r>
      <w:r w:rsidR="00F579FC" w:rsidRPr="00991CD8">
        <w:rPr>
          <w:i w:val="0"/>
          <w:sz w:val="22"/>
        </w:rPr>
        <w:t>“d</w:t>
      </w:r>
      <w:r w:rsidR="00F579FC" w:rsidRPr="00991CD8">
        <w:rPr>
          <w:sz w:val="22"/>
        </w:rPr>
        <w:t>evido à padronização existente no mercado, os bens e serviços de tecnologia da informação geralmente atendem a protocolos, métodos e técnicas pré-estabelecidos e conhecidos e a padrões de desempenho e qualidade que podem ser objetivamente definidos por meio de especificações usuais no mercado. Logo, via de regra, esses bens e serviços devem ser considerados comuns para fins de utilização da modalidade pregão</w:t>
      </w:r>
      <w:r w:rsidR="00F579FC" w:rsidRPr="00991CD8">
        <w:rPr>
          <w:i w:val="0"/>
          <w:sz w:val="22"/>
        </w:rPr>
        <w:t>”. Ainda para o relator, “</w:t>
      </w:r>
      <w:r w:rsidR="00F579FC" w:rsidRPr="00991CD8">
        <w:rPr>
          <w:sz w:val="22"/>
        </w:rPr>
        <w:t>nem a complexidade dos bens ou serviços de tecnologia da informação</w:t>
      </w:r>
      <w:r w:rsidR="00991CD8">
        <w:rPr>
          <w:sz w:val="22"/>
        </w:rPr>
        <w:t>,</w:t>
      </w:r>
      <w:r w:rsidR="00F579FC" w:rsidRPr="00991CD8">
        <w:rPr>
          <w:sz w:val="22"/>
        </w:rPr>
        <w:t xml:space="preserve"> nem o fato de eles serem críticos para a consecução das atividades dos entes da Administração</w:t>
      </w:r>
      <w:r w:rsidR="00991CD8">
        <w:rPr>
          <w:sz w:val="22"/>
        </w:rPr>
        <w:t>,</w:t>
      </w:r>
      <w:r w:rsidR="00F579FC" w:rsidRPr="00991CD8">
        <w:rPr>
          <w:sz w:val="22"/>
        </w:rPr>
        <w:t xml:space="preserve"> descaracterizam a padronização com que tais objetos são usualmente comercializados no mercado. Logo, nem essa complexidade, nem a relevância desses bens, justificam o afastamento da obrigatoriedade de se licitar pela modalidade pregão</w:t>
      </w:r>
      <w:r w:rsidR="00F579FC" w:rsidRPr="00991CD8">
        <w:rPr>
          <w:i w:val="0"/>
          <w:sz w:val="22"/>
        </w:rPr>
        <w:t>”. Na espécie, ao comparar os objeto</w:t>
      </w:r>
      <w:r w:rsidR="00991CD8">
        <w:rPr>
          <w:i w:val="0"/>
          <w:sz w:val="22"/>
        </w:rPr>
        <w:t>s dos pregões questionados com a</w:t>
      </w:r>
      <w:r w:rsidR="00F579FC" w:rsidRPr="00991CD8">
        <w:rPr>
          <w:i w:val="0"/>
          <w:sz w:val="22"/>
        </w:rPr>
        <w:t xml:space="preserve">s especificações do mercado, concluiu o relator serem os mesmos comuns, e, por isso, não restando impedimento para que fossem licitados por intermédio de pregões. </w:t>
      </w:r>
      <w:r w:rsidR="00991CD8">
        <w:rPr>
          <w:i w:val="0"/>
          <w:sz w:val="22"/>
        </w:rPr>
        <w:t>Por conseguinte, v</w:t>
      </w:r>
      <w:r w:rsidR="00F579FC" w:rsidRPr="00991CD8">
        <w:rPr>
          <w:i w:val="0"/>
          <w:sz w:val="22"/>
        </w:rPr>
        <w:t xml:space="preserve">otou, com o referendo do Plenário, pela improcedência da Representação. </w:t>
      </w:r>
      <w:r w:rsidR="00D20D10" w:rsidRPr="00991CD8">
        <w:rPr>
          <w:i w:val="0"/>
          <w:color w:val="000000"/>
          <w:sz w:val="22"/>
        </w:rPr>
        <w:t>Precedente citado:</w:t>
      </w:r>
      <w:r w:rsidRPr="00991CD8">
        <w:rPr>
          <w:i w:val="0"/>
          <w:color w:val="000000"/>
          <w:sz w:val="22"/>
        </w:rPr>
        <w:t xml:space="preserve"> Acórdão n.º </w:t>
      </w:r>
      <w:r w:rsidR="00FD1295" w:rsidRPr="00991CD8">
        <w:rPr>
          <w:i w:val="0"/>
          <w:color w:val="000000"/>
          <w:sz w:val="22"/>
        </w:rPr>
        <w:t>2471</w:t>
      </w:r>
      <w:r w:rsidRPr="00991CD8">
        <w:rPr>
          <w:i w:val="0"/>
          <w:color w:val="000000"/>
          <w:sz w:val="22"/>
        </w:rPr>
        <w:t>/20</w:t>
      </w:r>
      <w:r w:rsidR="00FD1295" w:rsidRPr="00991CD8">
        <w:rPr>
          <w:i w:val="0"/>
          <w:color w:val="000000"/>
          <w:sz w:val="22"/>
        </w:rPr>
        <w:t>08</w:t>
      </w:r>
      <w:r w:rsidRPr="00991CD8">
        <w:rPr>
          <w:i w:val="0"/>
          <w:color w:val="000000"/>
          <w:sz w:val="22"/>
        </w:rPr>
        <w:t>-Plenário</w:t>
      </w:r>
      <w:r w:rsidR="00FD1295" w:rsidRPr="00991CD8">
        <w:rPr>
          <w:i w:val="0"/>
          <w:color w:val="000000"/>
          <w:sz w:val="22"/>
        </w:rPr>
        <w:t>.</w:t>
      </w:r>
      <w:r w:rsidRPr="00991CD8">
        <w:rPr>
          <w:b/>
          <w:i w:val="0"/>
          <w:color w:val="000000"/>
          <w:sz w:val="22"/>
        </w:rPr>
        <w:t xml:space="preserve"> </w:t>
      </w:r>
      <w:r w:rsidR="00FD1295" w:rsidRPr="00991CD8">
        <w:rPr>
          <w:b/>
          <w:i w:val="0"/>
          <w:color w:val="000000"/>
          <w:sz w:val="22"/>
        </w:rPr>
        <w:t xml:space="preserve">Acórdão n.º 297/2011-Plenário, </w:t>
      </w:r>
      <w:r w:rsidRPr="00991CD8">
        <w:rPr>
          <w:b/>
          <w:i w:val="0"/>
          <w:color w:val="000000"/>
          <w:sz w:val="22"/>
        </w:rPr>
        <w:t>TC-0</w:t>
      </w:r>
      <w:r w:rsidR="00FD1295" w:rsidRPr="00991CD8">
        <w:rPr>
          <w:b/>
          <w:i w:val="0"/>
          <w:color w:val="000000"/>
          <w:sz w:val="22"/>
        </w:rPr>
        <w:t>32</w:t>
      </w:r>
      <w:r w:rsidRPr="00991CD8">
        <w:rPr>
          <w:b/>
          <w:i w:val="0"/>
          <w:color w:val="000000"/>
          <w:sz w:val="22"/>
        </w:rPr>
        <w:t>.</w:t>
      </w:r>
      <w:r w:rsidR="00FD1295" w:rsidRPr="00991CD8">
        <w:rPr>
          <w:b/>
          <w:i w:val="0"/>
          <w:color w:val="000000"/>
          <w:sz w:val="22"/>
        </w:rPr>
        <w:t>055</w:t>
      </w:r>
      <w:r w:rsidRPr="00991CD8">
        <w:rPr>
          <w:b/>
          <w:i w:val="0"/>
          <w:color w:val="000000"/>
          <w:sz w:val="22"/>
        </w:rPr>
        <w:t>/20</w:t>
      </w:r>
      <w:r w:rsidR="00FD1295" w:rsidRPr="00991CD8">
        <w:rPr>
          <w:b/>
          <w:i w:val="0"/>
          <w:color w:val="000000"/>
          <w:sz w:val="22"/>
        </w:rPr>
        <w:t>1</w:t>
      </w:r>
      <w:r w:rsidRPr="00991CD8">
        <w:rPr>
          <w:b/>
          <w:i w:val="0"/>
          <w:color w:val="000000"/>
          <w:sz w:val="22"/>
        </w:rPr>
        <w:t>0-</w:t>
      </w:r>
      <w:r w:rsidR="00FD1295" w:rsidRPr="00991CD8">
        <w:rPr>
          <w:b/>
          <w:i w:val="0"/>
          <w:color w:val="000000"/>
          <w:sz w:val="22"/>
        </w:rPr>
        <w:t>2</w:t>
      </w:r>
      <w:r w:rsidRPr="00991CD8">
        <w:rPr>
          <w:b/>
          <w:i w:val="0"/>
          <w:color w:val="000000"/>
          <w:sz w:val="22"/>
        </w:rPr>
        <w:t xml:space="preserve">, rel. Min. </w:t>
      </w:r>
      <w:r w:rsidR="00FD1295" w:rsidRPr="00991CD8">
        <w:rPr>
          <w:b/>
          <w:i w:val="0"/>
          <w:color w:val="000000"/>
          <w:sz w:val="22"/>
        </w:rPr>
        <w:t>José Jorge</w:t>
      </w:r>
      <w:r w:rsidRPr="00991CD8">
        <w:rPr>
          <w:b/>
          <w:i w:val="0"/>
          <w:color w:val="000000"/>
          <w:sz w:val="22"/>
        </w:rPr>
        <w:t>, 0</w:t>
      </w:r>
      <w:r w:rsidR="00FD1295" w:rsidRPr="00991CD8">
        <w:rPr>
          <w:b/>
          <w:i w:val="0"/>
          <w:color w:val="000000"/>
          <w:sz w:val="22"/>
        </w:rPr>
        <w:t>9</w:t>
      </w:r>
      <w:r w:rsidRPr="00991CD8">
        <w:rPr>
          <w:b/>
          <w:i w:val="0"/>
          <w:color w:val="000000"/>
          <w:sz w:val="22"/>
        </w:rPr>
        <w:t xml:space="preserve">.02.2011. </w:t>
      </w:r>
    </w:p>
    <w:p w:rsidR="00A857B4" w:rsidRPr="00274068" w:rsidRDefault="00A857B4" w:rsidP="00631FE7">
      <w:pPr>
        <w:pStyle w:val="indice"/>
        <w:spacing w:line="240" w:lineRule="auto"/>
        <w:rPr>
          <w:b/>
          <w:color w:val="FF0000"/>
        </w:rPr>
      </w:pPr>
    </w:p>
    <w:p w:rsidR="001F1E8F" w:rsidRPr="00CE6D09" w:rsidRDefault="00631FE7" w:rsidP="00631FE7">
      <w:pPr>
        <w:pStyle w:val="indice"/>
        <w:spacing w:line="240" w:lineRule="auto"/>
        <w:rPr>
          <w:b/>
        </w:rPr>
      </w:pPr>
      <w:r w:rsidRPr="00631FE7">
        <w:rPr>
          <w:b/>
        </w:rPr>
        <w:t>Deve ser aferido o faturamento do ano anterior para que a empresa</w:t>
      </w:r>
      <w:r w:rsidR="00991CD8" w:rsidRPr="00631FE7">
        <w:rPr>
          <w:b/>
        </w:rPr>
        <w:t xml:space="preserve"> </w:t>
      </w:r>
      <w:r w:rsidRPr="00631FE7">
        <w:rPr>
          <w:b/>
        </w:rPr>
        <w:t xml:space="preserve">seja beneficiada com o tratamento diferenciado dado às microempresas e empresas de pequeno porte, em razão da Lei </w:t>
      </w:r>
      <w:r w:rsidR="00CE6D09">
        <w:rPr>
          <w:b/>
        </w:rPr>
        <w:t>C</w:t>
      </w:r>
      <w:r w:rsidRPr="00631FE7">
        <w:rPr>
          <w:b/>
        </w:rPr>
        <w:t xml:space="preserve">omplementar </w:t>
      </w:r>
      <w:r w:rsidRPr="00CE6D09">
        <w:rPr>
          <w:b/>
        </w:rPr>
        <w:t>123/2006 (</w:t>
      </w:r>
      <w:r w:rsidR="00CE6D09" w:rsidRPr="00CE6D09">
        <w:rPr>
          <w:b/>
        </w:rPr>
        <w:t>Estatuto das Micros e Pequenas Empresas</w:t>
      </w:r>
      <w:r w:rsidRPr="00CE6D09">
        <w:rPr>
          <w:b/>
        </w:rPr>
        <w:t xml:space="preserve">) </w:t>
      </w:r>
    </w:p>
    <w:p w:rsidR="001F1E8F" w:rsidRPr="00991CD8" w:rsidRDefault="00C73782" w:rsidP="00631FE7">
      <w:pPr>
        <w:pStyle w:val="TCU-Epgrafe"/>
        <w:ind w:left="0"/>
        <w:rPr>
          <w:color w:val="FF0000"/>
          <w:sz w:val="22"/>
          <w:szCs w:val="22"/>
        </w:rPr>
      </w:pPr>
      <w:r w:rsidRPr="00991CD8">
        <w:rPr>
          <w:sz w:val="22"/>
          <w:szCs w:val="22"/>
        </w:rPr>
        <w:t>R</w:t>
      </w:r>
      <w:r w:rsidR="00D551C8" w:rsidRPr="00991CD8">
        <w:rPr>
          <w:sz w:val="22"/>
          <w:szCs w:val="22"/>
        </w:rPr>
        <w:t>epresent</w:t>
      </w:r>
      <w:r w:rsidR="0089513A" w:rsidRPr="00991CD8">
        <w:rPr>
          <w:sz w:val="22"/>
          <w:szCs w:val="22"/>
        </w:rPr>
        <w:t>ação</w:t>
      </w:r>
      <w:r w:rsidR="00D551C8" w:rsidRPr="00991CD8">
        <w:rPr>
          <w:sz w:val="22"/>
          <w:szCs w:val="22"/>
        </w:rPr>
        <w:t xml:space="preserve"> </w:t>
      </w:r>
      <w:r w:rsidRPr="00991CD8">
        <w:rPr>
          <w:sz w:val="22"/>
          <w:szCs w:val="22"/>
        </w:rPr>
        <w:t xml:space="preserve">informou </w:t>
      </w:r>
      <w:r w:rsidR="00D551C8" w:rsidRPr="00991CD8">
        <w:rPr>
          <w:sz w:val="22"/>
          <w:szCs w:val="22"/>
        </w:rPr>
        <w:t xml:space="preserve">ao Tribunal a ocorrência de </w:t>
      </w:r>
      <w:r w:rsidRPr="00991CD8">
        <w:rPr>
          <w:sz w:val="22"/>
          <w:szCs w:val="22"/>
        </w:rPr>
        <w:t>prováveis</w:t>
      </w:r>
      <w:r w:rsidR="00D551C8" w:rsidRPr="00991CD8">
        <w:rPr>
          <w:sz w:val="22"/>
          <w:szCs w:val="22"/>
        </w:rPr>
        <w:t xml:space="preserve"> irregularidades praticadas pela empresa Star Segur Engenharia Ltda. – ME</w:t>
      </w:r>
      <w:r w:rsidRPr="00991CD8">
        <w:rPr>
          <w:sz w:val="22"/>
          <w:szCs w:val="22"/>
        </w:rPr>
        <w:t>,</w:t>
      </w:r>
      <w:r w:rsidR="00D551C8" w:rsidRPr="00991CD8">
        <w:rPr>
          <w:sz w:val="22"/>
          <w:szCs w:val="22"/>
        </w:rPr>
        <w:t xml:space="preserve"> que </w:t>
      </w:r>
      <w:r w:rsidRPr="00991CD8">
        <w:rPr>
          <w:sz w:val="22"/>
          <w:szCs w:val="22"/>
        </w:rPr>
        <w:t xml:space="preserve">a </w:t>
      </w:r>
      <w:r w:rsidR="00D551C8" w:rsidRPr="00991CD8">
        <w:rPr>
          <w:sz w:val="22"/>
          <w:szCs w:val="22"/>
        </w:rPr>
        <w:t xml:space="preserve">impediriam, em tese, </w:t>
      </w:r>
      <w:r w:rsidRPr="00991CD8">
        <w:rPr>
          <w:sz w:val="22"/>
          <w:szCs w:val="22"/>
        </w:rPr>
        <w:t>de ser</w:t>
      </w:r>
      <w:r w:rsidR="00D551C8" w:rsidRPr="00991CD8">
        <w:rPr>
          <w:sz w:val="22"/>
          <w:szCs w:val="22"/>
        </w:rPr>
        <w:t xml:space="preserve"> declarada </w:t>
      </w:r>
      <w:r w:rsidR="00991CD8">
        <w:rPr>
          <w:sz w:val="22"/>
          <w:szCs w:val="22"/>
        </w:rPr>
        <w:t xml:space="preserve">a </w:t>
      </w:r>
      <w:r w:rsidR="00D551C8" w:rsidRPr="00991CD8">
        <w:rPr>
          <w:sz w:val="22"/>
          <w:szCs w:val="22"/>
        </w:rPr>
        <w:t xml:space="preserve">vencedora do Pregão Eletrônico nº 13/2009, realizado pela Coordenação-Geral de Licitações e Contratos do Instituto Nacional do Seguro Social </w:t>
      </w:r>
      <w:r w:rsidRPr="00991CD8">
        <w:rPr>
          <w:sz w:val="22"/>
          <w:szCs w:val="22"/>
        </w:rPr>
        <w:t xml:space="preserve">- </w:t>
      </w:r>
      <w:r w:rsidR="00D551C8" w:rsidRPr="00991CD8">
        <w:rPr>
          <w:sz w:val="22"/>
          <w:szCs w:val="22"/>
        </w:rPr>
        <w:t>(CGLC/INSS), para a contratação de empresa prestadora de serviços de teleatendimento.</w:t>
      </w:r>
      <w:r w:rsidRPr="00991CD8">
        <w:rPr>
          <w:sz w:val="22"/>
          <w:szCs w:val="22"/>
        </w:rPr>
        <w:t xml:space="preserve"> Dentre tais irregularidades, estaria a utilização indevida pela empresa do direito assegurado pelo art. 44 da Lei Complementar nº 123/2006</w:t>
      </w:r>
      <w:r w:rsidR="0089513A" w:rsidRPr="00991CD8">
        <w:rPr>
          <w:sz w:val="22"/>
          <w:szCs w:val="22"/>
        </w:rPr>
        <w:t xml:space="preserve">, </w:t>
      </w:r>
      <w:r w:rsidRPr="00991CD8">
        <w:rPr>
          <w:sz w:val="22"/>
          <w:szCs w:val="22"/>
        </w:rPr>
        <w:t>às microempresas (ME) e empresas de pequeno porte (EPP) de fazer nova oferta, após encerrada a fase de disputa de lances</w:t>
      </w:r>
      <w:r w:rsidR="00991CD8">
        <w:rPr>
          <w:sz w:val="22"/>
          <w:szCs w:val="22"/>
        </w:rPr>
        <w:t xml:space="preserve"> no pregão</w:t>
      </w:r>
      <w:r w:rsidRPr="00991CD8">
        <w:rPr>
          <w:sz w:val="22"/>
          <w:szCs w:val="22"/>
        </w:rPr>
        <w:t>. Em razão de tal faculdade, a empresa sagrou-se vencedora do pregão, fazendo oferta R$ 0,01 inferior ao melhor lance oferecido</w:t>
      </w:r>
      <w:r w:rsidR="0089513A" w:rsidRPr="00991CD8">
        <w:rPr>
          <w:sz w:val="22"/>
          <w:szCs w:val="22"/>
        </w:rPr>
        <w:t xml:space="preserve"> por empresa não enquadrada no dispositivo legal citado</w:t>
      </w:r>
      <w:r w:rsidRPr="00991CD8">
        <w:rPr>
          <w:sz w:val="22"/>
          <w:szCs w:val="22"/>
        </w:rPr>
        <w:t>. Na instrução do feito, a unidade técnica verificou, junto aos sistemas informatizados da Administração, que a empresa Star recebera, apenas de instituições públicas federais, R$ 1.795.854,46 e R$ 10.486.091,63, nos anos de 2008 e 2009, respectivamente. Na forma de ver da unidade técnica, “</w:t>
      </w:r>
      <w:r w:rsidRPr="00991CD8">
        <w:rPr>
          <w:i/>
          <w:sz w:val="22"/>
          <w:szCs w:val="22"/>
        </w:rPr>
        <w:t>a condição de ME ou EPP pode ser aferida a qualquer momento, com base nos rendimentos obtidos durante o ano. Assim, a Star Segur não poderia mais ser considerada ME ou EPP em dezembro de 2009, por ocasião da realização do pregão, pois já havia faturado mais de R$ 10 milhões durante o ano. Consequentemente, a empresa não poderia ter usufruído de tratamento privilegiado na disputa de preços, sendo irregular sua declaração como vencedora do certame</w:t>
      </w:r>
      <w:r w:rsidRPr="00991CD8">
        <w:rPr>
          <w:sz w:val="22"/>
          <w:szCs w:val="22"/>
        </w:rPr>
        <w:t>”.</w:t>
      </w:r>
      <w:r w:rsidR="0089513A" w:rsidRPr="00991CD8">
        <w:rPr>
          <w:sz w:val="22"/>
          <w:szCs w:val="22"/>
        </w:rPr>
        <w:t xml:space="preserve"> O relator, todavia, divergiu do posicionamento</w:t>
      </w:r>
      <w:r w:rsidR="00991CD8">
        <w:rPr>
          <w:sz w:val="22"/>
          <w:szCs w:val="22"/>
        </w:rPr>
        <w:t xml:space="preserve"> da unidade instrutiva</w:t>
      </w:r>
      <w:r w:rsidR="0089513A" w:rsidRPr="00991CD8">
        <w:rPr>
          <w:sz w:val="22"/>
          <w:szCs w:val="22"/>
        </w:rPr>
        <w:t>, em razão do estabelecido no art. 9 º, § 3º, da L</w:t>
      </w:r>
      <w:r w:rsidR="00390ED6" w:rsidRPr="00991CD8">
        <w:rPr>
          <w:sz w:val="22"/>
          <w:szCs w:val="22"/>
        </w:rPr>
        <w:t>C</w:t>
      </w:r>
      <w:r w:rsidR="0089513A" w:rsidRPr="00991CD8">
        <w:rPr>
          <w:sz w:val="22"/>
          <w:szCs w:val="22"/>
        </w:rPr>
        <w:t xml:space="preserve"> 123/2006</w:t>
      </w:r>
      <w:r w:rsidR="00390ED6" w:rsidRPr="00991CD8">
        <w:rPr>
          <w:sz w:val="22"/>
          <w:szCs w:val="22"/>
        </w:rPr>
        <w:t>, que exclui o tratamento privilegiado como ME/EPP no ano-calendário seguinte àquele em que ultrapassar os limites de faturamento estabelecidos na norma. Assim, para o relator, “</w:t>
      </w:r>
      <w:r w:rsidR="00390ED6" w:rsidRPr="00991CD8">
        <w:rPr>
          <w:i/>
          <w:sz w:val="22"/>
          <w:szCs w:val="22"/>
        </w:rPr>
        <w:t>o correto é considerar os efeitos da receita apenas no exercício subsequente. No caso em exame, foi possível apurar que a Star Segur obteve, em 2008, ano anterior ao da realização do pregão, faturamento bruto de R$ 1.795.854,46, o que ainda a classifica como empresa de pequeno porte, tornando regular todos os procedimentos realizados</w:t>
      </w:r>
      <w:r w:rsidR="00390ED6" w:rsidRPr="00991CD8">
        <w:rPr>
          <w:sz w:val="22"/>
          <w:szCs w:val="22"/>
        </w:rPr>
        <w:t>”.</w:t>
      </w:r>
      <w:r w:rsidR="001D1E52" w:rsidRPr="00991CD8">
        <w:rPr>
          <w:sz w:val="22"/>
          <w:szCs w:val="22"/>
        </w:rPr>
        <w:t xml:space="preserve"> Destacou, contudo, que os valores pesquisados pela unidade instrutiva referiam-se apenas àqueles recebidos da Administração Central</w:t>
      </w:r>
      <w:r w:rsidR="00935F4D" w:rsidRPr="00991CD8">
        <w:rPr>
          <w:sz w:val="22"/>
          <w:szCs w:val="22"/>
        </w:rPr>
        <w:t xml:space="preserve"> da União</w:t>
      </w:r>
      <w:r w:rsidR="001D1E52" w:rsidRPr="00991CD8">
        <w:rPr>
          <w:sz w:val="22"/>
          <w:szCs w:val="22"/>
        </w:rPr>
        <w:t>. Haveria nos autos, ainda, indícios de que valores recebidos pela Star Segur da empresa New Call durante o ano de 2008, “</w:t>
      </w:r>
      <w:r w:rsidR="001D1E52" w:rsidRPr="00991CD8">
        <w:rPr>
          <w:i/>
          <w:sz w:val="22"/>
          <w:szCs w:val="22"/>
        </w:rPr>
        <w:t>qu</w:t>
      </w:r>
      <w:r w:rsidR="00991CD8">
        <w:rPr>
          <w:i/>
          <w:sz w:val="22"/>
          <w:szCs w:val="22"/>
        </w:rPr>
        <w:t>ando somados aos apurados pela unidade t</w:t>
      </w:r>
      <w:r w:rsidR="001D1E52" w:rsidRPr="00991CD8">
        <w:rPr>
          <w:i/>
          <w:sz w:val="22"/>
          <w:szCs w:val="22"/>
        </w:rPr>
        <w:t>écnica ultrapassam os limites legais para seu enquadramento como EPP</w:t>
      </w:r>
      <w:r w:rsidR="001D1E52" w:rsidRPr="00991CD8">
        <w:rPr>
          <w:sz w:val="22"/>
          <w:szCs w:val="22"/>
        </w:rPr>
        <w:t>”</w:t>
      </w:r>
      <w:r w:rsidR="00991CD8">
        <w:rPr>
          <w:sz w:val="22"/>
          <w:szCs w:val="22"/>
        </w:rPr>
        <w:t>.</w:t>
      </w:r>
      <w:r w:rsidR="001D1E52" w:rsidRPr="00991CD8">
        <w:rPr>
          <w:sz w:val="22"/>
          <w:szCs w:val="22"/>
        </w:rPr>
        <w:t xml:space="preserve"> </w:t>
      </w:r>
      <w:r w:rsidR="00991CD8">
        <w:rPr>
          <w:sz w:val="22"/>
          <w:szCs w:val="22"/>
        </w:rPr>
        <w:t>E</w:t>
      </w:r>
      <w:r w:rsidR="001D1E52" w:rsidRPr="00991CD8">
        <w:rPr>
          <w:sz w:val="22"/>
          <w:szCs w:val="22"/>
        </w:rPr>
        <w:t xml:space="preserve">nfim, </w:t>
      </w:r>
      <w:r w:rsidR="00991CD8">
        <w:rPr>
          <w:sz w:val="22"/>
          <w:szCs w:val="22"/>
        </w:rPr>
        <w:t xml:space="preserve">para o relator, </w:t>
      </w:r>
      <w:r w:rsidR="001D1E52" w:rsidRPr="00991CD8">
        <w:rPr>
          <w:sz w:val="22"/>
          <w:szCs w:val="22"/>
        </w:rPr>
        <w:t>existiria incerteza quanto à renda bruta auferida pela empresa em 2008</w:t>
      </w:r>
      <w:r w:rsidR="00935F4D" w:rsidRPr="00991CD8">
        <w:rPr>
          <w:sz w:val="22"/>
          <w:szCs w:val="22"/>
        </w:rPr>
        <w:t>, o que levaria ao desenquadramento de tal condição já em 2009</w:t>
      </w:r>
      <w:r w:rsidR="001D1E52" w:rsidRPr="00991CD8">
        <w:rPr>
          <w:sz w:val="22"/>
          <w:szCs w:val="22"/>
        </w:rPr>
        <w:t>. Por consequência</w:t>
      </w:r>
      <w:r w:rsidR="00CE6D09">
        <w:rPr>
          <w:sz w:val="22"/>
          <w:szCs w:val="22"/>
        </w:rPr>
        <w:t>,</w:t>
      </w:r>
      <w:r w:rsidR="00935F4D" w:rsidRPr="00991CD8">
        <w:rPr>
          <w:sz w:val="22"/>
          <w:szCs w:val="22"/>
        </w:rPr>
        <w:t xml:space="preserve"> cumpriria ao Tribunal </w:t>
      </w:r>
      <w:r w:rsidR="003D660C" w:rsidRPr="00991CD8">
        <w:rPr>
          <w:sz w:val="22"/>
          <w:szCs w:val="22"/>
        </w:rPr>
        <w:t>“</w:t>
      </w:r>
      <w:r w:rsidR="003D660C" w:rsidRPr="00991CD8">
        <w:rPr>
          <w:i/>
          <w:sz w:val="22"/>
          <w:szCs w:val="22"/>
        </w:rPr>
        <w:t>determinar ao INSS que exija da Star Segur Engenharia Ltda. a demonstração, mediante documentos hábeis (balanço patrimonial e outros), de sua condição de micro ou empresa de pequeno porte</w:t>
      </w:r>
      <w:r w:rsidR="003D660C" w:rsidRPr="00991CD8">
        <w:rPr>
          <w:sz w:val="22"/>
          <w:szCs w:val="22"/>
        </w:rPr>
        <w:t xml:space="preserve">”. Além disso, caso a empresa não lograsse demonstrasse sua condição de ME/EPP, deveria a autarquia previdenciária adotar os procedimentos necessários à anulação do contrato decorrente do Pregão Eletrônico nº 13/2009, em razão da indevida concessão do benefício. Nos termo do voto do relator, o Plenário manifestou sua anuência. </w:t>
      </w:r>
      <w:r w:rsidR="00EE4C6E" w:rsidRPr="00991CD8">
        <w:rPr>
          <w:color w:val="000000"/>
          <w:sz w:val="22"/>
          <w:szCs w:val="22"/>
        </w:rPr>
        <w:t>Precedentes citados:</w:t>
      </w:r>
      <w:r w:rsidR="001F1E8F" w:rsidRPr="00991CD8">
        <w:rPr>
          <w:color w:val="000000"/>
          <w:sz w:val="22"/>
          <w:szCs w:val="22"/>
        </w:rPr>
        <w:t xml:space="preserve"> </w:t>
      </w:r>
      <w:r w:rsidR="00EE4C6E" w:rsidRPr="00991CD8">
        <w:rPr>
          <w:color w:val="000000"/>
          <w:sz w:val="22"/>
          <w:szCs w:val="22"/>
        </w:rPr>
        <w:t>Acórdãos n</w:t>
      </w:r>
      <w:r w:rsidR="00EE4C6E" w:rsidRPr="00991CD8">
        <w:rPr>
          <w:color w:val="000000"/>
          <w:sz w:val="22"/>
          <w:szCs w:val="22"/>
          <w:u w:val="single"/>
          <w:vertAlign w:val="superscript"/>
        </w:rPr>
        <w:t>os</w:t>
      </w:r>
      <w:r w:rsidR="00EE4C6E" w:rsidRPr="00991CD8">
        <w:rPr>
          <w:color w:val="000000"/>
          <w:sz w:val="22"/>
          <w:szCs w:val="22"/>
        </w:rPr>
        <w:t> </w:t>
      </w:r>
      <w:r w:rsidR="003D660C" w:rsidRPr="00991CD8">
        <w:rPr>
          <w:color w:val="000000"/>
          <w:sz w:val="22"/>
          <w:szCs w:val="22"/>
        </w:rPr>
        <w:t>1.028/2010, 1.972/2010, 2.578/2010 e 2.846/2010, todos do Plenário</w:t>
      </w:r>
      <w:r w:rsidR="00EE4C6E" w:rsidRPr="00991CD8">
        <w:rPr>
          <w:color w:val="000000"/>
          <w:sz w:val="22"/>
          <w:szCs w:val="22"/>
        </w:rPr>
        <w:t>.</w:t>
      </w:r>
      <w:r w:rsidR="00EE4C6E" w:rsidRPr="00991CD8">
        <w:rPr>
          <w:b/>
          <w:i/>
          <w:color w:val="FF0000"/>
          <w:sz w:val="22"/>
          <w:szCs w:val="22"/>
        </w:rPr>
        <w:t xml:space="preserve"> </w:t>
      </w:r>
      <w:r w:rsidR="001F1E8F" w:rsidRPr="00991CD8">
        <w:rPr>
          <w:b/>
          <w:i/>
          <w:color w:val="000000"/>
          <w:sz w:val="22"/>
          <w:szCs w:val="22"/>
        </w:rPr>
        <w:t xml:space="preserve">Acórdão n.º </w:t>
      </w:r>
      <w:r w:rsidRPr="00991CD8">
        <w:rPr>
          <w:b/>
          <w:i/>
          <w:color w:val="000000"/>
          <w:sz w:val="22"/>
          <w:szCs w:val="22"/>
        </w:rPr>
        <w:t>29</w:t>
      </w:r>
      <w:r w:rsidR="00EE4C6E" w:rsidRPr="00991CD8">
        <w:rPr>
          <w:b/>
          <w:i/>
          <w:color w:val="000000"/>
          <w:sz w:val="22"/>
          <w:szCs w:val="22"/>
        </w:rPr>
        <w:t>8</w:t>
      </w:r>
      <w:r w:rsidR="001F1E8F" w:rsidRPr="00991CD8">
        <w:rPr>
          <w:b/>
          <w:i/>
          <w:color w:val="000000"/>
          <w:sz w:val="22"/>
          <w:szCs w:val="22"/>
        </w:rPr>
        <w:t>/2011-Plenário, TC-0</w:t>
      </w:r>
      <w:r w:rsidRPr="00991CD8">
        <w:rPr>
          <w:b/>
          <w:i/>
          <w:color w:val="000000"/>
          <w:sz w:val="22"/>
          <w:szCs w:val="22"/>
        </w:rPr>
        <w:t>0</w:t>
      </w:r>
      <w:r w:rsidR="00EE4C6E" w:rsidRPr="00991CD8">
        <w:rPr>
          <w:b/>
          <w:i/>
          <w:color w:val="000000"/>
          <w:sz w:val="22"/>
          <w:szCs w:val="22"/>
        </w:rPr>
        <w:t>2</w:t>
      </w:r>
      <w:r w:rsidR="001F1E8F" w:rsidRPr="00991CD8">
        <w:rPr>
          <w:b/>
          <w:i/>
          <w:color w:val="000000"/>
          <w:sz w:val="22"/>
          <w:szCs w:val="22"/>
        </w:rPr>
        <w:t>.</w:t>
      </w:r>
      <w:r w:rsidRPr="00991CD8">
        <w:rPr>
          <w:b/>
          <w:i/>
          <w:color w:val="000000"/>
          <w:sz w:val="22"/>
          <w:szCs w:val="22"/>
        </w:rPr>
        <w:t>328</w:t>
      </w:r>
      <w:r w:rsidR="001F1E8F" w:rsidRPr="00991CD8">
        <w:rPr>
          <w:b/>
          <w:i/>
          <w:color w:val="000000"/>
          <w:sz w:val="22"/>
          <w:szCs w:val="22"/>
        </w:rPr>
        <w:t>/20</w:t>
      </w:r>
      <w:r w:rsidRPr="00991CD8">
        <w:rPr>
          <w:b/>
          <w:i/>
          <w:color w:val="000000"/>
          <w:sz w:val="22"/>
          <w:szCs w:val="22"/>
        </w:rPr>
        <w:t>1</w:t>
      </w:r>
      <w:r w:rsidR="001F1E8F" w:rsidRPr="00991CD8">
        <w:rPr>
          <w:b/>
          <w:i/>
          <w:color w:val="000000"/>
          <w:sz w:val="22"/>
          <w:szCs w:val="22"/>
        </w:rPr>
        <w:t xml:space="preserve">0-0, rel. Min. </w:t>
      </w:r>
      <w:r w:rsidR="00EE4C6E" w:rsidRPr="00991CD8">
        <w:rPr>
          <w:b/>
          <w:i/>
          <w:color w:val="000000"/>
          <w:sz w:val="22"/>
          <w:szCs w:val="22"/>
        </w:rPr>
        <w:t>José Múcio</w:t>
      </w:r>
      <w:r w:rsidR="001F1E8F" w:rsidRPr="00991CD8">
        <w:rPr>
          <w:b/>
          <w:i/>
          <w:color w:val="000000"/>
          <w:sz w:val="22"/>
          <w:szCs w:val="22"/>
        </w:rPr>
        <w:t xml:space="preserve">, </w:t>
      </w:r>
      <w:r w:rsidR="00EE4C6E" w:rsidRPr="00991CD8">
        <w:rPr>
          <w:b/>
          <w:i/>
          <w:color w:val="000000"/>
          <w:sz w:val="22"/>
          <w:szCs w:val="22"/>
        </w:rPr>
        <w:t>0</w:t>
      </w:r>
      <w:r w:rsidRPr="00991CD8">
        <w:rPr>
          <w:b/>
          <w:i/>
          <w:color w:val="000000"/>
          <w:sz w:val="22"/>
          <w:szCs w:val="22"/>
        </w:rPr>
        <w:t>9</w:t>
      </w:r>
      <w:r w:rsidR="001F1E8F" w:rsidRPr="00991CD8">
        <w:rPr>
          <w:b/>
          <w:i/>
          <w:color w:val="000000"/>
          <w:sz w:val="22"/>
          <w:szCs w:val="22"/>
        </w:rPr>
        <w:t>.0</w:t>
      </w:r>
      <w:r w:rsidR="00EE4C6E" w:rsidRPr="00991CD8">
        <w:rPr>
          <w:b/>
          <w:i/>
          <w:color w:val="000000"/>
          <w:sz w:val="22"/>
          <w:szCs w:val="22"/>
        </w:rPr>
        <w:t>2</w:t>
      </w:r>
      <w:r w:rsidR="001F1E8F" w:rsidRPr="00991CD8">
        <w:rPr>
          <w:b/>
          <w:i/>
          <w:color w:val="000000"/>
          <w:sz w:val="22"/>
          <w:szCs w:val="22"/>
        </w:rPr>
        <w:t>.2011.</w:t>
      </w:r>
      <w:r w:rsidR="001F1E8F" w:rsidRPr="00991CD8">
        <w:rPr>
          <w:b/>
          <w:i/>
          <w:color w:val="FF0000"/>
          <w:sz w:val="22"/>
          <w:szCs w:val="22"/>
        </w:rPr>
        <w:t xml:space="preserve"> </w:t>
      </w:r>
    </w:p>
    <w:p w:rsidR="001F1E8F" w:rsidRPr="00274068" w:rsidRDefault="001F1E8F" w:rsidP="00631FE7">
      <w:pPr>
        <w:pStyle w:val="indice"/>
        <w:spacing w:line="240" w:lineRule="auto"/>
        <w:rPr>
          <w:b/>
          <w:color w:val="FF0000"/>
        </w:rPr>
      </w:pPr>
    </w:p>
    <w:p w:rsidR="00914B48" w:rsidRPr="00631FE7" w:rsidRDefault="00631FE7" w:rsidP="00631FE7">
      <w:pPr>
        <w:pStyle w:val="indice"/>
        <w:spacing w:line="240" w:lineRule="auto"/>
        <w:rPr>
          <w:b/>
        </w:rPr>
      </w:pPr>
      <w:r>
        <w:rPr>
          <w:b/>
        </w:rPr>
        <w:t>Fornecimento de vales-alimentação</w:t>
      </w:r>
      <w:r w:rsidRPr="00631FE7">
        <w:rPr>
          <w:b/>
        </w:rPr>
        <w:t>: a exigência quanto à apresentação da rede credenciada de estabelecimento</w:t>
      </w:r>
      <w:r>
        <w:rPr>
          <w:b/>
        </w:rPr>
        <w:t>s</w:t>
      </w:r>
      <w:r w:rsidRPr="00631FE7">
        <w:rPr>
          <w:b/>
        </w:rPr>
        <w:t xml:space="preserve"> </w:t>
      </w:r>
      <w:r>
        <w:rPr>
          <w:b/>
        </w:rPr>
        <w:t xml:space="preserve">por parte das empresas </w:t>
      </w:r>
      <w:r w:rsidRPr="00631FE7">
        <w:rPr>
          <w:b/>
        </w:rPr>
        <w:t xml:space="preserve">deve ocorrer na fase de contratação e não </w:t>
      </w:r>
      <w:r w:rsidR="0081440E">
        <w:rPr>
          <w:b/>
        </w:rPr>
        <w:t xml:space="preserve">na </w:t>
      </w:r>
      <w:r w:rsidRPr="00631FE7">
        <w:rPr>
          <w:b/>
        </w:rPr>
        <w:t>de habilitação do certame</w:t>
      </w:r>
    </w:p>
    <w:p w:rsidR="0027686D" w:rsidRPr="00631FE7" w:rsidRDefault="00C730CB" w:rsidP="00631FE7">
      <w:pPr>
        <w:tabs>
          <w:tab w:val="left" w:pos="1134"/>
        </w:tabs>
        <w:spacing w:after="0"/>
        <w:ind w:left="0"/>
        <w:rPr>
          <w:b/>
          <w:i/>
          <w:color w:val="000000"/>
          <w:sz w:val="22"/>
          <w:szCs w:val="22"/>
        </w:rPr>
      </w:pPr>
      <w:r w:rsidRPr="00631FE7">
        <w:rPr>
          <w:color w:val="000000"/>
          <w:sz w:val="22"/>
          <w:szCs w:val="22"/>
        </w:rPr>
        <w:t xml:space="preserve">Recurso de agravo foi interposto pelo </w:t>
      </w:r>
      <w:r w:rsidRPr="00631FE7">
        <w:rPr>
          <w:bCs/>
          <w:color w:val="000000"/>
          <w:sz w:val="22"/>
          <w:szCs w:val="22"/>
          <w:lang w:eastAsia="pt-BR"/>
        </w:rPr>
        <w:t xml:space="preserve">Departamento Nacional do Serviço Social da Indústria </w:t>
      </w:r>
      <w:r w:rsidR="006345C1" w:rsidRPr="00631FE7">
        <w:rPr>
          <w:bCs/>
          <w:color w:val="000000"/>
          <w:sz w:val="22"/>
          <w:szCs w:val="22"/>
          <w:lang w:eastAsia="pt-BR"/>
        </w:rPr>
        <w:t>–</w:t>
      </w:r>
      <w:r w:rsidRPr="00631FE7">
        <w:rPr>
          <w:bCs/>
          <w:color w:val="000000"/>
          <w:sz w:val="22"/>
          <w:szCs w:val="22"/>
          <w:lang w:eastAsia="pt-BR"/>
        </w:rPr>
        <w:t xml:space="preserve"> </w:t>
      </w:r>
      <w:r w:rsidR="006345C1" w:rsidRPr="00631FE7">
        <w:rPr>
          <w:bCs/>
          <w:color w:val="000000"/>
          <w:sz w:val="22"/>
          <w:szCs w:val="22"/>
          <w:lang w:eastAsia="pt-BR"/>
        </w:rPr>
        <w:t>(</w:t>
      </w:r>
      <w:r w:rsidRPr="00631FE7">
        <w:rPr>
          <w:bCs/>
          <w:color w:val="000000"/>
          <w:sz w:val="22"/>
          <w:szCs w:val="22"/>
          <w:lang w:eastAsia="pt-BR"/>
        </w:rPr>
        <w:t>Sesi/DN</w:t>
      </w:r>
      <w:r w:rsidR="006345C1" w:rsidRPr="00631FE7">
        <w:rPr>
          <w:bCs/>
          <w:color w:val="000000"/>
          <w:sz w:val="22"/>
          <w:szCs w:val="22"/>
          <w:lang w:eastAsia="pt-BR"/>
        </w:rPr>
        <w:t>)</w:t>
      </w:r>
      <w:r w:rsidRPr="00631FE7">
        <w:rPr>
          <w:bCs/>
          <w:color w:val="000000"/>
          <w:sz w:val="22"/>
          <w:szCs w:val="22"/>
          <w:lang w:eastAsia="pt-BR"/>
        </w:rPr>
        <w:t xml:space="preserve"> e pelo Departamento Nacional de Aprendizagem Industrial </w:t>
      </w:r>
      <w:r w:rsidR="006345C1" w:rsidRPr="00631FE7">
        <w:rPr>
          <w:color w:val="000000"/>
          <w:sz w:val="22"/>
          <w:szCs w:val="22"/>
          <w:lang w:eastAsia="pt-BR"/>
        </w:rPr>
        <w:t>–</w:t>
      </w:r>
      <w:r w:rsidRPr="00631FE7">
        <w:rPr>
          <w:color w:val="000000"/>
          <w:sz w:val="22"/>
          <w:szCs w:val="22"/>
          <w:lang w:eastAsia="pt-BR"/>
        </w:rPr>
        <w:t xml:space="preserve"> </w:t>
      </w:r>
      <w:r w:rsidR="006345C1" w:rsidRPr="00631FE7">
        <w:rPr>
          <w:color w:val="000000"/>
          <w:sz w:val="22"/>
          <w:szCs w:val="22"/>
          <w:lang w:eastAsia="pt-BR"/>
        </w:rPr>
        <w:t>(</w:t>
      </w:r>
      <w:r w:rsidRPr="00631FE7">
        <w:rPr>
          <w:bCs/>
          <w:color w:val="000000"/>
          <w:sz w:val="22"/>
          <w:szCs w:val="22"/>
          <w:lang w:eastAsia="pt-BR"/>
        </w:rPr>
        <w:t>Senai/DN</w:t>
      </w:r>
      <w:r w:rsidR="006345C1" w:rsidRPr="00631FE7">
        <w:rPr>
          <w:bCs/>
          <w:color w:val="000000"/>
          <w:sz w:val="22"/>
          <w:szCs w:val="22"/>
          <w:lang w:eastAsia="pt-BR"/>
        </w:rPr>
        <w:t>),</w:t>
      </w:r>
      <w:r w:rsidRPr="00631FE7">
        <w:rPr>
          <w:color w:val="000000"/>
          <w:sz w:val="22"/>
          <w:szCs w:val="22"/>
        </w:rPr>
        <w:t xml:space="preserve"> em razão da concessão de medida cautelar </w:t>
      </w:r>
      <w:r w:rsidR="00631FE7">
        <w:rPr>
          <w:color w:val="000000"/>
          <w:sz w:val="22"/>
          <w:szCs w:val="22"/>
        </w:rPr>
        <w:t xml:space="preserve">pela </w:t>
      </w:r>
      <w:r w:rsidRPr="00631FE7">
        <w:rPr>
          <w:color w:val="000000"/>
          <w:sz w:val="22"/>
          <w:szCs w:val="22"/>
        </w:rPr>
        <w:t>qu</w:t>
      </w:r>
      <w:r w:rsidR="00631FE7">
        <w:rPr>
          <w:color w:val="000000"/>
          <w:sz w:val="22"/>
          <w:szCs w:val="22"/>
        </w:rPr>
        <w:t>al</w:t>
      </w:r>
      <w:r w:rsidRPr="00631FE7">
        <w:rPr>
          <w:color w:val="000000"/>
          <w:sz w:val="22"/>
          <w:szCs w:val="22"/>
        </w:rPr>
        <w:t xml:space="preserve"> </w:t>
      </w:r>
      <w:r w:rsidR="00631FE7">
        <w:rPr>
          <w:color w:val="000000"/>
          <w:sz w:val="22"/>
          <w:szCs w:val="22"/>
        </w:rPr>
        <w:t xml:space="preserve">foi </w:t>
      </w:r>
      <w:r w:rsidRPr="00631FE7">
        <w:rPr>
          <w:color w:val="000000"/>
          <w:sz w:val="22"/>
          <w:szCs w:val="22"/>
        </w:rPr>
        <w:t>suspen</w:t>
      </w:r>
      <w:r w:rsidR="00631FE7">
        <w:rPr>
          <w:color w:val="000000"/>
          <w:sz w:val="22"/>
          <w:szCs w:val="22"/>
        </w:rPr>
        <w:t>sa</w:t>
      </w:r>
      <w:r w:rsidRPr="00631FE7">
        <w:rPr>
          <w:color w:val="000000"/>
          <w:sz w:val="22"/>
          <w:szCs w:val="22"/>
        </w:rPr>
        <w:t xml:space="preserve"> a realização do Pregão Conjunto nº 67/2010 CNI/Sesi/Senai/IEL, </w:t>
      </w:r>
      <w:r w:rsidR="006345C1" w:rsidRPr="00631FE7">
        <w:rPr>
          <w:color w:val="000000"/>
          <w:sz w:val="22"/>
          <w:szCs w:val="22"/>
        </w:rPr>
        <w:t>cujo objeto consistiu na</w:t>
      </w:r>
      <w:r w:rsidRPr="00631FE7">
        <w:rPr>
          <w:color w:val="000000"/>
          <w:sz w:val="22"/>
          <w:szCs w:val="22"/>
        </w:rPr>
        <w:t xml:space="preserve"> contrata</w:t>
      </w:r>
      <w:r w:rsidR="006345C1" w:rsidRPr="00631FE7">
        <w:rPr>
          <w:color w:val="000000"/>
          <w:sz w:val="22"/>
          <w:szCs w:val="22"/>
        </w:rPr>
        <w:t>ção</w:t>
      </w:r>
      <w:r w:rsidRPr="00631FE7">
        <w:rPr>
          <w:color w:val="000000"/>
          <w:sz w:val="22"/>
          <w:szCs w:val="22"/>
        </w:rPr>
        <w:t xml:space="preserve"> </w:t>
      </w:r>
      <w:r w:rsidR="006345C1" w:rsidRPr="00631FE7">
        <w:rPr>
          <w:color w:val="000000"/>
          <w:sz w:val="22"/>
          <w:szCs w:val="22"/>
        </w:rPr>
        <w:t xml:space="preserve">de </w:t>
      </w:r>
      <w:r w:rsidRPr="00631FE7">
        <w:rPr>
          <w:color w:val="000000"/>
          <w:sz w:val="22"/>
          <w:szCs w:val="22"/>
        </w:rPr>
        <w:t xml:space="preserve">empresa especializada na prestação de serviços de alimentação coletiva (refeição-convênio), em todo o território nacional, </w:t>
      </w:r>
      <w:r w:rsidR="006345C1" w:rsidRPr="00631FE7">
        <w:rPr>
          <w:color w:val="000000"/>
          <w:sz w:val="22"/>
          <w:szCs w:val="22"/>
        </w:rPr>
        <w:t>por</w:t>
      </w:r>
      <w:r w:rsidRPr="00631FE7">
        <w:rPr>
          <w:color w:val="000000"/>
          <w:sz w:val="22"/>
          <w:szCs w:val="22"/>
        </w:rPr>
        <w:t xml:space="preserve"> empregados das </w:t>
      </w:r>
      <w:r w:rsidR="006345C1" w:rsidRPr="00631FE7">
        <w:rPr>
          <w:color w:val="000000"/>
          <w:sz w:val="22"/>
          <w:szCs w:val="22"/>
        </w:rPr>
        <w:t>e</w:t>
      </w:r>
      <w:r w:rsidRPr="00631FE7">
        <w:rPr>
          <w:color w:val="000000"/>
          <w:sz w:val="22"/>
          <w:szCs w:val="22"/>
        </w:rPr>
        <w:t xml:space="preserve">ntidades </w:t>
      </w:r>
      <w:r w:rsidR="006345C1" w:rsidRPr="00631FE7">
        <w:rPr>
          <w:color w:val="000000"/>
          <w:sz w:val="22"/>
          <w:szCs w:val="22"/>
        </w:rPr>
        <w:t>n</w:t>
      </w:r>
      <w:r w:rsidRPr="00631FE7">
        <w:rPr>
          <w:color w:val="000000"/>
          <w:sz w:val="22"/>
          <w:szCs w:val="22"/>
        </w:rPr>
        <w:t xml:space="preserve">acionais que integram o </w:t>
      </w:r>
      <w:r w:rsidR="006345C1" w:rsidRPr="00631FE7">
        <w:rPr>
          <w:color w:val="000000"/>
          <w:sz w:val="22"/>
          <w:szCs w:val="22"/>
        </w:rPr>
        <w:t>s</w:t>
      </w:r>
      <w:r w:rsidRPr="00631FE7">
        <w:rPr>
          <w:color w:val="000000"/>
          <w:sz w:val="22"/>
          <w:szCs w:val="22"/>
        </w:rPr>
        <w:t xml:space="preserve">istema </w:t>
      </w:r>
      <w:r w:rsidR="006345C1" w:rsidRPr="00631FE7">
        <w:rPr>
          <w:color w:val="000000"/>
          <w:sz w:val="22"/>
          <w:szCs w:val="22"/>
        </w:rPr>
        <w:t>i</w:t>
      </w:r>
      <w:r w:rsidRPr="00631FE7">
        <w:rPr>
          <w:color w:val="000000"/>
          <w:sz w:val="22"/>
          <w:szCs w:val="22"/>
        </w:rPr>
        <w:t>ndústria, pelo período de 12 (doze) meses.</w:t>
      </w:r>
      <w:r w:rsidR="006345C1" w:rsidRPr="00631FE7">
        <w:rPr>
          <w:color w:val="000000"/>
          <w:sz w:val="22"/>
          <w:szCs w:val="22"/>
        </w:rPr>
        <w:t xml:space="preserve"> A cautelar foi concedida em razão de representação de empresa licitante contra suposta</w:t>
      </w:r>
      <w:r w:rsidR="008C5B71" w:rsidRPr="00631FE7">
        <w:rPr>
          <w:color w:val="000000"/>
          <w:sz w:val="22"/>
          <w:szCs w:val="22"/>
        </w:rPr>
        <w:t>s</w:t>
      </w:r>
      <w:r w:rsidR="006345C1" w:rsidRPr="00631FE7">
        <w:rPr>
          <w:color w:val="000000"/>
          <w:sz w:val="22"/>
          <w:szCs w:val="22"/>
        </w:rPr>
        <w:t xml:space="preserve"> exigência</w:t>
      </w:r>
      <w:r w:rsidR="008C5B71" w:rsidRPr="00631FE7">
        <w:rPr>
          <w:color w:val="000000"/>
          <w:sz w:val="22"/>
          <w:szCs w:val="22"/>
        </w:rPr>
        <w:t>s</w:t>
      </w:r>
      <w:r w:rsidR="006345C1" w:rsidRPr="00631FE7">
        <w:rPr>
          <w:color w:val="000000"/>
          <w:sz w:val="22"/>
          <w:szCs w:val="22"/>
        </w:rPr>
        <w:t xml:space="preserve"> excessiva</w:t>
      </w:r>
      <w:r w:rsidR="008C5B71" w:rsidRPr="00631FE7">
        <w:rPr>
          <w:color w:val="000000"/>
          <w:sz w:val="22"/>
          <w:szCs w:val="22"/>
        </w:rPr>
        <w:t>s</w:t>
      </w:r>
      <w:r w:rsidR="006345C1" w:rsidRPr="00631FE7">
        <w:rPr>
          <w:color w:val="000000"/>
          <w:sz w:val="22"/>
          <w:szCs w:val="22"/>
        </w:rPr>
        <w:t>, contida</w:t>
      </w:r>
      <w:r w:rsidR="008C5B71" w:rsidRPr="00631FE7">
        <w:rPr>
          <w:color w:val="000000"/>
          <w:sz w:val="22"/>
          <w:szCs w:val="22"/>
        </w:rPr>
        <w:t>s</w:t>
      </w:r>
      <w:r w:rsidR="006345C1" w:rsidRPr="00631FE7">
        <w:rPr>
          <w:color w:val="000000"/>
          <w:sz w:val="22"/>
          <w:szCs w:val="22"/>
        </w:rPr>
        <w:t xml:space="preserve"> no edital do certame, </w:t>
      </w:r>
      <w:r w:rsidR="00612F12">
        <w:rPr>
          <w:color w:val="000000"/>
          <w:sz w:val="22"/>
          <w:szCs w:val="22"/>
        </w:rPr>
        <w:t xml:space="preserve">tal </w:t>
      </w:r>
      <w:r w:rsidR="006345C1" w:rsidRPr="00631FE7">
        <w:rPr>
          <w:color w:val="000000"/>
          <w:sz w:val="22"/>
          <w:szCs w:val="22"/>
        </w:rPr>
        <w:t>com</w:t>
      </w:r>
      <w:r w:rsidR="00612F12">
        <w:rPr>
          <w:color w:val="000000"/>
          <w:sz w:val="22"/>
          <w:szCs w:val="22"/>
        </w:rPr>
        <w:t>o</w:t>
      </w:r>
      <w:r w:rsidR="006345C1" w:rsidRPr="00631FE7">
        <w:rPr>
          <w:color w:val="000000"/>
          <w:sz w:val="22"/>
          <w:szCs w:val="22"/>
        </w:rPr>
        <w:t xml:space="preserve"> a obrigatoriedade de os licitantes apresentarem, </w:t>
      </w:r>
      <w:r w:rsidR="00612F12">
        <w:rPr>
          <w:color w:val="000000"/>
          <w:sz w:val="22"/>
          <w:szCs w:val="22"/>
        </w:rPr>
        <w:t>na fase</w:t>
      </w:r>
      <w:r w:rsidR="006345C1" w:rsidRPr="00631FE7">
        <w:rPr>
          <w:color w:val="000000"/>
          <w:sz w:val="22"/>
          <w:szCs w:val="22"/>
        </w:rPr>
        <w:t xml:space="preserve"> de habilitação técnica, declaraç</w:t>
      </w:r>
      <w:r w:rsidR="008C5B71" w:rsidRPr="00631FE7">
        <w:rPr>
          <w:color w:val="000000"/>
          <w:sz w:val="22"/>
          <w:szCs w:val="22"/>
        </w:rPr>
        <w:t>ão</w:t>
      </w:r>
      <w:r w:rsidR="006345C1" w:rsidRPr="00631FE7">
        <w:rPr>
          <w:color w:val="000000"/>
          <w:sz w:val="22"/>
          <w:szCs w:val="22"/>
        </w:rPr>
        <w:t xml:space="preserve"> de que </w:t>
      </w:r>
      <w:r w:rsidR="008C5B71" w:rsidRPr="00631FE7">
        <w:rPr>
          <w:color w:val="000000"/>
          <w:sz w:val="22"/>
          <w:szCs w:val="22"/>
        </w:rPr>
        <w:t>atuaria em todos os Estados Brasileiros e de que possuiriam estabelecimentos comerciais credenciados que admitissem pagamento de refeição e alimentação, por meio de vale-alimentação</w:t>
      </w:r>
      <w:r w:rsidR="00631FE7">
        <w:rPr>
          <w:color w:val="000000"/>
          <w:sz w:val="22"/>
          <w:szCs w:val="22"/>
        </w:rPr>
        <w:t>,</w:t>
      </w:r>
      <w:r w:rsidR="008C5B71" w:rsidRPr="00631FE7">
        <w:rPr>
          <w:color w:val="000000"/>
          <w:sz w:val="22"/>
          <w:szCs w:val="22"/>
        </w:rPr>
        <w:t xml:space="preserve"> fornecido pela licitante, em todas as </w:t>
      </w:r>
      <w:r w:rsidR="00631FE7">
        <w:rPr>
          <w:color w:val="000000"/>
          <w:sz w:val="22"/>
          <w:szCs w:val="22"/>
        </w:rPr>
        <w:t>Capitais dos 26 (vinte e seis) e</w:t>
      </w:r>
      <w:r w:rsidR="008C5B71" w:rsidRPr="00631FE7">
        <w:rPr>
          <w:color w:val="000000"/>
          <w:sz w:val="22"/>
          <w:szCs w:val="22"/>
        </w:rPr>
        <w:t xml:space="preserve">stados </w:t>
      </w:r>
      <w:r w:rsidR="00631FE7">
        <w:rPr>
          <w:color w:val="000000"/>
          <w:sz w:val="22"/>
          <w:szCs w:val="22"/>
        </w:rPr>
        <w:t xml:space="preserve">do país </w:t>
      </w:r>
      <w:r w:rsidR="008C5B71" w:rsidRPr="00631FE7">
        <w:rPr>
          <w:color w:val="000000"/>
          <w:sz w:val="22"/>
          <w:szCs w:val="22"/>
        </w:rPr>
        <w:t>e no Distrito Federal, bem como em todos os municípios com população igual ou superior 100.000 (cem mil) habitantes. Para os recorrentes, “</w:t>
      </w:r>
      <w:r w:rsidR="008C5B71" w:rsidRPr="00631FE7">
        <w:rPr>
          <w:i/>
          <w:color w:val="000000"/>
          <w:sz w:val="22"/>
          <w:szCs w:val="22"/>
        </w:rPr>
        <w:t xml:space="preserve">contratar </w:t>
      </w:r>
      <w:r w:rsidR="008C5B71" w:rsidRPr="00631FE7">
        <w:rPr>
          <w:i/>
          <w:color w:val="000000"/>
          <w:sz w:val="22"/>
          <w:szCs w:val="22"/>
          <w:lang w:eastAsia="pt-BR"/>
        </w:rPr>
        <w:t>empresa que não tenha rede credenciada nacional, e sem a abrangência esperada, por certo gerará um sério prejuízo ao empregado das entidades, que justamente recebe o benefício do vale refeição para custear a sua alimentação, independentemente de estar trabalhando dentro ou fora de suas sedes</w:t>
      </w:r>
      <w:r w:rsidR="008C5B71" w:rsidRPr="00631FE7">
        <w:rPr>
          <w:color w:val="000000"/>
          <w:sz w:val="22"/>
          <w:szCs w:val="22"/>
          <w:lang w:eastAsia="pt-BR"/>
        </w:rPr>
        <w:t xml:space="preserve">”, </w:t>
      </w:r>
      <w:r w:rsidR="00631FE7">
        <w:rPr>
          <w:color w:val="000000"/>
          <w:sz w:val="22"/>
          <w:szCs w:val="22"/>
          <w:lang w:eastAsia="pt-BR"/>
        </w:rPr>
        <w:t>argumento</w:t>
      </w:r>
      <w:r w:rsidR="008C5B71" w:rsidRPr="00631FE7">
        <w:rPr>
          <w:color w:val="000000"/>
          <w:sz w:val="22"/>
          <w:szCs w:val="22"/>
          <w:lang w:eastAsia="pt-BR"/>
        </w:rPr>
        <w:t xml:space="preserve"> que, inclusive, contou com o reconhecimento</w:t>
      </w:r>
      <w:r w:rsidR="00612F12">
        <w:rPr>
          <w:color w:val="000000"/>
          <w:sz w:val="22"/>
          <w:szCs w:val="22"/>
          <w:lang w:eastAsia="pt-BR"/>
        </w:rPr>
        <w:t xml:space="preserve"> do</w:t>
      </w:r>
      <w:r w:rsidR="008C5B71" w:rsidRPr="00631FE7">
        <w:rPr>
          <w:color w:val="000000"/>
          <w:sz w:val="22"/>
          <w:szCs w:val="22"/>
          <w:lang w:eastAsia="pt-BR"/>
        </w:rPr>
        <w:t xml:space="preserve"> relator, o qual, todavia, divergiu quanto ao momento em que a comprovação da capacidade por parte da empresa interessada deveria ser realizada. Segundo ele, não seria razoável “</w:t>
      </w:r>
      <w:r w:rsidR="008C5B71" w:rsidRPr="00631FE7">
        <w:rPr>
          <w:i/>
          <w:color w:val="000000"/>
          <w:sz w:val="22"/>
          <w:szCs w:val="22"/>
          <w:lang w:eastAsia="pt-BR"/>
        </w:rPr>
        <w:t xml:space="preserve">a exigência de que todas as empresas interessadas em contratar com a Administração sejam obrigadas, ainda na fase de habilitação do pregão, de manter </w:t>
      </w:r>
      <w:r w:rsidR="008C5B71" w:rsidRPr="00631FE7">
        <w:rPr>
          <w:i/>
          <w:color w:val="000000"/>
          <w:sz w:val="22"/>
          <w:szCs w:val="22"/>
        </w:rPr>
        <w:t>estabelecimentos comerciais credenciados</w:t>
      </w:r>
      <w:r w:rsidR="008C5B71" w:rsidRPr="00631FE7">
        <w:rPr>
          <w:i/>
          <w:color w:val="000000"/>
          <w:sz w:val="22"/>
          <w:szCs w:val="22"/>
          <w:lang w:eastAsia="pt-BR"/>
        </w:rPr>
        <w:t xml:space="preserve"> em todas as capitais dos estados brasileiros e em todos os municípios com mais de cem mil habitantes</w:t>
      </w:r>
      <w:r w:rsidR="008C5B71" w:rsidRPr="00631FE7">
        <w:rPr>
          <w:color w:val="000000"/>
          <w:sz w:val="22"/>
          <w:szCs w:val="22"/>
          <w:lang w:eastAsia="pt-BR"/>
        </w:rPr>
        <w:t xml:space="preserve">”, em linha com a jurisprudência do Tribunal. Ainda para o relator, a </w:t>
      </w:r>
      <w:r w:rsidR="008C5B71" w:rsidRPr="00631FE7">
        <w:rPr>
          <w:color w:val="000000"/>
          <w:sz w:val="22"/>
          <w:szCs w:val="22"/>
        </w:rPr>
        <w:t>exigência de habilitação constante do processo licitatório, “</w:t>
      </w:r>
      <w:r w:rsidR="008C5B71" w:rsidRPr="00631FE7">
        <w:rPr>
          <w:i/>
          <w:color w:val="000000"/>
          <w:sz w:val="22"/>
          <w:szCs w:val="22"/>
        </w:rPr>
        <w:t>levada a extremos, poderia inclusive estimular a formação de cartel, pois só poderiam participar de licitações as poucas grandes empresas desse seguimento comercial, o que, de certa forma teria se confirmado, uma vez que somente três empresas apresentaram propostas neste pregão</w:t>
      </w:r>
      <w:r w:rsidR="008C5B71" w:rsidRPr="00631FE7">
        <w:rPr>
          <w:color w:val="000000"/>
          <w:sz w:val="22"/>
          <w:szCs w:val="22"/>
        </w:rPr>
        <w:t>”.</w:t>
      </w:r>
      <w:r w:rsidR="001041ED" w:rsidRPr="00631FE7">
        <w:rPr>
          <w:color w:val="000000"/>
          <w:sz w:val="22"/>
          <w:szCs w:val="22"/>
        </w:rPr>
        <w:t xml:space="preserve"> Ressaltou, mais uma vez com amparo na jurisprudência do Tribunal, que “</w:t>
      </w:r>
      <w:r w:rsidR="001041ED" w:rsidRPr="00631FE7">
        <w:rPr>
          <w:i/>
          <w:color w:val="000000"/>
          <w:sz w:val="22"/>
          <w:szCs w:val="22"/>
        </w:rPr>
        <w:t>a exigência da apresentação da rede credenciada deveria ocorrer na fase de contratação, sendo permitido um prazo razoável para que a vencedora do certame credenciasse os estabelecimentos comerciais fornecedores de refeição</w:t>
      </w:r>
      <w:r w:rsidR="001041ED" w:rsidRPr="00631FE7">
        <w:rPr>
          <w:color w:val="000000"/>
          <w:sz w:val="22"/>
          <w:szCs w:val="22"/>
        </w:rPr>
        <w:t xml:space="preserve">”. Propôs, então, que fosse negado provimento ao agravo, no que obteve a aprovação do Plenário. </w:t>
      </w:r>
      <w:r w:rsidR="003853FF" w:rsidRPr="00631FE7">
        <w:rPr>
          <w:b/>
          <w:i/>
          <w:color w:val="000000"/>
          <w:sz w:val="22"/>
          <w:szCs w:val="22"/>
        </w:rPr>
        <w:t xml:space="preserve">Acórdão n.º </w:t>
      </w:r>
      <w:r w:rsidR="006345C1" w:rsidRPr="00631FE7">
        <w:rPr>
          <w:b/>
          <w:i/>
          <w:color w:val="000000"/>
          <w:sz w:val="22"/>
          <w:szCs w:val="22"/>
        </w:rPr>
        <w:t>30</w:t>
      </w:r>
      <w:r w:rsidR="003853FF" w:rsidRPr="00631FE7">
        <w:rPr>
          <w:b/>
          <w:i/>
          <w:color w:val="000000"/>
          <w:sz w:val="22"/>
          <w:szCs w:val="22"/>
        </w:rPr>
        <w:t>7/2011-Plenário, TC-032.</w:t>
      </w:r>
      <w:r w:rsidR="006345C1" w:rsidRPr="00631FE7">
        <w:rPr>
          <w:b/>
          <w:i/>
          <w:color w:val="000000"/>
          <w:sz w:val="22"/>
          <w:szCs w:val="22"/>
        </w:rPr>
        <w:t>818</w:t>
      </w:r>
      <w:r w:rsidR="003853FF" w:rsidRPr="00631FE7">
        <w:rPr>
          <w:b/>
          <w:i/>
          <w:color w:val="000000"/>
          <w:sz w:val="22"/>
          <w:szCs w:val="22"/>
        </w:rPr>
        <w:t>/2010-</w:t>
      </w:r>
      <w:r w:rsidR="006345C1" w:rsidRPr="00631FE7">
        <w:rPr>
          <w:b/>
          <w:i/>
          <w:color w:val="000000"/>
          <w:sz w:val="22"/>
          <w:szCs w:val="22"/>
        </w:rPr>
        <w:t>6</w:t>
      </w:r>
      <w:r w:rsidR="003853FF" w:rsidRPr="00631FE7">
        <w:rPr>
          <w:b/>
          <w:i/>
          <w:color w:val="000000"/>
          <w:sz w:val="22"/>
          <w:szCs w:val="22"/>
        </w:rPr>
        <w:t xml:space="preserve">, rel. Min-Subst. Augusto Sherman Cavalcanti, </w:t>
      </w:r>
      <w:r w:rsidR="006345C1" w:rsidRPr="00631FE7">
        <w:rPr>
          <w:b/>
          <w:i/>
          <w:color w:val="000000"/>
          <w:sz w:val="22"/>
          <w:szCs w:val="22"/>
        </w:rPr>
        <w:t>09</w:t>
      </w:r>
      <w:r w:rsidR="003853FF" w:rsidRPr="00631FE7">
        <w:rPr>
          <w:b/>
          <w:i/>
          <w:color w:val="000000"/>
          <w:sz w:val="22"/>
          <w:szCs w:val="22"/>
        </w:rPr>
        <w:t>.02.2011.</w:t>
      </w:r>
    </w:p>
    <w:p w:rsidR="00070785" w:rsidRDefault="00070785" w:rsidP="00631FE7">
      <w:pPr>
        <w:pStyle w:val="TCU-RelVoto-demais"/>
        <w:spacing w:after="0"/>
        <w:rPr>
          <w:color w:val="FF0000"/>
          <w:sz w:val="22"/>
        </w:rPr>
      </w:pPr>
    </w:p>
    <w:p w:rsidR="002B5C5A" w:rsidRPr="00C85563" w:rsidRDefault="00C85563" w:rsidP="00631FE7">
      <w:pPr>
        <w:pStyle w:val="indice"/>
        <w:spacing w:line="240" w:lineRule="auto"/>
        <w:rPr>
          <w:b/>
        </w:rPr>
      </w:pPr>
      <w:r>
        <w:rPr>
          <w:b/>
        </w:rPr>
        <w:t xml:space="preserve">Contratação de obras públicas: 1 - </w:t>
      </w:r>
      <w:r w:rsidR="00BD6B87" w:rsidRPr="00C85563">
        <w:rPr>
          <w:b/>
        </w:rPr>
        <w:t>É necessário que os itens do orçamento de referência da contratação sejam detalhados adequadamente, sendo irrelevante se a contratação ocorrerá por preço global ou unitário</w:t>
      </w:r>
    </w:p>
    <w:p w:rsidR="002B5C5A" w:rsidRPr="00631FE7" w:rsidRDefault="00BD6B87" w:rsidP="00631FE7">
      <w:pPr>
        <w:tabs>
          <w:tab w:val="left" w:pos="1134"/>
        </w:tabs>
        <w:spacing w:after="0"/>
        <w:ind w:left="0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>Em l</w:t>
      </w:r>
      <w:r w:rsidR="002B5C5A" w:rsidRPr="00631FE7">
        <w:rPr>
          <w:sz w:val="22"/>
          <w:szCs w:val="22"/>
        </w:rPr>
        <w:t xml:space="preserve">evantamento de </w:t>
      </w:r>
      <w:r w:rsidR="00264FC3" w:rsidRPr="00631FE7">
        <w:rPr>
          <w:sz w:val="22"/>
          <w:szCs w:val="22"/>
        </w:rPr>
        <w:t>a</w:t>
      </w:r>
      <w:r w:rsidR="002B5C5A" w:rsidRPr="00631FE7">
        <w:rPr>
          <w:sz w:val="22"/>
          <w:szCs w:val="22"/>
        </w:rPr>
        <w:t xml:space="preserve">uditoria realizado nas obras de modernização da Refinaria Presidente Getúlio Vargas (Repar), unidade da Petrobras no Estado do Paraná, foram constatadas diversas </w:t>
      </w:r>
      <w:r>
        <w:rPr>
          <w:sz w:val="22"/>
          <w:szCs w:val="22"/>
        </w:rPr>
        <w:t xml:space="preserve">possíveis </w:t>
      </w:r>
      <w:r w:rsidR="002B5C5A" w:rsidRPr="00631FE7">
        <w:rPr>
          <w:sz w:val="22"/>
          <w:szCs w:val="22"/>
        </w:rPr>
        <w:t>irregularidades</w:t>
      </w:r>
      <w:r>
        <w:rPr>
          <w:sz w:val="22"/>
          <w:szCs w:val="22"/>
        </w:rPr>
        <w:t>.</w:t>
      </w:r>
      <w:r w:rsidR="002B5C5A" w:rsidRPr="00631FE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B5C5A" w:rsidRPr="00631FE7">
        <w:rPr>
          <w:sz w:val="22"/>
          <w:szCs w:val="22"/>
        </w:rPr>
        <w:t xml:space="preserve">entre elas, a existência de planilhas de preços, anexas a contratos, que incluíram verbas para </w:t>
      </w:r>
      <w:r w:rsidR="006734AA" w:rsidRPr="00631FE7">
        <w:rPr>
          <w:sz w:val="22"/>
          <w:szCs w:val="22"/>
        </w:rPr>
        <w:t>‘</w:t>
      </w:r>
      <w:r w:rsidR="00DA1613" w:rsidRPr="00631FE7">
        <w:rPr>
          <w:sz w:val="22"/>
          <w:szCs w:val="22"/>
        </w:rPr>
        <w:t>f</w:t>
      </w:r>
      <w:r w:rsidR="002B5C5A" w:rsidRPr="00631FE7">
        <w:rPr>
          <w:sz w:val="22"/>
          <w:szCs w:val="22"/>
        </w:rPr>
        <w:t xml:space="preserve">ornecimento de </w:t>
      </w:r>
      <w:r w:rsidR="00DA1613" w:rsidRPr="00631FE7">
        <w:rPr>
          <w:sz w:val="22"/>
          <w:szCs w:val="22"/>
        </w:rPr>
        <w:t>s</w:t>
      </w:r>
      <w:r w:rsidR="002B5C5A" w:rsidRPr="00631FE7">
        <w:rPr>
          <w:sz w:val="22"/>
          <w:szCs w:val="22"/>
        </w:rPr>
        <w:t xml:space="preserve">erviços </w:t>
      </w:r>
      <w:r w:rsidR="00DA1613" w:rsidRPr="00631FE7">
        <w:rPr>
          <w:sz w:val="22"/>
          <w:szCs w:val="22"/>
        </w:rPr>
        <w:t>c</w:t>
      </w:r>
      <w:r w:rsidR="002B5C5A" w:rsidRPr="00631FE7">
        <w:rPr>
          <w:sz w:val="22"/>
          <w:szCs w:val="22"/>
        </w:rPr>
        <w:t>omplementares</w:t>
      </w:r>
      <w:r w:rsidR="006734AA" w:rsidRPr="00631FE7">
        <w:rPr>
          <w:sz w:val="22"/>
          <w:szCs w:val="22"/>
        </w:rPr>
        <w:t>’</w:t>
      </w:r>
      <w:r w:rsidR="002B5C5A" w:rsidRPr="00631FE7">
        <w:rPr>
          <w:sz w:val="22"/>
          <w:szCs w:val="22"/>
        </w:rPr>
        <w:t xml:space="preserve"> sem o devido detalhamento, caracterizando, assim, sobrepreço embutido no valor do contrato. Após o relatório inicial da unidade técnica, de 2007, a Petrobras informou que iria excluir tal item das planilhas orçamentárias dos demais ajustes até julho de 2008, razão pela qual o relator entendeu, na oportunidade, suficiente que o Tribunal determinasse à empresa que prestasse informações acerca da implementação da medida. </w:t>
      </w:r>
      <w:r w:rsidR="0027498E" w:rsidRPr="00631FE7">
        <w:rPr>
          <w:sz w:val="22"/>
          <w:szCs w:val="22"/>
        </w:rPr>
        <w:t xml:space="preserve">A Petrobras, então, afirmou ter procedido a exclusão do item em </w:t>
      </w:r>
      <w:r>
        <w:rPr>
          <w:sz w:val="22"/>
          <w:szCs w:val="22"/>
        </w:rPr>
        <w:t>sete</w:t>
      </w:r>
      <w:r w:rsidR="0027498E" w:rsidRPr="00631FE7">
        <w:rPr>
          <w:sz w:val="22"/>
          <w:szCs w:val="22"/>
        </w:rPr>
        <w:t xml:space="preserve"> dos </w:t>
      </w:r>
      <w:r>
        <w:rPr>
          <w:sz w:val="22"/>
          <w:szCs w:val="22"/>
        </w:rPr>
        <w:t>treze</w:t>
      </w:r>
      <w:r w:rsidR="0027498E" w:rsidRPr="00631FE7">
        <w:rPr>
          <w:sz w:val="22"/>
          <w:szCs w:val="22"/>
        </w:rPr>
        <w:t xml:space="preserve"> contratos celebrados com vistas à execução das obras de modernização da Repar. Todavia, com relação aos outros seis</w:t>
      </w:r>
      <w:r>
        <w:rPr>
          <w:sz w:val="22"/>
          <w:szCs w:val="22"/>
        </w:rPr>
        <w:t xml:space="preserve"> contratos</w:t>
      </w:r>
      <w:r w:rsidR="0027498E" w:rsidRPr="00631FE7">
        <w:rPr>
          <w:sz w:val="22"/>
          <w:szCs w:val="22"/>
        </w:rPr>
        <w:t>,</w:t>
      </w:r>
      <w:r w:rsidR="0027498E" w:rsidRPr="00631FE7">
        <w:rPr>
          <w:sz w:val="22"/>
          <w:szCs w:val="22"/>
          <w:lang w:bidi="he-IL"/>
        </w:rPr>
        <w:t xml:space="preserve"> </w:t>
      </w:r>
      <w:r w:rsidR="0027498E" w:rsidRPr="00631FE7">
        <w:rPr>
          <w:sz w:val="22"/>
          <w:szCs w:val="22"/>
        </w:rPr>
        <w:t xml:space="preserve">argumentou que </w:t>
      </w:r>
      <w:r>
        <w:rPr>
          <w:sz w:val="22"/>
          <w:szCs w:val="22"/>
        </w:rPr>
        <w:t xml:space="preserve">tais acordos </w:t>
      </w:r>
      <w:r w:rsidR="0027498E" w:rsidRPr="00631FE7">
        <w:rPr>
          <w:sz w:val="22"/>
          <w:szCs w:val="22"/>
        </w:rPr>
        <w:t>“</w:t>
      </w:r>
      <w:r w:rsidR="0027498E" w:rsidRPr="00631FE7">
        <w:rPr>
          <w:i/>
          <w:sz w:val="22"/>
          <w:szCs w:val="22"/>
        </w:rPr>
        <w:t>foram celebrados por preço unitário e que a cláusula de ‘Serviços Complementares’ constante nos contratos dessa natureza seria distinta daquela presente nos contratos por preços globais</w:t>
      </w:r>
      <w:r w:rsidR="0027498E" w:rsidRPr="00631FE7">
        <w:rPr>
          <w:sz w:val="22"/>
          <w:szCs w:val="22"/>
        </w:rPr>
        <w:t xml:space="preserve">”. Em tais contratos, </w:t>
      </w:r>
      <w:r w:rsidR="00612F12">
        <w:rPr>
          <w:sz w:val="22"/>
          <w:szCs w:val="22"/>
        </w:rPr>
        <w:t xml:space="preserve">a </w:t>
      </w:r>
      <w:r w:rsidR="0027498E" w:rsidRPr="00631FE7">
        <w:rPr>
          <w:sz w:val="22"/>
          <w:szCs w:val="22"/>
        </w:rPr>
        <w:t>empresa</w:t>
      </w:r>
      <w:r w:rsidRPr="00BD6B87">
        <w:rPr>
          <w:sz w:val="22"/>
          <w:szCs w:val="22"/>
        </w:rPr>
        <w:t xml:space="preserve"> </w:t>
      </w:r>
      <w:r w:rsidRPr="00631FE7">
        <w:rPr>
          <w:sz w:val="22"/>
          <w:szCs w:val="22"/>
        </w:rPr>
        <w:t>alegou</w:t>
      </w:r>
      <w:r>
        <w:rPr>
          <w:sz w:val="22"/>
          <w:szCs w:val="22"/>
        </w:rPr>
        <w:t>,</w:t>
      </w:r>
      <w:r w:rsidRPr="00BD6B87">
        <w:rPr>
          <w:sz w:val="22"/>
          <w:szCs w:val="22"/>
        </w:rPr>
        <w:t xml:space="preserve"> </w:t>
      </w:r>
      <w:r w:rsidRPr="00631FE7">
        <w:rPr>
          <w:sz w:val="22"/>
          <w:szCs w:val="22"/>
        </w:rPr>
        <w:t>ainda</w:t>
      </w:r>
      <w:r>
        <w:rPr>
          <w:sz w:val="22"/>
          <w:szCs w:val="22"/>
        </w:rPr>
        <w:t>,</w:t>
      </w:r>
      <w:r w:rsidRPr="00631F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 w:rsidR="0027498E" w:rsidRPr="00631FE7">
        <w:rPr>
          <w:sz w:val="22"/>
          <w:szCs w:val="22"/>
        </w:rPr>
        <w:t>“</w:t>
      </w:r>
      <w:r w:rsidR="0027498E" w:rsidRPr="00631FE7">
        <w:rPr>
          <w:i/>
          <w:sz w:val="22"/>
          <w:szCs w:val="22"/>
        </w:rPr>
        <w:t>o contratado assume total responsabilidade pelos serviços, tais como execução do projeto, aquisição de equipamentos/materiais e construção/montagem e, nos contratos por preço unitário, o contratado presta serviços de apoio técnico à Petrobras, seja para serviços de engenharia, consultoria ou apoio à fiscalização de campo, dentre outras atividades e neste ‘o valor a constar é apenas uma estimativa</w:t>
      </w:r>
      <w:r w:rsidR="0027498E" w:rsidRPr="00631FE7">
        <w:rPr>
          <w:sz w:val="22"/>
          <w:szCs w:val="22"/>
        </w:rPr>
        <w:t>’”. Todavia, o relator discordou. Segundo ele, “</w:t>
      </w:r>
      <w:r w:rsidR="0027498E" w:rsidRPr="00631FE7">
        <w:rPr>
          <w:i/>
          <w:sz w:val="22"/>
          <w:szCs w:val="22"/>
        </w:rPr>
        <w:t>a previsão de valores adicionais sem vínculo específico a um objeto, item ou bem contratado é vedado para qualquer tipo de contrato, seja ele por preço global, seja por preço unitário, mesmo porque, como regra, é o BDI que serviria para cobrir eventuais despesas indiretas ou custos que não possam ser apropriados especificamente a um determinado item</w:t>
      </w:r>
      <w:r w:rsidR="0027498E" w:rsidRPr="00631FE7">
        <w:rPr>
          <w:sz w:val="22"/>
          <w:szCs w:val="22"/>
        </w:rPr>
        <w:t>”.</w:t>
      </w:r>
      <w:r w:rsidR="00264FC3" w:rsidRPr="00631FE7">
        <w:rPr>
          <w:sz w:val="22"/>
          <w:szCs w:val="22"/>
        </w:rPr>
        <w:t xml:space="preserve"> Assim, entendeu pertinente propor que o Tribunal fixasse prazo para que a Petrobras excluísse o item orçamentário atinente ao </w:t>
      </w:r>
      <w:r w:rsidR="006734AA" w:rsidRPr="00631FE7">
        <w:rPr>
          <w:sz w:val="22"/>
          <w:szCs w:val="22"/>
        </w:rPr>
        <w:t>‘f</w:t>
      </w:r>
      <w:r w:rsidR="00264FC3" w:rsidRPr="00631FE7">
        <w:rPr>
          <w:sz w:val="22"/>
          <w:szCs w:val="22"/>
        </w:rPr>
        <w:t xml:space="preserve">ornecimento de </w:t>
      </w:r>
      <w:r w:rsidR="006734AA" w:rsidRPr="00631FE7">
        <w:rPr>
          <w:sz w:val="22"/>
          <w:szCs w:val="22"/>
        </w:rPr>
        <w:t>s</w:t>
      </w:r>
      <w:r w:rsidR="00264FC3" w:rsidRPr="00631FE7">
        <w:rPr>
          <w:sz w:val="22"/>
          <w:szCs w:val="22"/>
        </w:rPr>
        <w:t xml:space="preserve">erviços </w:t>
      </w:r>
      <w:r w:rsidR="006734AA" w:rsidRPr="00631FE7">
        <w:rPr>
          <w:sz w:val="22"/>
          <w:szCs w:val="22"/>
        </w:rPr>
        <w:t>c</w:t>
      </w:r>
      <w:r w:rsidR="00264FC3" w:rsidRPr="00631FE7">
        <w:rPr>
          <w:sz w:val="22"/>
          <w:szCs w:val="22"/>
        </w:rPr>
        <w:t>omplementares</w:t>
      </w:r>
      <w:r w:rsidR="006734AA" w:rsidRPr="00631FE7">
        <w:rPr>
          <w:sz w:val="22"/>
          <w:szCs w:val="22"/>
        </w:rPr>
        <w:t>’</w:t>
      </w:r>
      <w:r w:rsidR="00264FC3" w:rsidRPr="00631FE7">
        <w:rPr>
          <w:sz w:val="22"/>
          <w:szCs w:val="22"/>
        </w:rPr>
        <w:t xml:space="preserve"> de todos os contratos celebrados com vistas à execução das obras de modernização da Repar, quer por preços globais, quer por preços unitários, no que contou com a anuência do Plenário. Precedente citado: Acórdão 93/2009, do Plenário. </w:t>
      </w:r>
      <w:r w:rsidR="002B5C5A" w:rsidRPr="00631FE7">
        <w:rPr>
          <w:b/>
          <w:i/>
          <w:sz w:val="22"/>
          <w:szCs w:val="22"/>
        </w:rPr>
        <w:t xml:space="preserve">Acórdão n.º </w:t>
      </w:r>
      <w:r w:rsidR="00264FC3" w:rsidRPr="00631FE7">
        <w:rPr>
          <w:b/>
          <w:i/>
          <w:sz w:val="22"/>
          <w:szCs w:val="22"/>
        </w:rPr>
        <w:t>311</w:t>
      </w:r>
      <w:r w:rsidR="002B5C5A" w:rsidRPr="00631FE7">
        <w:rPr>
          <w:b/>
          <w:i/>
          <w:sz w:val="22"/>
          <w:szCs w:val="22"/>
        </w:rPr>
        <w:t>/2011-Plenário, TC-0</w:t>
      </w:r>
      <w:r w:rsidR="00264FC3" w:rsidRPr="00631FE7">
        <w:rPr>
          <w:b/>
          <w:i/>
          <w:sz w:val="22"/>
          <w:szCs w:val="22"/>
        </w:rPr>
        <w:t>06</w:t>
      </w:r>
      <w:r w:rsidR="002B5C5A" w:rsidRPr="00631FE7">
        <w:rPr>
          <w:b/>
          <w:i/>
          <w:sz w:val="22"/>
          <w:szCs w:val="22"/>
        </w:rPr>
        <w:t>.</w:t>
      </w:r>
      <w:r w:rsidR="00264FC3" w:rsidRPr="00631FE7">
        <w:rPr>
          <w:b/>
          <w:i/>
          <w:sz w:val="22"/>
          <w:szCs w:val="22"/>
        </w:rPr>
        <w:t>306</w:t>
      </w:r>
      <w:r w:rsidR="002B5C5A" w:rsidRPr="00631FE7">
        <w:rPr>
          <w:b/>
          <w:i/>
          <w:sz w:val="22"/>
          <w:szCs w:val="22"/>
        </w:rPr>
        <w:t>/200</w:t>
      </w:r>
      <w:r w:rsidR="00264FC3" w:rsidRPr="00631FE7">
        <w:rPr>
          <w:b/>
          <w:i/>
          <w:sz w:val="22"/>
          <w:szCs w:val="22"/>
        </w:rPr>
        <w:t>8</w:t>
      </w:r>
      <w:r w:rsidR="002B5C5A" w:rsidRPr="00631FE7">
        <w:rPr>
          <w:b/>
          <w:i/>
          <w:sz w:val="22"/>
          <w:szCs w:val="22"/>
        </w:rPr>
        <w:t>-</w:t>
      </w:r>
      <w:r w:rsidR="00264FC3" w:rsidRPr="00631FE7">
        <w:rPr>
          <w:b/>
          <w:i/>
          <w:sz w:val="22"/>
          <w:szCs w:val="22"/>
        </w:rPr>
        <w:t>3</w:t>
      </w:r>
      <w:r w:rsidR="002B5C5A" w:rsidRPr="00631FE7">
        <w:rPr>
          <w:b/>
          <w:i/>
          <w:sz w:val="22"/>
          <w:szCs w:val="22"/>
        </w:rPr>
        <w:t xml:space="preserve">, rel. Min-Subst. </w:t>
      </w:r>
      <w:r w:rsidR="00264FC3" w:rsidRPr="00631FE7">
        <w:rPr>
          <w:b/>
          <w:i/>
          <w:sz w:val="22"/>
          <w:szCs w:val="22"/>
        </w:rPr>
        <w:t>André Luís de Carvalho</w:t>
      </w:r>
      <w:r w:rsidR="002B5C5A" w:rsidRPr="00631FE7">
        <w:rPr>
          <w:b/>
          <w:i/>
          <w:sz w:val="22"/>
          <w:szCs w:val="22"/>
        </w:rPr>
        <w:t xml:space="preserve">, </w:t>
      </w:r>
      <w:r w:rsidR="00264FC3" w:rsidRPr="00631FE7">
        <w:rPr>
          <w:b/>
          <w:i/>
          <w:sz w:val="22"/>
          <w:szCs w:val="22"/>
        </w:rPr>
        <w:t>09</w:t>
      </w:r>
      <w:r w:rsidR="002B5C5A" w:rsidRPr="00631FE7">
        <w:rPr>
          <w:b/>
          <w:i/>
          <w:sz w:val="22"/>
          <w:szCs w:val="22"/>
        </w:rPr>
        <w:t>.02.2011.</w:t>
      </w:r>
    </w:p>
    <w:p w:rsidR="002B5C5A" w:rsidRDefault="002B5C5A" w:rsidP="00631FE7">
      <w:pPr>
        <w:pStyle w:val="Corpode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/>
        <w:ind w:left="0"/>
      </w:pPr>
    </w:p>
    <w:p w:rsidR="00264FC3" w:rsidRPr="00C85563" w:rsidRDefault="00C85563" w:rsidP="00631FE7">
      <w:pPr>
        <w:pStyle w:val="indice"/>
        <w:spacing w:line="240" w:lineRule="auto"/>
        <w:rPr>
          <w:b/>
        </w:rPr>
      </w:pPr>
      <w:r>
        <w:rPr>
          <w:b/>
        </w:rPr>
        <w:t xml:space="preserve">Contratação de obras públicas: 2 - </w:t>
      </w:r>
      <w:r w:rsidR="00BD6B87" w:rsidRPr="00C85563">
        <w:rPr>
          <w:b/>
        </w:rPr>
        <w:t xml:space="preserve">Eventos futuros e incertos ensejam, quando ocorrentes, o reequilíbrio econômico-financeiro de um contrato, não podendo ser cobertos </w:t>
      </w:r>
      <w:r w:rsidRPr="00C85563">
        <w:rPr>
          <w:b/>
        </w:rPr>
        <w:t>por dotações genéricas</w:t>
      </w:r>
    </w:p>
    <w:p w:rsidR="00264FC3" w:rsidRPr="00BD6B87" w:rsidRDefault="00264FC3" w:rsidP="00631FE7">
      <w:pPr>
        <w:tabs>
          <w:tab w:val="left" w:pos="1134"/>
        </w:tabs>
        <w:spacing w:after="0"/>
        <w:ind w:left="0"/>
        <w:rPr>
          <w:b/>
          <w:i/>
          <w:color w:val="FF0000"/>
          <w:sz w:val="22"/>
          <w:szCs w:val="22"/>
        </w:rPr>
      </w:pPr>
      <w:r w:rsidRPr="00BD6B87">
        <w:rPr>
          <w:sz w:val="22"/>
          <w:szCs w:val="22"/>
        </w:rPr>
        <w:t xml:space="preserve">Ainda no levantamento de Auditoria realizado nas obras de modernização da Refinaria Presidente Getúlio Vargas (Repar), </w:t>
      </w:r>
      <w:r w:rsidR="00DA1613" w:rsidRPr="00BD6B87">
        <w:rPr>
          <w:sz w:val="22"/>
          <w:szCs w:val="22"/>
        </w:rPr>
        <w:t>outra possível irregularidade seria a existência de cláusula de contrato para fazer frente a “eventos globais”. O dispositivo contratual estabelecia, então, a apropriação de custos incorridos por motivo de incidência de raios ou chuvas e suas consequências, bem como custos decorrentes de variação de preços a serem pagos pela Petrobras à contratada. Para o relator, o item não guardaria amparo legal, uma vez que, d</w:t>
      </w:r>
      <w:r w:rsidR="006734AA" w:rsidRPr="00BD6B87">
        <w:rPr>
          <w:sz w:val="22"/>
          <w:szCs w:val="22"/>
        </w:rPr>
        <w:t>e modo semelhante ao</w:t>
      </w:r>
      <w:r w:rsidR="00DA1613" w:rsidRPr="00BD6B87">
        <w:rPr>
          <w:sz w:val="22"/>
          <w:szCs w:val="22"/>
        </w:rPr>
        <w:t xml:space="preserve"> item </w:t>
      </w:r>
      <w:r w:rsidR="006734AA" w:rsidRPr="00BD6B87">
        <w:rPr>
          <w:sz w:val="22"/>
          <w:szCs w:val="22"/>
        </w:rPr>
        <w:t>‘</w:t>
      </w:r>
      <w:r w:rsidR="00DA1613" w:rsidRPr="00BD6B87">
        <w:rPr>
          <w:sz w:val="22"/>
          <w:szCs w:val="22"/>
        </w:rPr>
        <w:t>fornecimento de serviços complementares</w:t>
      </w:r>
      <w:r w:rsidR="006734AA" w:rsidRPr="00BD6B87">
        <w:rPr>
          <w:sz w:val="22"/>
          <w:szCs w:val="22"/>
        </w:rPr>
        <w:t>’</w:t>
      </w:r>
      <w:r w:rsidR="00DA1613" w:rsidRPr="00BD6B87">
        <w:rPr>
          <w:sz w:val="22"/>
          <w:szCs w:val="22"/>
        </w:rPr>
        <w:t xml:space="preserve">, o item </w:t>
      </w:r>
      <w:r w:rsidR="006734AA" w:rsidRPr="00BD6B87">
        <w:rPr>
          <w:sz w:val="22"/>
          <w:szCs w:val="22"/>
        </w:rPr>
        <w:t>‘</w:t>
      </w:r>
      <w:r w:rsidR="00DA1613" w:rsidRPr="00BD6B87">
        <w:rPr>
          <w:sz w:val="22"/>
          <w:szCs w:val="22"/>
        </w:rPr>
        <w:t>eventos globais</w:t>
      </w:r>
      <w:r w:rsidR="006734AA" w:rsidRPr="00BD6B87">
        <w:rPr>
          <w:sz w:val="22"/>
          <w:szCs w:val="22"/>
        </w:rPr>
        <w:t>’ “</w:t>
      </w:r>
      <w:r w:rsidR="006734AA" w:rsidRPr="00BD6B87">
        <w:rPr>
          <w:i/>
          <w:sz w:val="22"/>
          <w:szCs w:val="22"/>
        </w:rPr>
        <w:t>trata de hipótese de gastos relacionados a eventos futuros e incertos, que, como tais, deveriam ensejar o reequilíbrio econômico-financeiro do ajuste</w:t>
      </w:r>
      <w:r w:rsidR="006734AA" w:rsidRPr="00BD6B87">
        <w:rPr>
          <w:sz w:val="22"/>
          <w:szCs w:val="22"/>
        </w:rPr>
        <w:t>”. Não haveria razão, portanto, “</w:t>
      </w:r>
      <w:r w:rsidR="006734AA" w:rsidRPr="00BD6B87">
        <w:rPr>
          <w:i/>
          <w:sz w:val="22"/>
          <w:szCs w:val="22"/>
        </w:rPr>
        <w:t>para que valores dessa natureza sejam inseridos, de antemão, nos termos originais do contrato</w:t>
      </w:r>
      <w:r w:rsidR="006734AA" w:rsidRPr="00BD6B87">
        <w:rPr>
          <w:sz w:val="22"/>
          <w:szCs w:val="22"/>
        </w:rPr>
        <w:t>”, pois “</w:t>
      </w:r>
      <w:r w:rsidR="006734AA" w:rsidRPr="00BD6B87">
        <w:rPr>
          <w:i/>
          <w:sz w:val="22"/>
          <w:szCs w:val="22"/>
        </w:rPr>
        <w:t>os riscos a que se submetem quaisquer empresas, quando passíveis de previsão, submetem-se a uma adequada composição de custos que incluem, em alguns casos, até a contratação de seguros, sendo a mesma situação observada nos casos em que a administração pública contratante exige garantias na forma de carta-fiança ou de seguros específicos a serem apresentados pela empresa contratada</w:t>
      </w:r>
      <w:r w:rsidR="006734AA" w:rsidRPr="00BD6B87">
        <w:rPr>
          <w:sz w:val="22"/>
          <w:szCs w:val="22"/>
        </w:rPr>
        <w:t xml:space="preserve">”. Por consequência, propôs, e o Plenário anuiu, que se determinasse à Petrobras a exclusão do item orçamentário denominado ‘eventos globais’ do contrato examinado e de todos os contratos celebrados com vistas à execução das obras de modernização da Repar, independente da modalidade de contratação, sem prejuízo de que se determinasse à empresa, ainda, a instauração de processo interno, com vistas à recuperação dos valores eventualmente pagos, de forma indevida, a título de remuneração relativa ao item ‘eventos globais’ ao consórcio executante do contrato, sob pena de responsabilização solidária dos responsáveis. </w:t>
      </w:r>
      <w:r w:rsidRPr="00BD6B87">
        <w:rPr>
          <w:b/>
          <w:i/>
          <w:sz w:val="22"/>
          <w:szCs w:val="22"/>
        </w:rPr>
        <w:t xml:space="preserve">Acórdão n.º </w:t>
      </w:r>
      <w:r w:rsidR="00DA1613" w:rsidRPr="00BD6B87">
        <w:rPr>
          <w:b/>
          <w:sz w:val="22"/>
          <w:szCs w:val="22"/>
        </w:rPr>
        <w:t>\</w:t>
      </w:r>
      <w:r w:rsidRPr="00BD6B87">
        <w:rPr>
          <w:b/>
          <w:i/>
          <w:sz w:val="22"/>
          <w:szCs w:val="22"/>
        </w:rPr>
        <w:t>311/2011-Plenário, TC-006.306/2008-3, rel. Min-Subst. André Luís de Carvalho, 09.02.2011.</w:t>
      </w:r>
    </w:p>
    <w:p w:rsidR="002B5C5A" w:rsidRPr="00D53537" w:rsidRDefault="002B5C5A" w:rsidP="00631FE7">
      <w:pPr>
        <w:pStyle w:val="Corpodetext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/>
        <w:rPr>
          <w:color w:val="FF0000"/>
          <w:sz w:val="22"/>
        </w:rPr>
      </w:pPr>
      <w:r w:rsidRPr="00C0731F">
        <w:tab/>
      </w:r>
    </w:p>
    <w:p w:rsidR="0027686D" w:rsidRPr="00D53537" w:rsidRDefault="0027686D" w:rsidP="00631FE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PRIMEIRA CÂMARA</w:t>
      </w:r>
    </w:p>
    <w:p w:rsidR="00C81B05" w:rsidRPr="00D53537" w:rsidRDefault="00C81B05" w:rsidP="00631FE7">
      <w:pPr>
        <w:pStyle w:val="enter-3pt"/>
        <w:spacing w:line="240" w:lineRule="auto"/>
        <w:rPr>
          <w:b/>
          <w:color w:val="FF0000"/>
          <w:sz w:val="22"/>
          <w:szCs w:val="22"/>
        </w:rPr>
      </w:pPr>
    </w:p>
    <w:p w:rsidR="0027686D" w:rsidRPr="00C85563" w:rsidRDefault="00C85563" w:rsidP="00631FE7">
      <w:pPr>
        <w:pStyle w:val="enter-3pt"/>
        <w:spacing w:line="240" w:lineRule="auto"/>
        <w:rPr>
          <w:b/>
          <w:color w:val="FF0000"/>
          <w:sz w:val="22"/>
          <w:szCs w:val="22"/>
        </w:rPr>
      </w:pPr>
      <w:r w:rsidRPr="0081440E">
        <w:rPr>
          <w:b/>
          <w:color w:val="000000"/>
          <w:sz w:val="22"/>
          <w:szCs w:val="22"/>
        </w:rPr>
        <w:t xml:space="preserve">O pagamento de valores a título de “taxa de administração” em contratações públicas </w:t>
      </w:r>
      <w:r w:rsidR="0081440E" w:rsidRPr="0081440E">
        <w:rPr>
          <w:b/>
          <w:color w:val="000000"/>
          <w:sz w:val="22"/>
          <w:szCs w:val="22"/>
        </w:rPr>
        <w:t>intermediadas por outras</w:t>
      </w:r>
      <w:r w:rsidR="0081440E">
        <w:rPr>
          <w:b/>
          <w:color w:val="FF0000"/>
          <w:sz w:val="22"/>
          <w:szCs w:val="22"/>
        </w:rPr>
        <w:t xml:space="preserve"> </w:t>
      </w:r>
      <w:r w:rsidR="0081440E" w:rsidRPr="0081440E">
        <w:rPr>
          <w:b/>
          <w:color w:val="000000"/>
          <w:sz w:val="22"/>
          <w:szCs w:val="22"/>
        </w:rPr>
        <w:t xml:space="preserve">instituições </w:t>
      </w:r>
      <w:r w:rsidRPr="0081440E">
        <w:rPr>
          <w:b/>
          <w:color w:val="000000"/>
          <w:sz w:val="22"/>
          <w:szCs w:val="22"/>
        </w:rPr>
        <w:t xml:space="preserve">só </w:t>
      </w:r>
      <w:r w:rsidR="0081440E" w:rsidRPr="0081440E">
        <w:rPr>
          <w:b/>
          <w:color w:val="000000"/>
          <w:sz w:val="22"/>
          <w:szCs w:val="22"/>
        </w:rPr>
        <w:t>se legitima quando demonstrada a inviabilidade da atuação direta do próprio órgão público</w:t>
      </w:r>
    </w:p>
    <w:p w:rsidR="00EE61BE" w:rsidRPr="00C85563" w:rsidRDefault="00EE61BE" w:rsidP="00631FE7">
      <w:pPr>
        <w:spacing w:after="0"/>
        <w:ind w:left="0"/>
        <w:rPr>
          <w:color w:val="000000"/>
          <w:sz w:val="22"/>
          <w:szCs w:val="22"/>
        </w:rPr>
      </w:pPr>
      <w:r w:rsidRPr="00C85563">
        <w:rPr>
          <w:sz w:val="22"/>
          <w:szCs w:val="22"/>
          <w:lang w:eastAsia="pt-BR"/>
        </w:rPr>
        <w:t>Em tomada de contas especial,</w:t>
      </w:r>
      <w:r w:rsidR="00993C2E" w:rsidRPr="00C85563">
        <w:rPr>
          <w:sz w:val="22"/>
          <w:szCs w:val="22"/>
          <w:lang w:eastAsia="pt-BR"/>
        </w:rPr>
        <w:t xml:space="preserve"> </w:t>
      </w:r>
      <w:r w:rsidRPr="00C85563">
        <w:rPr>
          <w:sz w:val="22"/>
          <w:szCs w:val="22"/>
          <w:lang w:eastAsia="pt-BR"/>
        </w:rPr>
        <w:t>com j</w:t>
      </w:r>
      <w:r w:rsidRPr="00C85563">
        <w:rPr>
          <w:sz w:val="22"/>
          <w:szCs w:val="22"/>
        </w:rPr>
        <w:t xml:space="preserve">ulgamento pela irregularidade das contas, com condenação em débito solidário e aplicação de multa, </w:t>
      </w:r>
      <w:r w:rsidR="0005412B" w:rsidRPr="00C85563">
        <w:rPr>
          <w:sz w:val="22"/>
          <w:szCs w:val="22"/>
        </w:rPr>
        <w:t xml:space="preserve">ex-dirigentes do Instituto Brasileiro do Meio Ambiente e dos Recursos Naturais Renováveis – (IBAMA) intentaram recursos de reconsideração. </w:t>
      </w:r>
      <w:r w:rsidR="00BA58B6" w:rsidRPr="00C85563">
        <w:rPr>
          <w:sz w:val="22"/>
          <w:szCs w:val="22"/>
        </w:rPr>
        <w:t>O</w:t>
      </w:r>
      <w:r w:rsidR="0005412B" w:rsidRPr="00C85563">
        <w:rPr>
          <w:sz w:val="22"/>
          <w:szCs w:val="22"/>
        </w:rPr>
        <w:t xml:space="preserve">riginariamente, a condenação </w:t>
      </w:r>
      <w:r w:rsidR="00BA58B6" w:rsidRPr="00C85563">
        <w:rPr>
          <w:sz w:val="22"/>
          <w:szCs w:val="22"/>
        </w:rPr>
        <w:t xml:space="preserve">que levou ao inconformismo dos recorrentes, </w:t>
      </w:r>
      <w:r w:rsidR="0005412B" w:rsidRPr="00C85563">
        <w:rPr>
          <w:sz w:val="22"/>
          <w:szCs w:val="22"/>
        </w:rPr>
        <w:t>deu-se em razão do pagamento indevido de taxa de administração ao Programa das Nações Unidas para o Desenvolvimento – (PNUD), pela intermediação na contratação de serviços de consultoria junto à empresa Strategia Consultores S/C Ltda. Nesta etapa processual, a unidade instrutiva concluiu não vislumbrar motivo para que o organismo internacional intermediasse a contratação pretendida pelo IBAMA. Ao concordar com a an</w:t>
      </w:r>
      <w:r w:rsidR="00BA58B6" w:rsidRPr="00C85563">
        <w:rPr>
          <w:sz w:val="22"/>
          <w:szCs w:val="22"/>
        </w:rPr>
        <w:t>álise</w:t>
      </w:r>
      <w:r w:rsidR="0005412B" w:rsidRPr="00C85563">
        <w:rPr>
          <w:sz w:val="22"/>
          <w:szCs w:val="22"/>
        </w:rPr>
        <w:t>, o relator destacou que “</w:t>
      </w:r>
      <w:r w:rsidR="0005412B" w:rsidRPr="00C85563">
        <w:rPr>
          <w:i/>
          <w:sz w:val="22"/>
          <w:szCs w:val="22"/>
        </w:rPr>
        <w:t>caso a própria entidade tivesse realizado certame licitatório não teria incorrido em gasto com taxa de administração por conta da transação</w:t>
      </w:r>
      <w:r w:rsidR="0005412B" w:rsidRPr="00C85563">
        <w:rPr>
          <w:sz w:val="22"/>
          <w:szCs w:val="22"/>
        </w:rPr>
        <w:t xml:space="preserve">”. Além disso, </w:t>
      </w:r>
      <w:r w:rsidR="00BA58B6" w:rsidRPr="00C85563">
        <w:rPr>
          <w:sz w:val="22"/>
          <w:szCs w:val="22"/>
        </w:rPr>
        <w:t xml:space="preserve">ainda </w:t>
      </w:r>
      <w:r w:rsidR="0005412B" w:rsidRPr="00C85563">
        <w:rPr>
          <w:sz w:val="22"/>
          <w:szCs w:val="22"/>
        </w:rPr>
        <w:t>conforme o relator, as alegações do ex-dirigentes do IBAMA no sentido de que o valor da contratação dos serviços de consultoria</w:t>
      </w:r>
      <w:r w:rsidR="00C85563">
        <w:rPr>
          <w:sz w:val="22"/>
          <w:szCs w:val="22"/>
        </w:rPr>
        <w:t>,</w:t>
      </w:r>
      <w:r w:rsidR="0005412B" w:rsidRPr="00C85563">
        <w:rPr>
          <w:sz w:val="22"/>
          <w:szCs w:val="22"/>
        </w:rPr>
        <w:t xml:space="preserve"> sem a realização de licitação</w:t>
      </w:r>
      <w:r w:rsidR="00C85563">
        <w:rPr>
          <w:sz w:val="22"/>
          <w:szCs w:val="22"/>
        </w:rPr>
        <w:t>,</w:t>
      </w:r>
      <w:r w:rsidR="0005412B" w:rsidRPr="00C85563">
        <w:rPr>
          <w:sz w:val="22"/>
          <w:szCs w:val="22"/>
        </w:rPr>
        <w:t xml:space="preserve"> estaria condizente com os preços praticados no mercado </w:t>
      </w:r>
      <w:r w:rsidR="00BA58B6" w:rsidRPr="00C85563">
        <w:rPr>
          <w:sz w:val="22"/>
          <w:szCs w:val="22"/>
        </w:rPr>
        <w:t>“</w:t>
      </w:r>
      <w:r w:rsidR="0005412B" w:rsidRPr="00C85563">
        <w:rPr>
          <w:i/>
          <w:sz w:val="22"/>
          <w:szCs w:val="22"/>
        </w:rPr>
        <w:t>tangenciam o motivo determinante do débito apurado nesta tomada de contas especial, qual seja, o pagamento de taxa de administração ao Programa das Nações Unidas para o Desenvolvimento – PNUD pela intermediação na contratação da Strategia Consultores S/C Ltda. Embora tal tipo de taxa esteja prevista no aludido projeto, o seu pagamento só será legítimo nos casos em que for demonstrada a inviabilidade da atuação direta do próprio órgão público</w:t>
      </w:r>
      <w:r w:rsidR="00BA58B6" w:rsidRPr="00C85563">
        <w:rPr>
          <w:sz w:val="22"/>
          <w:szCs w:val="22"/>
        </w:rPr>
        <w:t>”</w:t>
      </w:r>
      <w:r w:rsidR="0005412B" w:rsidRPr="00C85563">
        <w:rPr>
          <w:sz w:val="22"/>
          <w:szCs w:val="22"/>
        </w:rPr>
        <w:t xml:space="preserve">. </w:t>
      </w:r>
      <w:r w:rsidR="00BA58B6" w:rsidRPr="00C85563">
        <w:rPr>
          <w:sz w:val="22"/>
          <w:szCs w:val="22"/>
        </w:rPr>
        <w:t xml:space="preserve">Por conseguinte, votou por que se negasse provimento aos recursos impetrados, no que obteve a anuência da 1ª Câmara. </w:t>
      </w:r>
      <w:r w:rsidR="0027686D" w:rsidRPr="00C85563">
        <w:rPr>
          <w:b/>
          <w:i/>
          <w:color w:val="000000"/>
          <w:sz w:val="22"/>
          <w:szCs w:val="22"/>
        </w:rPr>
        <w:t xml:space="preserve">Acórdão n.º </w:t>
      </w:r>
      <w:r w:rsidRPr="00C85563">
        <w:rPr>
          <w:b/>
          <w:i/>
          <w:color w:val="000000"/>
          <w:sz w:val="22"/>
          <w:szCs w:val="22"/>
        </w:rPr>
        <w:t>674</w:t>
      </w:r>
      <w:r w:rsidR="0027686D" w:rsidRPr="00C85563">
        <w:rPr>
          <w:b/>
          <w:i/>
          <w:color w:val="000000"/>
          <w:sz w:val="22"/>
          <w:szCs w:val="22"/>
        </w:rPr>
        <w:t xml:space="preserve">/2011-1ª Câmara, </w:t>
      </w:r>
      <w:r w:rsidRPr="00C85563">
        <w:rPr>
          <w:b/>
          <w:i/>
          <w:color w:val="000000"/>
          <w:sz w:val="22"/>
          <w:szCs w:val="22"/>
        </w:rPr>
        <w:t xml:space="preserve">TC-007.361/2004-7, rel. Min. José Múcio, 08.02.2011. </w:t>
      </w:r>
    </w:p>
    <w:p w:rsidR="00D53537" w:rsidRPr="00D53537" w:rsidRDefault="00D53537" w:rsidP="00631FE7">
      <w:pPr>
        <w:pStyle w:val="Corpodetexto"/>
        <w:spacing w:after="0"/>
        <w:ind w:left="0"/>
        <w:rPr>
          <w:sz w:val="22"/>
          <w:szCs w:val="22"/>
        </w:rPr>
      </w:pPr>
    </w:p>
    <w:p w:rsidR="00361487" w:rsidRPr="007A2166" w:rsidRDefault="00361487" w:rsidP="00CB0D34">
      <w:pPr>
        <w:pStyle w:val="enter-3pt"/>
        <w:spacing w:line="240" w:lineRule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7C2A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2A55" w:rsidRDefault="00C10DD5" w:rsidP="0030360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7C2A55" w:rsidRDefault="007334B1" w:rsidP="007334B1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7334B1" w:rsidRPr="007C2A55" w:rsidSect="00337E16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E0" w:rsidRDefault="00FF37E0" w:rsidP="008B0547">
      <w:pPr>
        <w:spacing w:after="0"/>
      </w:pPr>
      <w:r>
        <w:separator/>
      </w:r>
    </w:p>
  </w:endnote>
  <w:endnote w:type="continuationSeparator" w:id="0">
    <w:p w:rsidR="00FF37E0" w:rsidRDefault="00FF37E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D28BA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E0" w:rsidRDefault="00FF37E0" w:rsidP="008B0547">
      <w:pPr>
        <w:spacing w:after="0"/>
      </w:pPr>
      <w:r>
        <w:separator/>
      </w:r>
    </w:p>
  </w:footnote>
  <w:footnote w:type="continuationSeparator" w:id="0">
    <w:p w:rsidR="00FF37E0" w:rsidRDefault="00FF37E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9C548C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9C548C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EE9C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274068">
      <w:rPr>
        <w:rFonts w:ascii="Arial" w:hAnsi="Arial" w:cs="Arial"/>
        <w:noProof/>
        <w:lang w:eastAsia="pt-BR"/>
      </w:rPr>
      <w:t>50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7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9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1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3"/>
  </w:num>
  <w:num w:numId="11">
    <w:abstractNumId w:val="21"/>
  </w:num>
  <w:num w:numId="12">
    <w:abstractNumId w:val="2"/>
  </w:num>
  <w:num w:numId="13">
    <w:abstractNumId w:val="11"/>
  </w:num>
  <w:num w:numId="14">
    <w:abstractNumId w:val="18"/>
  </w:num>
  <w:num w:numId="15">
    <w:abstractNumId w:val="10"/>
  </w:num>
  <w:num w:numId="16">
    <w:abstractNumId w:val="1"/>
  </w:num>
  <w:num w:numId="17">
    <w:abstractNumId w:val="9"/>
  </w:num>
  <w:num w:numId="18">
    <w:abstractNumId w:val="20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41450"/>
    <w:rsid w:val="0004660A"/>
    <w:rsid w:val="00052B15"/>
    <w:rsid w:val="0005412B"/>
    <w:rsid w:val="00054432"/>
    <w:rsid w:val="000562CD"/>
    <w:rsid w:val="00056D51"/>
    <w:rsid w:val="0006028E"/>
    <w:rsid w:val="00061C2E"/>
    <w:rsid w:val="00065E95"/>
    <w:rsid w:val="00070785"/>
    <w:rsid w:val="00074AC5"/>
    <w:rsid w:val="00077A56"/>
    <w:rsid w:val="00080148"/>
    <w:rsid w:val="000835D8"/>
    <w:rsid w:val="00084727"/>
    <w:rsid w:val="0009133A"/>
    <w:rsid w:val="00092C2E"/>
    <w:rsid w:val="00094C5B"/>
    <w:rsid w:val="00097863"/>
    <w:rsid w:val="000A0EF8"/>
    <w:rsid w:val="000A1EBD"/>
    <w:rsid w:val="000A2C56"/>
    <w:rsid w:val="000A6269"/>
    <w:rsid w:val="000A62BD"/>
    <w:rsid w:val="000B0ECB"/>
    <w:rsid w:val="000B0FEA"/>
    <w:rsid w:val="000B2AFA"/>
    <w:rsid w:val="000D1FD7"/>
    <w:rsid w:val="000D6418"/>
    <w:rsid w:val="000D7DB6"/>
    <w:rsid w:val="000D7DED"/>
    <w:rsid w:val="000E2D47"/>
    <w:rsid w:val="000E3B31"/>
    <w:rsid w:val="000E504D"/>
    <w:rsid w:val="000F2F92"/>
    <w:rsid w:val="000F6D85"/>
    <w:rsid w:val="000F7CEE"/>
    <w:rsid w:val="001041ED"/>
    <w:rsid w:val="001104BA"/>
    <w:rsid w:val="00112676"/>
    <w:rsid w:val="0011373A"/>
    <w:rsid w:val="00114511"/>
    <w:rsid w:val="00126026"/>
    <w:rsid w:val="00133EA9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A0CC1"/>
    <w:rsid w:val="001A330B"/>
    <w:rsid w:val="001A60A2"/>
    <w:rsid w:val="001A79D3"/>
    <w:rsid w:val="001B3E8E"/>
    <w:rsid w:val="001B4F90"/>
    <w:rsid w:val="001B7F4F"/>
    <w:rsid w:val="001C0575"/>
    <w:rsid w:val="001C437E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CE"/>
    <w:rsid w:val="0020066F"/>
    <w:rsid w:val="0020107A"/>
    <w:rsid w:val="0020135D"/>
    <w:rsid w:val="00202EAD"/>
    <w:rsid w:val="00203A6F"/>
    <w:rsid w:val="00211816"/>
    <w:rsid w:val="00226AEF"/>
    <w:rsid w:val="00226D9D"/>
    <w:rsid w:val="00232158"/>
    <w:rsid w:val="002328F9"/>
    <w:rsid w:val="00233CE3"/>
    <w:rsid w:val="0024593F"/>
    <w:rsid w:val="002476B6"/>
    <w:rsid w:val="00254590"/>
    <w:rsid w:val="0026362E"/>
    <w:rsid w:val="002649A7"/>
    <w:rsid w:val="00264FC3"/>
    <w:rsid w:val="002663B7"/>
    <w:rsid w:val="002666C5"/>
    <w:rsid w:val="00271D81"/>
    <w:rsid w:val="00273E72"/>
    <w:rsid w:val="00274068"/>
    <w:rsid w:val="0027498E"/>
    <w:rsid w:val="0027686D"/>
    <w:rsid w:val="00276DC0"/>
    <w:rsid w:val="002810D9"/>
    <w:rsid w:val="00281830"/>
    <w:rsid w:val="002830F6"/>
    <w:rsid w:val="0029043B"/>
    <w:rsid w:val="00290A06"/>
    <w:rsid w:val="0029211E"/>
    <w:rsid w:val="0029450E"/>
    <w:rsid w:val="00297A00"/>
    <w:rsid w:val="002A190F"/>
    <w:rsid w:val="002A2129"/>
    <w:rsid w:val="002A3B3F"/>
    <w:rsid w:val="002B409B"/>
    <w:rsid w:val="002B4392"/>
    <w:rsid w:val="002B56C3"/>
    <w:rsid w:val="002B5AD5"/>
    <w:rsid w:val="002B5C5A"/>
    <w:rsid w:val="002B6422"/>
    <w:rsid w:val="002B71BA"/>
    <w:rsid w:val="002C7B61"/>
    <w:rsid w:val="002C7B6D"/>
    <w:rsid w:val="002D35F5"/>
    <w:rsid w:val="002D47FE"/>
    <w:rsid w:val="002D739A"/>
    <w:rsid w:val="002D76AB"/>
    <w:rsid w:val="002E28BA"/>
    <w:rsid w:val="002E361C"/>
    <w:rsid w:val="002E3943"/>
    <w:rsid w:val="002E4254"/>
    <w:rsid w:val="002E4F13"/>
    <w:rsid w:val="002E4FB7"/>
    <w:rsid w:val="002F1C09"/>
    <w:rsid w:val="002F5F3B"/>
    <w:rsid w:val="002F693C"/>
    <w:rsid w:val="002F7C6D"/>
    <w:rsid w:val="003020F4"/>
    <w:rsid w:val="003025C7"/>
    <w:rsid w:val="0030360F"/>
    <w:rsid w:val="00303984"/>
    <w:rsid w:val="00304A73"/>
    <w:rsid w:val="003069F9"/>
    <w:rsid w:val="00310208"/>
    <w:rsid w:val="0031058F"/>
    <w:rsid w:val="0031089E"/>
    <w:rsid w:val="00310D69"/>
    <w:rsid w:val="003147B7"/>
    <w:rsid w:val="00317E59"/>
    <w:rsid w:val="00322AE7"/>
    <w:rsid w:val="00325246"/>
    <w:rsid w:val="003275E4"/>
    <w:rsid w:val="0033244F"/>
    <w:rsid w:val="00337E16"/>
    <w:rsid w:val="00340E66"/>
    <w:rsid w:val="00340F10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487"/>
    <w:rsid w:val="00361661"/>
    <w:rsid w:val="00381780"/>
    <w:rsid w:val="003824E4"/>
    <w:rsid w:val="003853FF"/>
    <w:rsid w:val="00385DAB"/>
    <w:rsid w:val="0038696B"/>
    <w:rsid w:val="00390ED6"/>
    <w:rsid w:val="00392509"/>
    <w:rsid w:val="003943E5"/>
    <w:rsid w:val="00397D8E"/>
    <w:rsid w:val="003A2222"/>
    <w:rsid w:val="003A3262"/>
    <w:rsid w:val="003A5479"/>
    <w:rsid w:val="003A5C1B"/>
    <w:rsid w:val="003A7C7F"/>
    <w:rsid w:val="003B0304"/>
    <w:rsid w:val="003B043F"/>
    <w:rsid w:val="003B155C"/>
    <w:rsid w:val="003B2E10"/>
    <w:rsid w:val="003B33CE"/>
    <w:rsid w:val="003B343D"/>
    <w:rsid w:val="003B56D7"/>
    <w:rsid w:val="003C1911"/>
    <w:rsid w:val="003C1B4F"/>
    <w:rsid w:val="003C2288"/>
    <w:rsid w:val="003C39E6"/>
    <w:rsid w:val="003C6DEB"/>
    <w:rsid w:val="003C7585"/>
    <w:rsid w:val="003C7A5C"/>
    <w:rsid w:val="003D660C"/>
    <w:rsid w:val="003D73BD"/>
    <w:rsid w:val="003D7CCE"/>
    <w:rsid w:val="003E0D8C"/>
    <w:rsid w:val="003E1B68"/>
    <w:rsid w:val="003E65D7"/>
    <w:rsid w:val="003F413A"/>
    <w:rsid w:val="003F54FB"/>
    <w:rsid w:val="003F6D1F"/>
    <w:rsid w:val="004169D8"/>
    <w:rsid w:val="004201AF"/>
    <w:rsid w:val="00425FF9"/>
    <w:rsid w:val="00427B3B"/>
    <w:rsid w:val="00427EBF"/>
    <w:rsid w:val="004362AB"/>
    <w:rsid w:val="004415FB"/>
    <w:rsid w:val="00441CE3"/>
    <w:rsid w:val="004421F5"/>
    <w:rsid w:val="0044434A"/>
    <w:rsid w:val="00445E76"/>
    <w:rsid w:val="00447217"/>
    <w:rsid w:val="00452C60"/>
    <w:rsid w:val="004617A9"/>
    <w:rsid w:val="0046384E"/>
    <w:rsid w:val="0046706B"/>
    <w:rsid w:val="00467815"/>
    <w:rsid w:val="00471284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B0194"/>
    <w:rsid w:val="004B1113"/>
    <w:rsid w:val="004B1DC3"/>
    <w:rsid w:val="004C6E03"/>
    <w:rsid w:val="004C780C"/>
    <w:rsid w:val="004D3441"/>
    <w:rsid w:val="004D708E"/>
    <w:rsid w:val="004D760C"/>
    <w:rsid w:val="004D7C91"/>
    <w:rsid w:val="004E357A"/>
    <w:rsid w:val="004E65EB"/>
    <w:rsid w:val="004F7174"/>
    <w:rsid w:val="0050355D"/>
    <w:rsid w:val="005055B5"/>
    <w:rsid w:val="00511BBF"/>
    <w:rsid w:val="00515E7B"/>
    <w:rsid w:val="005217F8"/>
    <w:rsid w:val="0052267A"/>
    <w:rsid w:val="00531143"/>
    <w:rsid w:val="00534A44"/>
    <w:rsid w:val="00536332"/>
    <w:rsid w:val="005438A1"/>
    <w:rsid w:val="00543B81"/>
    <w:rsid w:val="00543EB8"/>
    <w:rsid w:val="00545FC7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5CC3"/>
    <w:rsid w:val="00580F26"/>
    <w:rsid w:val="0058427E"/>
    <w:rsid w:val="00590907"/>
    <w:rsid w:val="00594A7B"/>
    <w:rsid w:val="005A2D82"/>
    <w:rsid w:val="005A3835"/>
    <w:rsid w:val="005A72F2"/>
    <w:rsid w:val="005B2194"/>
    <w:rsid w:val="005B2BC3"/>
    <w:rsid w:val="005B4CFA"/>
    <w:rsid w:val="005C1A79"/>
    <w:rsid w:val="005C7644"/>
    <w:rsid w:val="005E269C"/>
    <w:rsid w:val="005E3586"/>
    <w:rsid w:val="005E4DEE"/>
    <w:rsid w:val="005E5FF1"/>
    <w:rsid w:val="005F01CE"/>
    <w:rsid w:val="005F70B6"/>
    <w:rsid w:val="005F7A87"/>
    <w:rsid w:val="00601F0A"/>
    <w:rsid w:val="00604DBE"/>
    <w:rsid w:val="006063E1"/>
    <w:rsid w:val="006065E4"/>
    <w:rsid w:val="00610039"/>
    <w:rsid w:val="00611E07"/>
    <w:rsid w:val="00612045"/>
    <w:rsid w:val="00612F12"/>
    <w:rsid w:val="00613AC9"/>
    <w:rsid w:val="006170EE"/>
    <w:rsid w:val="00620E86"/>
    <w:rsid w:val="006219DD"/>
    <w:rsid w:val="00631FE7"/>
    <w:rsid w:val="00632ACC"/>
    <w:rsid w:val="006345C1"/>
    <w:rsid w:val="00650463"/>
    <w:rsid w:val="00651660"/>
    <w:rsid w:val="00652171"/>
    <w:rsid w:val="00654435"/>
    <w:rsid w:val="00666285"/>
    <w:rsid w:val="00670FEA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7796"/>
    <w:rsid w:val="006B0495"/>
    <w:rsid w:val="006B0DCB"/>
    <w:rsid w:val="006B2408"/>
    <w:rsid w:val="006B3AF9"/>
    <w:rsid w:val="006B414C"/>
    <w:rsid w:val="006B4B0F"/>
    <w:rsid w:val="006C5C6C"/>
    <w:rsid w:val="006D4245"/>
    <w:rsid w:val="006E4064"/>
    <w:rsid w:val="006F4DE0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2B07"/>
    <w:rsid w:val="00756AA0"/>
    <w:rsid w:val="00757CE6"/>
    <w:rsid w:val="00764CB0"/>
    <w:rsid w:val="007671B6"/>
    <w:rsid w:val="007671DA"/>
    <w:rsid w:val="007719A8"/>
    <w:rsid w:val="00774593"/>
    <w:rsid w:val="00777599"/>
    <w:rsid w:val="00785CF8"/>
    <w:rsid w:val="00796068"/>
    <w:rsid w:val="00796CC0"/>
    <w:rsid w:val="007A1A35"/>
    <w:rsid w:val="007A2166"/>
    <w:rsid w:val="007A2B7F"/>
    <w:rsid w:val="007A5922"/>
    <w:rsid w:val="007B259B"/>
    <w:rsid w:val="007B5018"/>
    <w:rsid w:val="007C546B"/>
    <w:rsid w:val="007C670D"/>
    <w:rsid w:val="007D0ED0"/>
    <w:rsid w:val="007D4A4A"/>
    <w:rsid w:val="007E0E05"/>
    <w:rsid w:val="007E1DD3"/>
    <w:rsid w:val="007E209F"/>
    <w:rsid w:val="007E4655"/>
    <w:rsid w:val="007E55E0"/>
    <w:rsid w:val="007E5C50"/>
    <w:rsid w:val="007F0546"/>
    <w:rsid w:val="007F22A5"/>
    <w:rsid w:val="008051DE"/>
    <w:rsid w:val="00810CC2"/>
    <w:rsid w:val="0081324B"/>
    <w:rsid w:val="0081440E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51D16"/>
    <w:rsid w:val="00856252"/>
    <w:rsid w:val="00857634"/>
    <w:rsid w:val="0086124E"/>
    <w:rsid w:val="008652C9"/>
    <w:rsid w:val="00866992"/>
    <w:rsid w:val="00875991"/>
    <w:rsid w:val="00877FDD"/>
    <w:rsid w:val="00880FED"/>
    <w:rsid w:val="008841C8"/>
    <w:rsid w:val="00885367"/>
    <w:rsid w:val="00887082"/>
    <w:rsid w:val="00892BB8"/>
    <w:rsid w:val="00893014"/>
    <w:rsid w:val="0089513A"/>
    <w:rsid w:val="00896755"/>
    <w:rsid w:val="008A2417"/>
    <w:rsid w:val="008A5D49"/>
    <w:rsid w:val="008A751E"/>
    <w:rsid w:val="008B0547"/>
    <w:rsid w:val="008B11A3"/>
    <w:rsid w:val="008B1FE5"/>
    <w:rsid w:val="008B3A74"/>
    <w:rsid w:val="008B3D72"/>
    <w:rsid w:val="008B434A"/>
    <w:rsid w:val="008B7B55"/>
    <w:rsid w:val="008C3A5B"/>
    <w:rsid w:val="008C5B71"/>
    <w:rsid w:val="008D2382"/>
    <w:rsid w:val="008D6F5D"/>
    <w:rsid w:val="008E003A"/>
    <w:rsid w:val="008E15E3"/>
    <w:rsid w:val="008E4C62"/>
    <w:rsid w:val="008E727E"/>
    <w:rsid w:val="008F2902"/>
    <w:rsid w:val="008F660B"/>
    <w:rsid w:val="009005CE"/>
    <w:rsid w:val="00901376"/>
    <w:rsid w:val="009021A4"/>
    <w:rsid w:val="00914B48"/>
    <w:rsid w:val="0091511B"/>
    <w:rsid w:val="009239AA"/>
    <w:rsid w:val="009245B5"/>
    <w:rsid w:val="00925EF2"/>
    <w:rsid w:val="00935F4D"/>
    <w:rsid w:val="0093795C"/>
    <w:rsid w:val="00937F7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C548C"/>
    <w:rsid w:val="009D0928"/>
    <w:rsid w:val="009D1B99"/>
    <w:rsid w:val="009D5445"/>
    <w:rsid w:val="009D565F"/>
    <w:rsid w:val="009D65B9"/>
    <w:rsid w:val="009E04DC"/>
    <w:rsid w:val="009E0FB3"/>
    <w:rsid w:val="009E5105"/>
    <w:rsid w:val="009F4326"/>
    <w:rsid w:val="00A0244C"/>
    <w:rsid w:val="00A033FF"/>
    <w:rsid w:val="00A0409E"/>
    <w:rsid w:val="00A06137"/>
    <w:rsid w:val="00A07ACC"/>
    <w:rsid w:val="00A1329C"/>
    <w:rsid w:val="00A14E25"/>
    <w:rsid w:val="00A16A60"/>
    <w:rsid w:val="00A17A3D"/>
    <w:rsid w:val="00A2062A"/>
    <w:rsid w:val="00A21E19"/>
    <w:rsid w:val="00A239A8"/>
    <w:rsid w:val="00A30683"/>
    <w:rsid w:val="00A3115F"/>
    <w:rsid w:val="00A33030"/>
    <w:rsid w:val="00A378A2"/>
    <w:rsid w:val="00A407B6"/>
    <w:rsid w:val="00A60F52"/>
    <w:rsid w:val="00A62AA8"/>
    <w:rsid w:val="00A63B4C"/>
    <w:rsid w:val="00A664E7"/>
    <w:rsid w:val="00A66E7F"/>
    <w:rsid w:val="00A75C52"/>
    <w:rsid w:val="00A767B2"/>
    <w:rsid w:val="00A82B9E"/>
    <w:rsid w:val="00A84186"/>
    <w:rsid w:val="00A857B4"/>
    <w:rsid w:val="00A85B14"/>
    <w:rsid w:val="00A875C0"/>
    <w:rsid w:val="00A9704A"/>
    <w:rsid w:val="00A97AD0"/>
    <w:rsid w:val="00AA1377"/>
    <w:rsid w:val="00AA49AF"/>
    <w:rsid w:val="00AA57CE"/>
    <w:rsid w:val="00AA7540"/>
    <w:rsid w:val="00AC0BAE"/>
    <w:rsid w:val="00AC126F"/>
    <w:rsid w:val="00AD05A6"/>
    <w:rsid w:val="00AD28BA"/>
    <w:rsid w:val="00AE05EA"/>
    <w:rsid w:val="00AE0EDF"/>
    <w:rsid w:val="00AE1128"/>
    <w:rsid w:val="00AE1AB0"/>
    <w:rsid w:val="00AE2609"/>
    <w:rsid w:val="00AE439A"/>
    <w:rsid w:val="00AE617A"/>
    <w:rsid w:val="00AF09C7"/>
    <w:rsid w:val="00AF4BF4"/>
    <w:rsid w:val="00B03D35"/>
    <w:rsid w:val="00B05065"/>
    <w:rsid w:val="00B05194"/>
    <w:rsid w:val="00B17303"/>
    <w:rsid w:val="00B21343"/>
    <w:rsid w:val="00B25143"/>
    <w:rsid w:val="00B2585D"/>
    <w:rsid w:val="00B266FA"/>
    <w:rsid w:val="00B27359"/>
    <w:rsid w:val="00B275FE"/>
    <w:rsid w:val="00B33FC2"/>
    <w:rsid w:val="00B347F1"/>
    <w:rsid w:val="00B3502B"/>
    <w:rsid w:val="00B35C3E"/>
    <w:rsid w:val="00B36473"/>
    <w:rsid w:val="00B44029"/>
    <w:rsid w:val="00B47943"/>
    <w:rsid w:val="00B50446"/>
    <w:rsid w:val="00B50A6E"/>
    <w:rsid w:val="00B530FD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9389E"/>
    <w:rsid w:val="00B96EA4"/>
    <w:rsid w:val="00B97A3E"/>
    <w:rsid w:val="00BA2F02"/>
    <w:rsid w:val="00BA2FFD"/>
    <w:rsid w:val="00BA58B6"/>
    <w:rsid w:val="00BA62AD"/>
    <w:rsid w:val="00BB0267"/>
    <w:rsid w:val="00BB37AF"/>
    <w:rsid w:val="00BB4C08"/>
    <w:rsid w:val="00BC1DBD"/>
    <w:rsid w:val="00BC5737"/>
    <w:rsid w:val="00BD1747"/>
    <w:rsid w:val="00BD3C68"/>
    <w:rsid w:val="00BD421D"/>
    <w:rsid w:val="00BD6B87"/>
    <w:rsid w:val="00BE4614"/>
    <w:rsid w:val="00BE4E6F"/>
    <w:rsid w:val="00BE529D"/>
    <w:rsid w:val="00BE6637"/>
    <w:rsid w:val="00BF10E8"/>
    <w:rsid w:val="00BF3158"/>
    <w:rsid w:val="00C039A5"/>
    <w:rsid w:val="00C03A04"/>
    <w:rsid w:val="00C046F7"/>
    <w:rsid w:val="00C10C0B"/>
    <w:rsid w:val="00C10DD5"/>
    <w:rsid w:val="00C1776A"/>
    <w:rsid w:val="00C22519"/>
    <w:rsid w:val="00C2305C"/>
    <w:rsid w:val="00C233D0"/>
    <w:rsid w:val="00C24162"/>
    <w:rsid w:val="00C2509D"/>
    <w:rsid w:val="00C34ABD"/>
    <w:rsid w:val="00C35F43"/>
    <w:rsid w:val="00C408D5"/>
    <w:rsid w:val="00C41D3C"/>
    <w:rsid w:val="00C43801"/>
    <w:rsid w:val="00C44A07"/>
    <w:rsid w:val="00C44BDC"/>
    <w:rsid w:val="00C45BFB"/>
    <w:rsid w:val="00C54B14"/>
    <w:rsid w:val="00C6352A"/>
    <w:rsid w:val="00C65B2D"/>
    <w:rsid w:val="00C65C5D"/>
    <w:rsid w:val="00C6656A"/>
    <w:rsid w:val="00C711E5"/>
    <w:rsid w:val="00C730CB"/>
    <w:rsid w:val="00C73782"/>
    <w:rsid w:val="00C81B05"/>
    <w:rsid w:val="00C83AEE"/>
    <w:rsid w:val="00C85563"/>
    <w:rsid w:val="00C85AC7"/>
    <w:rsid w:val="00C906CD"/>
    <w:rsid w:val="00CA0FB8"/>
    <w:rsid w:val="00CA15F3"/>
    <w:rsid w:val="00CA2680"/>
    <w:rsid w:val="00CA6716"/>
    <w:rsid w:val="00CB0D34"/>
    <w:rsid w:val="00CC42D4"/>
    <w:rsid w:val="00CD179A"/>
    <w:rsid w:val="00CD2536"/>
    <w:rsid w:val="00CD407F"/>
    <w:rsid w:val="00CE6D09"/>
    <w:rsid w:val="00CF230D"/>
    <w:rsid w:val="00CF5489"/>
    <w:rsid w:val="00CF7615"/>
    <w:rsid w:val="00D003F8"/>
    <w:rsid w:val="00D04613"/>
    <w:rsid w:val="00D10769"/>
    <w:rsid w:val="00D116C7"/>
    <w:rsid w:val="00D13AC5"/>
    <w:rsid w:val="00D14E5F"/>
    <w:rsid w:val="00D17CC6"/>
    <w:rsid w:val="00D2041E"/>
    <w:rsid w:val="00D20454"/>
    <w:rsid w:val="00D20D10"/>
    <w:rsid w:val="00D23801"/>
    <w:rsid w:val="00D341C9"/>
    <w:rsid w:val="00D3447D"/>
    <w:rsid w:val="00D3488B"/>
    <w:rsid w:val="00D361DE"/>
    <w:rsid w:val="00D3793E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6186"/>
    <w:rsid w:val="00D771E9"/>
    <w:rsid w:val="00D86DD4"/>
    <w:rsid w:val="00D92529"/>
    <w:rsid w:val="00DA1613"/>
    <w:rsid w:val="00DA5AAB"/>
    <w:rsid w:val="00DA6858"/>
    <w:rsid w:val="00DB1CD7"/>
    <w:rsid w:val="00DB2651"/>
    <w:rsid w:val="00DB4717"/>
    <w:rsid w:val="00DC6F31"/>
    <w:rsid w:val="00DD6D82"/>
    <w:rsid w:val="00DE045E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75EC"/>
    <w:rsid w:val="00E04C48"/>
    <w:rsid w:val="00E06065"/>
    <w:rsid w:val="00E079C6"/>
    <w:rsid w:val="00E146CF"/>
    <w:rsid w:val="00E23C05"/>
    <w:rsid w:val="00E2425F"/>
    <w:rsid w:val="00E247E2"/>
    <w:rsid w:val="00E304EB"/>
    <w:rsid w:val="00E329D0"/>
    <w:rsid w:val="00E33746"/>
    <w:rsid w:val="00E3451F"/>
    <w:rsid w:val="00E36B53"/>
    <w:rsid w:val="00E37585"/>
    <w:rsid w:val="00E41B64"/>
    <w:rsid w:val="00E469D5"/>
    <w:rsid w:val="00E46CD5"/>
    <w:rsid w:val="00E500D9"/>
    <w:rsid w:val="00E51AB5"/>
    <w:rsid w:val="00E52345"/>
    <w:rsid w:val="00E52763"/>
    <w:rsid w:val="00E563AE"/>
    <w:rsid w:val="00E662CD"/>
    <w:rsid w:val="00E73271"/>
    <w:rsid w:val="00E74214"/>
    <w:rsid w:val="00E74D52"/>
    <w:rsid w:val="00E75855"/>
    <w:rsid w:val="00E7609C"/>
    <w:rsid w:val="00E85CBE"/>
    <w:rsid w:val="00E86566"/>
    <w:rsid w:val="00E875F5"/>
    <w:rsid w:val="00E92527"/>
    <w:rsid w:val="00E97045"/>
    <w:rsid w:val="00EA270C"/>
    <w:rsid w:val="00EA5CF4"/>
    <w:rsid w:val="00EB09B9"/>
    <w:rsid w:val="00EB76F7"/>
    <w:rsid w:val="00EB7CB1"/>
    <w:rsid w:val="00EC0569"/>
    <w:rsid w:val="00EC1C35"/>
    <w:rsid w:val="00EC5E45"/>
    <w:rsid w:val="00ED0557"/>
    <w:rsid w:val="00ED0CF0"/>
    <w:rsid w:val="00ED34D4"/>
    <w:rsid w:val="00EE30EE"/>
    <w:rsid w:val="00EE4C6E"/>
    <w:rsid w:val="00EE61B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24232"/>
    <w:rsid w:val="00F27170"/>
    <w:rsid w:val="00F30016"/>
    <w:rsid w:val="00F31C75"/>
    <w:rsid w:val="00F33277"/>
    <w:rsid w:val="00F341CC"/>
    <w:rsid w:val="00F40CAB"/>
    <w:rsid w:val="00F47C5C"/>
    <w:rsid w:val="00F54856"/>
    <w:rsid w:val="00F57650"/>
    <w:rsid w:val="00F579FC"/>
    <w:rsid w:val="00F60C74"/>
    <w:rsid w:val="00F64F51"/>
    <w:rsid w:val="00F67A35"/>
    <w:rsid w:val="00F765E8"/>
    <w:rsid w:val="00F86D88"/>
    <w:rsid w:val="00F87FA7"/>
    <w:rsid w:val="00F90898"/>
    <w:rsid w:val="00F914C8"/>
    <w:rsid w:val="00F9473C"/>
    <w:rsid w:val="00FA40A3"/>
    <w:rsid w:val="00FB3BA6"/>
    <w:rsid w:val="00FB4D65"/>
    <w:rsid w:val="00FB5954"/>
    <w:rsid w:val="00FB6695"/>
    <w:rsid w:val="00FC0CDF"/>
    <w:rsid w:val="00FC0D7C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79EF"/>
    <w:rsid w:val="00FF025A"/>
    <w:rsid w:val="00FF088B"/>
    <w:rsid w:val="00FF0AC4"/>
    <w:rsid w:val="00FF10AF"/>
    <w:rsid w:val="00FF334E"/>
    <w:rsid w:val="00FF37E0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D29F60A-9317-4FB1-8BA3-780B06D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478E-983D-4BE6-B8D9-596FBEB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3221</Words>
  <Characters>17398</Characters>
  <Application>Microsoft Office Word</Application>
  <DocSecurity>4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20578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2011-02-04T20:41:00Z</cp:lastPrinted>
  <dcterms:created xsi:type="dcterms:W3CDTF">2015-05-07T12:35:00Z</dcterms:created>
  <dcterms:modified xsi:type="dcterms:W3CDTF">2015-05-07T12:35:00Z</dcterms:modified>
</cp:coreProperties>
</file>