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097863" w:rsidRDefault="009444E6" w:rsidP="00097863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Sessões: </w:t>
      </w:r>
      <w:r w:rsidR="00B615CB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>1º</w:t>
      </w:r>
      <w:r w:rsidR="00467815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F01B31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e </w:t>
      </w:r>
      <w:r w:rsidR="00DE231A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de </w:t>
      </w:r>
      <w:r w:rsidR="00B615CB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>fevereiro</w:t>
      </w:r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de 201</w:t>
      </w:r>
      <w:r w:rsidR="00467815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>1</w:t>
      </w:r>
    </w:p>
    <w:p w:rsidR="002D35F5" w:rsidRPr="00097863" w:rsidRDefault="002D35F5" w:rsidP="00097863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097863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F7C62" w:rsidRPr="00097863" w:rsidRDefault="00FF7C62" w:rsidP="00097863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2D35F5" w:rsidRPr="00D53537" w:rsidRDefault="002D35F5" w:rsidP="00D53537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D53537">
        <w:rPr>
          <w:rFonts w:ascii="Cambria" w:hAnsi="Cambria"/>
          <w:b/>
          <w:bCs/>
          <w:smallCaps/>
          <w:sz w:val="22"/>
          <w:szCs w:val="22"/>
        </w:rPr>
        <w:t>S</w:t>
      </w:r>
      <w:r w:rsidR="00FF7C62" w:rsidRPr="00D53537">
        <w:rPr>
          <w:rFonts w:ascii="Cambria" w:hAnsi="Cambria"/>
          <w:b/>
          <w:bCs/>
          <w:smallCaps/>
          <w:sz w:val="22"/>
          <w:szCs w:val="22"/>
        </w:rPr>
        <w:t>UMÁRIO</w:t>
      </w:r>
    </w:p>
    <w:p w:rsidR="009444E6" w:rsidRPr="008B3D72" w:rsidRDefault="009444E6" w:rsidP="008B3D72">
      <w:pPr>
        <w:pStyle w:val="tita"/>
        <w:spacing w:before="60" w:after="60" w:line="240" w:lineRule="auto"/>
        <w:jc w:val="both"/>
        <w:rPr>
          <w:i w:val="0"/>
          <w:iCs w:val="0"/>
          <w:color w:val="000000"/>
          <w:sz w:val="22"/>
          <w:szCs w:val="22"/>
        </w:rPr>
      </w:pPr>
      <w:r w:rsidRPr="008B3D72">
        <w:rPr>
          <w:i w:val="0"/>
          <w:iCs w:val="0"/>
          <w:color w:val="000000"/>
          <w:sz w:val="22"/>
          <w:szCs w:val="22"/>
        </w:rPr>
        <w:t>Plenário</w:t>
      </w:r>
    </w:p>
    <w:p w:rsidR="00097863" w:rsidRPr="008B3D72" w:rsidRDefault="00097863" w:rsidP="008B3D72">
      <w:pPr>
        <w:pStyle w:val="Pargrafo"/>
        <w:spacing w:before="60" w:after="60"/>
        <w:jc w:val="both"/>
        <w:rPr>
          <w:color w:val="000000"/>
          <w:sz w:val="22"/>
          <w:szCs w:val="22"/>
        </w:rPr>
      </w:pPr>
      <w:r w:rsidRPr="008B3D72">
        <w:rPr>
          <w:color w:val="000000"/>
          <w:sz w:val="22"/>
          <w:szCs w:val="22"/>
        </w:rPr>
        <w:t xml:space="preserve">Licitação do tipo “técnica e preço”: </w:t>
      </w:r>
    </w:p>
    <w:p w:rsidR="00B53C9C" w:rsidRPr="008B3D72" w:rsidRDefault="00B53C9C" w:rsidP="008B3D72">
      <w:pPr>
        <w:pStyle w:val="indice"/>
        <w:spacing w:before="60" w:after="60" w:line="240" w:lineRule="auto"/>
        <w:ind w:firstLine="567"/>
        <w:rPr>
          <w:b/>
        </w:rPr>
      </w:pPr>
      <w:r w:rsidRPr="008B3D72">
        <w:t xml:space="preserve">1 - </w:t>
      </w:r>
      <w:r w:rsidR="00097863" w:rsidRPr="008B3D72">
        <w:t>Eventual desproporção na pontuação atribuída aos critérios de técnica e de preço deve ser justificada</w:t>
      </w:r>
      <w:r w:rsidRPr="008B3D72">
        <w:t xml:space="preserve">; </w:t>
      </w:r>
    </w:p>
    <w:p w:rsidR="00070785" w:rsidRPr="008B3D72" w:rsidRDefault="00097863" w:rsidP="008B3D72">
      <w:pPr>
        <w:pStyle w:val="TCU-Epgrafe"/>
        <w:spacing w:before="60" w:after="60"/>
        <w:ind w:left="0" w:firstLine="567"/>
        <w:rPr>
          <w:color w:val="000000"/>
          <w:sz w:val="22"/>
          <w:szCs w:val="22"/>
        </w:rPr>
      </w:pPr>
      <w:r w:rsidRPr="008B3D72">
        <w:rPr>
          <w:color w:val="000000"/>
          <w:sz w:val="22"/>
          <w:szCs w:val="22"/>
        </w:rPr>
        <w:t>2 – Não é admitida a utilização de critério técnico baseado, unicamente, em experiência anterior do licitante</w:t>
      </w:r>
      <w:r w:rsidR="00070785" w:rsidRPr="008B3D72">
        <w:rPr>
          <w:color w:val="000000"/>
          <w:sz w:val="22"/>
          <w:szCs w:val="22"/>
        </w:rPr>
        <w:t>.</w:t>
      </w:r>
    </w:p>
    <w:p w:rsidR="00097863" w:rsidRPr="008B3D72" w:rsidRDefault="00097863" w:rsidP="008B3D72">
      <w:pPr>
        <w:pStyle w:val="Corpodetexto"/>
        <w:tabs>
          <w:tab w:val="left" w:pos="1134"/>
        </w:tabs>
        <w:spacing w:before="60" w:after="60"/>
        <w:ind w:left="0"/>
        <w:rPr>
          <w:color w:val="000000"/>
          <w:sz w:val="22"/>
          <w:szCs w:val="22"/>
        </w:rPr>
      </w:pPr>
      <w:r w:rsidRPr="008B3D72">
        <w:rPr>
          <w:color w:val="000000"/>
          <w:sz w:val="22"/>
          <w:szCs w:val="22"/>
        </w:rPr>
        <w:t xml:space="preserve">O documento “carta de exclusividade”, </w:t>
      </w:r>
      <w:r w:rsidRPr="008B3D72">
        <w:rPr>
          <w:i/>
          <w:color w:val="000000"/>
          <w:sz w:val="22"/>
          <w:szCs w:val="22"/>
        </w:rPr>
        <w:t>per si</w:t>
      </w:r>
      <w:r w:rsidRPr="008B3D72">
        <w:rPr>
          <w:color w:val="000000"/>
          <w:sz w:val="22"/>
          <w:szCs w:val="22"/>
        </w:rPr>
        <w:t>, é insuficiente para demonstrar que a empresa que o apresenta é fornecedora exclusiva de determinado produto.</w:t>
      </w:r>
    </w:p>
    <w:p w:rsidR="00097863" w:rsidRPr="008B3D72" w:rsidRDefault="00097863" w:rsidP="008B3D72">
      <w:pPr>
        <w:pStyle w:val="indice"/>
        <w:spacing w:before="60" w:after="60" w:line="240" w:lineRule="auto"/>
      </w:pPr>
      <w:r w:rsidRPr="008B3D72">
        <w:t>A utilização da figura do convênio em situação que demanda contrato, antecedido de licitação, configura dispensa indevida de licitação.</w:t>
      </w:r>
    </w:p>
    <w:p w:rsidR="00097863" w:rsidRPr="008B3D72" w:rsidRDefault="00097863" w:rsidP="008B3D72">
      <w:pPr>
        <w:pStyle w:val="indice"/>
        <w:spacing w:before="60" w:after="60" w:line="240" w:lineRule="auto"/>
      </w:pPr>
      <w:r w:rsidRPr="008B3D72">
        <w:t>É possível, em caráter excepcional, a fixação de salário base, nas contratações de prestação de serviços para a Administração.</w:t>
      </w:r>
    </w:p>
    <w:p w:rsidR="00097863" w:rsidRPr="008B3D72" w:rsidRDefault="00097863" w:rsidP="008B3D72">
      <w:pPr>
        <w:pStyle w:val="indice"/>
        <w:spacing w:before="60" w:after="60" w:line="240" w:lineRule="auto"/>
      </w:pPr>
      <w:r w:rsidRPr="008B3D72">
        <w:t xml:space="preserve">Contratação de plano de saúde para servidores: </w:t>
      </w:r>
    </w:p>
    <w:p w:rsidR="00097863" w:rsidRPr="008B3D72" w:rsidRDefault="00097863" w:rsidP="008B3D72">
      <w:pPr>
        <w:pStyle w:val="indice"/>
        <w:spacing w:before="60" w:after="60" w:line="240" w:lineRule="auto"/>
        <w:ind w:firstLine="708"/>
      </w:pPr>
      <w:r w:rsidRPr="008B3D72">
        <w:t>1 – Mesmo que não haja dispêndio efetivo de recursos públicos, as contratações realizadas por entidades de natureza pública submetem-se à fiscalização do TCU;</w:t>
      </w:r>
    </w:p>
    <w:p w:rsidR="00D53537" w:rsidRPr="008B3D72" w:rsidRDefault="00D53537" w:rsidP="008B3D72">
      <w:pPr>
        <w:pStyle w:val="indice"/>
        <w:spacing w:before="60" w:after="60" w:line="240" w:lineRule="auto"/>
        <w:ind w:firstLine="708"/>
      </w:pPr>
      <w:r w:rsidRPr="008B3D72">
        <w:t>2 – Não se admite a definição prévia de operadora quando da renovação de plano de saúde para servidores.</w:t>
      </w:r>
    </w:p>
    <w:p w:rsidR="00B53C9C" w:rsidRPr="008B3D72" w:rsidRDefault="00B53C9C" w:rsidP="008B3D72">
      <w:pPr>
        <w:pStyle w:val="tita"/>
        <w:spacing w:before="60" w:after="60" w:line="240" w:lineRule="auto"/>
        <w:jc w:val="both"/>
        <w:rPr>
          <w:i w:val="0"/>
          <w:iCs w:val="0"/>
          <w:color w:val="000000"/>
          <w:sz w:val="22"/>
          <w:szCs w:val="22"/>
        </w:rPr>
      </w:pPr>
      <w:r w:rsidRPr="008B3D72">
        <w:rPr>
          <w:i w:val="0"/>
          <w:iCs w:val="0"/>
          <w:color w:val="000000"/>
          <w:sz w:val="22"/>
          <w:szCs w:val="22"/>
        </w:rPr>
        <w:t>Primeira Câmara</w:t>
      </w:r>
    </w:p>
    <w:p w:rsidR="00B53C9C" w:rsidRPr="008B3D72" w:rsidRDefault="008B3D72" w:rsidP="008B3D72">
      <w:pPr>
        <w:pStyle w:val="enter-3pt"/>
        <w:spacing w:before="60" w:after="60" w:line="240" w:lineRule="auto"/>
        <w:rPr>
          <w:color w:val="000000"/>
          <w:sz w:val="22"/>
          <w:szCs w:val="22"/>
        </w:rPr>
      </w:pPr>
      <w:r w:rsidRPr="008B3D72">
        <w:rPr>
          <w:color w:val="000000"/>
          <w:sz w:val="22"/>
          <w:szCs w:val="22"/>
        </w:rPr>
        <w:t>A dispensa de licitação com base na emergência mencionada no art. 24, inc. IV, da Lei 8.666/1993 deve ser apropriadamente evidenciada</w:t>
      </w:r>
      <w:r w:rsidR="00B53C9C" w:rsidRPr="008B3D72">
        <w:rPr>
          <w:color w:val="000000"/>
          <w:sz w:val="22"/>
          <w:szCs w:val="22"/>
        </w:rPr>
        <w:t>.</w:t>
      </w:r>
    </w:p>
    <w:p w:rsidR="00B53C9C" w:rsidRPr="008B3D72" w:rsidRDefault="00B53C9C" w:rsidP="008B3D72">
      <w:pPr>
        <w:pStyle w:val="tita"/>
        <w:spacing w:before="60" w:after="60" w:line="240" w:lineRule="auto"/>
        <w:jc w:val="both"/>
        <w:rPr>
          <w:i w:val="0"/>
          <w:iCs w:val="0"/>
          <w:color w:val="000000"/>
          <w:sz w:val="22"/>
          <w:szCs w:val="22"/>
        </w:rPr>
      </w:pPr>
      <w:r w:rsidRPr="008B3D72">
        <w:rPr>
          <w:i w:val="0"/>
          <w:iCs w:val="0"/>
          <w:color w:val="000000"/>
          <w:sz w:val="22"/>
          <w:szCs w:val="22"/>
        </w:rPr>
        <w:t>Segunda Câmara</w:t>
      </w:r>
    </w:p>
    <w:p w:rsidR="008B3D72" w:rsidRPr="008B3D72" w:rsidRDefault="009D0928" w:rsidP="008B3D72">
      <w:pPr>
        <w:pStyle w:val="enter-3pt"/>
        <w:spacing w:before="60" w:after="6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8B3D72" w:rsidRPr="008B3D72">
        <w:rPr>
          <w:color w:val="000000"/>
          <w:sz w:val="22"/>
          <w:szCs w:val="22"/>
        </w:rPr>
        <w:t>ispensa de licitação para aquisição imóvel com base no art. 24, inc. X, da Lei 8.666/1993: é necessária a realização de apenas uma avaliação prévia.</w:t>
      </w:r>
    </w:p>
    <w:p w:rsidR="00070785" w:rsidRPr="00D53537" w:rsidRDefault="00070785" w:rsidP="00D53537">
      <w:pPr>
        <w:pStyle w:val="enter-3pt"/>
        <w:spacing w:line="240" w:lineRule="auto"/>
        <w:rPr>
          <w:b/>
          <w:sz w:val="22"/>
          <w:szCs w:val="22"/>
        </w:rPr>
      </w:pPr>
    </w:p>
    <w:p w:rsidR="003C6DEB" w:rsidRPr="00D53537" w:rsidRDefault="003C6DEB" w:rsidP="00D53537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D53537">
        <w:rPr>
          <w:rFonts w:ascii="Cambria" w:hAnsi="Cambria"/>
          <w:b/>
          <w:bCs/>
          <w:smallCaps/>
          <w:sz w:val="22"/>
          <w:szCs w:val="22"/>
        </w:rPr>
        <w:t>PLENÁRIO</w:t>
      </w:r>
    </w:p>
    <w:p w:rsidR="003C6DEB" w:rsidRPr="00D53537" w:rsidRDefault="003C6DEB" w:rsidP="00D53537">
      <w:pPr>
        <w:pStyle w:val="tita"/>
        <w:spacing w:before="0" w:after="0" w:line="240" w:lineRule="auto"/>
        <w:jc w:val="both"/>
        <w:rPr>
          <w:i w:val="0"/>
          <w:iCs w:val="0"/>
          <w:sz w:val="22"/>
          <w:szCs w:val="22"/>
        </w:rPr>
      </w:pPr>
    </w:p>
    <w:p w:rsidR="00543B81" w:rsidRPr="00D53537" w:rsidRDefault="00764CB0" w:rsidP="00D53537">
      <w:pPr>
        <w:pStyle w:val="indice"/>
        <w:spacing w:line="240" w:lineRule="auto"/>
        <w:rPr>
          <w:b/>
        </w:rPr>
      </w:pPr>
      <w:r w:rsidRPr="00D53537">
        <w:rPr>
          <w:b/>
        </w:rPr>
        <w:t xml:space="preserve">Licitação do tipo “técnica e preço”: 1 - Eventual desproporção na pontuação </w:t>
      </w:r>
      <w:r w:rsidR="00097863" w:rsidRPr="00D53537">
        <w:rPr>
          <w:b/>
        </w:rPr>
        <w:t>atribuída a</w:t>
      </w:r>
      <w:r w:rsidRPr="00D53537">
        <w:rPr>
          <w:b/>
        </w:rPr>
        <w:t>os critérios de técnica e de preço deve</w:t>
      </w:r>
      <w:r w:rsidR="00097863" w:rsidRPr="00D53537">
        <w:rPr>
          <w:b/>
        </w:rPr>
        <w:t xml:space="preserve"> ser justificada</w:t>
      </w:r>
    </w:p>
    <w:p w:rsidR="00543B81" w:rsidRPr="00D53537" w:rsidRDefault="00707244" w:rsidP="00D53537">
      <w:pPr>
        <w:tabs>
          <w:tab w:val="left" w:pos="1134"/>
          <w:tab w:val="left" w:pos="1418"/>
        </w:tabs>
        <w:spacing w:after="0"/>
        <w:ind w:left="0"/>
        <w:rPr>
          <w:sz w:val="22"/>
          <w:szCs w:val="22"/>
        </w:rPr>
      </w:pPr>
      <w:r w:rsidRPr="00D53537">
        <w:rPr>
          <w:sz w:val="22"/>
          <w:szCs w:val="22"/>
          <w:lang w:eastAsia="pt-BR"/>
        </w:rPr>
        <w:t xml:space="preserve">Representação de licitante indicou ao Tribunal supostas irregularidades na Concorrência nº 2/2010, do tipo técnica e preço, conduzida pela Universidade Federal de São Paulo – (Unifesp),  cujo objeto consistiu na contratação de empresa prestadora de serviços de planejamento, implementação e gerenciamento de assessoria de imprensa especializada nas áreas de educação, saúde e administração de crise. Dentre elas, constou a desproporcionalidade das faixas de pontuação utilizadas para valoração da proposta técnica, </w:t>
      </w:r>
      <w:r w:rsidR="00DF24FD" w:rsidRPr="00D53537">
        <w:rPr>
          <w:sz w:val="22"/>
          <w:szCs w:val="22"/>
          <w:lang w:eastAsia="pt-BR"/>
        </w:rPr>
        <w:t xml:space="preserve">sem justificativas para tanto, </w:t>
      </w:r>
      <w:r w:rsidRPr="00D53537">
        <w:rPr>
          <w:sz w:val="22"/>
          <w:szCs w:val="22"/>
          <w:lang w:eastAsia="pt-BR"/>
        </w:rPr>
        <w:t xml:space="preserve">em </w:t>
      </w:r>
      <w:r w:rsidR="00E04C48" w:rsidRPr="00D53537">
        <w:rPr>
          <w:sz w:val="22"/>
          <w:szCs w:val="22"/>
          <w:lang w:eastAsia="pt-BR"/>
        </w:rPr>
        <w:t xml:space="preserve">aparente </w:t>
      </w:r>
      <w:r w:rsidRPr="00D53537">
        <w:rPr>
          <w:sz w:val="22"/>
          <w:szCs w:val="22"/>
          <w:lang w:eastAsia="pt-BR"/>
        </w:rPr>
        <w:t xml:space="preserve">desconformidade com a jurisprudência deste Tribunal. A esse respeito, a unidade técnica consignou </w:t>
      </w:r>
      <w:r w:rsidR="00DF24FD" w:rsidRPr="00D53537">
        <w:rPr>
          <w:sz w:val="22"/>
          <w:szCs w:val="22"/>
          <w:lang w:eastAsia="pt-BR"/>
        </w:rPr>
        <w:t>que “</w:t>
      </w:r>
      <w:r w:rsidR="00DF24FD" w:rsidRPr="00D53537">
        <w:rPr>
          <w:i/>
          <w:sz w:val="22"/>
          <w:szCs w:val="22"/>
          <w:lang w:eastAsia="pt-BR"/>
        </w:rPr>
        <w:t>foi atribuído o peso de 80 à proposta técnica e apenas de 20 à proposta de preços, o que caracteriza a excessiva valorização da primeira em detrimento da segunda”.</w:t>
      </w:r>
      <w:r w:rsidR="00DF24FD" w:rsidRPr="00D53537">
        <w:rPr>
          <w:sz w:val="22"/>
          <w:szCs w:val="22"/>
          <w:lang w:eastAsia="pt-BR"/>
        </w:rPr>
        <w:t xml:space="preserve"> Reproduziu, então, trecho do Acórdão nº 1488/2009, do Plenário do Tribunal, </w:t>
      </w:r>
      <w:r w:rsidR="00764CB0" w:rsidRPr="00D53537">
        <w:rPr>
          <w:sz w:val="22"/>
          <w:szCs w:val="22"/>
          <w:lang w:eastAsia="pt-BR"/>
        </w:rPr>
        <w:t xml:space="preserve">no </w:t>
      </w:r>
      <w:r w:rsidR="00DF24FD" w:rsidRPr="00D53537">
        <w:rPr>
          <w:sz w:val="22"/>
          <w:szCs w:val="22"/>
          <w:lang w:eastAsia="pt-BR"/>
        </w:rPr>
        <w:t>qu</w:t>
      </w:r>
      <w:r w:rsidR="00764CB0" w:rsidRPr="00D53537">
        <w:rPr>
          <w:sz w:val="22"/>
          <w:szCs w:val="22"/>
          <w:lang w:eastAsia="pt-BR"/>
        </w:rPr>
        <w:t>al se</w:t>
      </w:r>
      <w:r w:rsidR="00DF24FD" w:rsidRPr="00D53537">
        <w:rPr>
          <w:sz w:val="22"/>
          <w:szCs w:val="22"/>
          <w:lang w:eastAsia="pt-BR"/>
        </w:rPr>
        <w:t xml:space="preserve"> apreciou irregularidades na condução de licitação com objeto assemelhado</w:t>
      </w:r>
      <w:r w:rsidR="00764CB0" w:rsidRPr="00D53537">
        <w:rPr>
          <w:sz w:val="22"/>
          <w:szCs w:val="22"/>
          <w:lang w:eastAsia="pt-BR"/>
        </w:rPr>
        <w:t>. Na oportunidade,</w:t>
      </w:r>
      <w:r w:rsidR="00DF24FD" w:rsidRPr="00D53537">
        <w:rPr>
          <w:sz w:val="22"/>
          <w:szCs w:val="22"/>
          <w:lang w:eastAsia="pt-BR"/>
        </w:rPr>
        <w:t xml:space="preserve"> </w:t>
      </w:r>
      <w:r w:rsidR="00534A44" w:rsidRPr="00D53537">
        <w:rPr>
          <w:sz w:val="22"/>
          <w:szCs w:val="22"/>
          <w:lang w:eastAsia="pt-BR"/>
        </w:rPr>
        <w:t xml:space="preserve">o TCU concluiu que </w:t>
      </w:r>
      <w:r w:rsidR="00E04C48" w:rsidRPr="00D53537">
        <w:rPr>
          <w:sz w:val="22"/>
          <w:szCs w:val="22"/>
          <w:lang w:eastAsia="pt-BR"/>
        </w:rPr>
        <w:t>em</w:t>
      </w:r>
      <w:r w:rsidR="00534A44" w:rsidRPr="00D53537">
        <w:rPr>
          <w:sz w:val="22"/>
          <w:szCs w:val="22"/>
          <w:lang w:eastAsia="pt-BR"/>
        </w:rPr>
        <w:t xml:space="preserve"> situações nas quais houver diferenciação entre os pesos atribuídos ao critério de técnica e o critério preço, deve a instituição contratante fundamentar o fato</w:t>
      </w:r>
      <w:r w:rsidR="00E04C48" w:rsidRPr="00D53537">
        <w:rPr>
          <w:sz w:val="22"/>
          <w:szCs w:val="22"/>
          <w:lang w:eastAsia="pt-BR"/>
        </w:rPr>
        <w:t>, com base</w:t>
      </w:r>
      <w:r w:rsidR="00534A44" w:rsidRPr="00D53537">
        <w:rPr>
          <w:sz w:val="22"/>
          <w:szCs w:val="22"/>
          <w:lang w:eastAsia="pt-BR"/>
        </w:rPr>
        <w:t xml:space="preserve"> em “</w:t>
      </w:r>
      <w:r w:rsidR="00534A44" w:rsidRPr="00D53537">
        <w:rPr>
          <w:i/>
          <w:sz w:val="22"/>
          <w:szCs w:val="22"/>
          <w:lang w:eastAsia="pt-BR"/>
        </w:rPr>
        <w:t>estudo demonstrando que a grande disparidade verificada (a nota técnica tem peso superior ao dobro da proposta de preços) é justificável</w:t>
      </w:r>
      <w:r w:rsidR="00534A44" w:rsidRPr="00D53537">
        <w:rPr>
          <w:sz w:val="22"/>
          <w:szCs w:val="22"/>
          <w:lang w:eastAsia="pt-BR"/>
        </w:rPr>
        <w:t>”. Assim, ainda para a unidade técnica,</w:t>
      </w:r>
      <w:r w:rsidR="00534A44" w:rsidRPr="00D53537">
        <w:rPr>
          <w:i/>
          <w:sz w:val="22"/>
          <w:szCs w:val="22"/>
          <w:lang w:eastAsia="pt-BR"/>
        </w:rPr>
        <w:t xml:space="preserve"> </w:t>
      </w:r>
      <w:r w:rsidR="00534A44" w:rsidRPr="00D53537">
        <w:rPr>
          <w:sz w:val="22"/>
          <w:szCs w:val="22"/>
          <w:lang w:eastAsia="pt-BR"/>
        </w:rPr>
        <w:t>“</w:t>
      </w:r>
      <w:r w:rsidR="00534A44" w:rsidRPr="00D53537">
        <w:rPr>
          <w:i/>
          <w:sz w:val="22"/>
          <w:szCs w:val="22"/>
          <w:lang w:eastAsia="pt-BR"/>
        </w:rPr>
        <w:t>a atribuição de fatores de ponderação distintos para os índices técnica e preço somente deve ocorrer em situações ainda mais excepcionais, devidamente comprovadas, o que não ocorreu nos presentes autos</w:t>
      </w:r>
      <w:r w:rsidR="00534A44" w:rsidRPr="00D53537">
        <w:rPr>
          <w:sz w:val="22"/>
          <w:szCs w:val="22"/>
          <w:lang w:eastAsia="pt-BR"/>
        </w:rPr>
        <w:t>”</w:t>
      </w:r>
      <w:r w:rsidR="00534A44" w:rsidRPr="00D53537">
        <w:rPr>
          <w:i/>
          <w:sz w:val="22"/>
          <w:szCs w:val="22"/>
          <w:lang w:eastAsia="pt-BR"/>
        </w:rPr>
        <w:t>.</w:t>
      </w:r>
      <w:r w:rsidR="00534A44" w:rsidRPr="00D53537">
        <w:rPr>
          <w:sz w:val="22"/>
          <w:szCs w:val="22"/>
          <w:lang w:eastAsia="pt-BR"/>
        </w:rPr>
        <w:t xml:space="preserve"> </w:t>
      </w:r>
      <w:r w:rsidR="00E04C48" w:rsidRPr="00D53537">
        <w:rPr>
          <w:sz w:val="22"/>
          <w:szCs w:val="22"/>
          <w:lang w:eastAsia="pt-BR"/>
        </w:rPr>
        <w:t>Destacou, ainda, disposição constante da Instrução Normativa 2/2008</w:t>
      </w:r>
      <w:r w:rsidR="002E4FB7" w:rsidRPr="00D53537">
        <w:rPr>
          <w:sz w:val="22"/>
          <w:szCs w:val="22"/>
          <w:lang w:eastAsia="pt-BR"/>
        </w:rPr>
        <w:t xml:space="preserve">, da SLTI/MPOG no mesmo sentido (§ 3º do art. 3º). </w:t>
      </w:r>
      <w:r w:rsidR="00534A44" w:rsidRPr="00D53537">
        <w:rPr>
          <w:sz w:val="22"/>
          <w:szCs w:val="22"/>
          <w:lang w:eastAsia="pt-BR"/>
        </w:rPr>
        <w:t>Ao concordar com as análises, o relator destacou que “</w:t>
      </w:r>
      <w:r w:rsidR="00534A44" w:rsidRPr="00D53537">
        <w:rPr>
          <w:i/>
          <w:sz w:val="22"/>
          <w:szCs w:val="22"/>
          <w:lang w:eastAsia="pt-BR"/>
        </w:rPr>
        <w:t>o privilégio excessivo da técnica em detrimento do preço, sem haver justificativas suficientes que demonstrem a sua necessidade, pode resultar em contratação a preços desvantajosos para a Administração</w:t>
      </w:r>
      <w:r w:rsidR="00534A44" w:rsidRPr="00D53537">
        <w:rPr>
          <w:sz w:val="22"/>
          <w:szCs w:val="22"/>
          <w:lang w:eastAsia="pt-BR"/>
        </w:rPr>
        <w:t xml:space="preserve">”. </w:t>
      </w:r>
      <w:r w:rsidR="002830F6" w:rsidRPr="00D53537">
        <w:rPr>
          <w:sz w:val="22"/>
          <w:szCs w:val="22"/>
          <w:lang w:eastAsia="pt-BR"/>
        </w:rPr>
        <w:t xml:space="preserve">Todavia, apesar da reprovabilidade da conduta, considerou </w:t>
      </w:r>
      <w:r w:rsidR="00764CB0" w:rsidRPr="00D53537">
        <w:rPr>
          <w:sz w:val="22"/>
          <w:szCs w:val="22"/>
          <w:lang w:eastAsia="pt-BR"/>
        </w:rPr>
        <w:t>o relator</w:t>
      </w:r>
      <w:r w:rsidR="002830F6" w:rsidRPr="00D53537">
        <w:rPr>
          <w:sz w:val="22"/>
          <w:szCs w:val="22"/>
          <w:lang w:eastAsia="pt-BR"/>
        </w:rPr>
        <w:t xml:space="preserve"> que houve a perda do objeto da representação, ante a alteração dos critérios do edital do certame, bem como, posteriormente, em face da anulação de ofício do certame pela Unifesp, conclusão acatada pelo relator e pelo Plenário. </w:t>
      </w:r>
      <w:r w:rsidR="002830F6" w:rsidRPr="00D53537">
        <w:rPr>
          <w:sz w:val="22"/>
          <w:szCs w:val="22"/>
        </w:rPr>
        <w:t>Precedentes citados:</w:t>
      </w:r>
      <w:r w:rsidR="002830F6" w:rsidRPr="00D53537">
        <w:rPr>
          <w:color w:val="FF0000"/>
          <w:sz w:val="22"/>
          <w:szCs w:val="22"/>
        </w:rPr>
        <w:t xml:space="preserve"> </w:t>
      </w:r>
      <w:r w:rsidRPr="00D53537">
        <w:rPr>
          <w:sz w:val="22"/>
          <w:szCs w:val="22"/>
          <w:lang w:eastAsia="pt-BR"/>
        </w:rPr>
        <w:t>Acórdãos TCU n</w:t>
      </w:r>
      <w:r w:rsidRPr="00D53537">
        <w:rPr>
          <w:sz w:val="22"/>
          <w:szCs w:val="22"/>
          <w:u w:val="single"/>
          <w:vertAlign w:val="superscript"/>
          <w:lang w:eastAsia="pt-BR"/>
        </w:rPr>
        <w:t>os</w:t>
      </w:r>
      <w:r w:rsidRPr="00D53537">
        <w:rPr>
          <w:sz w:val="22"/>
          <w:szCs w:val="22"/>
          <w:lang w:eastAsia="pt-BR"/>
        </w:rPr>
        <w:t xml:space="preserve"> 264/2006 e 55/2007, ambos do Plenário. </w:t>
      </w:r>
      <w:r w:rsidR="00543B81" w:rsidRPr="00D53537">
        <w:rPr>
          <w:color w:val="FF0000"/>
          <w:sz w:val="22"/>
          <w:szCs w:val="22"/>
        </w:rPr>
        <w:t xml:space="preserve"> </w:t>
      </w:r>
      <w:r w:rsidR="00543B81" w:rsidRPr="00D53537">
        <w:rPr>
          <w:b/>
          <w:i/>
          <w:sz w:val="22"/>
          <w:szCs w:val="22"/>
        </w:rPr>
        <w:t xml:space="preserve">Acórdão n.º 210/2011-Plenário, TC-017.157/2010-2, rel. Min. Augusto Nardes, </w:t>
      </w:r>
      <w:r w:rsidRPr="00D53537">
        <w:rPr>
          <w:b/>
          <w:i/>
          <w:sz w:val="22"/>
          <w:szCs w:val="22"/>
        </w:rPr>
        <w:t>0</w:t>
      </w:r>
      <w:r w:rsidR="00543B81" w:rsidRPr="00D53537">
        <w:rPr>
          <w:b/>
          <w:i/>
          <w:sz w:val="22"/>
          <w:szCs w:val="22"/>
        </w:rPr>
        <w:t>2.0</w:t>
      </w:r>
      <w:r w:rsidRPr="00D53537">
        <w:rPr>
          <w:b/>
          <w:i/>
          <w:sz w:val="22"/>
          <w:szCs w:val="22"/>
        </w:rPr>
        <w:t>2</w:t>
      </w:r>
      <w:r w:rsidR="00543B81" w:rsidRPr="00D53537">
        <w:rPr>
          <w:b/>
          <w:i/>
          <w:sz w:val="22"/>
          <w:szCs w:val="22"/>
        </w:rPr>
        <w:t xml:space="preserve">.2011. </w:t>
      </w:r>
    </w:p>
    <w:p w:rsidR="00543B81" w:rsidRPr="00D53537" w:rsidRDefault="00543B81" w:rsidP="00D53537">
      <w:pPr>
        <w:pStyle w:val="indice"/>
        <w:spacing w:line="240" w:lineRule="auto"/>
        <w:rPr>
          <w:b/>
          <w:color w:val="FF0000"/>
        </w:rPr>
      </w:pPr>
    </w:p>
    <w:p w:rsidR="00764CB0" w:rsidRPr="00D53537" w:rsidRDefault="00764CB0" w:rsidP="00D53537">
      <w:pPr>
        <w:tabs>
          <w:tab w:val="left" w:pos="1134"/>
        </w:tabs>
        <w:spacing w:after="0"/>
        <w:ind w:left="0"/>
        <w:rPr>
          <w:b/>
          <w:color w:val="000000"/>
          <w:sz w:val="22"/>
          <w:szCs w:val="22"/>
        </w:rPr>
      </w:pPr>
      <w:r w:rsidRPr="00D53537">
        <w:rPr>
          <w:b/>
          <w:color w:val="000000"/>
          <w:sz w:val="22"/>
          <w:szCs w:val="22"/>
        </w:rPr>
        <w:t>Licitação do tipo “técnica e preço”: 2 – Não é admitid</w:t>
      </w:r>
      <w:r w:rsidR="00097863" w:rsidRPr="00D53537">
        <w:rPr>
          <w:b/>
          <w:color w:val="000000"/>
          <w:sz w:val="22"/>
          <w:szCs w:val="22"/>
        </w:rPr>
        <w:t>a</w:t>
      </w:r>
      <w:r w:rsidRPr="00D53537">
        <w:rPr>
          <w:b/>
          <w:color w:val="000000"/>
          <w:sz w:val="22"/>
          <w:szCs w:val="22"/>
        </w:rPr>
        <w:t xml:space="preserve"> </w:t>
      </w:r>
      <w:r w:rsidR="00097863" w:rsidRPr="00D53537">
        <w:rPr>
          <w:b/>
          <w:color w:val="000000"/>
          <w:sz w:val="22"/>
          <w:szCs w:val="22"/>
        </w:rPr>
        <w:t xml:space="preserve">a </w:t>
      </w:r>
      <w:r w:rsidRPr="00D53537">
        <w:rPr>
          <w:b/>
          <w:color w:val="000000"/>
          <w:sz w:val="22"/>
          <w:szCs w:val="22"/>
        </w:rPr>
        <w:t xml:space="preserve">utilização de critério </w:t>
      </w:r>
      <w:r w:rsidR="00097863" w:rsidRPr="00D53537">
        <w:rPr>
          <w:b/>
          <w:color w:val="000000"/>
          <w:sz w:val="22"/>
          <w:szCs w:val="22"/>
        </w:rPr>
        <w:t xml:space="preserve">técnico </w:t>
      </w:r>
      <w:r w:rsidRPr="00D53537">
        <w:rPr>
          <w:b/>
          <w:color w:val="000000"/>
          <w:sz w:val="22"/>
          <w:szCs w:val="22"/>
        </w:rPr>
        <w:t>baseado, unicamente, em experiência anterior do licitante</w:t>
      </w:r>
    </w:p>
    <w:p w:rsidR="002E4FB7" w:rsidRPr="00D53537" w:rsidRDefault="002E4FB7" w:rsidP="00D53537">
      <w:pPr>
        <w:tabs>
          <w:tab w:val="left" w:pos="1134"/>
        </w:tabs>
        <w:spacing w:after="0"/>
        <w:ind w:left="0"/>
        <w:rPr>
          <w:sz w:val="22"/>
          <w:szCs w:val="22"/>
        </w:rPr>
      </w:pPr>
      <w:r w:rsidRPr="00D53537">
        <w:rPr>
          <w:sz w:val="22"/>
          <w:szCs w:val="22"/>
          <w:lang w:eastAsia="pt-BR"/>
        </w:rPr>
        <w:t xml:space="preserve">Ainda na representação que indicou ao Tribunal supostas irregularidades na Concorrência nº 2/2010, conduzida pela Universidade Federal de São Paulo – (Unifesp), </w:t>
      </w:r>
      <w:r w:rsidR="004D3441" w:rsidRPr="00D53537">
        <w:rPr>
          <w:sz w:val="22"/>
          <w:szCs w:val="22"/>
          <w:lang w:eastAsia="pt-BR"/>
        </w:rPr>
        <w:t>outra suposta irregularidade apontada foi a utilização de critério baseado, unicamente, em experiência anterior do licitante</w:t>
      </w:r>
      <w:r w:rsidR="00764CB0" w:rsidRPr="00D53537">
        <w:rPr>
          <w:sz w:val="22"/>
          <w:szCs w:val="22"/>
          <w:lang w:eastAsia="pt-BR"/>
        </w:rPr>
        <w:t>,</w:t>
      </w:r>
      <w:r w:rsidR="004D3441" w:rsidRPr="00D53537">
        <w:rPr>
          <w:sz w:val="22"/>
          <w:szCs w:val="22"/>
          <w:lang w:eastAsia="pt-BR"/>
        </w:rPr>
        <w:t xml:space="preserve"> para atribuição da pontuação técnica, o que, na visão da representante, poderia acarretar restrição à competitividade do certame, por criar situação diferenciada para empresas com idênticas condições de executar o objeto. Ao examinar a matéria, o relator registrou o entendimento contrário do TCU à tal exigência, a partir de excerto extraído do voto condutor do Acórdão nº 653/2007-Plenário, no qual o Tribunal consignou que, “</w:t>
      </w:r>
      <w:r w:rsidR="004D3441" w:rsidRPr="00D53537">
        <w:rPr>
          <w:i/>
          <w:sz w:val="22"/>
          <w:szCs w:val="22"/>
          <w:lang w:eastAsia="pt-BR"/>
        </w:rPr>
        <w:t>no que tange mais especificamente à exigência de comprovação de tempo de experiência dos profissionais a serem disponibilizados pelo licitante, impende frisar que tal procedimento afronta o disposto no art. 3º, § 5º, da Lei nº 8.666/1993, bem como a jurisprudência do TCU, em especial os Acórdãos nºs 1529/2006-Plenário, 473/2004-Plenário, e Decisão nº 134/2001-Plenário</w:t>
      </w:r>
      <w:r w:rsidR="004D3441" w:rsidRPr="00D53537">
        <w:rPr>
          <w:sz w:val="22"/>
          <w:szCs w:val="22"/>
          <w:lang w:eastAsia="pt-BR"/>
        </w:rPr>
        <w:t>”</w:t>
      </w:r>
      <w:r w:rsidR="004D3441" w:rsidRPr="00D53537">
        <w:rPr>
          <w:i/>
          <w:sz w:val="22"/>
          <w:szCs w:val="22"/>
          <w:lang w:eastAsia="pt-BR"/>
        </w:rPr>
        <w:t xml:space="preserve">. </w:t>
      </w:r>
      <w:r w:rsidR="004D3441" w:rsidRPr="00D53537">
        <w:rPr>
          <w:sz w:val="22"/>
          <w:szCs w:val="22"/>
          <w:lang w:eastAsia="pt-BR"/>
        </w:rPr>
        <w:t xml:space="preserve">Ainda para o relator, </w:t>
      </w:r>
      <w:r w:rsidR="002830F6" w:rsidRPr="00D53537">
        <w:rPr>
          <w:sz w:val="22"/>
          <w:szCs w:val="22"/>
          <w:lang w:eastAsia="pt-BR"/>
        </w:rPr>
        <w:t xml:space="preserve">tais requisitos poderiam ser aceitáveis, como critérios de pontuação, desde que se mostrassem imprescindíveis à execução do objeto e estivessem acompanhados de expressa justificativa técnica nos autos do processo de licitação, o que, na espécie, não ocorrera. Todavia, apesar da reprovabilidade da conduta, considerou </w:t>
      </w:r>
      <w:r w:rsidR="00764CB0" w:rsidRPr="00D53537">
        <w:rPr>
          <w:sz w:val="22"/>
          <w:szCs w:val="22"/>
          <w:lang w:eastAsia="pt-BR"/>
        </w:rPr>
        <w:t>o relator</w:t>
      </w:r>
      <w:r w:rsidR="002830F6" w:rsidRPr="00D53537">
        <w:rPr>
          <w:sz w:val="22"/>
          <w:szCs w:val="22"/>
          <w:lang w:eastAsia="pt-BR"/>
        </w:rPr>
        <w:t xml:space="preserve"> que houve a perda do objeto da representação, ante a alteração dos critérios do edital do certame, bem como, posteriormente, em face da anulação de ofício do certame pela Unifesp, conclusão acatada pelo relator e pelo Plenário. </w:t>
      </w:r>
      <w:r w:rsidR="002830F6" w:rsidRPr="00D53537">
        <w:rPr>
          <w:sz w:val="22"/>
          <w:szCs w:val="22"/>
        </w:rPr>
        <w:t xml:space="preserve">Precedente citados: </w:t>
      </w:r>
      <w:r w:rsidR="002830F6" w:rsidRPr="00D53537">
        <w:rPr>
          <w:sz w:val="22"/>
          <w:szCs w:val="22"/>
          <w:lang w:eastAsia="pt-BR"/>
        </w:rPr>
        <w:t>Acórdão TCU n</w:t>
      </w:r>
      <w:r w:rsidR="002830F6" w:rsidRPr="00D53537">
        <w:rPr>
          <w:sz w:val="22"/>
          <w:szCs w:val="22"/>
          <w:u w:val="single"/>
          <w:vertAlign w:val="superscript"/>
          <w:lang w:eastAsia="pt-BR"/>
        </w:rPr>
        <w:t>o</w:t>
      </w:r>
      <w:r w:rsidR="002830F6" w:rsidRPr="00D53537">
        <w:rPr>
          <w:sz w:val="22"/>
          <w:szCs w:val="22"/>
          <w:lang w:eastAsia="pt-BR"/>
        </w:rPr>
        <w:t xml:space="preserve"> 264/2006, do Plenário. </w:t>
      </w:r>
      <w:r w:rsidRPr="00D53537">
        <w:rPr>
          <w:color w:val="FF0000"/>
          <w:sz w:val="22"/>
          <w:szCs w:val="22"/>
        </w:rPr>
        <w:t xml:space="preserve"> </w:t>
      </w:r>
      <w:r w:rsidRPr="00D53537">
        <w:rPr>
          <w:b/>
          <w:i/>
          <w:sz w:val="22"/>
          <w:szCs w:val="22"/>
        </w:rPr>
        <w:t xml:space="preserve">Acórdão n.º 210/2011-Plenário, TC-017.157/2010-2, rel. Min. Augusto Nardes, 02.02.2011. </w:t>
      </w:r>
    </w:p>
    <w:p w:rsidR="002E4FB7" w:rsidRPr="00D53537" w:rsidRDefault="002E4FB7" w:rsidP="00D53537">
      <w:pPr>
        <w:pStyle w:val="indice"/>
        <w:spacing w:line="240" w:lineRule="auto"/>
        <w:rPr>
          <w:b/>
          <w:color w:val="FF0000"/>
        </w:rPr>
      </w:pPr>
    </w:p>
    <w:p w:rsidR="001E7019" w:rsidRPr="00D53537" w:rsidRDefault="00BA62AD" w:rsidP="00D53537">
      <w:pPr>
        <w:pStyle w:val="Corpodetexto"/>
        <w:tabs>
          <w:tab w:val="left" w:pos="1134"/>
        </w:tabs>
        <w:spacing w:after="0"/>
        <w:ind w:left="0"/>
        <w:rPr>
          <w:b/>
          <w:color w:val="000000"/>
          <w:sz w:val="22"/>
          <w:szCs w:val="22"/>
        </w:rPr>
      </w:pPr>
      <w:r w:rsidRPr="00D53537">
        <w:rPr>
          <w:b/>
          <w:color w:val="000000"/>
          <w:sz w:val="22"/>
          <w:szCs w:val="22"/>
        </w:rPr>
        <w:t xml:space="preserve">O documento “carta de exclusividade”, </w:t>
      </w:r>
      <w:r w:rsidRPr="00D53537">
        <w:rPr>
          <w:b/>
          <w:i/>
          <w:color w:val="000000"/>
          <w:sz w:val="22"/>
          <w:szCs w:val="22"/>
        </w:rPr>
        <w:t>per si</w:t>
      </w:r>
      <w:r w:rsidRPr="00D53537">
        <w:rPr>
          <w:b/>
          <w:color w:val="000000"/>
          <w:sz w:val="22"/>
          <w:szCs w:val="22"/>
        </w:rPr>
        <w:t xml:space="preserve">, é insuficiente para demonstrar que a empresa que </w:t>
      </w:r>
      <w:r w:rsidR="00097863" w:rsidRPr="00D53537">
        <w:rPr>
          <w:b/>
          <w:color w:val="000000"/>
          <w:sz w:val="22"/>
          <w:szCs w:val="22"/>
        </w:rPr>
        <w:t>o</w:t>
      </w:r>
      <w:r w:rsidRPr="00D53537">
        <w:rPr>
          <w:b/>
          <w:color w:val="000000"/>
          <w:sz w:val="22"/>
          <w:szCs w:val="22"/>
        </w:rPr>
        <w:t xml:space="preserve"> apresenta é fornecedora exclusiva</w:t>
      </w:r>
      <w:r w:rsidR="00097863" w:rsidRPr="00D53537">
        <w:rPr>
          <w:b/>
          <w:color w:val="000000"/>
          <w:sz w:val="22"/>
          <w:szCs w:val="22"/>
        </w:rPr>
        <w:t xml:space="preserve"> de determinado produto</w:t>
      </w:r>
    </w:p>
    <w:p w:rsidR="001E7019" w:rsidRPr="00D53537" w:rsidRDefault="001E7019" w:rsidP="00D53537">
      <w:pPr>
        <w:tabs>
          <w:tab w:val="left" w:pos="1134"/>
        </w:tabs>
        <w:spacing w:after="0"/>
        <w:ind w:left="0"/>
        <w:rPr>
          <w:b/>
          <w:i/>
          <w:sz w:val="22"/>
          <w:szCs w:val="22"/>
        </w:rPr>
      </w:pPr>
      <w:r w:rsidRPr="00D53537">
        <w:rPr>
          <w:sz w:val="22"/>
          <w:szCs w:val="22"/>
        </w:rPr>
        <w:t>Mediante recurso de r</w:t>
      </w:r>
      <w:r w:rsidRPr="00D53537">
        <w:rPr>
          <w:sz w:val="22"/>
          <w:szCs w:val="22"/>
          <w:lang w:eastAsia="pt-BR"/>
        </w:rPr>
        <w:t>evisão</w:t>
      </w:r>
      <w:r w:rsidRPr="00D53537">
        <w:rPr>
          <w:sz w:val="22"/>
          <w:szCs w:val="22"/>
        </w:rPr>
        <w:t>,</w:t>
      </w:r>
      <w:r w:rsidRPr="00D53537">
        <w:rPr>
          <w:sz w:val="22"/>
          <w:szCs w:val="22"/>
          <w:lang w:eastAsia="pt-BR"/>
        </w:rPr>
        <w:t xml:space="preserve"> o Ministério Público junto </w:t>
      </w:r>
      <w:r w:rsidRPr="00D53537">
        <w:rPr>
          <w:sz w:val="22"/>
          <w:szCs w:val="22"/>
        </w:rPr>
        <w:t>ao TCU – (MPTCU)</w:t>
      </w:r>
      <w:r w:rsidRPr="00D53537">
        <w:rPr>
          <w:sz w:val="22"/>
          <w:szCs w:val="22"/>
          <w:lang w:eastAsia="pt-BR"/>
        </w:rPr>
        <w:t xml:space="preserve"> </w:t>
      </w:r>
      <w:r w:rsidRPr="00D53537">
        <w:rPr>
          <w:sz w:val="22"/>
          <w:szCs w:val="22"/>
        </w:rPr>
        <w:t>pediu a reabertura das</w:t>
      </w:r>
      <w:r w:rsidRPr="00D53537">
        <w:rPr>
          <w:sz w:val="22"/>
          <w:szCs w:val="22"/>
          <w:lang w:eastAsia="pt-BR"/>
        </w:rPr>
        <w:t xml:space="preserve"> contas anuais</w:t>
      </w:r>
      <w:r w:rsidRPr="00D53537">
        <w:rPr>
          <w:sz w:val="22"/>
          <w:szCs w:val="22"/>
        </w:rPr>
        <w:t>,</w:t>
      </w:r>
      <w:r w:rsidRPr="00D53537">
        <w:rPr>
          <w:sz w:val="22"/>
          <w:szCs w:val="22"/>
          <w:lang w:eastAsia="pt-BR"/>
        </w:rPr>
        <w:t xml:space="preserve"> do exercício de 2002</w:t>
      </w:r>
      <w:r w:rsidRPr="00D53537">
        <w:rPr>
          <w:sz w:val="22"/>
          <w:szCs w:val="22"/>
        </w:rPr>
        <w:t>,</w:t>
      </w:r>
      <w:r w:rsidRPr="00D53537">
        <w:rPr>
          <w:sz w:val="22"/>
          <w:szCs w:val="22"/>
          <w:lang w:eastAsia="pt-BR"/>
        </w:rPr>
        <w:t xml:space="preserve"> da então Delegacia Federal de Agricultura do Estado do Tocantins – </w:t>
      </w:r>
      <w:r w:rsidRPr="00D53537">
        <w:rPr>
          <w:sz w:val="22"/>
          <w:szCs w:val="22"/>
        </w:rPr>
        <w:t>(</w:t>
      </w:r>
      <w:r w:rsidRPr="00D53537">
        <w:rPr>
          <w:sz w:val="22"/>
          <w:szCs w:val="22"/>
          <w:lang w:eastAsia="pt-BR"/>
        </w:rPr>
        <w:t>DFA/TO</w:t>
      </w:r>
      <w:r w:rsidRPr="00D53537">
        <w:rPr>
          <w:sz w:val="22"/>
          <w:szCs w:val="22"/>
        </w:rPr>
        <w:t>)</w:t>
      </w:r>
      <w:r w:rsidR="00BA62AD" w:rsidRPr="00D53537">
        <w:rPr>
          <w:sz w:val="22"/>
          <w:szCs w:val="22"/>
        </w:rPr>
        <w:t xml:space="preserve">. </w:t>
      </w:r>
      <w:r w:rsidR="009D0928">
        <w:rPr>
          <w:sz w:val="22"/>
          <w:szCs w:val="22"/>
        </w:rPr>
        <w:t>A</w:t>
      </w:r>
      <w:r w:rsidR="00BA62AD" w:rsidRPr="00D53537">
        <w:rPr>
          <w:sz w:val="22"/>
          <w:szCs w:val="22"/>
        </w:rPr>
        <w:t>s contas do órgão</w:t>
      </w:r>
      <w:r w:rsidR="009D0928">
        <w:rPr>
          <w:sz w:val="22"/>
          <w:szCs w:val="22"/>
        </w:rPr>
        <w:t xml:space="preserve"> tinham sido </w:t>
      </w:r>
      <w:r w:rsidRPr="00D53537">
        <w:rPr>
          <w:sz w:val="22"/>
          <w:szCs w:val="22"/>
          <w:lang w:eastAsia="pt-BR"/>
        </w:rPr>
        <w:t>julgada</w:t>
      </w:r>
      <w:r w:rsidR="00BA62AD" w:rsidRPr="00D53537">
        <w:rPr>
          <w:sz w:val="22"/>
          <w:szCs w:val="22"/>
          <w:lang w:eastAsia="pt-BR"/>
        </w:rPr>
        <w:t>s</w:t>
      </w:r>
      <w:r w:rsidRPr="00D53537">
        <w:rPr>
          <w:sz w:val="22"/>
          <w:szCs w:val="22"/>
          <w:lang w:eastAsia="pt-BR"/>
        </w:rPr>
        <w:t xml:space="preserve"> regular</w:t>
      </w:r>
      <w:r w:rsidR="00BA62AD" w:rsidRPr="00D53537">
        <w:rPr>
          <w:sz w:val="22"/>
          <w:szCs w:val="22"/>
          <w:lang w:eastAsia="pt-BR"/>
        </w:rPr>
        <w:t>es</w:t>
      </w:r>
      <w:r w:rsidRPr="00D53537">
        <w:rPr>
          <w:sz w:val="22"/>
          <w:szCs w:val="22"/>
          <w:lang w:eastAsia="pt-BR"/>
        </w:rPr>
        <w:t xml:space="preserve"> com ressalvas, com quitação aos respectivos responsáveis e devidas determinações</w:t>
      </w:r>
      <w:r w:rsidRPr="00D53537">
        <w:rPr>
          <w:sz w:val="22"/>
          <w:szCs w:val="22"/>
        </w:rPr>
        <w:t xml:space="preserve">. </w:t>
      </w:r>
      <w:r w:rsidRPr="00D53537">
        <w:rPr>
          <w:sz w:val="22"/>
          <w:szCs w:val="22"/>
          <w:lang w:eastAsia="pt-BR"/>
        </w:rPr>
        <w:t xml:space="preserve">O </w:t>
      </w:r>
      <w:r w:rsidR="00BA62AD" w:rsidRPr="00D53537">
        <w:rPr>
          <w:sz w:val="22"/>
          <w:szCs w:val="22"/>
          <w:lang w:eastAsia="pt-BR"/>
        </w:rPr>
        <w:t>presente</w:t>
      </w:r>
      <w:r w:rsidRPr="00D53537">
        <w:rPr>
          <w:sz w:val="22"/>
          <w:szCs w:val="22"/>
          <w:lang w:eastAsia="pt-BR"/>
        </w:rPr>
        <w:t xml:space="preserve"> recurso</w:t>
      </w:r>
      <w:r w:rsidR="00BA62AD" w:rsidRPr="00D53537">
        <w:rPr>
          <w:sz w:val="22"/>
          <w:szCs w:val="22"/>
          <w:lang w:eastAsia="pt-BR"/>
        </w:rPr>
        <w:t>, então,</w:t>
      </w:r>
      <w:r w:rsidRPr="00D53537">
        <w:rPr>
          <w:sz w:val="22"/>
          <w:szCs w:val="22"/>
          <w:lang w:eastAsia="pt-BR"/>
        </w:rPr>
        <w:t xml:space="preserve"> deveu-se a diversas possíveis irregularidades praticadas na execução do Contrato nº 3/2002, firmado entre a DFA/TO e a Fundação de Apoio a Recursos Genéticos e Biotecnologia ‘Dalmo Catuali Giacometti’, e que visava, dentre outras ações, à disponibilização do Sistema de Pragas Nacionais de Valor Econômico – SPNVE para o órgão, a fim de possibilitar a manutenção e atualização em tempo real de banco de dados contendo informações sobre produtos fitossanitários registrados no Ministério da Agricultura, Pecuária e Abastecimento – (MAPA). Uma das irregularidades motivadoras do mencionado recurso </w:t>
      </w:r>
      <w:r w:rsidR="00BA62AD" w:rsidRPr="00D53537">
        <w:rPr>
          <w:sz w:val="22"/>
          <w:szCs w:val="22"/>
          <w:lang w:eastAsia="pt-BR"/>
        </w:rPr>
        <w:t xml:space="preserve">de revisão </w:t>
      </w:r>
      <w:r w:rsidRPr="00D53537">
        <w:rPr>
          <w:sz w:val="22"/>
          <w:szCs w:val="22"/>
          <w:lang w:eastAsia="pt-BR"/>
        </w:rPr>
        <w:t>fora a inexigibilidade de licitação fundamentada no art. 25, inciso I, da Lei nº 8.666/1993, sem a efetiva demonstração que a contratada era fornec</w:t>
      </w:r>
      <w:r w:rsidR="00BA62AD" w:rsidRPr="00D53537">
        <w:rPr>
          <w:sz w:val="22"/>
          <w:szCs w:val="22"/>
          <w:lang w:eastAsia="pt-BR"/>
        </w:rPr>
        <w:t>edora exclusiva, uma vez que a d</w:t>
      </w:r>
      <w:r w:rsidRPr="00D53537">
        <w:rPr>
          <w:sz w:val="22"/>
          <w:szCs w:val="22"/>
          <w:lang w:eastAsia="pt-BR"/>
        </w:rPr>
        <w:t xml:space="preserve">eclaração de </w:t>
      </w:r>
      <w:r w:rsidR="00BA62AD" w:rsidRPr="00D53537">
        <w:rPr>
          <w:sz w:val="22"/>
          <w:szCs w:val="22"/>
          <w:lang w:eastAsia="pt-BR"/>
        </w:rPr>
        <w:t>e</w:t>
      </w:r>
      <w:r w:rsidRPr="00D53537">
        <w:rPr>
          <w:sz w:val="22"/>
          <w:szCs w:val="22"/>
          <w:lang w:eastAsia="pt-BR"/>
        </w:rPr>
        <w:t>xclusividade fornecida pela Federação das Associações Comerciais e Industriais do Distrito Federal baseou-se em informações prestadas pela própria Fundação Dalmo Catuali Giacometti’</w:t>
      </w:r>
      <w:r w:rsidR="00BA62AD" w:rsidRPr="00D53537">
        <w:rPr>
          <w:sz w:val="22"/>
          <w:szCs w:val="22"/>
          <w:lang w:eastAsia="pt-BR"/>
        </w:rPr>
        <w:t xml:space="preserve"> </w:t>
      </w:r>
      <w:r w:rsidRPr="00D53537">
        <w:rPr>
          <w:sz w:val="22"/>
          <w:szCs w:val="22"/>
          <w:lang w:eastAsia="pt-BR"/>
        </w:rPr>
        <w:t xml:space="preserve">e em Carta de Exclusividade emitida pela contratada, na qual afirmava </w:t>
      </w:r>
      <w:r w:rsidR="00BA62AD" w:rsidRPr="00D53537">
        <w:rPr>
          <w:sz w:val="22"/>
          <w:szCs w:val="22"/>
          <w:lang w:eastAsia="pt-BR"/>
        </w:rPr>
        <w:t xml:space="preserve">que </w:t>
      </w:r>
      <w:r w:rsidRPr="00D53537">
        <w:rPr>
          <w:sz w:val="22"/>
          <w:szCs w:val="22"/>
          <w:lang w:eastAsia="pt-BR"/>
        </w:rPr>
        <w:t>a instituição, e a Empresa Brasileira de Pesquisa Agropecuár</w:t>
      </w:r>
      <w:r w:rsidR="00BA62AD" w:rsidRPr="00D53537">
        <w:rPr>
          <w:sz w:val="22"/>
          <w:szCs w:val="22"/>
          <w:lang w:eastAsia="pt-BR"/>
        </w:rPr>
        <w:t xml:space="preserve">ia – Embrapa, seriam as únicas </w:t>
      </w:r>
      <w:r w:rsidRPr="00D53537">
        <w:rPr>
          <w:sz w:val="22"/>
          <w:szCs w:val="22"/>
          <w:lang w:eastAsia="pt-BR"/>
        </w:rPr>
        <w:t xml:space="preserve">autorizadas a comercializar o SPNVE e outros produtos </w:t>
      </w:r>
      <w:r w:rsidR="00BA62AD" w:rsidRPr="00D53537">
        <w:rPr>
          <w:sz w:val="22"/>
          <w:szCs w:val="22"/>
          <w:lang w:eastAsia="pt-BR"/>
        </w:rPr>
        <w:t>junto aos órgãos públicos</w:t>
      </w:r>
      <w:r w:rsidRPr="00D53537">
        <w:rPr>
          <w:sz w:val="22"/>
          <w:szCs w:val="22"/>
          <w:lang w:eastAsia="pt-BR"/>
        </w:rPr>
        <w:t xml:space="preserve"> e entidades de direito privado. Ao examinar o assunto, o relator, após a oitiva do responsável, destacou não restar demonstrado que a contratada era, efetivamente, fornecedora exclusiva, pois, para ele, fora apresentada “</w:t>
      </w:r>
      <w:r w:rsidRPr="00D53537">
        <w:rPr>
          <w:i/>
          <w:sz w:val="22"/>
          <w:szCs w:val="22"/>
          <w:lang w:eastAsia="pt-BR"/>
        </w:rPr>
        <w:t>apenas uma carta de exclusividade, emitida pela Federação das Associações Comerciais e Industriais do Distrito Federal, e elaborada a partir de uma declaração da própria Fundação contratada</w:t>
      </w:r>
      <w:r w:rsidRPr="00D53537">
        <w:rPr>
          <w:sz w:val="22"/>
          <w:szCs w:val="22"/>
          <w:lang w:eastAsia="pt-BR"/>
        </w:rPr>
        <w:t xml:space="preserve">”. </w:t>
      </w:r>
      <w:r w:rsidR="009D0928">
        <w:rPr>
          <w:sz w:val="22"/>
          <w:szCs w:val="22"/>
          <w:lang w:eastAsia="pt-BR"/>
        </w:rPr>
        <w:t>Aduz, ainda, o relator que</w:t>
      </w:r>
      <w:r w:rsidRPr="00D53537">
        <w:rPr>
          <w:sz w:val="22"/>
          <w:szCs w:val="22"/>
          <w:lang w:eastAsia="pt-BR"/>
        </w:rPr>
        <w:t xml:space="preserve"> “</w:t>
      </w:r>
      <w:r w:rsidRPr="00D53537">
        <w:rPr>
          <w:i/>
          <w:sz w:val="22"/>
          <w:szCs w:val="22"/>
          <w:lang w:eastAsia="pt-BR"/>
        </w:rPr>
        <w:t>a jurisprudência deste Tribunal tem se posicionado no sentido de que o órgão licitante, quando do recebimento de atestados de exclusividade de fornecimento de materiais ou serviços, deve adotar medidas cautelares visando assegurar a veracidade das declarações prestadas pelos órgãos emitentes. Como não há relatos de tais medidas, a declaração não se presta para atestar a exclusividade da empresa</w:t>
      </w:r>
      <w:r w:rsidRPr="00D53537">
        <w:rPr>
          <w:sz w:val="22"/>
          <w:szCs w:val="22"/>
          <w:lang w:eastAsia="pt-BR"/>
        </w:rPr>
        <w:t>”. Assim, neste ponto, votou pela rejeição das justificativas apresentadas, bem como pela aplicação de multa ao responsável, o que foi acolhido pelo Plenário.  Precedente citado: Decisão nº 047/1995, do Plenário.</w:t>
      </w:r>
      <w:r w:rsidRPr="00D53537">
        <w:rPr>
          <w:color w:val="FF0000"/>
          <w:sz w:val="22"/>
          <w:szCs w:val="22"/>
        </w:rPr>
        <w:t xml:space="preserve"> </w:t>
      </w:r>
      <w:r w:rsidRPr="00D53537">
        <w:rPr>
          <w:b/>
          <w:i/>
          <w:sz w:val="22"/>
          <w:szCs w:val="22"/>
        </w:rPr>
        <w:t>Acórdão n.º 207/2011-Plenário, TC-007.254/2003-9, rel. Min. Augusto Nardes, 02.02.2011.</w:t>
      </w:r>
    </w:p>
    <w:p w:rsidR="001E7019" w:rsidRPr="00D53537" w:rsidRDefault="001E7019" w:rsidP="00D53537">
      <w:pPr>
        <w:tabs>
          <w:tab w:val="left" w:pos="1134"/>
        </w:tabs>
        <w:spacing w:after="0"/>
        <w:ind w:left="0"/>
        <w:rPr>
          <w:sz w:val="22"/>
          <w:szCs w:val="22"/>
        </w:rPr>
      </w:pPr>
    </w:p>
    <w:p w:rsidR="001E7019" w:rsidRPr="00D53537" w:rsidRDefault="002F7C6D" w:rsidP="00D53537">
      <w:pPr>
        <w:pStyle w:val="indice"/>
        <w:spacing w:line="240" w:lineRule="auto"/>
        <w:rPr>
          <w:b/>
        </w:rPr>
      </w:pPr>
      <w:r w:rsidRPr="00D53537">
        <w:rPr>
          <w:b/>
        </w:rPr>
        <w:t>A utilização da figura do convênio em situação que demanda contrato, antecedido de licitação, configura dispensa indevida de licitação</w:t>
      </w:r>
    </w:p>
    <w:p w:rsidR="001E7019" w:rsidRPr="00D53537" w:rsidRDefault="009F4326" w:rsidP="00D53537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D53537">
        <w:rPr>
          <w:sz w:val="22"/>
          <w:szCs w:val="22"/>
        </w:rPr>
        <w:t xml:space="preserve">Em processo de representação, o Tribunal procedeu </w:t>
      </w:r>
      <w:r w:rsidR="00BA62AD" w:rsidRPr="00D53537">
        <w:rPr>
          <w:sz w:val="22"/>
          <w:szCs w:val="22"/>
        </w:rPr>
        <w:t xml:space="preserve">ao </w:t>
      </w:r>
      <w:r w:rsidRPr="00D53537">
        <w:rPr>
          <w:sz w:val="22"/>
          <w:szCs w:val="22"/>
        </w:rPr>
        <w:t>exame de legalidade/legitimidade da celebração dos Convênios n</w:t>
      </w:r>
      <w:r w:rsidRPr="00D53537">
        <w:rPr>
          <w:sz w:val="22"/>
          <w:szCs w:val="22"/>
          <w:u w:val="single"/>
          <w:vertAlign w:val="superscript"/>
        </w:rPr>
        <w:t>os</w:t>
      </w:r>
      <w:r w:rsidRPr="00D53537">
        <w:rPr>
          <w:sz w:val="22"/>
          <w:szCs w:val="22"/>
        </w:rPr>
        <w:t xml:space="preserve"> 15/2007 e 20/2007, firmados entre a Secretaria Especial de Políticas de Promoção da Igualdade Racial – (SEPPIR) e a Fundação Universidade de Brasília – (FUB). Dentre outras irregularidades, apurou-se </w:t>
      </w:r>
      <w:r w:rsidR="00FC19F5" w:rsidRPr="00D53537">
        <w:rPr>
          <w:sz w:val="22"/>
          <w:szCs w:val="22"/>
        </w:rPr>
        <w:t xml:space="preserve">a </w:t>
      </w:r>
      <w:r w:rsidRPr="00D53537">
        <w:rPr>
          <w:sz w:val="22"/>
          <w:szCs w:val="22"/>
        </w:rPr>
        <w:t>utilização inadequada de convênio</w:t>
      </w:r>
      <w:r w:rsidR="00FC19F5" w:rsidRPr="00D53537">
        <w:rPr>
          <w:sz w:val="22"/>
          <w:szCs w:val="22"/>
        </w:rPr>
        <w:t xml:space="preserve"> </w:t>
      </w:r>
      <w:r w:rsidRPr="00D53537">
        <w:rPr>
          <w:sz w:val="22"/>
          <w:szCs w:val="22"/>
        </w:rPr>
        <w:t xml:space="preserve">caracterizada pela inclusão </w:t>
      </w:r>
      <w:r w:rsidR="00FC19F5" w:rsidRPr="00D53537">
        <w:rPr>
          <w:sz w:val="22"/>
          <w:szCs w:val="22"/>
        </w:rPr>
        <w:t>em tal instrumento</w:t>
      </w:r>
      <w:r w:rsidRPr="00D53537">
        <w:rPr>
          <w:sz w:val="22"/>
          <w:szCs w:val="22"/>
        </w:rPr>
        <w:t xml:space="preserve"> de ações que deveriam ter sido contratadas mediante procedimentos licitatórios, notadamente a prestação de serviços de apoio administrativo para a realização de eventos, uma vez que </w:t>
      </w:r>
      <w:r w:rsidR="00FC19F5" w:rsidRPr="00D53537">
        <w:rPr>
          <w:sz w:val="22"/>
          <w:szCs w:val="22"/>
        </w:rPr>
        <w:t xml:space="preserve">tais </w:t>
      </w:r>
      <w:r w:rsidRPr="00D53537">
        <w:rPr>
          <w:sz w:val="22"/>
          <w:szCs w:val="22"/>
        </w:rPr>
        <w:t>atividades s</w:t>
      </w:r>
      <w:r w:rsidR="00FC19F5" w:rsidRPr="00D53537">
        <w:rPr>
          <w:sz w:val="22"/>
          <w:szCs w:val="22"/>
        </w:rPr>
        <w:t>eriam</w:t>
      </w:r>
      <w:r w:rsidRPr="00D53537">
        <w:rPr>
          <w:sz w:val="22"/>
          <w:szCs w:val="22"/>
        </w:rPr>
        <w:t xml:space="preserve"> oferecidas no mercado por diversas empresas</w:t>
      </w:r>
      <w:r w:rsidR="00FC19F5" w:rsidRPr="00D53537">
        <w:rPr>
          <w:sz w:val="22"/>
          <w:szCs w:val="22"/>
        </w:rPr>
        <w:t xml:space="preserve">, bem como </w:t>
      </w:r>
      <w:r w:rsidRPr="00D53537">
        <w:rPr>
          <w:sz w:val="22"/>
          <w:szCs w:val="22"/>
        </w:rPr>
        <w:t>por configurar-se indevida a intermediação da FUB para a execução dessas ações</w:t>
      </w:r>
      <w:r w:rsidR="00FC19F5" w:rsidRPr="00D53537">
        <w:rPr>
          <w:sz w:val="22"/>
          <w:szCs w:val="22"/>
        </w:rPr>
        <w:t>. Inicialmente, o relator destacou, em seu voto, a existência de “</w:t>
      </w:r>
      <w:r w:rsidR="00FC19F5" w:rsidRPr="00D53537">
        <w:rPr>
          <w:i/>
          <w:sz w:val="22"/>
          <w:szCs w:val="22"/>
        </w:rPr>
        <w:t>interesses coincidentes entre a FUB e a SEPPIR/PR, em parte do objeto do convênio, no que se refere ao desenvolvimento de projetos que visem à mitigação das desigualdades e segregações raciais</w:t>
      </w:r>
      <w:r w:rsidR="00FC19F5" w:rsidRPr="00D53537">
        <w:rPr>
          <w:sz w:val="22"/>
          <w:szCs w:val="22"/>
        </w:rPr>
        <w:t xml:space="preserve">”. Assim, a consecução de objetivo comum, em regime de cooperação mútua, requisito essencial para a celebração desses </w:t>
      </w:r>
      <w:r w:rsidR="002F7C6D" w:rsidRPr="00D53537">
        <w:rPr>
          <w:sz w:val="22"/>
          <w:szCs w:val="22"/>
        </w:rPr>
        <w:t>convênios, haveria sido atendida</w:t>
      </w:r>
      <w:r w:rsidR="00FC19F5" w:rsidRPr="00D53537">
        <w:rPr>
          <w:sz w:val="22"/>
          <w:szCs w:val="22"/>
        </w:rPr>
        <w:t xml:space="preserve">. Todavia, registrou </w:t>
      </w:r>
      <w:r w:rsidR="003A3262" w:rsidRPr="00D53537">
        <w:rPr>
          <w:sz w:val="22"/>
          <w:szCs w:val="22"/>
        </w:rPr>
        <w:t xml:space="preserve">o relator que </w:t>
      </w:r>
      <w:r w:rsidR="00FC19F5" w:rsidRPr="00D53537">
        <w:rPr>
          <w:sz w:val="22"/>
          <w:szCs w:val="22"/>
        </w:rPr>
        <w:t xml:space="preserve">a subcontratação, por parte da FUB, da Fundação de Estudos e Pesquisas em Administração e Desenvolvimento – (FEPAD), para a realização de diversos eventos e encontros regionais, envolvendo, dentre outros, serviços de planejamento, monitoramento e execução das atividades necessárias aos encontros, não </w:t>
      </w:r>
      <w:r w:rsidR="003A3262" w:rsidRPr="00D53537">
        <w:rPr>
          <w:sz w:val="22"/>
          <w:szCs w:val="22"/>
        </w:rPr>
        <w:t>estaria em conformidade com a forma jurídica d</w:t>
      </w:r>
      <w:r w:rsidR="00AE0EDF" w:rsidRPr="00D53537">
        <w:rPr>
          <w:sz w:val="22"/>
          <w:szCs w:val="22"/>
        </w:rPr>
        <w:t>o</w:t>
      </w:r>
      <w:r w:rsidR="003A3262" w:rsidRPr="00D53537">
        <w:rPr>
          <w:sz w:val="22"/>
          <w:szCs w:val="22"/>
        </w:rPr>
        <w:t xml:space="preserve"> convênio. </w:t>
      </w:r>
      <w:r w:rsidR="002F7C6D" w:rsidRPr="00D53537">
        <w:rPr>
          <w:sz w:val="22"/>
          <w:szCs w:val="22"/>
        </w:rPr>
        <w:t>Segundo</w:t>
      </w:r>
      <w:r w:rsidR="003A3262" w:rsidRPr="00D53537">
        <w:rPr>
          <w:sz w:val="22"/>
          <w:szCs w:val="22"/>
        </w:rPr>
        <w:t xml:space="preserve"> ele, </w:t>
      </w:r>
      <w:r w:rsidR="00AE0EDF" w:rsidRPr="00D53537">
        <w:rPr>
          <w:sz w:val="22"/>
          <w:szCs w:val="22"/>
        </w:rPr>
        <w:t>a realização dos eventos em questão “</w:t>
      </w:r>
      <w:r w:rsidR="00AE0EDF" w:rsidRPr="00D53537">
        <w:rPr>
          <w:i/>
          <w:sz w:val="22"/>
          <w:szCs w:val="22"/>
        </w:rPr>
        <w:t>deveria ter sido contratada com fundamento na Lei de Licitações</w:t>
      </w:r>
      <w:r w:rsidR="002F7C6D" w:rsidRPr="00D53537">
        <w:rPr>
          <w:i/>
          <w:sz w:val="22"/>
          <w:szCs w:val="22"/>
        </w:rPr>
        <w:t>,</w:t>
      </w:r>
      <w:r w:rsidR="00AE0EDF" w:rsidRPr="00D53537">
        <w:rPr>
          <w:i/>
          <w:sz w:val="22"/>
          <w:szCs w:val="22"/>
        </w:rPr>
        <w:t xml:space="preserve"> por meio de seleção das empresas disponíveis no mercado</w:t>
      </w:r>
      <w:r w:rsidR="00AE0EDF" w:rsidRPr="00D53537">
        <w:rPr>
          <w:sz w:val="22"/>
          <w:szCs w:val="22"/>
        </w:rPr>
        <w:t>”. Na espécie, o que ocorrera seria a intermediação indevida da FUB, no tocante aos recursos públicos repassado</w:t>
      </w:r>
      <w:r w:rsidR="002F7C6D" w:rsidRPr="00D53537">
        <w:rPr>
          <w:sz w:val="22"/>
          <w:szCs w:val="22"/>
        </w:rPr>
        <w:t>s</w:t>
      </w:r>
      <w:r w:rsidR="00AE0EDF" w:rsidRPr="00D53537">
        <w:rPr>
          <w:sz w:val="22"/>
          <w:szCs w:val="22"/>
        </w:rPr>
        <w:t xml:space="preserve"> para a FEPAD, uma vez que a “</w:t>
      </w:r>
      <w:r w:rsidR="00AE0EDF" w:rsidRPr="00D53537">
        <w:rPr>
          <w:i/>
          <w:sz w:val="22"/>
          <w:szCs w:val="22"/>
        </w:rPr>
        <w:t>FUB subcontratou a FEPAD para a organização de conferências estaduais e distritais, consultas à população indígena, quilombola e cigana, além da realização de oficinas temáticas</w:t>
      </w:r>
      <w:r w:rsidR="00AE0EDF" w:rsidRPr="00D53537">
        <w:rPr>
          <w:sz w:val="22"/>
          <w:szCs w:val="22"/>
        </w:rPr>
        <w:t>”, ou seja, para a execução do próprio convênio firmado com a SEPPIR. Assim, por considerar que, ao fim, ocorrera a dispensa indevida de licitação, votou o relator pela procedência da representação</w:t>
      </w:r>
      <w:r w:rsidR="00610039" w:rsidRPr="00D53537">
        <w:rPr>
          <w:sz w:val="22"/>
          <w:szCs w:val="22"/>
        </w:rPr>
        <w:t xml:space="preserve">, bem como pela aplicação de multa aos responsáveis envolvidos, sem prejuízo de que fosse expedida determinação corretiva à SEPPIR em situações semelhantes que surjam futuramente. </w:t>
      </w:r>
      <w:r w:rsidR="001E7019" w:rsidRPr="00D53537">
        <w:rPr>
          <w:b/>
          <w:i/>
          <w:sz w:val="22"/>
          <w:szCs w:val="22"/>
        </w:rPr>
        <w:t xml:space="preserve">Acórdão n.º 179/2011-Plenário, TC-008.950/2008-3, rel. Min. Raimundo Carreiro, 02.02.2011. </w:t>
      </w:r>
    </w:p>
    <w:p w:rsidR="001E7019" w:rsidRPr="00D53537" w:rsidRDefault="001E7019" w:rsidP="00D53537">
      <w:pPr>
        <w:pStyle w:val="indice"/>
        <w:spacing w:line="240" w:lineRule="auto"/>
        <w:rPr>
          <w:b/>
          <w:color w:val="FF0000"/>
        </w:rPr>
      </w:pPr>
    </w:p>
    <w:p w:rsidR="001F1E8F" w:rsidRPr="00D53537" w:rsidRDefault="000A1EBD" w:rsidP="00D53537">
      <w:pPr>
        <w:pStyle w:val="indice"/>
        <w:spacing w:line="240" w:lineRule="auto"/>
        <w:rPr>
          <w:b/>
        </w:rPr>
      </w:pPr>
      <w:r w:rsidRPr="00D53537">
        <w:rPr>
          <w:b/>
        </w:rPr>
        <w:t>É possível, em caráter excepcional, a fixação de sal</w:t>
      </w:r>
      <w:r w:rsidR="009C4B6D" w:rsidRPr="00D53537">
        <w:rPr>
          <w:b/>
        </w:rPr>
        <w:t>ário</w:t>
      </w:r>
      <w:r w:rsidRPr="00D53537">
        <w:rPr>
          <w:b/>
        </w:rPr>
        <w:t xml:space="preserve"> </w:t>
      </w:r>
      <w:r w:rsidR="009C4B6D" w:rsidRPr="00D53537">
        <w:rPr>
          <w:b/>
        </w:rPr>
        <w:t>base</w:t>
      </w:r>
      <w:r w:rsidRPr="00D53537">
        <w:rPr>
          <w:b/>
        </w:rPr>
        <w:t>, nas contratações de prestação de</w:t>
      </w:r>
      <w:r w:rsidR="00097863" w:rsidRPr="00D53537">
        <w:rPr>
          <w:b/>
        </w:rPr>
        <w:t xml:space="preserve"> serviços para a Administração</w:t>
      </w:r>
    </w:p>
    <w:p w:rsidR="001F1E8F" w:rsidRPr="00D53537" w:rsidRDefault="00EE4C6E" w:rsidP="00D53537">
      <w:pPr>
        <w:spacing w:after="0"/>
        <w:ind w:left="0"/>
        <w:rPr>
          <w:sz w:val="22"/>
          <w:szCs w:val="22"/>
        </w:rPr>
      </w:pPr>
      <w:r w:rsidRPr="00D53537">
        <w:rPr>
          <w:color w:val="000000"/>
          <w:sz w:val="22"/>
          <w:szCs w:val="22"/>
        </w:rPr>
        <w:t>Mediante representação, a empresa Brasília Soluções Inteligentes – BSI do Brasil Ltda. informou po</w:t>
      </w:r>
      <w:r w:rsidR="002F7C6D" w:rsidRPr="00D53537">
        <w:rPr>
          <w:color w:val="000000"/>
          <w:sz w:val="22"/>
          <w:szCs w:val="22"/>
        </w:rPr>
        <w:t>tencia</w:t>
      </w:r>
      <w:r w:rsidRPr="00D53537">
        <w:rPr>
          <w:color w:val="000000"/>
          <w:sz w:val="22"/>
          <w:szCs w:val="22"/>
        </w:rPr>
        <w:t>is</w:t>
      </w:r>
      <w:r w:rsidRPr="00D53537">
        <w:rPr>
          <w:sz w:val="22"/>
          <w:szCs w:val="22"/>
        </w:rPr>
        <w:t xml:space="preserve"> irregularidades ocorridas no Pregão nº 221/2008, realizado pelo Senado Federal, para a contratação de prestação de serviços de execução indireta nas áreas de televisão, rádio, jornal, relações públicas, pesquisa e opinião, dentre outros, para a Secretaria Especial de Comunicação Social</w:t>
      </w:r>
      <w:r w:rsidR="009C4B6D" w:rsidRPr="00D53537">
        <w:rPr>
          <w:sz w:val="22"/>
          <w:szCs w:val="22"/>
        </w:rPr>
        <w:t xml:space="preserve"> daquela Casa Legislativa</w:t>
      </w:r>
      <w:r w:rsidRPr="00D53537">
        <w:rPr>
          <w:sz w:val="22"/>
          <w:szCs w:val="22"/>
        </w:rPr>
        <w:t>. Dentre tais irregularidades, constou a fixação de salário base dos prestadores de serviço</w:t>
      </w:r>
      <w:r w:rsidR="009D0928">
        <w:rPr>
          <w:sz w:val="22"/>
          <w:szCs w:val="22"/>
        </w:rPr>
        <w:t>. Ouvido, o</w:t>
      </w:r>
      <w:r w:rsidRPr="00D53537">
        <w:rPr>
          <w:sz w:val="22"/>
          <w:szCs w:val="22"/>
        </w:rPr>
        <w:t xml:space="preserve"> Ministério Público junto ao TCU – (MPTCU)</w:t>
      </w:r>
      <w:r w:rsidR="000A1EBD" w:rsidRPr="00D53537">
        <w:rPr>
          <w:sz w:val="22"/>
          <w:szCs w:val="22"/>
        </w:rPr>
        <w:t xml:space="preserve"> </w:t>
      </w:r>
      <w:r w:rsidR="00EC0569" w:rsidRPr="00D53537">
        <w:rPr>
          <w:sz w:val="22"/>
          <w:szCs w:val="22"/>
        </w:rPr>
        <w:t>registrou que “</w:t>
      </w:r>
      <w:r w:rsidR="00EC0569" w:rsidRPr="00D53537">
        <w:rPr>
          <w:i/>
          <w:sz w:val="22"/>
          <w:szCs w:val="22"/>
        </w:rPr>
        <w:t>até bem pouco tempo a maioria dos precedentes do TCU reputava tal prática como contrária ao art. 40, inciso X, da Lei nº 8.666/1993, uma vez que equivaleria à fixação de preços mínimos”.</w:t>
      </w:r>
      <w:r w:rsidR="00EC0569" w:rsidRPr="00D53537">
        <w:rPr>
          <w:sz w:val="22"/>
          <w:szCs w:val="22"/>
        </w:rPr>
        <w:t xml:space="preserve"> No entanto, </w:t>
      </w:r>
      <w:r w:rsidR="000A1EBD" w:rsidRPr="00D53537">
        <w:rPr>
          <w:sz w:val="22"/>
          <w:szCs w:val="22"/>
        </w:rPr>
        <w:t xml:space="preserve">ainda para o MPTCU, </w:t>
      </w:r>
      <w:r w:rsidR="00EC0569" w:rsidRPr="00D53537">
        <w:rPr>
          <w:sz w:val="22"/>
          <w:szCs w:val="22"/>
        </w:rPr>
        <w:t xml:space="preserve">o entendimento, </w:t>
      </w:r>
      <w:r w:rsidR="000A1EBD" w:rsidRPr="00D53537">
        <w:rPr>
          <w:sz w:val="22"/>
          <w:szCs w:val="22"/>
        </w:rPr>
        <w:t>conforme</w:t>
      </w:r>
      <w:r w:rsidR="00EC0569" w:rsidRPr="00D53537">
        <w:rPr>
          <w:sz w:val="22"/>
          <w:szCs w:val="22"/>
        </w:rPr>
        <w:t xml:space="preserve"> diversos precedentes jurisprudenciais do TCU, foi relativizado, no sentido de ser possível a </w:t>
      </w:r>
      <w:r w:rsidR="00EC0569" w:rsidRPr="00D53537">
        <w:rPr>
          <w:color w:val="000000"/>
          <w:sz w:val="22"/>
          <w:szCs w:val="22"/>
        </w:rPr>
        <w:t>fixação de remuneração mínima, mas em caráter excepcional</w:t>
      </w:r>
      <w:r w:rsidR="000A1EBD" w:rsidRPr="00D53537">
        <w:rPr>
          <w:i/>
          <w:sz w:val="22"/>
          <w:szCs w:val="22"/>
        </w:rPr>
        <w:t>.</w:t>
      </w:r>
      <w:r w:rsidR="000A1EBD" w:rsidRPr="00D53537">
        <w:rPr>
          <w:sz w:val="22"/>
          <w:szCs w:val="22"/>
        </w:rPr>
        <w:t xml:space="preserve"> </w:t>
      </w:r>
      <w:r w:rsidR="001B7F4F" w:rsidRPr="00D53537">
        <w:rPr>
          <w:sz w:val="22"/>
          <w:szCs w:val="22"/>
        </w:rPr>
        <w:t>Em seu voto, considerando julgados anteriores e o pronunciamento do MPTCU, o relator enfatizou ser necessário atentar para a flexibilização das regras acerca da vedação do estabelecimento, no edital, de salário base dos prestadores de serviço, “</w:t>
      </w:r>
      <w:r w:rsidR="001B7F4F" w:rsidRPr="00D53537">
        <w:rPr>
          <w:i/>
          <w:sz w:val="22"/>
          <w:szCs w:val="22"/>
        </w:rPr>
        <w:t>naquelas situações específicas em que o estabelecimento de piso salarial visasse preservar a dignidade do trabalho e criar condições propícias à eficiente realização do serviço, não implicando benefícios diretos à empresa contratada, mas sim aos trabalhadores, muito menos criando obstáculos à competição ou determinando o preço final da contratação</w:t>
      </w:r>
      <w:r w:rsidR="001B7F4F" w:rsidRPr="00D53537">
        <w:rPr>
          <w:sz w:val="22"/>
          <w:szCs w:val="22"/>
        </w:rPr>
        <w:t xml:space="preserve"> (...) </w:t>
      </w:r>
      <w:r w:rsidR="001B7F4F" w:rsidRPr="00D53537">
        <w:rPr>
          <w:i/>
          <w:sz w:val="22"/>
          <w:szCs w:val="22"/>
        </w:rPr>
        <w:t>uma vez que tal tipo de procedimento passou a ser admitido como legítimo em inúmeros julgados deste Tribunal</w:t>
      </w:r>
      <w:r w:rsidR="001B7F4F" w:rsidRPr="00D53537">
        <w:rPr>
          <w:sz w:val="22"/>
          <w:szCs w:val="22"/>
        </w:rPr>
        <w:t xml:space="preserve">”. Assim, votou, e o Plenário aprovou, pela improcedência da representação. </w:t>
      </w:r>
      <w:r w:rsidRPr="00D53537">
        <w:rPr>
          <w:sz w:val="22"/>
          <w:szCs w:val="22"/>
        </w:rPr>
        <w:t>Precedentes citados</w:t>
      </w:r>
      <w:r w:rsidRPr="00D53537">
        <w:rPr>
          <w:color w:val="FF0000"/>
          <w:sz w:val="22"/>
          <w:szCs w:val="22"/>
        </w:rPr>
        <w:t>:</w:t>
      </w:r>
      <w:r w:rsidR="001F1E8F" w:rsidRPr="00D53537">
        <w:rPr>
          <w:color w:val="FF0000"/>
          <w:sz w:val="22"/>
          <w:szCs w:val="22"/>
        </w:rPr>
        <w:t xml:space="preserve"> </w:t>
      </w:r>
      <w:r w:rsidRPr="00D53537">
        <w:rPr>
          <w:sz w:val="22"/>
          <w:szCs w:val="22"/>
        </w:rPr>
        <w:t>Acórdãos n</w:t>
      </w:r>
      <w:r w:rsidRPr="00D53537">
        <w:rPr>
          <w:sz w:val="22"/>
          <w:szCs w:val="22"/>
          <w:u w:val="single"/>
          <w:vertAlign w:val="superscript"/>
        </w:rPr>
        <w:t>os</w:t>
      </w:r>
      <w:r w:rsidRPr="00D53537">
        <w:rPr>
          <w:sz w:val="22"/>
          <w:szCs w:val="22"/>
        </w:rPr>
        <w:t> 256/2005-TCU, 290/2006, 1.327/2006, 332/2010, 1.584/2010, todos do Plenário.</w:t>
      </w:r>
      <w:r w:rsidRPr="00D53537">
        <w:rPr>
          <w:b/>
          <w:i/>
          <w:sz w:val="22"/>
          <w:szCs w:val="22"/>
        </w:rPr>
        <w:t xml:space="preserve"> </w:t>
      </w:r>
      <w:r w:rsidR="001F1E8F" w:rsidRPr="00D53537">
        <w:rPr>
          <w:b/>
          <w:i/>
          <w:sz w:val="22"/>
          <w:szCs w:val="22"/>
        </w:rPr>
        <w:t>Acórdão n.º 1</w:t>
      </w:r>
      <w:r w:rsidRPr="00D53537">
        <w:rPr>
          <w:b/>
          <w:i/>
          <w:sz w:val="22"/>
          <w:szCs w:val="22"/>
        </w:rPr>
        <w:t>89</w:t>
      </w:r>
      <w:r w:rsidR="001F1E8F" w:rsidRPr="00D53537">
        <w:rPr>
          <w:b/>
          <w:i/>
          <w:sz w:val="22"/>
          <w:szCs w:val="22"/>
        </w:rPr>
        <w:t>/2011-Plenário, TC-03</w:t>
      </w:r>
      <w:r w:rsidRPr="00D53537">
        <w:rPr>
          <w:b/>
          <w:i/>
          <w:sz w:val="22"/>
          <w:szCs w:val="22"/>
        </w:rPr>
        <w:t>2</w:t>
      </w:r>
      <w:r w:rsidR="001F1E8F" w:rsidRPr="00D53537">
        <w:rPr>
          <w:b/>
          <w:i/>
          <w:sz w:val="22"/>
          <w:szCs w:val="22"/>
        </w:rPr>
        <w:t>.</w:t>
      </w:r>
      <w:r w:rsidRPr="00D53537">
        <w:rPr>
          <w:b/>
          <w:i/>
          <w:sz w:val="22"/>
          <w:szCs w:val="22"/>
        </w:rPr>
        <w:t>439</w:t>
      </w:r>
      <w:r w:rsidR="001F1E8F" w:rsidRPr="00D53537">
        <w:rPr>
          <w:b/>
          <w:i/>
          <w:sz w:val="22"/>
          <w:szCs w:val="22"/>
        </w:rPr>
        <w:t>/200</w:t>
      </w:r>
      <w:r w:rsidRPr="00D53537">
        <w:rPr>
          <w:b/>
          <w:i/>
          <w:sz w:val="22"/>
          <w:szCs w:val="22"/>
        </w:rPr>
        <w:t>8</w:t>
      </w:r>
      <w:r w:rsidR="001F1E8F" w:rsidRPr="00D53537">
        <w:rPr>
          <w:b/>
          <w:i/>
          <w:sz w:val="22"/>
          <w:szCs w:val="22"/>
        </w:rPr>
        <w:t xml:space="preserve">-0, rel. Min. </w:t>
      </w:r>
      <w:r w:rsidRPr="00D53537">
        <w:rPr>
          <w:b/>
          <w:i/>
          <w:sz w:val="22"/>
          <w:szCs w:val="22"/>
        </w:rPr>
        <w:t>José Múcio</w:t>
      </w:r>
      <w:r w:rsidR="001F1E8F" w:rsidRPr="00D53537">
        <w:rPr>
          <w:b/>
          <w:i/>
          <w:sz w:val="22"/>
          <w:szCs w:val="22"/>
        </w:rPr>
        <w:t xml:space="preserve">, </w:t>
      </w:r>
      <w:r w:rsidRPr="00D53537">
        <w:rPr>
          <w:b/>
          <w:i/>
          <w:sz w:val="22"/>
          <w:szCs w:val="22"/>
        </w:rPr>
        <w:t>02</w:t>
      </w:r>
      <w:r w:rsidR="001F1E8F" w:rsidRPr="00D53537">
        <w:rPr>
          <w:b/>
          <w:i/>
          <w:sz w:val="22"/>
          <w:szCs w:val="22"/>
        </w:rPr>
        <w:t>.0</w:t>
      </w:r>
      <w:r w:rsidRPr="00D53537">
        <w:rPr>
          <w:b/>
          <w:i/>
          <w:sz w:val="22"/>
          <w:szCs w:val="22"/>
        </w:rPr>
        <w:t>2</w:t>
      </w:r>
      <w:r w:rsidR="001F1E8F" w:rsidRPr="00D53537">
        <w:rPr>
          <w:b/>
          <w:i/>
          <w:sz w:val="22"/>
          <w:szCs w:val="22"/>
        </w:rPr>
        <w:t xml:space="preserve">.2011. </w:t>
      </w:r>
    </w:p>
    <w:p w:rsidR="001F1E8F" w:rsidRPr="00D53537" w:rsidRDefault="001F1E8F" w:rsidP="00D53537">
      <w:pPr>
        <w:pStyle w:val="indice"/>
        <w:spacing w:line="240" w:lineRule="auto"/>
        <w:rPr>
          <w:b/>
          <w:color w:val="auto"/>
        </w:rPr>
      </w:pPr>
    </w:p>
    <w:p w:rsidR="00914B48" w:rsidRPr="00D53537" w:rsidRDefault="00545FC7" w:rsidP="00D53537">
      <w:pPr>
        <w:pStyle w:val="indice"/>
        <w:spacing w:line="240" w:lineRule="auto"/>
        <w:rPr>
          <w:b/>
        </w:rPr>
      </w:pPr>
      <w:r w:rsidRPr="00D53537">
        <w:rPr>
          <w:b/>
          <w:color w:val="auto"/>
        </w:rPr>
        <w:t xml:space="preserve">Contratação de plano de saúde para servidores: </w:t>
      </w:r>
      <w:r w:rsidRPr="00D53537">
        <w:rPr>
          <w:b/>
        </w:rPr>
        <w:t xml:space="preserve">1 – </w:t>
      </w:r>
      <w:r w:rsidR="009C4B6D" w:rsidRPr="00D53537">
        <w:rPr>
          <w:b/>
        </w:rPr>
        <w:t>Mesmo que não haja dispêndio efetivo de recursos públicos, as contratações realizadas por entidades de natureza pública submetem-se à fiscalização do TCU</w:t>
      </w:r>
    </w:p>
    <w:p w:rsidR="0027686D" w:rsidRPr="00D53537" w:rsidRDefault="003853FF" w:rsidP="00D53537">
      <w:pPr>
        <w:tabs>
          <w:tab w:val="left" w:pos="1134"/>
        </w:tabs>
        <w:spacing w:after="0"/>
        <w:ind w:left="0"/>
        <w:rPr>
          <w:b/>
          <w:i/>
          <w:sz w:val="22"/>
          <w:szCs w:val="22"/>
        </w:rPr>
      </w:pPr>
      <w:r w:rsidRPr="00D53537">
        <w:rPr>
          <w:sz w:val="22"/>
          <w:szCs w:val="22"/>
          <w:lang w:eastAsia="pt-BR"/>
        </w:rPr>
        <w:t xml:space="preserve">Representação </w:t>
      </w:r>
      <w:r w:rsidRPr="00D53537">
        <w:rPr>
          <w:sz w:val="22"/>
          <w:szCs w:val="22"/>
        </w:rPr>
        <w:t>informou ao TCU a possível ocorrência de irregularidades no edital do Chamamento Público 1/2010, promovido pelo Conselho Regional de Enfermagem do Estado do Rio de Janeiro (Coren/RJ), cujo objeto consistiu n</w:t>
      </w:r>
      <w:r w:rsidR="009C4B6D" w:rsidRPr="00D53537">
        <w:rPr>
          <w:sz w:val="22"/>
          <w:szCs w:val="22"/>
        </w:rPr>
        <w:t>o</w:t>
      </w:r>
      <w:r w:rsidRPr="00D53537">
        <w:rPr>
          <w:sz w:val="22"/>
          <w:szCs w:val="22"/>
        </w:rPr>
        <w:t xml:space="preserve"> credenciamento de administradora, mediante termo de parceria, que disponibilizasse plano privado de assistência à saúde coletivo por adesão aos profissionais de enfermagem inscritos naquele conselho e seus dependentes. Em preliminar</w:t>
      </w:r>
      <w:r w:rsidR="009C4B6D" w:rsidRPr="00D53537">
        <w:rPr>
          <w:sz w:val="22"/>
          <w:szCs w:val="22"/>
        </w:rPr>
        <w:t xml:space="preserve"> suscitada</w:t>
      </w:r>
      <w:r w:rsidRPr="00D53537">
        <w:rPr>
          <w:sz w:val="22"/>
          <w:szCs w:val="22"/>
        </w:rPr>
        <w:t xml:space="preserve">, o Coren argumentou que a </w:t>
      </w:r>
      <w:r w:rsidRPr="00D53537">
        <w:rPr>
          <w:sz w:val="22"/>
          <w:szCs w:val="22"/>
          <w:lang w:eastAsia="pt-BR"/>
        </w:rPr>
        <w:t xml:space="preserve">representação não deveria ser conhecida pelo TCU, uma vez que não haverá dispêndio de recursos pelo Conselho, do que divergiu o relator, pois, </w:t>
      </w:r>
      <w:r w:rsidR="00545FC7" w:rsidRPr="00D53537">
        <w:rPr>
          <w:sz w:val="22"/>
          <w:szCs w:val="22"/>
          <w:lang w:eastAsia="pt-BR"/>
        </w:rPr>
        <w:t>para ele, “</w:t>
      </w:r>
      <w:r w:rsidR="00545FC7" w:rsidRPr="00D53537">
        <w:rPr>
          <w:i/>
          <w:sz w:val="22"/>
          <w:szCs w:val="22"/>
        </w:rPr>
        <w:t>embora previsto que o termo de parceria será custeado integralmente pelas contribuições dos profissionais beneficiários do plano de saúde, sendo a contratação promovida pelo Coren/RJ, entidade de natureza pública, deve haver o respeito aos princípios constitucionais atinentes à espécie</w:t>
      </w:r>
      <w:r w:rsidR="00545FC7" w:rsidRPr="00D53537">
        <w:rPr>
          <w:sz w:val="22"/>
          <w:szCs w:val="22"/>
        </w:rPr>
        <w:t>”</w:t>
      </w:r>
      <w:r w:rsidR="009C4B6D" w:rsidRPr="00D53537">
        <w:rPr>
          <w:sz w:val="22"/>
          <w:szCs w:val="22"/>
        </w:rPr>
        <w:t>, razão que justificaria a atuação do Tribunal</w:t>
      </w:r>
      <w:r w:rsidR="00545FC7" w:rsidRPr="00D53537">
        <w:rPr>
          <w:sz w:val="22"/>
          <w:szCs w:val="22"/>
        </w:rPr>
        <w:t>.</w:t>
      </w:r>
      <w:r w:rsidR="00D17CC6" w:rsidRPr="00D53537">
        <w:rPr>
          <w:sz w:val="22"/>
          <w:szCs w:val="22"/>
        </w:rPr>
        <w:t xml:space="preserve"> </w:t>
      </w:r>
      <w:r w:rsidR="009C4B6D" w:rsidRPr="00D53537">
        <w:rPr>
          <w:sz w:val="22"/>
          <w:szCs w:val="22"/>
        </w:rPr>
        <w:t>O</w:t>
      </w:r>
      <w:r w:rsidR="00D17CC6" w:rsidRPr="00D53537">
        <w:rPr>
          <w:sz w:val="22"/>
          <w:szCs w:val="22"/>
        </w:rPr>
        <w:t xml:space="preserve"> Plenário </w:t>
      </w:r>
      <w:r w:rsidR="009C4B6D" w:rsidRPr="00D53537">
        <w:rPr>
          <w:sz w:val="22"/>
          <w:szCs w:val="22"/>
        </w:rPr>
        <w:t xml:space="preserve">anuiu à conclusão do relator </w:t>
      </w:r>
      <w:r w:rsidR="00D17CC6" w:rsidRPr="00D53537">
        <w:rPr>
          <w:sz w:val="22"/>
          <w:szCs w:val="22"/>
        </w:rPr>
        <w:t xml:space="preserve">quanto à </w:t>
      </w:r>
      <w:r w:rsidR="009C4B6D" w:rsidRPr="00D53537">
        <w:rPr>
          <w:sz w:val="22"/>
          <w:szCs w:val="22"/>
        </w:rPr>
        <w:t xml:space="preserve">questão </w:t>
      </w:r>
      <w:r w:rsidR="00D17CC6" w:rsidRPr="00D53537">
        <w:rPr>
          <w:sz w:val="22"/>
          <w:szCs w:val="22"/>
        </w:rPr>
        <w:t xml:space="preserve">preliminar. </w:t>
      </w:r>
      <w:r w:rsidRPr="00D53537">
        <w:rPr>
          <w:b/>
          <w:i/>
          <w:sz w:val="22"/>
          <w:szCs w:val="22"/>
        </w:rPr>
        <w:t>Acórdão n.º 197/2011-Plenário, TC-032.659/2010-5, rel. Min-Subst. Augusto Sherman Cavalcanti, 2.02.2011.</w:t>
      </w:r>
    </w:p>
    <w:p w:rsidR="003853FF" w:rsidRPr="00D53537" w:rsidRDefault="003853FF" w:rsidP="00D53537">
      <w:pPr>
        <w:pStyle w:val="TCU-Epgrafe"/>
        <w:tabs>
          <w:tab w:val="left" w:pos="1134"/>
        </w:tabs>
        <w:ind w:left="0"/>
        <w:rPr>
          <w:color w:val="FF0000"/>
          <w:sz w:val="22"/>
          <w:szCs w:val="22"/>
        </w:rPr>
      </w:pPr>
    </w:p>
    <w:p w:rsidR="009C4B6D" w:rsidRPr="00D53537" w:rsidRDefault="009C4B6D" w:rsidP="00D53537">
      <w:pPr>
        <w:pStyle w:val="indice"/>
        <w:spacing w:line="240" w:lineRule="auto"/>
        <w:rPr>
          <w:b/>
        </w:rPr>
      </w:pPr>
      <w:r w:rsidRPr="00D53537">
        <w:rPr>
          <w:b/>
          <w:color w:val="auto"/>
        </w:rPr>
        <w:t xml:space="preserve">Contratação de plano de saúde para servidores: </w:t>
      </w:r>
      <w:r w:rsidR="00097863" w:rsidRPr="00D53537">
        <w:rPr>
          <w:b/>
          <w:color w:val="auto"/>
        </w:rPr>
        <w:t>2</w:t>
      </w:r>
      <w:r w:rsidRPr="00D53537">
        <w:rPr>
          <w:b/>
        </w:rPr>
        <w:t xml:space="preserve"> – </w:t>
      </w:r>
      <w:r w:rsidR="00CD407F" w:rsidRPr="00D53537">
        <w:rPr>
          <w:b/>
        </w:rPr>
        <w:t>Não</w:t>
      </w:r>
      <w:r w:rsidR="00097863" w:rsidRPr="00D53537">
        <w:rPr>
          <w:b/>
        </w:rPr>
        <w:t xml:space="preserve"> </w:t>
      </w:r>
      <w:r w:rsidR="005C7644" w:rsidRPr="00D53537">
        <w:rPr>
          <w:b/>
        </w:rPr>
        <w:t>se admite a definição prévia de operadora quando da renovação de plano de saúde para servidores</w:t>
      </w:r>
    </w:p>
    <w:p w:rsidR="00D17CC6" w:rsidRPr="00D53537" w:rsidRDefault="00D17CC6" w:rsidP="00D53537">
      <w:pPr>
        <w:tabs>
          <w:tab w:val="left" w:pos="1134"/>
        </w:tabs>
        <w:spacing w:after="0"/>
        <w:ind w:left="0"/>
        <w:rPr>
          <w:b/>
          <w:i/>
          <w:sz w:val="22"/>
          <w:szCs w:val="22"/>
        </w:rPr>
      </w:pPr>
      <w:r w:rsidRPr="00D53537">
        <w:rPr>
          <w:sz w:val="22"/>
          <w:szCs w:val="22"/>
          <w:lang w:eastAsia="pt-BR"/>
        </w:rPr>
        <w:t xml:space="preserve">Ainda na representação que </w:t>
      </w:r>
      <w:r w:rsidRPr="00D53537">
        <w:rPr>
          <w:sz w:val="22"/>
          <w:szCs w:val="22"/>
        </w:rPr>
        <w:t xml:space="preserve">informou ao TCU a possível ocorrência de irregularidades no edital do Chamamento Público 1/2010, promovido pelo Conselho Regional de Enfermagem do Estado do Rio de Janeiro (Coren/RJ), no mérito, questionou-se o item 3.1 do edital </w:t>
      </w:r>
      <w:r w:rsidR="00AF4BF4" w:rsidRPr="00D53537">
        <w:rPr>
          <w:sz w:val="22"/>
          <w:szCs w:val="22"/>
        </w:rPr>
        <w:t>de referência</w:t>
      </w:r>
      <w:r w:rsidRPr="00D53537">
        <w:rPr>
          <w:sz w:val="22"/>
          <w:szCs w:val="22"/>
        </w:rPr>
        <w:t xml:space="preserve">, o qual determinava que o plano </w:t>
      </w:r>
      <w:r w:rsidR="00097863" w:rsidRPr="00D53537">
        <w:rPr>
          <w:sz w:val="22"/>
          <w:szCs w:val="22"/>
        </w:rPr>
        <w:t xml:space="preserve">de saúde </w:t>
      </w:r>
      <w:r w:rsidRPr="00D53537">
        <w:rPr>
          <w:sz w:val="22"/>
          <w:szCs w:val="22"/>
        </w:rPr>
        <w:t>a ser ofertado deveria ser o da Unimed-Rio. Para a representante, “</w:t>
      </w:r>
      <w:r w:rsidRPr="00D53537">
        <w:rPr>
          <w:i/>
          <w:sz w:val="22"/>
          <w:szCs w:val="22"/>
        </w:rPr>
        <w:t>a definição prévia de qual operadora de planos deverá prestar o serviço de assistência à saúde fere os princípios da isonomia, da impessoalidade, da legalidade, da finalidade e da moralidade, além de restringir a competitividade</w:t>
      </w:r>
      <w:r w:rsidRPr="00D53537">
        <w:rPr>
          <w:sz w:val="22"/>
          <w:szCs w:val="22"/>
        </w:rPr>
        <w:t xml:space="preserve">”. Ouvido pelo TCU, o Coren/RJ alegou a </w:t>
      </w:r>
      <w:r w:rsidRPr="00D53537">
        <w:rPr>
          <w:sz w:val="22"/>
          <w:szCs w:val="22"/>
          <w:lang w:eastAsia="pt-BR"/>
        </w:rPr>
        <w:t xml:space="preserve">existência de contrato anterior com aquela operadora, em que </w:t>
      </w:r>
      <w:r w:rsidRPr="00D53537">
        <w:rPr>
          <w:iCs/>
          <w:sz w:val="22"/>
          <w:szCs w:val="22"/>
          <w:lang w:eastAsia="pt-BR"/>
        </w:rPr>
        <w:t xml:space="preserve">já existiria a cobertura </w:t>
      </w:r>
      <w:r w:rsidRPr="00D53537">
        <w:rPr>
          <w:sz w:val="22"/>
          <w:szCs w:val="22"/>
          <w:lang w:eastAsia="pt-BR"/>
        </w:rPr>
        <w:t>de, aproximadamente, mil beneficiários, bem como a impossibilidade de renovação direta, além da probabilidade de ocorrência de transtornos aos beneficiários no momento da</w:t>
      </w:r>
      <w:r w:rsidR="00AF4BF4" w:rsidRPr="00D53537">
        <w:rPr>
          <w:sz w:val="22"/>
          <w:szCs w:val="22"/>
          <w:lang w:eastAsia="pt-BR"/>
        </w:rPr>
        <w:t xml:space="preserve"> migração entre planos de saúde</w:t>
      </w:r>
      <w:r w:rsidR="00097863" w:rsidRPr="00D53537">
        <w:rPr>
          <w:sz w:val="22"/>
          <w:szCs w:val="22"/>
          <w:lang w:eastAsia="pt-BR"/>
        </w:rPr>
        <w:t>, no caso de mudança</w:t>
      </w:r>
      <w:r w:rsidR="00AF4BF4" w:rsidRPr="00D53537">
        <w:rPr>
          <w:sz w:val="22"/>
          <w:szCs w:val="22"/>
          <w:lang w:eastAsia="pt-BR"/>
        </w:rPr>
        <w:t>. Tais justificativas, para o relator, não deveriam ser acatadas, pois, “</w:t>
      </w:r>
      <w:r w:rsidR="00AF4BF4" w:rsidRPr="00D53537">
        <w:rPr>
          <w:i/>
          <w:snapToGrid w:val="0"/>
          <w:sz w:val="22"/>
          <w:szCs w:val="22"/>
        </w:rPr>
        <w:t>a mudança de operadoras de saúde em contratos coletivos é prática comum e devidamente fiscalizada pela Agência Nacional de Saúde Suplementar – (ANS)</w:t>
      </w:r>
      <w:r w:rsidR="00AF4BF4" w:rsidRPr="00D53537">
        <w:rPr>
          <w:snapToGrid w:val="0"/>
          <w:sz w:val="22"/>
          <w:szCs w:val="22"/>
        </w:rPr>
        <w:t>”. Ou seja, não haveria qualquer prejuízo aos beneficiários, que possuem a garantia de mudar de plano de saúde levando consigo as carências já cumpridas, permitindo, com estímulo à concorrência, a escolha da proposta mais vantajosa. Além disso, enfatizou que, “</w:t>
      </w:r>
      <w:r w:rsidR="00AF4BF4" w:rsidRPr="00D53537">
        <w:rPr>
          <w:i/>
          <w:snapToGrid w:val="0"/>
          <w:sz w:val="22"/>
          <w:szCs w:val="22"/>
        </w:rPr>
        <w:t>caso a argumentação do Coren/RJ fosse acatada, uma primeira operadora contratada teria sempre a renovação garantida, excluindo dos certames as administradoras que trabalhassem com outras operadoras de saúde de mesmo nível de qualidade</w:t>
      </w:r>
      <w:r w:rsidR="00AF4BF4" w:rsidRPr="00D53537">
        <w:rPr>
          <w:snapToGrid w:val="0"/>
          <w:sz w:val="22"/>
          <w:szCs w:val="22"/>
        </w:rPr>
        <w:t xml:space="preserve">”. Votou, então, pela procedência da representação, bem como por que se expedisse determinação ao Coren/RJ, para que excluísse o item 3.1 do edital do </w:t>
      </w:r>
      <w:r w:rsidR="00AF4BF4" w:rsidRPr="00D53537">
        <w:rPr>
          <w:sz w:val="22"/>
          <w:szCs w:val="22"/>
        </w:rPr>
        <w:t xml:space="preserve">Chamamento Público 1/2010, no que contou com a anuência do Plenário. </w:t>
      </w:r>
      <w:r w:rsidRPr="00D53537">
        <w:rPr>
          <w:b/>
          <w:i/>
          <w:sz w:val="22"/>
          <w:szCs w:val="22"/>
        </w:rPr>
        <w:t>Acórdão n.º 197/2011-Plenário, TC-032.659/2010-5, rel. Min-Subst. Augusto Sherman Cavalcanti, 2.02.2011.</w:t>
      </w:r>
    </w:p>
    <w:p w:rsidR="00070785" w:rsidRPr="00D53537" w:rsidRDefault="00070785" w:rsidP="00D53537">
      <w:pPr>
        <w:pStyle w:val="TCU-RelVoto-demais"/>
        <w:spacing w:after="0"/>
        <w:rPr>
          <w:color w:val="FF0000"/>
          <w:sz w:val="22"/>
        </w:rPr>
      </w:pPr>
    </w:p>
    <w:p w:rsidR="0027686D" w:rsidRPr="00D53537" w:rsidRDefault="0027686D" w:rsidP="008B3D72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D53537">
        <w:rPr>
          <w:rFonts w:ascii="Cambria" w:hAnsi="Cambria"/>
          <w:b/>
          <w:bCs/>
          <w:smallCaps/>
          <w:sz w:val="22"/>
          <w:szCs w:val="22"/>
        </w:rPr>
        <w:t>PRIMEIRA CÂMARA</w:t>
      </w:r>
    </w:p>
    <w:p w:rsidR="00C81B05" w:rsidRPr="00D53537" w:rsidRDefault="00C81B05" w:rsidP="008B3D72">
      <w:pPr>
        <w:pStyle w:val="enter-3pt"/>
        <w:spacing w:line="240" w:lineRule="auto"/>
        <w:rPr>
          <w:b/>
          <w:color w:val="FF0000"/>
          <w:sz w:val="22"/>
          <w:szCs w:val="22"/>
        </w:rPr>
      </w:pPr>
    </w:p>
    <w:p w:rsidR="0027686D" w:rsidRPr="008B3D72" w:rsidRDefault="008B3D72" w:rsidP="008B3D72">
      <w:pPr>
        <w:pStyle w:val="enter-3pt"/>
        <w:spacing w:line="240" w:lineRule="auto"/>
        <w:rPr>
          <w:b/>
          <w:color w:val="000000"/>
          <w:sz w:val="22"/>
          <w:szCs w:val="22"/>
        </w:rPr>
      </w:pPr>
      <w:r w:rsidRPr="008B3D72">
        <w:rPr>
          <w:b/>
          <w:color w:val="000000"/>
          <w:sz w:val="22"/>
          <w:szCs w:val="22"/>
        </w:rPr>
        <w:t xml:space="preserve">A dispensa de licitação com base na emergência mencionada no art. 24, inc. IV, da Lei 8.666/1993 deve ser apropriadamente evidenciada </w:t>
      </w:r>
    </w:p>
    <w:p w:rsidR="0027686D" w:rsidRPr="00D53537" w:rsidRDefault="00993C2E" w:rsidP="00D53537">
      <w:pPr>
        <w:widowControl w:val="0"/>
        <w:tabs>
          <w:tab w:val="left" w:pos="0"/>
          <w:tab w:val="left" w:pos="1134"/>
          <w:tab w:val="left" w:pos="2268"/>
          <w:tab w:val="left" w:pos="3402"/>
          <w:tab w:val="left" w:pos="5670"/>
          <w:tab w:val="left" w:pos="6804"/>
          <w:tab w:val="left" w:pos="7938"/>
          <w:tab w:val="left" w:pos="9072"/>
          <w:tab w:val="left" w:pos="10206"/>
        </w:tabs>
        <w:spacing w:after="0"/>
        <w:ind w:left="0"/>
        <w:rPr>
          <w:b/>
          <w:i/>
          <w:sz w:val="22"/>
          <w:szCs w:val="22"/>
        </w:rPr>
      </w:pPr>
      <w:r w:rsidRPr="00D53537">
        <w:rPr>
          <w:color w:val="000000"/>
          <w:sz w:val="22"/>
          <w:szCs w:val="22"/>
          <w:lang w:eastAsia="pt-BR"/>
        </w:rPr>
        <w:t xml:space="preserve">Em sede processo de representação, o Tribunal apurou diversas supostas irregularidades em </w:t>
      </w:r>
      <w:r w:rsidRPr="00D53537">
        <w:rPr>
          <w:color w:val="000000"/>
          <w:sz w:val="22"/>
          <w:szCs w:val="22"/>
        </w:rPr>
        <w:t>contratação</w:t>
      </w:r>
      <w:r w:rsidRPr="00D53537">
        <w:rPr>
          <w:sz w:val="22"/>
          <w:szCs w:val="22"/>
        </w:rPr>
        <w:t xml:space="preserve"> direta promovida pelo Tribunal Regional do</w:t>
      </w:r>
      <w:r w:rsidR="005A3835" w:rsidRPr="00D53537">
        <w:rPr>
          <w:sz w:val="22"/>
          <w:szCs w:val="22"/>
        </w:rPr>
        <w:t xml:space="preserve"> Trabalho da 14ª Região (TRT-14</w:t>
      </w:r>
      <w:r w:rsidRPr="00D53537">
        <w:rPr>
          <w:sz w:val="22"/>
          <w:szCs w:val="22"/>
        </w:rPr>
        <w:t xml:space="preserve">) de empresa prestadora de fornecimento de passagens aéreas. Após a </w:t>
      </w:r>
      <w:r w:rsidR="005A3835" w:rsidRPr="00D53537">
        <w:rPr>
          <w:sz w:val="22"/>
          <w:szCs w:val="22"/>
        </w:rPr>
        <w:t>instrução d</w:t>
      </w:r>
      <w:r w:rsidRPr="00D53537">
        <w:rPr>
          <w:sz w:val="22"/>
          <w:szCs w:val="22"/>
        </w:rPr>
        <w:t xml:space="preserve">a unidade técnica, o relator entendeu remanescer irregularidade </w:t>
      </w:r>
      <w:r w:rsidR="00D53537" w:rsidRPr="00D53537">
        <w:rPr>
          <w:sz w:val="22"/>
          <w:szCs w:val="22"/>
        </w:rPr>
        <w:t>quanto à</w:t>
      </w:r>
      <w:r w:rsidRPr="00D53537">
        <w:rPr>
          <w:sz w:val="22"/>
          <w:szCs w:val="22"/>
        </w:rPr>
        <w:t xml:space="preserve"> utilização do art. 24, IV, da Lei nº 8.666/1993, como fundamento da contratação, uma vez que esse dispositivo não poderia ser invocado quando não demonstrada, de maneira concreta e efetiva, a necessidade de urgência de atendimento, nem quando essa situação decorra da falta de planejamento, da desídia administrativa ou da má gestão dos recursos públicos do próprio órgão contratante. </w:t>
      </w:r>
      <w:r w:rsidR="005A3835" w:rsidRPr="00D53537">
        <w:rPr>
          <w:sz w:val="22"/>
          <w:szCs w:val="22"/>
        </w:rPr>
        <w:t>Na espécie, o TRT-14 entende</w:t>
      </w:r>
      <w:r w:rsidR="00D53537" w:rsidRPr="00D53537">
        <w:rPr>
          <w:sz w:val="22"/>
          <w:szCs w:val="22"/>
        </w:rPr>
        <w:t>u</w:t>
      </w:r>
      <w:r w:rsidR="005A3835" w:rsidRPr="00D53537">
        <w:rPr>
          <w:sz w:val="22"/>
          <w:szCs w:val="22"/>
        </w:rPr>
        <w:t xml:space="preserve"> que a situação emergencial que sustentaria a utilização do dispositivo legal seria “</w:t>
      </w:r>
      <w:r w:rsidR="005A3835" w:rsidRPr="00D53537">
        <w:rPr>
          <w:i/>
          <w:sz w:val="22"/>
          <w:szCs w:val="22"/>
        </w:rPr>
        <w:t>a extrapolação do valor contratual, decorrente de deficiências no acompanhamento no contrato e na falta de providências necessárias à realização de licitação</w:t>
      </w:r>
      <w:r w:rsidR="005A3835" w:rsidRPr="00D53537">
        <w:rPr>
          <w:sz w:val="22"/>
          <w:szCs w:val="22"/>
        </w:rPr>
        <w:t>”.  Todavia, para o relator, a alegação apresentada pelo TRT-14 da “</w:t>
      </w:r>
      <w:r w:rsidR="005A3835" w:rsidRPr="00D53537">
        <w:rPr>
          <w:i/>
          <w:sz w:val="22"/>
          <w:szCs w:val="22"/>
        </w:rPr>
        <w:t>necessidade de ‘deslocamento de magistrados, servidores e seus dependentes’ e de ‘possibilitar a participação de servidores e magistrados em cursos, treinamentos, simpósios e outros eventos’, não configura, salvo robusta fundamentação e evidenciação de fatos em contrário (inexistente nos autos), situação que possa subsumir-se na hipótese do art. 24, IV, da Lei nº 8.666/1993</w:t>
      </w:r>
      <w:r w:rsidR="00C81B05" w:rsidRPr="00D53537">
        <w:rPr>
          <w:sz w:val="22"/>
          <w:szCs w:val="22"/>
        </w:rPr>
        <w:t>”, sendo, portanto, irregular a contratação direta realizada com este fundamento, pelo que propôs a procedência da representação. Todavia, considerando o relator não ter se vislumbrado, nos autos, que a condut</w:t>
      </w:r>
      <w:r w:rsidR="00D53537" w:rsidRPr="00D53537">
        <w:rPr>
          <w:sz w:val="22"/>
          <w:szCs w:val="22"/>
        </w:rPr>
        <w:t>a equivocada tenha sido movi</w:t>
      </w:r>
      <w:r w:rsidR="00C81B05" w:rsidRPr="00D53537">
        <w:rPr>
          <w:sz w:val="22"/>
          <w:szCs w:val="22"/>
        </w:rPr>
        <w:t xml:space="preserve">da pela intenção de beneficiar determinada empresa ou que dela tenha resultado prejuízo aos cofres públicos, deixou de propor sanções aos responsáveis envolvidos, sem prejuízo de </w:t>
      </w:r>
      <w:r w:rsidR="00D53537" w:rsidRPr="00D53537">
        <w:rPr>
          <w:sz w:val="22"/>
          <w:szCs w:val="22"/>
        </w:rPr>
        <w:t>que foss</w:t>
      </w:r>
      <w:r w:rsidR="00C81B05" w:rsidRPr="00D53537">
        <w:rPr>
          <w:sz w:val="22"/>
          <w:szCs w:val="22"/>
        </w:rPr>
        <w:t>e</w:t>
      </w:r>
      <w:r w:rsidR="00D53537" w:rsidRPr="00D53537">
        <w:rPr>
          <w:sz w:val="22"/>
          <w:szCs w:val="22"/>
        </w:rPr>
        <w:t>m</w:t>
      </w:r>
      <w:r w:rsidR="00C81B05" w:rsidRPr="00D53537">
        <w:rPr>
          <w:sz w:val="22"/>
          <w:szCs w:val="22"/>
        </w:rPr>
        <w:t xml:space="preserve"> expedi</w:t>
      </w:r>
      <w:r w:rsidR="00D53537" w:rsidRPr="00D53537">
        <w:rPr>
          <w:sz w:val="22"/>
          <w:szCs w:val="22"/>
        </w:rPr>
        <w:t>das</w:t>
      </w:r>
      <w:r w:rsidR="00C81B05" w:rsidRPr="00D53537">
        <w:rPr>
          <w:sz w:val="22"/>
          <w:szCs w:val="22"/>
        </w:rPr>
        <w:t xml:space="preserve"> determinações corretivas para futuras contratações a serem realizadas pelo TRT-14 </w:t>
      </w:r>
      <w:r w:rsidR="00D53537" w:rsidRPr="00D53537">
        <w:rPr>
          <w:sz w:val="22"/>
          <w:szCs w:val="22"/>
        </w:rPr>
        <w:t xml:space="preserve">e </w:t>
      </w:r>
      <w:r w:rsidR="00C81B05" w:rsidRPr="00D53537">
        <w:rPr>
          <w:sz w:val="22"/>
          <w:szCs w:val="22"/>
        </w:rPr>
        <w:t>que venham a ser fundamentadas em situação emergencial</w:t>
      </w:r>
      <w:r w:rsidR="00D53537" w:rsidRPr="00D53537">
        <w:rPr>
          <w:sz w:val="22"/>
          <w:szCs w:val="22"/>
        </w:rPr>
        <w:t>. Em face do voto do relator,</w:t>
      </w:r>
      <w:r w:rsidR="00C81B05" w:rsidRPr="00D53537">
        <w:rPr>
          <w:sz w:val="22"/>
          <w:szCs w:val="22"/>
        </w:rPr>
        <w:t xml:space="preserve"> </w:t>
      </w:r>
      <w:r w:rsidR="00D53537" w:rsidRPr="00D53537">
        <w:rPr>
          <w:sz w:val="22"/>
          <w:szCs w:val="22"/>
        </w:rPr>
        <w:t xml:space="preserve">a </w:t>
      </w:r>
      <w:r w:rsidR="00C81B05" w:rsidRPr="00D53537">
        <w:rPr>
          <w:sz w:val="22"/>
          <w:szCs w:val="22"/>
        </w:rPr>
        <w:t>1ª Câmara</w:t>
      </w:r>
      <w:r w:rsidR="00D53537" w:rsidRPr="00D53537">
        <w:rPr>
          <w:sz w:val="22"/>
          <w:szCs w:val="22"/>
        </w:rPr>
        <w:t xml:space="preserve"> manifestação sua concordância</w:t>
      </w:r>
      <w:r w:rsidR="00C81B05" w:rsidRPr="00D53537">
        <w:rPr>
          <w:sz w:val="22"/>
          <w:szCs w:val="22"/>
        </w:rPr>
        <w:t xml:space="preserve">. </w:t>
      </w:r>
      <w:r w:rsidRPr="00D53537">
        <w:rPr>
          <w:sz w:val="22"/>
          <w:szCs w:val="22"/>
          <w:lang w:eastAsia="pt-BR"/>
        </w:rPr>
        <w:t>Precedentes citados:</w:t>
      </w:r>
      <w:r w:rsidRPr="00D53537">
        <w:rPr>
          <w:color w:val="FF0000"/>
          <w:sz w:val="22"/>
          <w:szCs w:val="22"/>
          <w:lang w:eastAsia="pt-BR"/>
        </w:rPr>
        <w:t xml:space="preserve"> </w:t>
      </w:r>
      <w:r w:rsidRPr="00D53537">
        <w:rPr>
          <w:sz w:val="22"/>
          <w:szCs w:val="22"/>
        </w:rPr>
        <w:t>Decisão TCU nº 347/1994, do Plenário, e Acórdãos TCU n</w:t>
      </w:r>
      <w:r w:rsidRPr="00D53537">
        <w:rPr>
          <w:sz w:val="22"/>
          <w:szCs w:val="22"/>
          <w:u w:val="single"/>
          <w:vertAlign w:val="superscript"/>
        </w:rPr>
        <w:t>os</w:t>
      </w:r>
      <w:r w:rsidRPr="00D53537">
        <w:rPr>
          <w:sz w:val="22"/>
          <w:szCs w:val="22"/>
        </w:rPr>
        <w:t xml:space="preserve"> 3132/2005 e 1710/2006, ambos da Primeira Câmara.</w:t>
      </w:r>
      <w:r w:rsidRPr="00D53537">
        <w:rPr>
          <w:b/>
          <w:i/>
          <w:sz w:val="22"/>
          <w:szCs w:val="22"/>
        </w:rPr>
        <w:t xml:space="preserve"> </w:t>
      </w:r>
      <w:r w:rsidR="0027686D" w:rsidRPr="00D53537">
        <w:rPr>
          <w:b/>
          <w:i/>
          <w:sz w:val="22"/>
          <w:szCs w:val="22"/>
        </w:rPr>
        <w:t xml:space="preserve">Acórdão n.º </w:t>
      </w:r>
      <w:r w:rsidRPr="00D53537">
        <w:rPr>
          <w:b/>
          <w:i/>
          <w:sz w:val="22"/>
          <w:szCs w:val="22"/>
        </w:rPr>
        <w:t>504</w:t>
      </w:r>
      <w:r w:rsidR="0027686D" w:rsidRPr="00D53537">
        <w:rPr>
          <w:b/>
          <w:i/>
          <w:sz w:val="22"/>
          <w:szCs w:val="22"/>
        </w:rPr>
        <w:t>/2011-1ª Câmara, TC-0</w:t>
      </w:r>
      <w:r w:rsidRPr="00D53537">
        <w:rPr>
          <w:b/>
          <w:i/>
          <w:sz w:val="22"/>
          <w:szCs w:val="22"/>
        </w:rPr>
        <w:t>33</w:t>
      </w:r>
      <w:r w:rsidR="0027686D" w:rsidRPr="00D53537">
        <w:rPr>
          <w:b/>
          <w:i/>
          <w:sz w:val="22"/>
          <w:szCs w:val="22"/>
        </w:rPr>
        <w:t>.</w:t>
      </w:r>
      <w:r w:rsidR="00E41B64" w:rsidRPr="00D53537">
        <w:rPr>
          <w:b/>
          <w:i/>
          <w:sz w:val="22"/>
          <w:szCs w:val="22"/>
        </w:rPr>
        <w:t>8</w:t>
      </w:r>
      <w:r w:rsidRPr="00D53537">
        <w:rPr>
          <w:b/>
          <w:i/>
          <w:sz w:val="22"/>
          <w:szCs w:val="22"/>
        </w:rPr>
        <w:t>44</w:t>
      </w:r>
      <w:r w:rsidR="0027686D" w:rsidRPr="00D53537">
        <w:rPr>
          <w:b/>
          <w:i/>
          <w:sz w:val="22"/>
          <w:szCs w:val="22"/>
        </w:rPr>
        <w:t>/20</w:t>
      </w:r>
      <w:r w:rsidRPr="00D53537">
        <w:rPr>
          <w:b/>
          <w:i/>
          <w:sz w:val="22"/>
          <w:szCs w:val="22"/>
        </w:rPr>
        <w:t>1</w:t>
      </w:r>
      <w:r w:rsidR="0027686D" w:rsidRPr="00D53537">
        <w:rPr>
          <w:b/>
          <w:i/>
          <w:sz w:val="22"/>
          <w:szCs w:val="22"/>
        </w:rPr>
        <w:t>0-</w:t>
      </w:r>
      <w:r w:rsidRPr="00D53537">
        <w:rPr>
          <w:b/>
          <w:i/>
          <w:sz w:val="22"/>
          <w:szCs w:val="22"/>
        </w:rPr>
        <w:t>0</w:t>
      </w:r>
      <w:r w:rsidR="0027686D" w:rsidRPr="00D53537">
        <w:rPr>
          <w:b/>
          <w:i/>
          <w:sz w:val="22"/>
          <w:szCs w:val="22"/>
        </w:rPr>
        <w:t xml:space="preserve">, rel. </w:t>
      </w:r>
      <w:r w:rsidR="00914B48" w:rsidRPr="00D53537">
        <w:rPr>
          <w:b/>
          <w:i/>
          <w:sz w:val="22"/>
          <w:szCs w:val="22"/>
        </w:rPr>
        <w:t xml:space="preserve">Min-Subst. </w:t>
      </w:r>
      <w:r w:rsidRPr="00D53537">
        <w:rPr>
          <w:b/>
          <w:i/>
          <w:sz w:val="22"/>
          <w:szCs w:val="22"/>
        </w:rPr>
        <w:t>Weder de Oliveira</w:t>
      </w:r>
      <w:r w:rsidR="0027686D" w:rsidRPr="00D53537">
        <w:rPr>
          <w:b/>
          <w:i/>
          <w:sz w:val="22"/>
          <w:szCs w:val="22"/>
        </w:rPr>
        <w:t xml:space="preserve">, </w:t>
      </w:r>
      <w:r w:rsidRPr="00D53537">
        <w:rPr>
          <w:b/>
          <w:i/>
          <w:sz w:val="22"/>
          <w:szCs w:val="22"/>
        </w:rPr>
        <w:t>01</w:t>
      </w:r>
      <w:r w:rsidR="0027686D" w:rsidRPr="00D53537">
        <w:rPr>
          <w:b/>
          <w:i/>
          <w:sz w:val="22"/>
          <w:szCs w:val="22"/>
        </w:rPr>
        <w:t>.0</w:t>
      </w:r>
      <w:r w:rsidRPr="00D53537">
        <w:rPr>
          <w:b/>
          <w:i/>
          <w:sz w:val="22"/>
          <w:szCs w:val="22"/>
        </w:rPr>
        <w:t>2</w:t>
      </w:r>
      <w:r w:rsidR="0027686D" w:rsidRPr="00D53537">
        <w:rPr>
          <w:b/>
          <w:i/>
          <w:sz w:val="22"/>
          <w:szCs w:val="22"/>
        </w:rPr>
        <w:t>.2011</w:t>
      </w:r>
      <w:r w:rsidR="0027686D" w:rsidRPr="00D53537">
        <w:rPr>
          <w:sz w:val="22"/>
          <w:szCs w:val="22"/>
        </w:rPr>
        <w:t>.</w:t>
      </w:r>
    </w:p>
    <w:p w:rsidR="00D53537" w:rsidRPr="00D53537" w:rsidRDefault="00D53537" w:rsidP="00D53537">
      <w:pPr>
        <w:pStyle w:val="TCU-RelVoto-demais"/>
        <w:spacing w:after="0"/>
        <w:rPr>
          <w:color w:val="FF0000"/>
          <w:sz w:val="22"/>
        </w:rPr>
      </w:pPr>
    </w:p>
    <w:p w:rsidR="00D53537" w:rsidRPr="00D53537" w:rsidRDefault="00D53537" w:rsidP="008B3D72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>
        <w:rPr>
          <w:rFonts w:ascii="Cambria" w:hAnsi="Cambria"/>
          <w:b/>
          <w:bCs/>
          <w:smallCaps/>
          <w:sz w:val="22"/>
          <w:szCs w:val="22"/>
        </w:rPr>
        <w:t>SEGUND</w:t>
      </w:r>
      <w:r w:rsidRPr="00D53537">
        <w:rPr>
          <w:rFonts w:ascii="Cambria" w:hAnsi="Cambria"/>
          <w:b/>
          <w:bCs/>
          <w:smallCaps/>
          <w:sz w:val="22"/>
          <w:szCs w:val="22"/>
        </w:rPr>
        <w:t>A CÂMARA</w:t>
      </w:r>
    </w:p>
    <w:p w:rsidR="00D53537" w:rsidRPr="00D53537" w:rsidRDefault="00D53537" w:rsidP="008B3D72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</w:p>
    <w:p w:rsidR="008B3D72" w:rsidRPr="008B3D72" w:rsidRDefault="00E3451F" w:rsidP="008B3D72">
      <w:pPr>
        <w:pStyle w:val="enter-3pt"/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</w:t>
      </w:r>
      <w:r w:rsidR="008B3D72" w:rsidRPr="008B3D72">
        <w:rPr>
          <w:b/>
          <w:color w:val="000000"/>
          <w:sz w:val="22"/>
          <w:szCs w:val="22"/>
        </w:rPr>
        <w:t xml:space="preserve">ispensa de licitação </w:t>
      </w:r>
      <w:r w:rsidR="008B3D72">
        <w:rPr>
          <w:b/>
          <w:color w:val="000000"/>
          <w:sz w:val="22"/>
          <w:szCs w:val="22"/>
        </w:rPr>
        <w:t xml:space="preserve">para aquisição imóvel </w:t>
      </w:r>
      <w:r w:rsidR="008B3D72" w:rsidRPr="008B3D72">
        <w:rPr>
          <w:b/>
          <w:color w:val="000000"/>
          <w:sz w:val="22"/>
          <w:szCs w:val="22"/>
        </w:rPr>
        <w:t xml:space="preserve">com base no art. 24, inc. </w:t>
      </w:r>
      <w:r w:rsidR="008B3D72">
        <w:rPr>
          <w:b/>
          <w:color w:val="000000"/>
          <w:sz w:val="22"/>
          <w:szCs w:val="22"/>
        </w:rPr>
        <w:t>X</w:t>
      </w:r>
      <w:r w:rsidR="008B3D72" w:rsidRPr="008B3D72">
        <w:rPr>
          <w:b/>
          <w:color w:val="000000"/>
          <w:sz w:val="22"/>
          <w:szCs w:val="22"/>
        </w:rPr>
        <w:t>, da Lei 8.666/1993</w:t>
      </w:r>
      <w:r w:rsidR="008B3D72">
        <w:rPr>
          <w:b/>
          <w:color w:val="000000"/>
          <w:sz w:val="22"/>
          <w:szCs w:val="22"/>
        </w:rPr>
        <w:t>:</w:t>
      </w:r>
      <w:r w:rsidR="008B3D72" w:rsidRPr="008B3D72">
        <w:rPr>
          <w:b/>
          <w:color w:val="000000"/>
          <w:sz w:val="22"/>
          <w:szCs w:val="22"/>
        </w:rPr>
        <w:t xml:space="preserve"> </w:t>
      </w:r>
      <w:r w:rsidR="008B3D72">
        <w:rPr>
          <w:b/>
          <w:color w:val="000000"/>
          <w:sz w:val="22"/>
          <w:szCs w:val="22"/>
        </w:rPr>
        <w:t>é necessária a realização de apenas uma avaliação prévia</w:t>
      </w:r>
    </w:p>
    <w:p w:rsidR="00D53537" w:rsidRPr="00D53537" w:rsidRDefault="00D53537" w:rsidP="00D53537">
      <w:pPr>
        <w:pStyle w:val="TCU-Epgrafe"/>
        <w:tabs>
          <w:tab w:val="left" w:pos="1134"/>
        </w:tabs>
        <w:ind w:left="0"/>
        <w:rPr>
          <w:b/>
          <w:i/>
          <w:sz w:val="22"/>
          <w:szCs w:val="22"/>
        </w:rPr>
      </w:pPr>
      <w:r w:rsidRPr="00D53537">
        <w:rPr>
          <w:color w:val="000000"/>
          <w:sz w:val="22"/>
          <w:szCs w:val="22"/>
        </w:rPr>
        <w:t>Representação ao TCU trouxe notícias a respeito de prováveis irregularidades na gestão do Conselho</w:t>
      </w:r>
      <w:r w:rsidRPr="00D53537">
        <w:rPr>
          <w:sz w:val="22"/>
          <w:szCs w:val="22"/>
        </w:rPr>
        <w:t xml:space="preserve"> Regional de Farmácia do Estado do Rio Grande do Sul - (CRF/RS). Dentre elas, estaria a não realização de três avaliações de imóvel a ser adquirido pelo CRF/RS, tendo por fundamento o art. 24, inc. X, da Lei 8.666/1993, conforme, inclusive, houvera sido orientado mediante parecer da área jurídica do Conselho Federal de Farmácia. Todavia, para o relator, não se configurou irregularidade, uma vez que “</w:t>
      </w:r>
      <w:r w:rsidRPr="00D53537">
        <w:rPr>
          <w:i/>
          <w:sz w:val="22"/>
          <w:szCs w:val="22"/>
        </w:rPr>
        <w:t>o art. 24, inciso X, da Lei 8.666/93 prevê a realização de somente uma avaliação prévia do imóvel, o que foi cumprido</w:t>
      </w:r>
      <w:r w:rsidRPr="00D53537">
        <w:rPr>
          <w:sz w:val="22"/>
          <w:szCs w:val="22"/>
        </w:rPr>
        <w:t xml:space="preserve">”. Assim, no ponto, votou pela improcedência da representação, no que foi acompanhado pelos demais membros do Colegiado. </w:t>
      </w:r>
      <w:r w:rsidRPr="00D53537">
        <w:rPr>
          <w:b/>
          <w:i/>
          <w:sz w:val="22"/>
          <w:szCs w:val="22"/>
        </w:rPr>
        <w:t>Acórdão n.º 549/2011-</w:t>
      </w:r>
      <w:r>
        <w:rPr>
          <w:b/>
          <w:i/>
          <w:sz w:val="22"/>
          <w:szCs w:val="22"/>
        </w:rPr>
        <w:t>2</w:t>
      </w:r>
      <w:r w:rsidRPr="00D53537">
        <w:rPr>
          <w:b/>
          <w:i/>
          <w:sz w:val="22"/>
          <w:szCs w:val="22"/>
        </w:rPr>
        <w:t>ª Câmara, TC-033.844/2010-0, rel. Min-Subst. Augusto Sherman Cavalcanti, 01.02.2011</w:t>
      </w:r>
      <w:r w:rsidRPr="00D53537">
        <w:rPr>
          <w:sz w:val="22"/>
          <w:szCs w:val="22"/>
        </w:rPr>
        <w:t>.</w:t>
      </w:r>
    </w:p>
    <w:p w:rsidR="00D53537" w:rsidRPr="00D53537" w:rsidRDefault="00D53537" w:rsidP="00D53537">
      <w:pPr>
        <w:pStyle w:val="Corpodetexto"/>
        <w:spacing w:after="0"/>
        <w:ind w:left="0"/>
        <w:rPr>
          <w:sz w:val="22"/>
          <w:szCs w:val="22"/>
        </w:rPr>
      </w:pPr>
    </w:p>
    <w:p w:rsidR="00361487" w:rsidRPr="007A2166" w:rsidRDefault="00361487" w:rsidP="00CB0D34">
      <w:pPr>
        <w:pStyle w:val="enter-3pt"/>
        <w:spacing w:line="240" w:lineRule="auto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6"/>
      </w:tblGrid>
      <w:tr w:rsidR="007334B1" w:rsidRPr="007C2A55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7C2A55" w:rsidRDefault="007334B1" w:rsidP="0030360F">
            <w:pPr>
              <w:pStyle w:val="enter-3pt"/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7C2A55">
              <w:rPr>
                <w:b/>
                <w:i/>
                <w:sz w:val="18"/>
                <w:szCs w:val="18"/>
              </w:rPr>
              <w:t>Responsáveis pelo Informativo:</w:t>
            </w:r>
          </w:p>
          <w:p w:rsidR="007334B1" w:rsidRPr="007C2A55" w:rsidRDefault="007334B1" w:rsidP="0030360F">
            <w:pPr>
              <w:pStyle w:val="enter-3pt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7C2A55">
              <w:rPr>
                <w:b/>
                <w:i/>
                <w:sz w:val="18"/>
                <w:szCs w:val="18"/>
              </w:rPr>
              <w:t>Elaboração:</w:t>
            </w:r>
            <w:r w:rsidRPr="007C2A55">
              <w:rPr>
                <w:i/>
                <w:sz w:val="18"/>
                <w:szCs w:val="18"/>
              </w:rPr>
              <w:t xml:space="preserve"> Sandro Henrique Maciel Bernardes, Assessor da Secretaria das Sessões</w:t>
            </w:r>
          </w:p>
          <w:p w:rsidR="007334B1" w:rsidRPr="007C2A55" w:rsidRDefault="007334B1" w:rsidP="0030360F">
            <w:pPr>
              <w:pStyle w:val="enter-3pt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7C2A55">
              <w:rPr>
                <w:b/>
                <w:i/>
                <w:sz w:val="18"/>
                <w:szCs w:val="18"/>
              </w:rPr>
              <w:t>Revisão:</w:t>
            </w:r>
            <w:r w:rsidRPr="007C2A55">
              <w:rPr>
                <w:i/>
                <w:sz w:val="18"/>
                <w:szCs w:val="18"/>
              </w:rPr>
              <w:t xml:space="preserve"> </w:t>
            </w:r>
            <w:r w:rsidR="00467815">
              <w:rPr>
                <w:i/>
                <w:sz w:val="18"/>
                <w:szCs w:val="18"/>
              </w:rPr>
              <w:t>Luiz Henrique Pochyly da Costa</w:t>
            </w:r>
            <w:r w:rsidRPr="007C2A55">
              <w:rPr>
                <w:i/>
                <w:sz w:val="18"/>
                <w:szCs w:val="18"/>
              </w:rPr>
              <w:t>, Secretário das Sessões</w:t>
            </w:r>
          </w:p>
          <w:p w:rsidR="007334B1" w:rsidRPr="007C2A55" w:rsidRDefault="007334B1" w:rsidP="0030360F">
            <w:pPr>
              <w:pStyle w:val="enter-3pt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7C2A55">
              <w:rPr>
                <w:b/>
                <w:i/>
                <w:sz w:val="18"/>
                <w:szCs w:val="18"/>
              </w:rPr>
              <w:t xml:space="preserve">Contato: </w:t>
            </w:r>
            <w:hyperlink r:id="rId8" w:history="1">
              <w:r w:rsidRPr="007C2A55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7334B1" w:rsidRPr="007C2A55" w:rsidRDefault="007334B1" w:rsidP="007334B1">
      <w:pPr>
        <w:pStyle w:val="enter-3pt"/>
        <w:spacing w:line="240" w:lineRule="auto"/>
        <w:jc w:val="center"/>
        <w:rPr>
          <w:b/>
          <w:sz w:val="22"/>
          <w:szCs w:val="22"/>
        </w:rPr>
      </w:pPr>
    </w:p>
    <w:sectPr w:rsidR="007334B1" w:rsidRPr="007C2A55" w:rsidSect="00337E16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03" w:rsidRDefault="004C6E03" w:rsidP="008B0547">
      <w:pPr>
        <w:spacing w:after="0"/>
      </w:pPr>
      <w:r>
        <w:separator/>
      </w:r>
    </w:p>
  </w:endnote>
  <w:endnote w:type="continuationSeparator" w:id="0">
    <w:p w:rsidR="004C6E03" w:rsidRDefault="004C6E03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Pr="00C906CD" w:rsidRDefault="00C906CD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125345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03" w:rsidRDefault="004C6E03" w:rsidP="008B0547">
      <w:pPr>
        <w:spacing w:after="0"/>
      </w:pPr>
      <w:r>
        <w:separator/>
      </w:r>
    </w:p>
  </w:footnote>
  <w:footnote w:type="continuationSeparator" w:id="0">
    <w:p w:rsidR="004C6E03" w:rsidRDefault="004C6E03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Default="002A5566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547">
      <w:rPr>
        <w:rFonts w:ascii="Arial" w:hAnsi="Arial" w:cs="Arial"/>
        <w:b/>
      </w:rPr>
      <w:t>TRIBUNAL DE CONTAS DA UNIÃO</w:t>
    </w:r>
  </w:p>
  <w:p w:rsidR="008B0547" w:rsidRPr="00515E7B" w:rsidRDefault="002A5566" w:rsidP="00080148">
    <w:pPr>
      <w:spacing w:after="0"/>
      <w:rPr>
        <w:rFonts w:ascii="Arial" w:hAnsi="Arial" w:cs="Arial"/>
        <w:b/>
      </w:rPr>
    </w:pPr>
    <w:r w:rsidRPr="00515E7B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C160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515E7B" w:rsidRPr="00515E7B">
      <w:rPr>
        <w:rFonts w:ascii="Arial" w:hAnsi="Arial" w:cs="Arial"/>
        <w:noProof/>
        <w:lang w:eastAsia="pt-BR"/>
      </w:rPr>
      <w:t>Info</w:t>
    </w:r>
    <w:r w:rsidR="006F4DE0">
      <w:rPr>
        <w:rFonts w:ascii="Arial" w:hAnsi="Arial" w:cs="Arial"/>
        <w:noProof/>
        <w:lang w:eastAsia="pt-BR"/>
      </w:rPr>
      <w:t>rmativo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de Jurisprudência sobre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L</w:t>
    </w:r>
    <w:r w:rsidR="00515E7B" w:rsidRPr="00515E7B">
      <w:rPr>
        <w:rFonts w:ascii="Arial" w:hAnsi="Arial" w:cs="Arial"/>
        <w:noProof/>
        <w:lang w:eastAsia="pt-BR"/>
      </w:rPr>
      <w:t xml:space="preserve">icitações e </w:t>
    </w:r>
    <w:r w:rsidR="002810D9">
      <w:rPr>
        <w:rFonts w:ascii="Arial" w:hAnsi="Arial" w:cs="Arial"/>
        <w:noProof/>
        <w:lang w:eastAsia="pt-BR"/>
      </w:rPr>
      <w:t>C</w:t>
    </w:r>
    <w:r w:rsidR="00515E7B" w:rsidRPr="00515E7B">
      <w:rPr>
        <w:rFonts w:ascii="Arial" w:hAnsi="Arial" w:cs="Arial"/>
        <w:noProof/>
        <w:lang w:eastAsia="pt-BR"/>
      </w:rPr>
      <w:t>ontratos</w:t>
    </w:r>
    <w:r w:rsidR="00FF7C62">
      <w:rPr>
        <w:rFonts w:ascii="Arial" w:hAnsi="Arial" w:cs="Arial"/>
        <w:noProof/>
        <w:lang w:eastAsia="pt-BR"/>
      </w:rPr>
      <w:t xml:space="preserve"> nº </w:t>
    </w:r>
    <w:r w:rsidR="001D56C3">
      <w:rPr>
        <w:rFonts w:ascii="Arial" w:hAnsi="Arial" w:cs="Arial"/>
        <w:noProof/>
        <w:lang w:eastAsia="pt-BR"/>
      </w:rPr>
      <w:t>4</w:t>
    </w:r>
    <w:r w:rsidR="00B615CB">
      <w:rPr>
        <w:rFonts w:ascii="Arial" w:hAnsi="Arial" w:cs="Arial"/>
        <w:noProof/>
        <w:lang w:eastAsia="pt-BR"/>
      </w:rPr>
      <w:t>9</w:t>
    </w:r>
  </w:p>
  <w:p w:rsidR="008B0547" w:rsidRDefault="008B05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7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9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0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1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0"/>
  </w:num>
  <w:num w:numId="5">
    <w:abstractNumId w:val="7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3"/>
  </w:num>
  <w:num w:numId="11">
    <w:abstractNumId w:val="21"/>
  </w:num>
  <w:num w:numId="12">
    <w:abstractNumId w:val="2"/>
  </w:num>
  <w:num w:numId="13">
    <w:abstractNumId w:val="11"/>
  </w:num>
  <w:num w:numId="14">
    <w:abstractNumId w:val="18"/>
  </w:num>
  <w:num w:numId="15">
    <w:abstractNumId w:val="10"/>
  </w:num>
  <w:num w:numId="16">
    <w:abstractNumId w:val="1"/>
  </w:num>
  <w:num w:numId="17">
    <w:abstractNumId w:val="9"/>
  </w:num>
  <w:num w:numId="18">
    <w:abstractNumId w:val="20"/>
    <w:lvlOverride w:ilvl="0">
      <w:startOverride w:val="1"/>
    </w:lvlOverride>
  </w:num>
  <w:num w:numId="19">
    <w:abstractNumId w:val="15"/>
  </w:num>
  <w:num w:numId="20">
    <w:abstractNumId w:val="8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1878"/>
    <w:rsid w:val="00003CEA"/>
    <w:rsid w:val="00004614"/>
    <w:rsid w:val="00005435"/>
    <w:rsid w:val="00005E1E"/>
    <w:rsid w:val="00012468"/>
    <w:rsid w:val="0001636D"/>
    <w:rsid w:val="00023D72"/>
    <w:rsid w:val="00025450"/>
    <w:rsid w:val="000271FA"/>
    <w:rsid w:val="00032198"/>
    <w:rsid w:val="00041450"/>
    <w:rsid w:val="0004660A"/>
    <w:rsid w:val="00052B15"/>
    <w:rsid w:val="00054432"/>
    <w:rsid w:val="000562CD"/>
    <w:rsid w:val="00056D51"/>
    <w:rsid w:val="0006028E"/>
    <w:rsid w:val="00061C2E"/>
    <w:rsid w:val="00065E95"/>
    <w:rsid w:val="00070785"/>
    <w:rsid w:val="00074AC5"/>
    <w:rsid w:val="00077A56"/>
    <w:rsid w:val="00080148"/>
    <w:rsid w:val="00084727"/>
    <w:rsid w:val="0009133A"/>
    <w:rsid w:val="00092C2E"/>
    <w:rsid w:val="00094C5B"/>
    <w:rsid w:val="00097863"/>
    <w:rsid w:val="000A0EF8"/>
    <w:rsid w:val="000A1EBD"/>
    <w:rsid w:val="000A2C56"/>
    <w:rsid w:val="000A6269"/>
    <w:rsid w:val="000A62BD"/>
    <w:rsid w:val="000B0ECB"/>
    <w:rsid w:val="000B0FEA"/>
    <w:rsid w:val="000B2AFA"/>
    <w:rsid w:val="000D1FD7"/>
    <w:rsid w:val="000D6418"/>
    <w:rsid w:val="000D7DB6"/>
    <w:rsid w:val="000D7DED"/>
    <w:rsid w:val="000E2D47"/>
    <w:rsid w:val="000E3B31"/>
    <w:rsid w:val="000E504D"/>
    <w:rsid w:val="000F2F92"/>
    <w:rsid w:val="000F6D85"/>
    <w:rsid w:val="000F7CEE"/>
    <w:rsid w:val="001104BA"/>
    <w:rsid w:val="00112676"/>
    <w:rsid w:val="0011373A"/>
    <w:rsid w:val="00114511"/>
    <w:rsid w:val="00125345"/>
    <w:rsid w:val="00126026"/>
    <w:rsid w:val="00133EA9"/>
    <w:rsid w:val="00141D7A"/>
    <w:rsid w:val="001420D1"/>
    <w:rsid w:val="001444A2"/>
    <w:rsid w:val="00151F92"/>
    <w:rsid w:val="0015258E"/>
    <w:rsid w:val="00152ECC"/>
    <w:rsid w:val="001532E4"/>
    <w:rsid w:val="00156A48"/>
    <w:rsid w:val="00157614"/>
    <w:rsid w:val="00157AFE"/>
    <w:rsid w:val="00157C0F"/>
    <w:rsid w:val="001744E7"/>
    <w:rsid w:val="00176375"/>
    <w:rsid w:val="001A0CC1"/>
    <w:rsid w:val="001A330B"/>
    <w:rsid w:val="001A60A2"/>
    <w:rsid w:val="001A79D3"/>
    <w:rsid w:val="001B3E8E"/>
    <w:rsid w:val="001B4F90"/>
    <w:rsid w:val="001B7F4F"/>
    <w:rsid w:val="001C0575"/>
    <w:rsid w:val="001C437E"/>
    <w:rsid w:val="001D03C7"/>
    <w:rsid w:val="001D1478"/>
    <w:rsid w:val="001D56C3"/>
    <w:rsid w:val="001D74CE"/>
    <w:rsid w:val="001E0BF1"/>
    <w:rsid w:val="001E1E28"/>
    <w:rsid w:val="001E2620"/>
    <w:rsid w:val="001E4147"/>
    <w:rsid w:val="001E7019"/>
    <w:rsid w:val="001E747D"/>
    <w:rsid w:val="001E7C3D"/>
    <w:rsid w:val="001F00DF"/>
    <w:rsid w:val="001F1E8F"/>
    <w:rsid w:val="002002CE"/>
    <w:rsid w:val="0020066F"/>
    <w:rsid w:val="0020107A"/>
    <w:rsid w:val="0020135D"/>
    <w:rsid w:val="00202EAD"/>
    <w:rsid w:val="00203A6F"/>
    <w:rsid w:val="00211816"/>
    <w:rsid w:val="00226AEF"/>
    <w:rsid w:val="00226D9D"/>
    <w:rsid w:val="00232158"/>
    <w:rsid w:val="002328F9"/>
    <w:rsid w:val="00233CE3"/>
    <w:rsid w:val="0024593F"/>
    <w:rsid w:val="002476B6"/>
    <w:rsid w:val="00254590"/>
    <w:rsid w:val="0026362E"/>
    <w:rsid w:val="002649A7"/>
    <w:rsid w:val="002663B7"/>
    <w:rsid w:val="00271D81"/>
    <w:rsid w:val="00273E72"/>
    <w:rsid w:val="0027686D"/>
    <w:rsid w:val="00276DC0"/>
    <w:rsid w:val="002810D9"/>
    <w:rsid w:val="00281830"/>
    <w:rsid w:val="002830F6"/>
    <w:rsid w:val="0029043B"/>
    <w:rsid w:val="00290A06"/>
    <w:rsid w:val="0029211E"/>
    <w:rsid w:val="0029450E"/>
    <w:rsid w:val="00297A00"/>
    <w:rsid w:val="002A190F"/>
    <w:rsid w:val="002A2129"/>
    <w:rsid w:val="002A3B3F"/>
    <w:rsid w:val="002A5566"/>
    <w:rsid w:val="002B4392"/>
    <w:rsid w:val="002B56C3"/>
    <w:rsid w:val="002B5AD5"/>
    <w:rsid w:val="002B6422"/>
    <w:rsid w:val="002B71BA"/>
    <w:rsid w:val="002C7B61"/>
    <w:rsid w:val="002C7B6D"/>
    <w:rsid w:val="002D35F5"/>
    <w:rsid w:val="002D47FE"/>
    <w:rsid w:val="002D739A"/>
    <w:rsid w:val="002D76AB"/>
    <w:rsid w:val="002E28BA"/>
    <w:rsid w:val="002E361C"/>
    <w:rsid w:val="002E3943"/>
    <w:rsid w:val="002E4254"/>
    <w:rsid w:val="002E4F13"/>
    <w:rsid w:val="002E4FB7"/>
    <w:rsid w:val="002F1C09"/>
    <w:rsid w:val="002F5F3B"/>
    <w:rsid w:val="002F693C"/>
    <w:rsid w:val="002F7C6D"/>
    <w:rsid w:val="003020F4"/>
    <w:rsid w:val="003025C7"/>
    <w:rsid w:val="0030360F"/>
    <w:rsid w:val="00304A73"/>
    <w:rsid w:val="003069F9"/>
    <w:rsid w:val="00310208"/>
    <w:rsid w:val="0031058F"/>
    <w:rsid w:val="0031089E"/>
    <w:rsid w:val="00310D69"/>
    <w:rsid w:val="003147B7"/>
    <w:rsid w:val="00317E59"/>
    <w:rsid w:val="00322AE7"/>
    <w:rsid w:val="00325246"/>
    <w:rsid w:val="003275E4"/>
    <w:rsid w:val="0033244F"/>
    <w:rsid w:val="00337E16"/>
    <w:rsid w:val="00340E66"/>
    <w:rsid w:val="00340F10"/>
    <w:rsid w:val="0034486B"/>
    <w:rsid w:val="00344D92"/>
    <w:rsid w:val="003455A2"/>
    <w:rsid w:val="00350E87"/>
    <w:rsid w:val="00353B7C"/>
    <w:rsid w:val="0035438E"/>
    <w:rsid w:val="00355828"/>
    <w:rsid w:val="00356E38"/>
    <w:rsid w:val="00357CBE"/>
    <w:rsid w:val="00361487"/>
    <w:rsid w:val="00361661"/>
    <w:rsid w:val="00381780"/>
    <w:rsid w:val="003824E4"/>
    <w:rsid w:val="003853FF"/>
    <w:rsid w:val="00385DAB"/>
    <w:rsid w:val="0038696B"/>
    <w:rsid w:val="00392509"/>
    <w:rsid w:val="003943E5"/>
    <w:rsid w:val="00397D8E"/>
    <w:rsid w:val="003A2222"/>
    <w:rsid w:val="003A3262"/>
    <w:rsid w:val="003A5479"/>
    <w:rsid w:val="003A5C1B"/>
    <w:rsid w:val="003A7C7F"/>
    <w:rsid w:val="003B0304"/>
    <w:rsid w:val="003B043F"/>
    <w:rsid w:val="003B155C"/>
    <w:rsid w:val="003B2E10"/>
    <w:rsid w:val="003B33CE"/>
    <w:rsid w:val="003B343D"/>
    <w:rsid w:val="003B56D7"/>
    <w:rsid w:val="003C1911"/>
    <w:rsid w:val="003C1B4F"/>
    <w:rsid w:val="003C2288"/>
    <w:rsid w:val="003C39E6"/>
    <w:rsid w:val="003C6DEB"/>
    <w:rsid w:val="003C7585"/>
    <w:rsid w:val="003C7A5C"/>
    <w:rsid w:val="003D73BD"/>
    <w:rsid w:val="003D7CCE"/>
    <w:rsid w:val="003E0D8C"/>
    <w:rsid w:val="003E1B68"/>
    <w:rsid w:val="003E65D7"/>
    <w:rsid w:val="003F413A"/>
    <w:rsid w:val="003F54FB"/>
    <w:rsid w:val="003F6D1F"/>
    <w:rsid w:val="004169D8"/>
    <w:rsid w:val="004201AF"/>
    <w:rsid w:val="00425FF9"/>
    <w:rsid w:val="00427B3B"/>
    <w:rsid w:val="00427EBF"/>
    <w:rsid w:val="004362AB"/>
    <w:rsid w:val="004415FB"/>
    <w:rsid w:val="00441CE3"/>
    <w:rsid w:val="004421F5"/>
    <w:rsid w:val="0044434A"/>
    <w:rsid w:val="00445E76"/>
    <w:rsid w:val="00447217"/>
    <w:rsid w:val="00452C60"/>
    <w:rsid w:val="004617A9"/>
    <w:rsid w:val="0046384E"/>
    <w:rsid w:val="0046706B"/>
    <w:rsid w:val="00467815"/>
    <w:rsid w:val="00471284"/>
    <w:rsid w:val="00473696"/>
    <w:rsid w:val="00473721"/>
    <w:rsid w:val="0047491E"/>
    <w:rsid w:val="004837C6"/>
    <w:rsid w:val="00483998"/>
    <w:rsid w:val="00484E4C"/>
    <w:rsid w:val="00491438"/>
    <w:rsid w:val="00492E3F"/>
    <w:rsid w:val="00493F5C"/>
    <w:rsid w:val="004A171B"/>
    <w:rsid w:val="004B0194"/>
    <w:rsid w:val="004B1113"/>
    <w:rsid w:val="004B1DC3"/>
    <w:rsid w:val="004C6E03"/>
    <w:rsid w:val="004C780C"/>
    <w:rsid w:val="004D3441"/>
    <w:rsid w:val="004D708E"/>
    <w:rsid w:val="004D760C"/>
    <w:rsid w:val="004D7C91"/>
    <w:rsid w:val="004E357A"/>
    <w:rsid w:val="004E65EB"/>
    <w:rsid w:val="004F7174"/>
    <w:rsid w:val="0050355D"/>
    <w:rsid w:val="005055B5"/>
    <w:rsid w:val="00511BBF"/>
    <w:rsid w:val="00515E7B"/>
    <w:rsid w:val="005217F8"/>
    <w:rsid w:val="0052267A"/>
    <w:rsid w:val="00531143"/>
    <w:rsid w:val="00534A44"/>
    <w:rsid w:val="00536332"/>
    <w:rsid w:val="005438A1"/>
    <w:rsid w:val="00543B81"/>
    <w:rsid w:val="00543EB8"/>
    <w:rsid w:val="00545FC7"/>
    <w:rsid w:val="00554A33"/>
    <w:rsid w:val="0055716D"/>
    <w:rsid w:val="00557953"/>
    <w:rsid w:val="00560E55"/>
    <w:rsid w:val="0056301A"/>
    <w:rsid w:val="005635AD"/>
    <w:rsid w:val="005640E1"/>
    <w:rsid w:val="00564EA1"/>
    <w:rsid w:val="0056534C"/>
    <w:rsid w:val="00567CEE"/>
    <w:rsid w:val="005713F4"/>
    <w:rsid w:val="00571E64"/>
    <w:rsid w:val="00580F26"/>
    <w:rsid w:val="0058427E"/>
    <w:rsid w:val="00590907"/>
    <w:rsid w:val="00594A7B"/>
    <w:rsid w:val="005A2D82"/>
    <w:rsid w:val="005A3835"/>
    <w:rsid w:val="005A72F2"/>
    <w:rsid w:val="005B2194"/>
    <w:rsid w:val="005B2BC3"/>
    <w:rsid w:val="005B4CFA"/>
    <w:rsid w:val="005C1A79"/>
    <w:rsid w:val="005C7644"/>
    <w:rsid w:val="005E269C"/>
    <w:rsid w:val="005E3586"/>
    <w:rsid w:val="005E4DEE"/>
    <w:rsid w:val="005E5FF1"/>
    <w:rsid w:val="005F01CE"/>
    <w:rsid w:val="005F70B6"/>
    <w:rsid w:val="005F7A87"/>
    <w:rsid w:val="00601F0A"/>
    <w:rsid w:val="00604DBE"/>
    <w:rsid w:val="006063E1"/>
    <w:rsid w:val="006065E4"/>
    <w:rsid w:val="00610039"/>
    <w:rsid w:val="00611E07"/>
    <w:rsid w:val="00612045"/>
    <w:rsid w:val="00613AC9"/>
    <w:rsid w:val="00620E86"/>
    <w:rsid w:val="006219DD"/>
    <w:rsid w:val="00632ACC"/>
    <w:rsid w:val="00650463"/>
    <w:rsid w:val="00651660"/>
    <w:rsid w:val="00652171"/>
    <w:rsid w:val="00670FEA"/>
    <w:rsid w:val="0067353C"/>
    <w:rsid w:val="00676163"/>
    <w:rsid w:val="00677C22"/>
    <w:rsid w:val="006808CC"/>
    <w:rsid w:val="00685899"/>
    <w:rsid w:val="00692D30"/>
    <w:rsid w:val="00695597"/>
    <w:rsid w:val="00696A89"/>
    <w:rsid w:val="00697477"/>
    <w:rsid w:val="006A037E"/>
    <w:rsid w:val="006A2019"/>
    <w:rsid w:val="006A7796"/>
    <w:rsid w:val="006B0495"/>
    <w:rsid w:val="006B0DCB"/>
    <w:rsid w:val="006B2408"/>
    <w:rsid w:val="006B3AF9"/>
    <w:rsid w:val="006B414C"/>
    <w:rsid w:val="006B4B0F"/>
    <w:rsid w:val="006C5C6C"/>
    <w:rsid w:val="006D4245"/>
    <w:rsid w:val="006F4DE0"/>
    <w:rsid w:val="006F6483"/>
    <w:rsid w:val="006F7332"/>
    <w:rsid w:val="0070385B"/>
    <w:rsid w:val="0070494F"/>
    <w:rsid w:val="00705758"/>
    <w:rsid w:val="0070717A"/>
    <w:rsid w:val="00707244"/>
    <w:rsid w:val="00712CCC"/>
    <w:rsid w:val="00713DE5"/>
    <w:rsid w:val="007174DA"/>
    <w:rsid w:val="00720910"/>
    <w:rsid w:val="00720F29"/>
    <w:rsid w:val="007224C2"/>
    <w:rsid w:val="00731409"/>
    <w:rsid w:val="007334B1"/>
    <w:rsid w:val="00737FEC"/>
    <w:rsid w:val="00742B07"/>
    <w:rsid w:val="00756AA0"/>
    <w:rsid w:val="00757CE6"/>
    <w:rsid w:val="00764CB0"/>
    <w:rsid w:val="007671B6"/>
    <w:rsid w:val="007671DA"/>
    <w:rsid w:val="007719A8"/>
    <w:rsid w:val="00774593"/>
    <w:rsid w:val="00777599"/>
    <w:rsid w:val="00785CF8"/>
    <w:rsid w:val="00796068"/>
    <w:rsid w:val="00796CC0"/>
    <w:rsid w:val="007A1A35"/>
    <w:rsid w:val="007A2166"/>
    <w:rsid w:val="007A5922"/>
    <w:rsid w:val="007B259B"/>
    <w:rsid w:val="007B5018"/>
    <w:rsid w:val="007C546B"/>
    <w:rsid w:val="007C670D"/>
    <w:rsid w:val="007D0ED0"/>
    <w:rsid w:val="007D4A4A"/>
    <w:rsid w:val="007E0E05"/>
    <w:rsid w:val="007E1DD3"/>
    <w:rsid w:val="007E209F"/>
    <w:rsid w:val="007E4655"/>
    <w:rsid w:val="007E55E0"/>
    <w:rsid w:val="007E5C50"/>
    <w:rsid w:val="007F0546"/>
    <w:rsid w:val="007F22A5"/>
    <w:rsid w:val="008051DE"/>
    <w:rsid w:val="00810CC2"/>
    <w:rsid w:val="0081324B"/>
    <w:rsid w:val="00816193"/>
    <w:rsid w:val="008165E4"/>
    <w:rsid w:val="00825155"/>
    <w:rsid w:val="00825EB9"/>
    <w:rsid w:val="008303E2"/>
    <w:rsid w:val="008341F8"/>
    <w:rsid w:val="008359F3"/>
    <w:rsid w:val="00835DB6"/>
    <w:rsid w:val="00836AC2"/>
    <w:rsid w:val="00844C5B"/>
    <w:rsid w:val="008501A4"/>
    <w:rsid w:val="008505A1"/>
    <w:rsid w:val="00850817"/>
    <w:rsid w:val="00851D16"/>
    <w:rsid w:val="00857634"/>
    <w:rsid w:val="0086124E"/>
    <w:rsid w:val="008652C9"/>
    <w:rsid w:val="00866992"/>
    <w:rsid w:val="00875991"/>
    <w:rsid w:val="00877FDD"/>
    <w:rsid w:val="00880FED"/>
    <w:rsid w:val="008841C8"/>
    <w:rsid w:val="00885367"/>
    <w:rsid w:val="00892BB8"/>
    <w:rsid w:val="00893014"/>
    <w:rsid w:val="00896755"/>
    <w:rsid w:val="008A2417"/>
    <w:rsid w:val="008A5D49"/>
    <w:rsid w:val="008A751E"/>
    <w:rsid w:val="008B0547"/>
    <w:rsid w:val="008B11A3"/>
    <w:rsid w:val="008B1FE5"/>
    <w:rsid w:val="008B3A74"/>
    <w:rsid w:val="008B3D72"/>
    <w:rsid w:val="008B434A"/>
    <w:rsid w:val="008B7B55"/>
    <w:rsid w:val="008C3A5B"/>
    <w:rsid w:val="008D2382"/>
    <w:rsid w:val="008D6F5D"/>
    <w:rsid w:val="008E003A"/>
    <w:rsid w:val="008E15E3"/>
    <w:rsid w:val="008E4C62"/>
    <w:rsid w:val="008E727E"/>
    <w:rsid w:val="008F2902"/>
    <w:rsid w:val="008F660B"/>
    <w:rsid w:val="009005CE"/>
    <w:rsid w:val="00901376"/>
    <w:rsid w:val="009021A4"/>
    <w:rsid w:val="00914B48"/>
    <w:rsid w:val="0091511B"/>
    <w:rsid w:val="009239AA"/>
    <w:rsid w:val="009245B5"/>
    <w:rsid w:val="00925EF2"/>
    <w:rsid w:val="0093795C"/>
    <w:rsid w:val="00937F7E"/>
    <w:rsid w:val="009444E6"/>
    <w:rsid w:val="00944A8E"/>
    <w:rsid w:val="009455E6"/>
    <w:rsid w:val="00956BA7"/>
    <w:rsid w:val="00956FD8"/>
    <w:rsid w:val="009575F7"/>
    <w:rsid w:val="00957E4B"/>
    <w:rsid w:val="0096021A"/>
    <w:rsid w:val="00960F73"/>
    <w:rsid w:val="0096655D"/>
    <w:rsid w:val="00971139"/>
    <w:rsid w:val="0097401F"/>
    <w:rsid w:val="00981FA0"/>
    <w:rsid w:val="00984366"/>
    <w:rsid w:val="00984E80"/>
    <w:rsid w:val="0098690F"/>
    <w:rsid w:val="00987EE5"/>
    <w:rsid w:val="00991EBE"/>
    <w:rsid w:val="00993C2E"/>
    <w:rsid w:val="00997C8A"/>
    <w:rsid w:val="009A1339"/>
    <w:rsid w:val="009A3006"/>
    <w:rsid w:val="009A3994"/>
    <w:rsid w:val="009B62AF"/>
    <w:rsid w:val="009B7AB9"/>
    <w:rsid w:val="009C4B6D"/>
    <w:rsid w:val="009D0928"/>
    <w:rsid w:val="009D1B99"/>
    <w:rsid w:val="009D5445"/>
    <w:rsid w:val="009D565F"/>
    <w:rsid w:val="009D65B9"/>
    <w:rsid w:val="009E04DC"/>
    <w:rsid w:val="009E0FB3"/>
    <w:rsid w:val="009E5105"/>
    <w:rsid w:val="009F4326"/>
    <w:rsid w:val="00A0244C"/>
    <w:rsid w:val="00A033FF"/>
    <w:rsid w:val="00A0409E"/>
    <w:rsid w:val="00A06137"/>
    <w:rsid w:val="00A07ACC"/>
    <w:rsid w:val="00A1329C"/>
    <w:rsid w:val="00A14E25"/>
    <w:rsid w:val="00A16A60"/>
    <w:rsid w:val="00A17A3D"/>
    <w:rsid w:val="00A2062A"/>
    <w:rsid w:val="00A21E19"/>
    <w:rsid w:val="00A239A8"/>
    <w:rsid w:val="00A30683"/>
    <w:rsid w:val="00A3115F"/>
    <w:rsid w:val="00A33030"/>
    <w:rsid w:val="00A378A2"/>
    <w:rsid w:val="00A407B6"/>
    <w:rsid w:val="00A60F52"/>
    <w:rsid w:val="00A62AA8"/>
    <w:rsid w:val="00A63B4C"/>
    <w:rsid w:val="00A664E7"/>
    <w:rsid w:val="00A66E7F"/>
    <w:rsid w:val="00A75C52"/>
    <w:rsid w:val="00A767B2"/>
    <w:rsid w:val="00A82B9E"/>
    <w:rsid w:val="00A84186"/>
    <w:rsid w:val="00A85B14"/>
    <w:rsid w:val="00A875C0"/>
    <w:rsid w:val="00A9704A"/>
    <w:rsid w:val="00A97AD0"/>
    <w:rsid w:val="00AA1377"/>
    <w:rsid w:val="00AA49AF"/>
    <w:rsid w:val="00AA57CE"/>
    <w:rsid w:val="00AA7540"/>
    <w:rsid w:val="00AC0BAE"/>
    <w:rsid w:val="00AC126F"/>
    <w:rsid w:val="00AE05EA"/>
    <w:rsid w:val="00AE0EDF"/>
    <w:rsid w:val="00AE1128"/>
    <w:rsid w:val="00AE1AB0"/>
    <w:rsid w:val="00AE2609"/>
    <w:rsid w:val="00AE439A"/>
    <w:rsid w:val="00AE617A"/>
    <w:rsid w:val="00AF09C7"/>
    <w:rsid w:val="00AF4BF4"/>
    <w:rsid w:val="00B03D35"/>
    <w:rsid w:val="00B05065"/>
    <w:rsid w:val="00B05194"/>
    <w:rsid w:val="00B17303"/>
    <w:rsid w:val="00B21343"/>
    <w:rsid w:val="00B25143"/>
    <w:rsid w:val="00B2585D"/>
    <w:rsid w:val="00B266FA"/>
    <w:rsid w:val="00B27359"/>
    <w:rsid w:val="00B33FC2"/>
    <w:rsid w:val="00B347F1"/>
    <w:rsid w:val="00B3502B"/>
    <w:rsid w:val="00B35C3E"/>
    <w:rsid w:val="00B36473"/>
    <w:rsid w:val="00B44029"/>
    <w:rsid w:val="00B47943"/>
    <w:rsid w:val="00B50446"/>
    <w:rsid w:val="00B50A6E"/>
    <w:rsid w:val="00B530FD"/>
    <w:rsid w:val="00B53C9C"/>
    <w:rsid w:val="00B5639B"/>
    <w:rsid w:val="00B60C3E"/>
    <w:rsid w:val="00B615CB"/>
    <w:rsid w:val="00B645FA"/>
    <w:rsid w:val="00B64775"/>
    <w:rsid w:val="00B67B4F"/>
    <w:rsid w:val="00B81718"/>
    <w:rsid w:val="00B86AF6"/>
    <w:rsid w:val="00B86E2A"/>
    <w:rsid w:val="00B9389E"/>
    <w:rsid w:val="00B96EA4"/>
    <w:rsid w:val="00B97A3E"/>
    <w:rsid w:val="00BA2F02"/>
    <w:rsid w:val="00BA2FFD"/>
    <w:rsid w:val="00BA62AD"/>
    <w:rsid w:val="00BB0267"/>
    <w:rsid w:val="00BB37AF"/>
    <w:rsid w:val="00BB4C08"/>
    <w:rsid w:val="00BC1DBD"/>
    <w:rsid w:val="00BC5737"/>
    <w:rsid w:val="00BD1747"/>
    <w:rsid w:val="00BD3C68"/>
    <w:rsid w:val="00BD421D"/>
    <w:rsid w:val="00BE4614"/>
    <w:rsid w:val="00BE4E6F"/>
    <w:rsid w:val="00BE529D"/>
    <w:rsid w:val="00BE6637"/>
    <w:rsid w:val="00BF10E8"/>
    <w:rsid w:val="00BF3158"/>
    <w:rsid w:val="00C039A5"/>
    <w:rsid w:val="00C03A04"/>
    <w:rsid w:val="00C046F7"/>
    <w:rsid w:val="00C10C0B"/>
    <w:rsid w:val="00C1776A"/>
    <w:rsid w:val="00C22519"/>
    <w:rsid w:val="00C2305C"/>
    <w:rsid w:val="00C233D0"/>
    <w:rsid w:val="00C24162"/>
    <w:rsid w:val="00C2509D"/>
    <w:rsid w:val="00C34ABD"/>
    <w:rsid w:val="00C35F43"/>
    <w:rsid w:val="00C41D3C"/>
    <w:rsid w:val="00C43801"/>
    <w:rsid w:val="00C44A07"/>
    <w:rsid w:val="00C44BDC"/>
    <w:rsid w:val="00C45BFB"/>
    <w:rsid w:val="00C54B14"/>
    <w:rsid w:val="00C6352A"/>
    <w:rsid w:val="00C65B2D"/>
    <w:rsid w:val="00C65C5D"/>
    <w:rsid w:val="00C6656A"/>
    <w:rsid w:val="00C711E5"/>
    <w:rsid w:val="00C81B05"/>
    <w:rsid w:val="00C83AEE"/>
    <w:rsid w:val="00C85AC7"/>
    <w:rsid w:val="00C906CD"/>
    <w:rsid w:val="00CA0FB8"/>
    <w:rsid w:val="00CA15F3"/>
    <w:rsid w:val="00CA2680"/>
    <w:rsid w:val="00CA6716"/>
    <w:rsid w:val="00CB0D34"/>
    <w:rsid w:val="00CC42D4"/>
    <w:rsid w:val="00CD179A"/>
    <w:rsid w:val="00CD2536"/>
    <w:rsid w:val="00CD407F"/>
    <w:rsid w:val="00CF230D"/>
    <w:rsid w:val="00CF5489"/>
    <w:rsid w:val="00CF7615"/>
    <w:rsid w:val="00D003F8"/>
    <w:rsid w:val="00D04613"/>
    <w:rsid w:val="00D10769"/>
    <w:rsid w:val="00D116C7"/>
    <w:rsid w:val="00D13AC5"/>
    <w:rsid w:val="00D14E5F"/>
    <w:rsid w:val="00D17CC6"/>
    <w:rsid w:val="00D2041E"/>
    <w:rsid w:val="00D20454"/>
    <w:rsid w:val="00D341C9"/>
    <w:rsid w:val="00D3447D"/>
    <w:rsid w:val="00D3488B"/>
    <w:rsid w:val="00D361DE"/>
    <w:rsid w:val="00D3793E"/>
    <w:rsid w:val="00D44B3D"/>
    <w:rsid w:val="00D46C4C"/>
    <w:rsid w:val="00D51F18"/>
    <w:rsid w:val="00D53537"/>
    <w:rsid w:val="00D564BB"/>
    <w:rsid w:val="00D565FA"/>
    <w:rsid w:val="00D568ED"/>
    <w:rsid w:val="00D6014E"/>
    <w:rsid w:val="00D630E7"/>
    <w:rsid w:val="00D700E5"/>
    <w:rsid w:val="00D76186"/>
    <w:rsid w:val="00D771E9"/>
    <w:rsid w:val="00D86DD4"/>
    <w:rsid w:val="00D92529"/>
    <w:rsid w:val="00DA5AAB"/>
    <w:rsid w:val="00DA6858"/>
    <w:rsid w:val="00DB1CD7"/>
    <w:rsid w:val="00DB2651"/>
    <w:rsid w:val="00DB4717"/>
    <w:rsid w:val="00DC6F31"/>
    <w:rsid w:val="00DD6D82"/>
    <w:rsid w:val="00DE045E"/>
    <w:rsid w:val="00DE1AA5"/>
    <w:rsid w:val="00DE231A"/>
    <w:rsid w:val="00DE23D6"/>
    <w:rsid w:val="00DE2CB6"/>
    <w:rsid w:val="00DE2DDE"/>
    <w:rsid w:val="00DE395F"/>
    <w:rsid w:val="00DE5414"/>
    <w:rsid w:val="00DF0C37"/>
    <w:rsid w:val="00DF24FD"/>
    <w:rsid w:val="00DF2506"/>
    <w:rsid w:val="00DF301A"/>
    <w:rsid w:val="00DF3469"/>
    <w:rsid w:val="00DF3BE2"/>
    <w:rsid w:val="00DF4E2C"/>
    <w:rsid w:val="00DF75EC"/>
    <w:rsid w:val="00E04C48"/>
    <w:rsid w:val="00E06065"/>
    <w:rsid w:val="00E079C6"/>
    <w:rsid w:val="00E146CF"/>
    <w:rsid w:val="00E23C05"/>
    <w:rsid w:val="00E247E2"/>
    <w:rsid w:val="00E304EB"/>
    <w:rsid w:val="00E329D0"/>
    <w:rsid w:val="00E33746"/>
    <w:rsid w:val="00E3451F"/>
    <w:rsid w:val="00E36B53"/>
    <w:rsid w:val="00E37585"/>
    <w:rsid w:val="00E41B64"/>
    <w:rsid w:val="00E469D5"/>
    <w:rsid w:val="00E46CD5"/>
    <w:rsid w:val="00E500D9"/>
    <w:rsid w:val="00E51AB5"/>
    <w:rsid w:val="00E52345"/>
    <w:rsid w:val="00E52763"/>
    <w:rsid w:val="00E563AE"/>
    <w:rsid w:val="00E662CD"/>
    <w:rsid w:val="00E73271"/>
    <w:rsid w:val="00E74214"/>
    <w:rsid w:val="00E74D52"/>
    <w:rsid w:val="00E75855"/>
    <w:rsid w:val="00E7609C"/>
    <w:rsid w:val="00E85CBE"/>
    <w:rsid w:val="00E86566"/>
    <w:rsid w:val="00E875F5"/>
    <w:rsid w:val="00E92527"/>
    <w:rsid w:val="00E97045"/>
    <w:rsid w:val="00EA270C"/>
    <w:rsid w:val="00EA5CF4"/>
    <w:rsid w:val="00EB09B9"/>
    <w:rsid w:val="00EB76F7"/>
    <w:rsid w:val="00EB7CB1"/>
    <w:rsid w:val="00EC0569"/>
    <w:rsid w:val="00EC1C35"/>
    <w:rsid w:val="00EC5E45"/>
    <w:rsid w:val="00ED0557"/>
    <w:rsid w:val="00ED0CF0"/>
    <w:rsid w:val="00ED34D4"/>
    <w:rsid w:val="00EE30EE"/>
    <w:rsid w:val="00EE4C6E"/>
    <w:rsid w:val="00EE6DE6"/>
    <w:rsid w:val="00EF057C"/>
    <w:rsid w:val="00EF1D14"/>
    <w:rsid w:val="00F01B31"/>
    <w:rsid w:val="00F03AB9"/>
    <w:rsid w:val="00F06479"/>
    <w:rsid w:val="00F076C5"/>
    <w:rsid w:val="00F120D9"/>
    <w:rsid w:val="00F124BE"/>
    <w:rsid w:val="00F24232"/>
    <w:rsid w:val="00F27170"/>
    <w:rsid w:val="00F30016"/>
    <w:rsid w:val="00F31C75"/>
    <w:rsid w:val="00F33277"/>
    <w:rsid w:val="00F341CC"/>
    <w:rsid w:val="00F40CAB"/>
    <w:rsid w:val="00F47C5C"/>
    <w:rsid w:val="00F54856"/>
    <w:rsid w:val="00F57650"/>
    <w:rsid w:val="00F60C74"/>
    <w:rsid w:val="00F64F51"/>
    <w:rsid w:val="00F67A35"/>
    <w:rsid w:val="00F765E8"/>
    <w:rsid w:val="00F86D88"/>
    <w:rsid w:val="00F87FA7"/>
    <w:rsid w:val="00F90898"/>
    <w:rsid w:val="00F9473C"/>
    <w:rsid w:val="00FA40A3"/>
    <w:rsid w:val="00FB3BA6"/>
    <w:rsid w:val="00FB4D65"/>
    <w:rsid w:val="00FB5954"/>
    <w:rsid w:val="00FC0CDF"/>
    <w:rsid w:val="00FC0D7C"/>
    <w:rsid w:val="00FC183A"/>
    <w:rsid w:val="00FC19F5"/>
    <w:rsid w:val="00FC3D1C"/>
    <w:rsid w:val="00FD08A7"/>
    <w:rsid w:val="00FD2E55"/>
    <w:rsid w:val="00FD2FA9"/>
    <w:rsid w:val="00FD3572"/>
    <w:rsid w:val="00FE79EF"/>
    <w:rsid w:val="00FF025A"/>
    <w:rsid w:val="00FF088B"/>
    <w:rsid w:val="00FF10AF"/>
    <w:rsid w:val="00FF334E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DDAB8C6-7630-4913-9524-81203369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semiHidden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uiPriority w:val="99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uiPriority w:val="99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EB29-926F-444A-B63E-581F9D2D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3351</Words>
  <Characters>18096</Characters>
  <Application>Microsoft Office Word</Application>
  <DocSecurity>4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21405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dc:description/>
  <cp:lastModifiedBy>LUIZ FELYPE TABOSA PORTO</cp:lastModifiedBy>
  <cp:revision>2</cp:revision>
  <cp:lastPrinted>2011-02-04T20:41:00Z</cp:lastPrinted>
  <dcterms:created xsi:type="dcterms:W3CDTF">2015-05-07T12:34:00Z</dcterms:created>
  <dcterms:modified xsi:type="dcterms:W3CDTF">2015-05-07T12:34:00Z</dcterms:modified>
</cp:coreProperties>
</file>