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421F5" w:rsidRDefault="009444E6" w:rsidP="00337E16">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4421F5">
        <w:rPr>
          <w:rFonts w:ascii="Times New Roman" w:hAnsi="Times New Roman"/>
          <w:b/>
          <w:i w:val="0"/>
          <w:color w:val="000000"/>
          <w:sz w:val="22"/>
          <w:szCs w:val="22"/>
        </w:rPr>
        <w:t xml:space="preserve">Sessões: </w:t>
      </w:r>
      <w:r w:rsidR="000A6269">
        <w:rPr>
          <w:rFonts w:ascii="Times New Roman" w:hAnsi="Times New Roman"/>
          <w:b/>
          <w:i w:val="0"/>
          <w:color w:val="000000"/>
          <w:sz w:val="22"/>
          <w:szCs w:val="22"/>
        </w:rPr>
        <w:t>25</w:t>
      </w:r>
      <w:r w:rsidR="00467815" w:rsidRPr="004421F5">
        <w:rPr>
          <w:rFonts w:ascii="Times New Roman" w:hAnsi="Times New Roman"/>
          <w:b/>
          <w:i w:val="0"/>
          <w:color w:val="000000"/>
          <w:sz w:val="22"/>
          <w:szCs w:val="22"/>
        </w:rPr>
        <w:t xml:space="preserve"> </w:t>
      </w:r>
      <w:r w:rsidR="00F01B31" w:rsidRPr="004421F5">
        <w:rPr>
          <w:rFonts w:ascii="Times New Roman" w:hAnsi="Times New Roman"/>
          <w:b/>
          <w:i w:val="0"/>
          <w:color w:val="000000"/>
          <w:sz w:val="22"/>
          <w:szCs w:val="22"/>
        </w:rPr>
        <w:t xml:space="preserve">e </w:t>
      </w:r>
      <w:r w:rsidR="00DE231A">
        <w:rPr>
          <w:rFonts w:ascii="Times New Roman" w:hAnsi="Times New Roman"/>
          <w:b/>
          <w:i w:val="0"/>
          <w:color w:val="000000"/>
          <w:sz w:val="22"/>
          <w:szCs w:val="22"/>
        </w:rPr>
        <w:t>26</w:t>
      </w:r>
      <w:r w:rsidRPr="004421F5">
        <w:rPr>
          <w:rFonts w:ascii="Times New Roman" w:hAnsi="Times New Roman"/>
          <w:b/>
          <w:i w:val="0"/>
          <w:color w:val="000000"/>
          <w:sz w:val="22"/>
          <w:szCs w:val="22"/>
        </w:rPr>
        <w:t xml:space="preserve"> de </w:t>
      </w:r>
      <w:r w:rsidR="00467815" w:rsidRPr="004421F5">
        <w:rPr>
          <w:rFonts w:ascii="Times New Roman" w:hAnsi="Times New Roman"/>
          <w:b/>
          <w:i w:val="0"/>
          <w:color w:val="000000"/>
          <w:sz w:val="22"/>
          <w:szCs w:val="22"/>
        </w:rPr>
        <w:t>janeir</w:t>
      </w:r>
      <w:r w:rsidR="007334B1" w:rsidRPr="004421F5">
        <w:rPr>
          <w:rFonts w:ascii="Times New Roman" w:hAnsi="Times New Roman"/>
          <w:b/>
          <w:i w:val="0"/>
          <w:color w:val="000000"/>
          <w:sz w:val="22"/>
          <w:szCs w:val="22"/>
        </w:rPr>
        <w:t>o</w:t>
      </w:r>
      <w:r w:rsidRPr="004421F5">
        <w:rPr>
          <w:rFonts w:ascii="Times New Roman" w:hAnsi="Times New Roman"/>
          <w:b/>
          <w:i w:val="0"/>
          <w:color w:val="000000"/>
          <w:sz w:val="22"/>
          <w:szCs w:val="22"/>
        </w:rPr>
        <w:t xml:space="preserve"> de 201</w:t>
      </w:r>
      <w:r w:rsidR="00467815" w:rsidRPr="004421F5">
        <w:rPr>
          <w:rFonts w:ascii="Times New Roman" w:hAnsi="Times New Roman"/>
          <w:b/>
          <w:i w:val="0"/>
          <w:color w:val="000000"/>
          <w:sz w:val="22"/>
          <w:szCs w:val="22"/>
        </w:rPr>
        <w:t>1</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7A2166" w:rsidRDefault="002D35F5" w:rsidP="00070785">
      <w:pPr>
        <w:pBdr>
          <w:top w:val="threeDEmboss" w:sz="24" w:space="0" w:color="auto"/>
        </w:pBdr>
        <w:tabs>
          <w:tab w:val="left" w:pos="284"/>
        </w:tabs>
        <w:spacing w:before="60" w:after="60"/>
        <w:ind w:left="0"/>
        <w:jc w:val="center"/>
        <w:rPr>
          <w:rFonts w:ascii="Cambria" w:hAnsi="Cambria"/>
          <w:b/>
          <w:bCs/>
          <w:smallCaps/>
          <w:sz w:val="22"/>
          <w:szCs w:val="22"/>
        </w:rPr>
      </w:pPr>
      <w:r w:rsidRPr="007A2166">
        <w:rPr>
          <w:rFonts w:ascii="Cambria" w:hAnsi="Cambria"/>
          <w:b/>
          <w:bCs/>
          <w:smallCaps/>
          <w:sz w:val="22"/>
          <w:szCs w:val="22"/>
        </w:rPr>
        <w:t>S</w:t>
      </w:r>
      <w:r w:rsidR="00FF7C62" w:rsidRPr="007A2166">
        <w:rPr>
          <w:rFonts w:ascii="Cambria" w:hAnsi="Cambria"/>
          <w:b/>
          <w:bCs/>
          <w:smallCaps/>
          <w:sz w:val="22"/>
          <w:szCs w:val="22"/>
        </w:rPr>
        <w:t>UMÁRIO</w:t>
      </w:r>
    </w:p>
    <w:p w:rsidR="009444E6" w:rsidRPr="00DE231A" w:rsidRDefault="009444E6" w:rsidP="0060076F">
      <w:pPr>
        <w:pStyle w:val="tita"/>
        <w:spacing w:before="60" w:after="0" w:line="240" w:lineRule="auto"/>
        <w:jc w:val="both"/>
        <w:rPr>
          <w:i w:val="0"/>
          <w:iCs w:val="0"/>
          <w:sz w:val="22"/>
          <w:szCs w:val="22"/>
        </w:rPr>
      </w:pPr>
      <w:r w:rsidRPr="00DE231A">
        <w:rPr>
          <w:i w:val="0"/>
          <w:iCs w:val="0"/>
          <w:sz w:val="22"/>
          <w:szCs w:val="22"/>
        </w:rPr>
        <w:t>Plenário</w:t>
      </w:r>
    </w:p>
    <w:p w:rsidR="006D4245" w:rsidRPr="006D4245" w:rsidRDefault="006D4245" w:rsidP="0060076F">
      <w:pPr>
        <w:pStyle w:val="indice"/>
        <w:spacing w:before="60" w:line="240" w:lineRule="auto"/>
        <w:rPr>
          <w:color w:val="auto"/>
        </w:rPr>
      </w:pPr>
      <w:r w:rsidRPr="006D4245">
        <w:rPr>
          <w:color w:val="auto"/>
        </w:rPr>
        <w:t>A exigência de comprovação de experiência anterior na prestação de serviços em volume igual ou superior ao licitado restringe o caráter competitivo do certame.</w:t>
      </w:r>
    </w:p>
    <w:p w:rsidR="00B53C9C" w:rsidRPr="00FD3572" w:rsidRDefault="00B53C9C" w:rsidP="0060076F">
      <w:pPr>
        <w:pStyle w:val="indice"/>
        <w:spacing w:before="60" w:line="240" w:lineRule="auto"/>
        <w:rPr>
          <w:color w:val="auto"/>
        </w:rPr>
      </w:pPr>
      <w:r w:rsidRPr="00FD3572">
        <w:rPr>
          <w:color w:val="auto"/>
        </w:rPr>
        <w:t>Pregão para contrataç</w:t>
      </w:r>
      <w:r w:rsidR="00070785" w:rsidRPr="00FD3572">
        <w:rPr>
          <w:color w:val="auto"/>
        </w:rPr>
        <w:t>ão de serviços:</w:t>
      </w:r>
    </w:p>
    <w:p w:rsidR="00B53C9C" w:rsidRPr="00070785" w:rsidRDefault="00B53C9C" w:rsidP="0060076F">
      <w:pPr>
        <w:pStyle w:val="Pargrafo"/>
        <w:spacing w:before="60"/>
        <w:ind w:firstLine="567"/>
        <w:jc w:val="both"/>
        <w:rPr>
          <w:sz w:val="22"/>
          <w:szCs w:val="22"/>
        </w:rPr>
      </w:pPr>
      <w:r w:rsidRPr="00070785">
        <w:rPr>
          <w:sz w:val="22"/>
          <w:szCs w:val="22"/>
        </w:rPr>
        <w:t xml:space="preserve">1 - A licença ambiental de operação deve ser exigida apenas do vencedor da licitação; </w:t>
      </w:r>
    </w:p>
    <w:p w:rsidR="00070785" w:rsidRPr="003025C7" w:rsidRDefault="00B53C9C" w:rsidP="0060076F">
      <w:pPr>
        <w:pStyle w:val="TCU-Epgrafe"/>
        <w:spacing w:before="60"/>
        <w:ind w:left="0" w:firstLine="567"/>
        <w:rPr>
          <w:b/>
          <w:sz w:val="22"/>
          <w:szCs w:val="22"/>
        </w:rPr>
      </w:pPr>
      <w:r w:rsidRPr="007A2166">
        <w:rPr>
          <w:sz w:val="22"/>
          <w:szCs w:val="22"/>
        </w:rPr>
        <w:t xml:space="preserve">2 - </w:t>
      </w:r>
      <w:r w:rsidR="00070785" w:rsidRPr="00070785">
        <w:rPr>
          <w:sz w:val="22"/>
          <w:szCs w:val="22"/>
        </w:rPr>
        <w:t>É possível que seja exigido do contratado destinação exclusiva de veículos, máquinas e equipamentos, para execução do objeto</w:t>
      </w:r>
      <w:r w:rsidR="00070785">
        <w:rPr>
          <w:sz w:val="22"/>
          <w:szCs w:val="22"/>
        </w:rPr>
        <w:t>.</w:t>
      </w:r>
    </w:p>
    <w:p w:rsidR="00B53C9C" w:rsidRPr="001158D1" w:rsidRDefault="00B53C9C" w:rsidP="0060076F">
      <w:pPr>
        <w:pStyle w:val="tita"/>
        <w:spacing w:before="60" w:after="0" w:line="240" w:lineRule="auto"/>
        <w:jc w:val="both"/>
        <w:rPr>
          <w:i w:val="0"/>
          <w:iCs w:val="0"/>
          <w:sz w:val="22"/>
          <w:szCs w:val="22"/>
        </w:rPr>
      </w:pPr>
      <w:r w:rsidRPr="001158D1">
        <w:rPr>
          <w:i w:val="0"/>
          <w:iCs w:val="0"/>
          <w:sz w:val="22"/>
          <w:szCs w:val="22"/>
        </w:rPr>
        <w:t>Primeira Câmara</w:t>
      </w:r>
    </w:p>
    <w:p w:rsidR="00B53C9C" w:rsidRPr="00B53C9C" w:rsidRDefault="00B53C9C" w:rsidP="0060076F">
      <w:pPr>
        <w:pStyle w:val="enter-3pt"/>
        <w:spacing w:before="60" w:line="240" w:lineRule="auto"/>
        <w:rPr>
          <w:sz w:val="22"/>
          <w:szCs w:val="22"/>
        </w:rPr>
      </w:pPr>
      <w:r w:rsidRPr="00B53C9C">
        <w:rPr>
          <w:sz w:val="22"/>
          <w:szCs w:val="22"/>
        </w:rPr>
        <w:t>O art. 24, inc. V, da Lei 8.666/1993 (licitação deserta) só pode ser utilizado como fundamento para a contratação direta caso o certame não possa, justificadamente, ser repetido sem prejuízo para a Administração.</w:t>
      </w:r>
    </w:p>
    <w:p w:rsidR="00B53C9C" w:rsidRPr="001158D1" w:rsidRDefault="00B53C9C" w:rsidP="0060076F">
      <w:pPr>
        <w:pStyle w:val="tita"/>
        <w:spacing w:before="60" w:after="0" w:line="240" w:lineRule="auto"/>
        <w:jc w:val="both"/>
        <w:rPr>
          <w:i w:val="0"/>
          <w:iCs w:val="0"/>
          <w:sz w:val="22"/>
          <w:szCs w:val="22"/>
        </w:rPr>
      </w:pPr>
      <w:r w:rsidRPr="001158D1">
        <w:rPr>
          <w:i w:val="0"/>
          <w:iCs w:val="0"/>
          <w:sz w:val="22"/>
          <w:szCs w:val="22"/>
        </w:rPr>
        <w:t>Segunda Câmara</w:t>
      </w:r>
    </w:p>
    <w:p w:rsidR="00070785" w:rsidRPr="00070785" w:rsidRDefault="00070785" w:rsidP="0060076F">
      <w:pPr>
        <w:pStyle w:val="enter-3pt"/>
        <w:spacing w:before="60" w:line="240" w:lineRule="auto"/>
        <w:rPr>
          <w:sz w:val="22"/>
          <w:szCs w:val="22"/>
        </w:rPr>
      </w:pPr>
      <w:r w:rsidRPr="00070785">
        <w:rPr>
          <w:sz w:val="22"/>
          <w:szCs w:val="22"/>
        </w:rPr>
        <w:t>A aplicação de recursos públicos recebidos por particulares em decorrência de convênios, acordos ajustes ou outros instrumentos congêneres deve atender, no que couber, à Lei de Licitações.</w:t>
      </w:r>
    </w:p>
    <w:p w:rsidR="00070785" w:rsidRPr="003025C7" w:rsidRDefault="00070785" w:rsidP="00070785">
      <w:pPr>
        <w:pStyle w:val="enter-3pt"/>
        <w:spacing w:line="240" w:lineRule="auto"/>
        <w:rPr>
          <w:b/>
          <w:sz w:val="22"/>
          <w:szCs w:val="22"/>
        </w:rPr>
      </w:pPr>
    </w:p>
    <w:p w:rsidR="003C6DEB" w:rsidRPr="007A216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7A2166">
        <w:rPr>
          <w:rFonts w:ascii="Cambria" w:hAnsi="Cambria"/>
          <w:b/>
          <w:bCs/>
          <w:smallCaps/>
          <w:sz w:val="22"/>
          <w:szCs w:val="22"/>
        </w:rPr>
        <w:t>PLENÁRIO</w:t>
      </w:r>
    </w:p>
    <w:p w:rsidR="003C6DEB" w:rsidRPr="003025C7" w:rsidRDefault="003C6DEB" w:rsidP="003025C7">
      <w:pPr>
        <w:pStyle w:val="tita"/>
        <w:spacing w:before="0" w:after="0" w:line="240" w:lineRule="auto"/>
        <w:jc w:val="both"/>
        <w:rPr>
          <w:i w:val="0"/>
          <w:iCs w:val="0"/>
          <w:sz w:val="22"/>
          <w:szCs w:val="22"/>
        </w:rPr>
      </w:pPr>
    </w:p>
    <w:p w:rsidR="00CA2680" w:rsidRPr="003025C7" w:rsidRDefault="006D4245" w:rsidP="003025C7">
      <w:pPr>
        <w:pStyle w:val="indice"/>
        <w:spacing w:line="240" w:lineRule="auto"/>
        <w:rPr>
          <w:b/>
          <w:color w:val="auto"/>
        </w:rPr>
      </w:pPr>
      <w:r w:rsidRPr="003025C7">
        <w:rPr>
          <w:b/>
          <w:color w:val="auto"/>
        </w:rPr>
        <w:t>A exigência de comprovação de experiência anterior na prestação de serviços em volume igual ou superior ao licitado restringe o caráter competitivo do certame</w:t>
      </w:r>
    </w:p>
    <w:p w:rsidR="00CA2680" w:rsidRPr="003025C7" w:rsidRDefault="004D7C91" w:rsidP="003025C7">
      <w:pPr>
        <w:pStyle w:val="Indentado"/>
        <w:ind w:left="0" w:firstLine="0"/>
        <w:rPr>
          <w:color w:val="FF0000"/>
          <w:sz w:val="22"/>
        </w:rPr>
      </w:pPr>
      <w:r w:rsidRPr="003025C7">
        <w:rPr>
          <w:sz w:val="22"/>
        </w:rPr>
        <w:t xml:space="preserve">Representação trouxe ao TCU notícias acerca de possíveis </w:t>
      </w:r>
      <w:r w:rsidRPr="003025C7">
        <w:rPr>
          <w:sz w:val="22"/>
          <w:lang w:eastAsia="pt-BR"/>
        </w:rPr>
        <w:t xml:space="preserve">irregularidades no edital do pregão eletrônico 194/2010, realizado pelo Instituto Nacional de Traumatologia e Ortopedia – (INTO), cujo objeto consistiu na contratação de empresa para prestação de serviços de apoio operacional (entrega de documentos, auxílio à locomoção de pacientes, recepção, atendimento, reprografia, imobilização ortopédica, secretariado e outros). Dentre tais irregularidades, apontou-se </w:t>
      </w:r>
      <w:r w:rsidR="000E504D" w:rsidRPr="003025C7">
        <w:rPr>
          <w:sz w:val="22"/>
          <w:lang w:eastAsia="pt-BR"/>
        </w:rPr>
        <w:t>a restrição à competitividade do certame, em razão da redação dada ao item 10.4 do edital que dispunha ser necessário “</w:t>
      </w:r>
      <w:r w:rsidR="000E504D" w:rsidRPr="003025C7">
        <w:rPr>
          <w:i/>
          <w:sz w:val="22"/>
          <w:lang w:eastAsia="pt-BR"/>
        </w:rPr>
        <w:t>comprovar a aptidão para desempenho de atividade pertinente e compatível em características, quantidades e prazos com o objeto desta licitação, através da apresentação de um Atestado de Capacidade Técnica, fornecido por pessoa de direito público ou privado devidamente registrado no Conselho Regional de Administração (CRA – RJ) em nome do licitante que comprove a prestação de serviços em unidades hospitalares públicas ou privadas com contingente mínimo igual ou superior ao deste certame. Será admitido o somatório de atestados, devido a complexidade dos serviços ora licitado”</w:t>
      </w:r>
      <w:r w:rsidR="000E504D" w:rsidRPr="003025C7">
        <w:rPr>
          <w:sz w:val="22"/>
          <w:lang w:eastAsia="pt-BR"/>
        </w:rPr>
        <w:t xml:space="preserve">. Para a unidade técnica, </w:t>
      </w:r>
      <w:r w:rsidR="006D4245" w:rsidRPr="003025C7">
        <w:rPr>
          <w:sz w:val="22"/>
          <w:lang w:eastAsia="pt-BR"/>
        </w:rPr>
        <w:t>a exigência seria excessiva</w:t>
      </w:r>
      <w:r w:rsidR="000E504D" w:rsidRPr="003025C7">
        <w:rPr>
          <w:sz w:val="22"/>
          <w:lang w:eastAsia="pt-BR"/>
        </w:rPr>
        <w:t>, uma vez que exigia experiência igual ou superior ao objeto da licitação examinada. O relator, ao concordar com a unidade instrutiva, destacou que “</w:t>
      </w:r>
      <w:r w:rsidR="000E504D" w:rsidRPr="003025C7">
        <w:rPr>
          <w:i/>
          <w:sz w:val="22"/>
          <w:lang w:eastAsia="pt-BR"/>
        </w:rPr>
        <w:t>a exigência de comprovação de prestação de serviços em volume igual ou superior ao licitado extrapola os requisitos definidos nos arts. 27 a 31 da Lei 8.666/1993, bem como contraria a jurisprudência do tribunal acerca do assunto</w:t>
      </w:r>
      <w:r w:rsidR="000E504D" w:rsidRPr="003025C7">
        <w:rPr>
          <w:sz w:val="22"/>
          <w:lang w:eastAsia="pt-BR"/>
        </w:rPr>
        <w:t xml:space="preserve">”. Assim, </w:t>
      </w:r>
      <w:r w:rsidR="000E504D" w:rsidRPr="003025C7">
        <w:rPr>
          <w:sz w:val="22"/>
        </w:rPr>
        <w:t xml:space="preserve">o relator, ao considerar a representação procedente, </w:t>
      </w:r>
      <w:r w:rsidR="00BA2F02" w:rsidRPr="003025C7">
        <w:rPr>
          <w:sz w:val="22"/>
        </w:rPr>
        <w:t xml:space="preserve">votou por que </w:t>
      </w:r>
      <w:r w:rsidR="006D4245" w:rsidRPr="003025C7">
        <w:rPr>
          <w:sz w:val="22"/>
        </w:rPr>
        <w:t xml:space="preserve">fosse </w:t>
      </w:r>
      <w:r w:rsidR="00BA2F02" w:rsidRPr="003025C7">
        <w:rPr>
          <w:sz w:val="22"/>
        </w:rPr>
        <w:t>expedi</w:t>
      </w:r>
      <w:r w:rsidR="006D4245" w:rsidRPr="003025C7">
        <w:rPr>
          <w:sz w:val="22"/>
        </w:rPr>
        <w:t>da</w:t>
      </w:r>
      <w:r w:rsidR="00BA2F02" w:rsidRPr="003025C7">
        <w:rPr>
          <w:sz w:val="22"/>
        </w:rPr>
        <w:t xml:space="preserve">, dentre outras, determinação ao INTO para que suprimisse do item 10.4 do edital do pregão 194/2010 as expressões </w:t>
      </w:r>
      <w:r w:rsidR="00BA2F02" w:rsidRPr="003025C7">
        <w:rPr>
          <w:sz w:val="22"/>
          <w:lang w:eastAsia="pt-BR"/>
        </w:rPr>
        <w:t>“</w:t>
      </w:r>
      <w:r w:rsidR="00BA2F02" w:rsidRPr="003025C7">
        <w:rPr>
          <w:i/>
          <w:sz w:val="22"/>
          <w:lang w:eastAsia="pt-BR"/>
        </w:rPr>
        <w:t xml:space="preserve">com contingente mínimo igual ou superior ao deste certame” </w:t>
      </w:r>
      <w:r w:rsidR="00BA2F02" w:rsidRPr="003025C7">
        <w:rPr>
          <w:sz w:val="22"/>
          <w:lang w:eastAsia="pt-BR"/>
        </w:rPr>
        <w:t>e “</w:t>
      </w:r>
      <w:r w:rsidR="00BA2F02" w:rsidRPr="003025C7">
        <w:rPr>
          <w:i/>
          <w:sz w:val="22"/>
          <w:lang w:eastAsia="pt-BR"/>
        </w:rPr>
        <w:t>apresentação de um Atestado de Capacidade Técnica”</w:t>
      </w:r>
      <w:r w:rsidR="00BA2F02" w:rsidRPr="003025C7">
        <w:rPr>
          <w:sz w:val="22"/>
          <w:lang w:eastAsia="pt-BR"/>
        </w:rPr>
        <w:t xml:space="preserve">, em razão de as mesmas estabelecerem restrições indevidas à competitividade. O Plenário, </w:t>
      </w:r>
      <w:r w:rsidR="00BA2F02" w:rsidRPr="003025C7">
        <w:rPr>
          <w:color w:val="000000"/>
          <w:sz w:val="22"/>
        </w:rPr>
        <w:t xml:space="preserve">acolhendo o voto do relator, determinou ao INTO </w:t>
      </w:r>
      <w:r w:rsidR="006D4245" w:rsidRPr="003025C7">
        <w:rPr>
          <w:color w:val="000000"/>
          <w:sz w:val="22"/>
        </w:rPr>
        <w:t xml:space="preserve">que </w:t>
      </w:r>
      <w:r w:rsidR="00BA2F02" w:rsidRPr="003025C7">
        <w:rPr>
          <w:color w:val="000000"/>
          <w:sz w:val="22"/>
        </w:rPr>
        <w:t xml:space="preserve">só desse prosseguimento ao </w:t>
      </w:r>
      <w:r w:rsidR="006D4245" w:rsidRPr="003025C7">
        <w:rPr>
          <w:color w:val="000000"/>
          <w:sz w:val="22"/>
        </w:rPr>
        <w:t>pregão 194/2010 caso adotasse a</w:t>
      </w:r>
      <w:r w:rsidR="00BA2F02" w:rsidRPr="003025C7">
        <w:rPr>
          <w:color w:val="000000"/>
          <w:sz w:val="22"/>
        </w:rPr>
        <w:t xml:space="preserve"> providência alvitrada. </w:t>
      </w:r>
      <w:r w:rsidR="00CA2680" w:rsidRPr="003025C7">
        <w:rPr>
          <w:b/>
          <w:i/>
          <w:sz w:val="22"/>
        </w:rPr>
        <w:t>Acórdão n.º 1</w:t>
      </w:r>
      <w:r w:rsidRPr="003025C7">
        <w:rPr>
          <w:b/>
          <w:i/>
          <w:sz w:val="22"/>
        </w:rPr>
        <w:t>12</w:t>
      </w:r>
      <w:r w:rsidR="00CA2680" w:rsidRPr="003025C7">
        <w:rPr>
          <w:b/>
          <w:i/>
          <w:sz w:val="22"/>
        </w:rPr>
        <w:t>/2011-Plenário, TC-0</w:t>
      </w:r>
      <w:r w:rsidRPr="003025C7">
        <w:rPr>
          <w:b/>
          <w:i/>
          <w:sz w:val="22"/>
        </w:rPr>
        <w:t>3</w:t>
      </w:r>
      <w:r w:rsidR="00CA2680" w:rsidRPr="003025C7">
        <w:rPr>
          <w:b/>
          <w:i/>
          <w:sz w:val="22"/>
        </w:rPr>
        <w:t>4.</w:t>
      </w:r>
      <w:r w:rsidRPr="003025C7">
        <w:rPr>
          <w:b/>
          <w:i/>
          <w:sz w:val="22"/>
        </w:rPr>
        <w:t>017</w:t>
      </w:r>
      <w:r w:rsidR="00CA2680" w:rsidRPr="003025C7">
        <w:rPr>
          <w:b/>
          <w:i/>
          <w:sz w:val="22"/>
        </w:rPr>
        <w:t>/20</w:t>
      </w:r>
      <w:r w:rsidRPr="003025C7">
        <w:rPr>
          <w:b/>
          <w:i/>
          <w:sz w:val="22"/>
        </w:rPr>
        <w:t>1</w:t>
      </w:r>
      <w:r w:rsidR="00CA2680" w:rsidRPr="003025C7">
        <w:rPr>
          <w:b/>
          <w:i/>
          <w:sz w:val="22"/>
        </w:rPr>
        <w:t>0-</w:t>
      </w:r>
      <w:r w:rsidRPr="003025C7">
        <w:rPr>
          <w:b/>
          <w:i/>
          <w:sz w:val="22"/>
        </w:rPr>
        <w:t>0</w:t>
      </w:r>
      <w:r w:rsidR="00CA2680" w:rsidRPr="003025C7">
        <w:rPr>
          <w:b/>
          <w:i/>
          <w:sz w:val="22"/>
        </w:rPr>
        <w:t xml:space="preserve">, rel. Min. </w:t>
      </w:r>
      <w:r w:rsidRPr="003025C7">
        <w:rPr>
          <w:b/>
          <w:i/>
          <w:sz w:val="22"/>
        </w:rPr>
        <w:t>Aroldo Cedraz</w:t>
      </w:r>
      <w:r w:rsidR="00CA2680" w:rsidRPr="003025C7">
        <w:rPr>
          <w:b/>
          <w:i/>
          <w:sz w:val="22"/>
        </w:rPr>
        <w:t>, 26.01.2011.</w:t>
      </w:r>
      <w:r w:rsidR="00CA2680" w:rsidRPr="003025C7">
        <w:rPr>
          <w:b/>
          <w:i/>
          <w:color w:val="FF0000"/>
          <w:sz w:val="22"/>
        </w:rPr>
        <w:t xml:space="preserve"> </w:t>
      </w:r>
    </w:p>
    <w:p w:rsidR="00CA2680" w:rsidRPr="003025C7" w:rsidRDefault="00CA2680" w:rsidP="003025C7">
      <w:pPr>
        <w:pStyle w:val="Default"/>
        <w:jc w:val="both"/>
        <w:rPr>
          <w:color w:val="FF0000"/>
          <w:sz w:val="22"/>
          <w:szCs w:val="22"/>
        </w:rPr>
      </w:pPr>
    </w:p>
    <w:p w:rsidR="00914B48" w:rsidRPr="003025C7" w:rsidRDefault="006D4245" w:rsidP="003025C7">
      <w:pPr>
        <w:pStyle w:val="indice"/>
        <w:spacing w:line="240" w:lineRule="auto"/>
        <w:rPr>
          <w:b/>
          <w:color w:val="auto"/>
        </w:rPr>
      </w:pPr>
      <w:r w:rsidRPr="003025C7">
        <w:rPr>
          <w:b/>
          <w:color w:val="auto"/>
        </w:rPr>
        <w:t>Pregão para contratação de serviços: 1 – A licença ambiental de operação deve ser exigida apenas do vencedor da licitação</w:t>
      </w:r>
    </w:p>
    <w:p w:rsidR="00914B48" w:rsidRPr="003025C7" w:rsidRDefault="00B50A6E" w:rsidP="003025C7">
      <w:pPr>
        <w:pStyle w:val="TCU-Epgrafe"/>
        <w:tabs>
          <w:tab w:val="left" w:pos="1134"/>
        </w:tabs>
        <w:ind w:left="0"/>
        <w:rPr>
          <w:b/>
          <w:i/>
          <w:sz w:val="22"/>
          <w:szCs w:val="22"/>
        </w:rPr>
      </w:pPr>
      <w:r w:rsidRPr="003025C7">
        <w:rPr>
          <w:sz w:val="22"/>
          <w:szCs w:val="22"/>
        </w:rPr>
        <w:t>Representação informou ao Tribunal supostas irregularidades na condução do Pregão Eletrônico nº 7/2010, promovido pelo Instituto Nacional de Pesquisas da Amazônia – (INPA), com o objetivo de contratar empresa para a execução dos serviços de limpeza e conservação dos prédios da entidade.</w:t>
      </w:r>
      <w:r w:rsidR="00EC5E45" w:rsidRPr="003025C7">
        <w:rPr>
          <w:sz w:val="22"/>
          <w:szCs w:val="22"/>
        </w:rPr>
        <w:t xml:space="preserve"> Ao propor a improcedência da representação, o relator entendeu não haver irregularidade na exig</w:t>
      </w:r>
      <w:r w:rsidR="00D3793E" w:rsidRPr="003025C7">
        <w:rPr>
          <w:sz w:val="22"/>
          <w:szCs w:val="22"/>
        </w:rPr>
        <w:t xml:space="preserve">ência de licença ambiental de operação do licitante vencedor do certame, uma vez que tal exigência estaria, inclusive, em conformidade com o art. 20, § 1º, da Instrução Normativa nº 2, de 30 de abril de 2008, da Secretaria de Logística e Tecnologia da Informação – (SLTI) do Ministério do Planejamento, Orçamento e Gestão. Para ele, seria irregular caso fosse exigido licença ambiental de todos os licitantes, o que não ocorreu. Em consequência, propôs a improcedência da representação, o que foi aprovado pelo Plenário. </w:t>
      </w:r>
      <w:r w:rsidR="00914B48" w:rsidRPr="003025C7">
        <w:rPr>
          <w:sz w:val="22"/>
          <w:szCs w:val="22"/>
        </w:rPr>
        <w:t xml:space="preserve"> </w:t>
      </w:r>
      <w:r w:rsidR="00D3793E" w:rsidRPr="003025C7">
        <w:rPr>
          <w:sz w:val="22"/>
          <w:szCs w:val="22"/>
        </w:rPr>
        <w:t>Precedente citado: Acórdão n</w:t>
      </w:r>
      <w:r w:rsidR="00D3793E" w:rsidRPr="003025C7">
        <w:rPr>
          <w:sz w:val="22"/>
          <w:szCs w:val="22"/>
          <w:u w:val="single"/>
          <w:vertAlign w:val="superscript"/>
        </w:rPr>
        <w:t>o</w:t>
      </w:r>
      <w:r w:rsidR="00D3793E" w:rsidRPr="003025C7">
        <w:rPr>
          <w:sz w:val="22"/>
          <w:szCs w:val="22"/>
        </w:rPr>
        <w:t xml:space="preserve"> </w:t>
      </w:r>
      <w:r w:rsidR="00356E38" w:rsidRPr="003025C7">
        <w:rPr>
          <w:sz w:val="22"/>
          <w:szCs w:val="22"/>
        </w:rPr>
        <w:t>5</w:t>
      </w:r>
      <w:r w:rsidR="00D3793E" w:rsidRPr="003025C7">
        <w:rPr>
          <w:sz w:val="22"/>
          <w:szCs w:val="22"/>
        </w:rPr>
        <w:t>611/2009</w:t>
      </w:r>
      <w:r w:rsidR="003025C7" w:rsidRPr="003025C7">
        <w:rPr>
          <w:sz w:val="22"/>
          <w:szCs w:val="22"/>
        </w:rPr>
        <w:t xml:space="preserve">, da </w:t>
      </w:r>
      <w:r w:rsidR="00D3793E" w:rsidRPr="003025C7">
        <w:rPr>
          <w:sz w:val="22"/>
          <w:szCs w:val="22"/>
        </w:rPr>
        <w:t>2ª Câmara</w:t>
      </w:r>
      <w:r w:rsidR="003025C7" w:rsidRPr="003025C7">
        <w:rPr>
          <w:sz w:val="22"/>
          <w:szCs w:val="22"/>
        </w:rPr>
        <w:t>.</w:t>
      </w:r>
      <w:r w:rsidR="00D3793E" w:rsidRPr="003025C7">
        <w:rPr>
          <w:sz w:val="22"/>
          <w:szCs w:val="22"/>
        </w:rPr>
        <w:t xml:space="preserve"> </w:t>
      </w:r>
      <w:r w:rsidR="00914B48" w:rsidRPr="003025C7">
        <w:rPr>
          <w:b/>
          <w:i/>
          <w:sz w:val="22"/>
          <w:szCs w:val="22"/>
        </w:rPr>
        <w:t>Acórdão n.º 1</w:t>
      </w:r>
      <w:r w:rsidR="00381780" w:rsidRPr="003025C7">
        <w:rPr>
          <w:b/>
          <w:i/>
          <w:sz w:val="22"/>
          <w:szCs w:val="22"/>
        </w:rPr>
        <w:t>25</w:t>
      </w:r>
      <w:r w:rsidR="00914B48" w:rsidRPr="003025C7">
        <w:rPr>
          <w:b/>
          <w:i/>
          <w:sz w:val="22"/>
          <w:szCs w:val="22"/>
        </w:rPr>
        <w:t>/2011-Plenário, TC-0</w:t>
      </w:r>
      <w:r w:rsidR="00381780" w:rsidRPr="003025C7">
        <w:rPr>
          <w:b/>
          <w:i/>
          <w:sz w:val="22"/>
          <w:szCs w:val="22"/>
        </w:rPr>
        <w:t>15</w:t>
      </w:r>
      <w:r w:rsidR="00914B48" w:rsidRPr="003025C7">
        <w:rPr>
          <w:b/>
          <w:i/>
          <w:sz w:val="22"/>
          <w:szCs w:val="22"/>
        </w:rPr>
        <w:t>.</w:t>
      </w:r>
      <w:r w:rsidR="00381780" w:rsidRPr="003025C7">
        <w:rPr>
          <w:b/>
          <w:i/>
          <w:sz w:val="22"/>
          <w:szCs w:val="22"/>
        </w:rPr>
        <w:t>085</w:t>
      </w:r>
      <w:r w:rsidR="00914B48" w:rsidRPr="003025C7">
        <w:rPr>
          <w:b/>
          <w:i/>
          <w:sz w:val="22"/>
          <w:szCs w:val="22"/>
        </w:rPr>
        <w:t>/20</w:t>
      </w:r>
      <w:r w:rsidR="00381780" w:rsidRPr="003025C7">
        <w:rPr>
          <w:b/>
          <w:i/>
          <w:sz w:val="22"/>
          <w:szCs w:val="22"/>
        </w:rPr>
        <w:t>1</w:t>
      </w:r>
      <w:r w:rsidR="00914B48" w:rsidRPr="003025C7">
        <w:rPr>
          <w:b/>
          <w:i/>
          <w:sz w:val="22"/>
          <w:szCs w:val="22"/>
        </w:rPr>
        <w:t>0-</w:t>
      </w:r>
      <w:r w:rsidR="00381780" w:rsidRPr="003025C7">
        <w:rPr>
          <w:b/>
          <w:i/>
          <w:sz w:val="22"/>
          <w:szCs w:val="22"/>
        </w:rPr>
        <w:t>4</w:t>
      </w:r>
      <w:r w:rsidR="00914B48" w:rsidRPr="003025C7">
        <w:rPr>
          <w:b/>
          <w:i/>
          <w:sz w:val="22"/>
          <w:szCs w:val="22"/>
        </w:rPr>
        <w:t xml:space="preserve">, </w:t>
      </w:r>
      <w:r w:rsidR="00381780" w:rsidRPr="003025C7">
        <w:rPr>
          <w:b/>
          <w:i/>
          <w:sz w:val="22"/>
          <w:szCs w:val="22"/>
        </w:rPr>
        <w:t>rel. Min-Subst. André Luís de Carvalho</w:t>
      </w:r>
      <w:r w:rsidR="00914B48" w:rsidRPr="003025C7">
        <w:rPr>
          <w:b/>
          <w:i/>
          <w:sz w:val="22"/>
          <w:szCs w:val="22"/>
        </w:rPr>
        <w:t xml:space="preserve">, 26.01.2011. </w:t>
      </w:r>
    </w:p>
    <w:p w:rsidR="0027686D" w:rsidRPr="003025C7" w:rsidRDefault="0027686D" w:rsidP="003025C7">
      <w:pPr>
        <w:pStyle w:val="Corpodetexto"/>
        <w:spacing w:after="0"/>
        <w:ind w:left="0"/>
        <w:rPr>
          <w:sz w:val="22"/>
          <w:szCs w:val="22"/>
        </w:rPr>
      </w:pPr>
    </w:p>
    <w:p w:rsidR="006D4245" w:rsidRPr="003025C7" w:rsidRDefault="006D4245" w:rsidP="003025C7">
      <w:pPr>
        <w:pStyle w:val="TCU-Epgrafe"/>
        <w:tabs>
          <w:tab w:val="left" w:pos="1134"/>
        </w:tabs>
        <w:ind w:left="0"/>
        <w:rPr>
          <w:b/>
          <w:sz w:val="22"/>
          <w:szCs w:val="22"/>
        </w:rPr>
      </w:pPr>
      <w:r w:rsidRPr="003025C7">
        <w:rPr>
          <w:b/>
          <w:sz w:val="22"/>
          <w:szCs w:val="22"/>
        </w:rPr>
        <w:t>Pregão para contratação de serviços: 2 –</w:t>
      </w:r>
      <w:r w:rsidR="003025C7" w:rsidRPr="003025C7">
        <w:rPr>
          <w:b/>
          <w:sz w:val="22"/>
          <w:szCs w:val="22"/>
        </w:rPr>
        <w:t xml:space="preserve"> É possível que seja exigido do contratado destinação exclusiva de veículos, máquinas e equipamentos, para execução do objeto</w:t>
      </w:r>
    </w:p>
    <w:p w:rsidR="00D3793E" w:rsidRPr="003025C7" w:rsidRDefault="00D3793E" w:rsidP="003025C7">
      <w:pPr>
        <w:pStyle w:val="NormalWeb"/>
        <w:tabs>
          <w:tab w:val="left" w:pos="1134"/>
        </w:tabs>
        <w:spacing w:line="240" w:lineRule="auto"/>
        <w:ind w:firstLine="0"/>
        <w:jc w:val="both"/>
        <w:rPr>
          <w:b/>
          <w:i/>
          <w:sz w:val="22"/>
          <w:szCs w:val="22"/>
        </w:rPr>
      </w:pPr>
      <w:r w:rsidRPr="003025C7">
        <w:rPr>
          <w:sz w:val="22"/>
          <w:szCs w:val="22"/>
        </w:rPr>
        <w:t>Ainda n</w:t>
      </w:r>
      <w:r w:rsidR="00FD3572">
        <w:rPr>
          <w:sz w:val="22"/>
          <w:szCs w:val="22"/>
        </w:rPr>
        <w:t xml:space="preserve">o mesmo processo de </w:t>
      </w:r>
      <w:r w:rsidRPr="003025C7">
        <w:rPr>
          <w:sz w:val="22"/>
          <w:szCs w:val="22"/>
        </w:rPr>
        <w:t xml:space="preserve">representação que informou ao Tribunal supostas irregularidades na condução do Pregão Eletrônico nº 7/2010, foi examinada a suposta exigência indevida prevista na alínea “g” do subitem 12.9 do edital da licitação, no sentido de que a empresa licitante efetue a destinação exclusiva a serviço do INPA de veículos, máquinas e equipamentos, o que configuraria ingerência indevida na administração da contratada. </w:t>
      </w:r>
      <w:r w:rsidR="00356E38" w:rsidRPr="003025C7">
        <w:rPr>
          <w:sz w:val="22"/>
          <w:szCs w:val="22"/>
        </w:rPr>
        <w:t>O relator, todavia, considerou a exigência pertinente</w:t>
      </w:r>
      <w:r w:rsidR="003025C7" w:rsidRPr="003025C7">
        <w:rPr>
          <w:sz w:val="22"/>
          <w:szCs w:val="22"/>
        </w:rPr>
        <w:t>.</w:t>
      </w:r>
      <w:r w:rsidR="00356E38" w:rsidRPr="003025C7">
        <w:rPr>
          <w:sz w:val="22"/>
          <w:szCs w:val="22"/>
        </w:rPr>
        <w:t xml:space="preserve"> Diante do quadro, </w:t>
      </w:r>
      <w:r w:rsidR="003025C7" w:rsidRPr="003025C7">
        <w:rPr>
          <w:sz w:val="22"/>
          <w:szCs w:val="22"/>
        </w:rPr>
        <w:t>citando jurisprudência do Tribunal, enfatizou que, na espécie, seria indispensável que a contratada possuísse veículos destinados, exclusivamente, às tarefas diárias, “</w:t>
      </w:r>
      <w:r w:rsidR="003025C7" w:rsidRPr="003025C7">
        <w:rPr>
          <w:i/>
          <w:sz w:val="22"/>
          <w:szCs w:val="22"/>
        </w:rPr>
        <w:t>por representar garantia de que os serviços licitados venham a ser devidamente executados</w:t>
      </w:r>
      <w:r w:rsidR="003025C7" w:rsidRPr="003025C7">
        <w:rPr>
          <w:sz w:val="22"/>
          <w:szCs w:val="22"/>
        </w:rPr>
        <w:t>”.</w:t>
      </w:r>
      <w:r w:rsidRPr="003025C7">
        <w:rPr>
          <w:sz w:val="22"/>
          <w:szCs w:val="22"/>
        </w:rPr>
        <w:t xml:space="preserve"> Em consequência, propôs a improcedência da representação, o que foi aprovado pelo Plenário.  Precedente citado: Acórdão n</w:t>
      </w:r>
      <w:r w:rsidRPr="003025C7">
        <w:rPr>
          <w:sz w:val="22"/>
          <w:szCs w:val="22"/>
          <w:u w:val="single"/>
          <w:vertAlign w:val="superscript"/>
        </w:rPr>
        <w:t>o</w:t>
      </w:r>
      <w:r w:rsidRPr="003025C7">
        <w:rPr>
          <w:sz w:val="22"/>
          <w:szCs w:val="22"/>
        </w:rPr>
        <w:t xml:space="preserve"> </w:t>
      </w:r>
      <w:r w:rsidR="00356E38" w:rsidRPr="003025C7">
        <w:rPr>
          <w:sz w:val="22"/>
          <w:szCs w:val="22"/>
        </w:rPr>
        <w:t>1895</w:t>
      </w:r>
      <w:r w:rsidRPr="003025C7">
        <w:rPr>
          <w:sz w:val="22"/>
          <w:szCs w:val="22"/>
        </w:rPr>
        <w:t>/20</w:t>
      </w:r>
      <w:r w:rsidR="00356E38" w:rsidRPr="003025C7">
        <w:rPr>
          <w:sz w:val="22"/>
          <w:szCs w:val="22"/>
        </w:rPr>
        <w:t>1</w:t>
      </w:r>
      <w:r w:rsidRPr="003025C7">
        <w:rPr>
          <w:sz w:val="22"/>
          <w:szCs w:val="22"/>
        </w:rPr>
        <w:t>0</w:t>
      </w:r>
      <w:r w:rsidR="003025C7" w:rsidRPr="003025C7">
        <w:rPr>
          <w:sz w:val="22"/>
          <w:szCs w:val="22"/>
        </w:rPr>
        <w:t>,</w:t>
      </w:r>
      <w:r w:rsidRPr="003025C7">
        <w:rPr>
          <w:sz w:val="22"/>
          <w:szCs w:val="22"/>
        </w:rPr>
        <w:t xml:space="preserve"> do Plenário. </w:t>
      </w:r>
      <w:r w:rsidRPr="003025C7">
        <w:rPr>
          <w:b/>
          <w:i/>
          <w:sz w:val="22"/>
          <w:szCs w:val="22"/>
        </w:rPr>
        <w:t xml:space="preserve">Acórdão n.º 125/2011-Plenário, TC-015.085/2010-4, rel. Min-Subst. André Luís de Carvalho, 26.01.2011. </w:t>
      </w:r>
    </w:p>
    <w:p w:rsidR="00070785" w:rsidRPr="007A2166" w:rsidRDefault="00070785" w:rsidP="00914B48">
      <w:pPr>
        <w:pStyle w:val="TCU-RelVoto-demais"/>
        <w:spacing w:after="0"/>
        <w:rPr>
          <w:color w:val="FF0000"/>
          <w:sz w:val="22"/>
        </w:rPr>
      </w:pPr>
    </w:p>
    <w:p w:rsidR="0027686D" w:rsidRDefault="0027686D" w:rsidP="002768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w:t>
      </w:r>
      <w:r w:rsidRPr="00337E16">
        <w:rPr>
          <w:rFonts w:ascii="Cambria" w:hAnsi="Cambria"/>
          <w:b/>
          <w:bCs/>
          <w:smallCaps/>
          <w:sz w:val="22"/>
          <w:szCs w:val="22"/>
        </w:rPr>
        <w:t xml:space="preserve"> CÂMARA</w:t>
      </w:r>
    </w:p>
    <w:p w:rsidR="00381780" w:rsidRPr="00337E16" w:rsidRDefault="00381780" w:rsidP="0027686D">
      <w:pPr>
        <w:pBdr>
          <w:top w:val="threeDEmboss" w:sz="24" w:space="0" w:color="auto"/>
        </w:pBdr>
        <w:tabs>
          <w:tab w:val="left" w:pos="284"/>
        </w:tabs>
        <w:spacing w:after="0"/>
        <w:ind w:left="0"/>
        <w:jc w:val="center"/>
        <w:rPr>
          <w:rFonts w:ascii="Cambria" w:hAnsi="Cambria"/>
          <w:b/>
          <w:bCs/>
          <w:smallCaps/>
          <w:sz w:val="22"/>
          <w:szCs w:val="22"/>
        </w:rPr>
      </w:pPr>
    </w:p>
    <w:p w:rsidR="0027686D" w:rsidRPr="003025C7" w:rsidRDefault="00381780" w:rsidP="003025C7">
      <w:pPr>
        <w:pStyle w:val="enter-3pt"/>
        <w:spacing w:line="240" w:lineRule="auto"/>
        <w:rPr>
          <w:b/>
          <w:sz w:val="22"/>
          <w:szCs w:val="22"/>
        </w:rPr>
      </w:pPr>
      <w:r w:rsidRPr="003025C7">
        <w:rPr>
          <w:b/>
          <w:sz w:val="22"/>
          <w:szCs w:val="22"/>
        </w:rPr>
        <w:t>O art. 24, inc. V, da Lei 8.666/1993 (licitação deserta) só pode ser utilizado como fundamento para a contratação direta caso o certame não possa</w:t>
      </w:r>
      <w:r w:rsidR="003025C7" w:rsidRPr="003025C7">
        <w:rPr>
          <w:b/>
          <w:sz w:val="22"/>
          <w:szCs w:val="22"/>
        </w:rPr>
        <w:t>, justificadamente,</w:t>
      </w:r>
      <w:r w:rsidRPr="003025C7">
        <w:rPr>
          <w:b/>
          <w:sz w:val="22"/>
          <w:szCs w:val="22"/>
        </w:rPr>
        <w:t xml:space="preserve"> ser repetido sem prejuízo para a Administração </w:t>
      </w:r>
    </w:p>
    <w:p w:rsidR="0027686D" w:rsidRPr="003025C7" w:rsidRDefault="00E41B64" w:rsidP="003025C7">
      <w:pPr>
        <w:widowControl w:val="0"/>
        <w:tabs>
          <w:tab w:val="left" w:pos="0"/>
          <w:tab w:val="left" w:pos="1134"/>
          <w:tab w:val="left" w:pos="2268"/>
          <w:tab w:val="left" w:pos="3402"/>
          <w:tab w:val="left" w:pos="5670"/>
          <w:tab w:val="left" w:pos="6804"/>
          <w:tab w:val="left" w:pos="7938"/>
          <w:tab w:val="left" w:pos="9072"/>
          <w:tab w:val="left" w:pos="10206"/>
        </w:tabs>
        <w:spacing w:after="0"/>
        <w:ind w:left="0"/>
        <w:rPr>
          <w:b/>
          <w:i/>
          <w:sz w:val="22"/>
          <w:szCs w:val="22"/>
        </w:rPr>
      </w:pPr>
      <w:r w:rsidRPr="003025C7">
        <w:rPr>
          <w:sz w:val="22"/>
          <w:szCs w:val="22"/>
          <w:lang w:eastAsia="pt-BR"/>
        </w:rPr>
        <w:t>Tomada de contas especial foi instaurada pela Secretaria Nacional de Segurança Pública do Ministério da Justiça – (Senasp/MJ), devido a irregularidades verificadas na aplicação dos recursos o</w:t>
      </w:r>
      <w:r w:rsidR="00712CCC" w:rsidRPr="003025C7">
        <w:rPr>
          <w:sz w:val="22"/>
          <w:szCs w:val="22"/>
          <w:lang w:eastAsia="pt-BR"/>
        </w:rPr>
        <w:t>riundos do Convênio nº</w:t>
      </w:r>
      <w:r w:rsidRPr="003025C7">
        <w:rPr>
          <w:sz w:val="22"/>
          <w:szCs w:val="22"/>
          <w:lang w:eastAsia="pt-BR"/>
        </w:rPr>
        <w:t xml:space="preserve"> 131/2001, por meio do qual foram repassados recursos federais à Secretaria de Estado de Segurança Pública de Roraima para a aquisição de veículos, mobiliários, eletroeletrônicos e equipamentos de informática para aparelhamento das polícias nas áreas circunvizinhas da fronteira Brasil/Guiana e Brasil/Venezuela, no âmbito do Plano Nacional de Segurança Pública. Dentre tais irregularidades, constou suposta contratação direta indevida da empresa Motoka Veículos e Motores Ltda., com fundamento no art. 24, inc. V, Lei 8.666/1993</w:t>
      </w:r>
      <w:r w:rsidR="00925EF2" w:rsidRPr="003025C7">
        <w:rPr>
          <w:sz w:val="22"/>
          <w:szCs w:val="22"/>
          <w:lang w:eastAsia="pt-BR"/>
        </w:rPr>
        <w:t>, em razão de a tomada de preços nº 91/2002</w:t>
      </w:r>
      <w:r w:rsidR="00712CCC" w:rsidRPr="003025C7">
        <w:rPr>
          <w:sz w:val="22"/>
          <w:szCs w:val="22"/>
          <w:lang w:eastAsia="pt-BR"/>
        </w:rPr>
        <w:t xml:space="preserve"> – (TP 91/2002), promovida anteriormente,</w:t>
      </w:r>
      <w:r w:rsidR="00925EF2" w:rsidRPr="003025C7">
        <w:rPr>
          <w:sz w:val="22"/>
          <w:szCs w:val="22"/>
          <w:lang w:eastAsia="pt-BR"/>
        </w:rPr>
        <w:t xml:space="preserve"> ter sido declarada deserta. </w:t>
      </w:r>
      <w:r w:rsidR="00712CCC" w:rsidRPr="003025C7">
        <w:rPr>
          <w:sz w:val="22"/>
          <w:szCs w:val="22"/>
          <w:lang w:eastAsia="pt-BR"/>
        </w:rPr>
        <w:t>O relator, ao analisar a matéria, destacou, inicialmente, que, “</w:t>
      </w:r>
      <w:r w:rsidR="00712CCC" w:rsidRPr="003025C7">
        <w:rPr>
          <w:i/>
          <w:sz w:val="22"/>
          <w:szCs w:val="22"/>
          <w:lang w:eastAsia="pt-BR"/>
        </w:rPr>
        <w:t xml:space="preserve">o art. 24, inciso V, da Lei n. 8.666/1993 – somente pode ser empregado no caso de </w:t>
      </w:r>
      <w:r w:rsidR="00712CCC" w:rsidRPr="003025C7">
        <w:rPr>
          <w:i/>
          <w:color w:val="000000"/>
          <w:sz w:val="22"/>
          <w:szCs w:val="22"/>
          <w:lang w:eastAsia="pt-BR"/>
        </w:rPr>
        <w:t>não acudirem interessados à licitação anterior e se o certame, justificadamente, não puder ser repetido sem prejuízo para a Administração</w:t>
      </w:r>
      <w:r w:rsidR="00712CCC" w:rsidRPr="003025C7">
        <w:rPr>
          <w:color w:val="000000"/>
          <w:sz w:val="22"/>
          <w:szCs w:val="22"/>
          <w:lang w:eastAsia="pt-BR"/>
        </w:rPr>
        <w:t>”. E, no caso da TP 91/2002, não se vislumbraria, nos autos, evidências de que os requisitos pertinentes à contratação direta foram observados, sobretudo porque não foi demonstrada a inviabilidade da repetição do certame nem a potencialidade de eventual prejuízo à Administração</w:t>
      </w:r>
      <w:r w:rsidR="003025C7">
        <w:rPr>
          <w:color w:val="000000"/>
          <w:sz w:val="22"/>
          <w:szCs w:val="22"/>
          <w:lang w:eastAsia="pt-BR"/>
        </w:rPr>
        <w:t>,</w:t>
      </w:r>
      <w:r w:rsidR="00712CCC" w:rsidRPr="003025C7">
        <w:rPr>
          <w:color w:val="000000"/>
          <w:sz w:val="22"/>
          <w:szCs w:val="22"/>
          <w:lang w:eastAsia="pt-BR"/>
        </w:rPr>
        <w:t xml:space="preserve"> se ocorresse nova licitação. Ainda para o relator, “</w:t>
      </w:r>
      <w:r w:rsidR="00712CCC" w:rsidRPr="003025C7">
        <w:rPr>
          <w:i/>
          <w:color w:val="000000"/>
          <w:sz w:val="22"/>
          <w:szCs w:val="22"/>
          <w:lang w:eastAsia="pt-BR"/>
        </w:rPr>
        <w:t xml:space="preserve">havia tempo hábil para a repetição do certame”, </w:t>
      </w:r>
      <w:r w:rsidR="00712CCC" w:rsidRPr="003025C7">
        <w:rPr>
          <w:color w:val="000000"/>
          <w:sz w:val="22"/>
          <w:szCs w:val="22"/>
          <w:lang w:eastAsia="pt-BR"/>
        </w:rPr>
        <w:t xml:space="preserve">pois </w:t>
      </w:r>
      <w:r w:rsidR="00712CCC" w:rsidRPr="003025C7">
        <w:rPr>
          <w:i/>
          <w:color w:val="000000"/>
          <w:sz w:val="22"/>
          <w:szCs w:val="22"/>
          <w:lang w:eastAsia="pt-BR"/>
        </w:rPr>
        <w:t>“o prazo para a execução do objeto pactuado era até 31/05/2003 e a declaração de licitação deserta se deu em 13/11/2002, portanto, à época, dispunha-se de mais de seis meses para refazer o torneio licitatório</w:t>
      </w:r>
      <w:r w:rsidR="00712CCC" w:rsidRPr="003025C7">
        <w:rPr>
          <w:color w:val="000000"/>
          <w:sz w:val="22"/>
          <w:szCs w:val="22"/>
          <w:lang w:eastAsia="pt-BR"/>
        </w:rPr>
        <w:t>”.</w:t>
      </w:r>
      <w:r w:rsidR="00914B48" w:rsidRPr="003025C7">
        <w:rPr>
          <w:color w:val="000000"/>
          <w:sz w:val="22"/>
          <w:szCs w:val="22"/>
          <w:lang w:eastAsia="pt-BR"/>
        </w:rPr>
        <w:t xml:space="preserve"> Desse modo, votou, por essa e outras razões, pela irregularidade das contas, com aplicação de multa aos responsáveis, no que contou com a anuência do colegiado. </w:t>
      </w:r>
      <w:r w:rsidR="0027686D" w:rsidRPr="003025C7">
        <w:rPr>
          <w:b/>
          <w:i/>
          <w:sz w:val="22"/>
          <w:szCs w:val="22"/>
        </w:rPr>
        <w:t xml:space="preserve">Acórdão n.º </w:t>
      </w:r>
      <w:r w:rsidRPr="003025C7">
        <w:rPr>
          <w:b/>
          <w:i/>
          <w:sz w:val="22"/>
          <w:szCs w:val="22"/>
        </w:rPr>
        <w:t>342</w:t>
      </w:r>
      <w:r w:rsidR="0027686D" w:rsidRPr="003025C7">
        <w:rPr>
          <w:b/>
          <w:i/>
          <w:sz w:val="22"/>
          <w:szCs w:val="22"/>
        </w:rPr>
        <w:t>/2011-1ª Câmara, TC-02</w:t>
      </w:r>
      <w:r w:rsidRPr="003025C7">
        <w:rPr>
          <w:b/>
          <w:i/>
          <w:sz w:val="22"/>
          <w:szCs w:val="22"/>
        </w:rPr>
        <w:t>0</w:t>
      </w:r>
      <w:r w:rsidR="0027686D" w:rsidRPr="003025C7">
        <w:rPr>
          <w:b/>
          <w:i/>
          <w:sz w:val="22"/>
          <w:szCs w:val="22"/>
        </w:rPr>
        <w:t>.</w:t>
      </w:r>
      <w:r w:rsidRPr="003025C7">
        <w:rPr>
          <w:b/>
          <w:i/>
          <w:sz w:val="22"/>
          <w:szCs w:val="22"/>
        </w:rPr>
        <w:t>078</w:t>
      </w:r>
      <w:r w:rsidR="0027686D" w:rsidRPr="003025C7">
        <w:rPr>
          <w:b/>
          <w:i/>
          <w:sz w:val="22"/>
          <w:szCs w:val="22"/>
        </w:rPr>
        <w:t>/200</w:t>
      </w:r>
      <w:r w:rsidRPr="003025C7">
        <w:rPr>
          <w:b/>
          <w:i/>
          <w:sz w:val="22"/>
          <w:szCs w:val="22"/>
        </w:rPr>
        <w:t>9</w:t>
      </w:r>
      <w:r w:rsidR="0027686D" w:rsidRPr="003025C7">
        <w:rPr>
          <w:b/>
          <w:i/>
          <w:sz w:val="22"/>
          <w:szCs w:val="22"/>
        </w:rPr>
        <w:t>-</w:t>
      </w:r>
      <w:r w:rsidRPr="003025C7">
        <w:rPr>
          <w:b/>
          <w:i/>
          <w:sz w:val="22"/>
          <w:szCs w:val="22"/>
        </w:rPr>
        <w:t>4</w:t>
      </w:r>
      <w:r w:rsidR="0027686D" w:rsidRPr="003025C7">
        <w:rPr>
          <w:b/>
          <w:i/>
          <w:sz w:val="22"/>
          <w:szCs w:val="22"/>
        </w:rPr>
        <w:t xml:space="preserve">, rel. </w:t>
      </w:r>
      <w:r w:rsidR="00914B48" w:rsidRPr="003025C7">
        <w:rPr>
          <w:b/>
          <w:i/>
          <w:sz w:val="22"/>
          <w:szCs w:val="22"/>
        </w:rPr>
        <w:t>Min-Subst. Marcos Bemquerer Costa</w:t>
      </w:r>
      <w:r w:rsidR="0027686D" w:rsidRPr="003025C7">
        <w:rPr>
          <w:b/>
          <w:i/>
          <w:sz w:val="22"/>
          <w:szCs w:val="22"/>
        </w:rPr>
        <w:t>, 25.01.2011</w:t>
      </w:r>
      <w:r w:rsidR="0027686D" w:rsidRPr="003025C7">
        <w:rPr>
          <w:sz w:val="22"/>
          <w:szCs w:val="22"/>
        </w:rPr>
        <w:t>.</w:t>
      </w:r>
    </w:p>
    <w:p w:rsidR="0027686D" w:rsidRDefault="0027686D" w:rsidP="003025C7">
      <w:pPr>
        <w:pStyle w:val="Corpodetexto"/>
        <w:spacing w:after="0"/>
        <w:ind w:left="0"/>
        <w:rPr>
          <w:sz w:val="22"/>
          <w:szCs w:val="22"/>
        </w:rPr>
      </w:pPr>
    </w:p>
    <w:p w:rsidR="00FD3572" w:rsidRDefault="00FD3572" w:rsidP="003025C7">
      <w:pPr>
        <w:pStyle w:val="Corpodetexto"/>
        <w:spacing w:after="0"/>
        <w:ind w:left="0"/>
        <w:rPr>
          <w:sz w:val="22"/>
          <w:szCs w:val="22"/>
        </w:rPr>
      </w:pPr>
    </w:p>
    <w:p w:rsidR="00FD3572" w:rsidRPr="003025C7" w:rsidRDefault="00FD3572" w:rsidP="003025C7">
      <w:pPr>
        <w:pStyle w:val="Corpodetexto"/>
        <w:spacing w:after="0"/>
        <w:ind w:left="0"/>
        <w:rPr>
          <w:sz w:val="22"/>
          <w:szCs w:val="22"/>
        </w:rPr>
      </w:pPr>
    </w:p>
    <w:p w:rsidR="00BC1DBD" w:rsidRPr="00337E16" w:rsidRDefault="00BC1DBD" w:rsidP="0027686D">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BC1DBD" w:rsidRPr="00337E16" w:rsidRDefault="00BC1DBD" w:rsidP="00BC1DBD">
      <w:pPr>
        <w:pStyle w:val="Pargrafo"/>
        <w:jc w:val="both"/>
        <w:rPr>
          <w:b/>
          <w:sz w:val="22"/>
          <w:szCs w:val="22"/>
        </w:rPr>
      </w:pPr>
    </w:p>
    <w:p w:rsidR="004421F5" w:rsidRPr="003025C7" w:rsidRDefault="00B53C9C" w:rsidP="00BC1DBD">
      <w:pPr>
        <w:pStyle w:val="enter-3pt"/>
        <w:spacing w:line="240" w:lineRule="auto"/>
        <w:rPr>
          <w:b/>
          <w:sz w:val="22"/>
          <w:szCs w:val="22"/>
        </w:rPr>
      </w:pPr>
      <w:r>
        <w:rPr>
          <w:b/>
          <w:sz w:val="22"/>
          <w:szCs w:val="22"/>
        </w:rPr>
        <w:t>A aplicação de recursos públicos recebidos por particulares em decorrência de convênios, acordos ajustes ou outros instrumentos congêneres deve atender, no que couber, à Lei de Licitações</w:t>
      </w:r>
    </w:p>
    <w:p w:rsidR="00361487" w:rsidRPr="003025C7" w:rsidRDefault="00991EBE" w:rsidP="008D2382">
      <w:pPr>
        <w:ind w:left="0"/>
        <w:rPr>
          <w:b/>
          <w:i/>
          <w:sz w:val="22"/>
          <w:szCs w:val="22"/>
        </w:rPr>
      </w:pPr>
      <w:r w:rsidRPr="003025C7">
        <w:rPr>
          <w:sz w:val="22"/>
          <w:szCs w:val="22"/>
        </w:rPr>
        <w:t>“</w:t>
      </w:r>
      <w:r w:rsidRPr="003025C7">
        <w:rPr>
          <w:i/>
          <w:sz w:val="22"/>
          <w:szCs w:val="22"/>
        </w:rPr>
        <w:t>Falta a especificação exata de quais os dispositivos da Lei nº 8.666/1993 são aplicáveis aos particulares ao gerirem recursos públicos transferidos mediante convênio</w:t>
      </w:r>
      <w:r w:rsidRPr="003025C7">
        <w:rPr>
          <w:sz w:val="22"/>
          <w:szCs w:val="22"/>
        </w:rPr>
        <w:t xml:space="preserve">”. Este foi o entendimento ementado pelo </w:t>
      </w:r>
      <w:r w:rsidR="00DE395F" w:rsidRPr="003025C7">
        <w:rPr>
          <w:sz w:val="22"/>
          <w:szCs w:val="22"/>
        </w:rPr>
        <w:t>Tribunal,</w:t>
      </w:r>
      <w:r w:rsidRPr="003025C7">
        <w:rPr>
          <w:sz w:val="22"/>
          <w:szCs w:val="22"/>
        </w:rPr>
        <w:t xml:space="preserve"> </w:t>
      </w:r>
      <w:r w:rsidR="008D2382" w:rsidRPr="003025C7">
        <w:rPr>
          <w:sz w:val="22"/>
          <w:szCs w:val="22"/>
        </w:rPr>
        <w:t xml:space="preserve">ao apreciar recurso de reconsideração intentado por responsável, ex-Presidente da Associação Beneficente Cearense de Reabilitação – (ABCR), em face do Acórdão nº 2.811/2009 – TCU – 2ª Câmara, que julgou irregulares suas contas e lhe aplicou multa, em virtude da aquisição, sem licitação, de equipamentos </w:t>
      </w:r>
      <w:r w:rsidR="00B53C9C">
        <w:rPr>
          <w:sz w:val="22"/>
          <w:szCs w:val="22"/>
        </w:rPr>
        <w:t xml:space="preserve">para a área </w:t>
      </w:r>
      <w:r w:rsidR="008D2382" w:rsidRPr="003025C7">
        <w:rPr>
          <w:sz w:val="22"/>
          <w:szCs w:val="22"/>
        </w:rPr>
        <w:t>de saúde, com recursos oriundos de convênio firmado entre o Fundo Nacional de Saúde – FNS e a referida Associação. N</w:t>
      </w:r>
      <w:r w:rsidR="007F0546" w:rsidRPr="003025C7">
        <w:rPr>
          <w:sz w:val="22"/>
          <w:szCs w:val="22"/>
        </w:rPr>
        <w:t>esta</w:t>
      </w:r>
      <w:r w:rsidR="008D2382" w:rsidRPr="003025C7">
        <w:rPr>
          <w:sz w:val="22"/>
          <w:szCs w:val="22"/>
        </w:rPr>
        <w:t xml:space="preserve"> etapa processual, a recorrente aduziu que</w:t>
      </w:r>
      <w:r w:rsidR="007F0546" w:rsidRPr="003025C7">
        <w:rPr>
          <w:sz w:val="22"/>
          <w:szCs w:val="22"/>
        </w:rPr>
        <w:t xml:space="preserve">, </w:t>
      </w:r>
      <w:r w:rsidR="008D2382" w:rsidRPr="003025C7">
        <w:rPr>
          <w:sz w:val="22"/>
          <w:szCs w:val="22"/>
        </w:rPr>
        <w:t>quanto à aquisição que gerou a multa objeto do recurso, teria realizado licitação, mas na modalidade de tomada de preços</w:t>
      </w:r>
      <w:r w:rsidR="007F0546" w:rsidRPr="003025C7">
        <w:rPr>
          <w:sz w:val="22"/>
          <w:szCs w:val="22"/>
        </w:rPr>
        <w:t>, do que divergiu o relator</w:t>
      </w:r>
      <w:r w:rsidR="00B53C9C">
        <w:rPr>
          <w:sz w:val="22"/>
          <w:szCs w:val="22"/>
        </w:rPr>
        <w:t>, o qual entendeu não ter havido licitação</w:t>
      </w:r>
      <w:r w:rsidR="007F0546" w:rsidRPr="003025C7">
        <w:rPr>
          <w:sz w:val="22"/>
          <w:szCs w:val="22"/>
        </w:rPr>
        <w:t>. Todavia, ainda para o relator, o Tribunal vem se manifestando no sentido de que “</w:t>
      </w:r>
      <w:r w:rsidR="007F0546" w:rsidRPr="003025C7">
        <w:rPr>
          <w:i/>
          <w:sz w:val="22"/>
          <w:szCs w:val="22"/>
        </w:rPr>
        <w:t>a aplicação de recursos públicos geridos por particular em decorrência de convênio, acordo, ajuste ou outros instrumentos congêneres, deve atender, no que couber, às disposições da Lei de Licitações, ex vi do art. 116 da Lei 8.666/93”</w:t>
      </w:r>
      <w:r w:rsidR="007F0546" w:rsidRPr="003025C7">
        <w:rPr>
          <w:sz w:val="22"/>
          <w:szCs w:val="22"/>
        </w:rPr>
        <w:t xml:space="preserve">. Desse modo, a própria imputação feita à recorrente se mostrou inadequada, uma vez que não haveria obrigatoriedade de se promover licitação, no caso concreto. Além disso, </w:t>
      </w:r>
      <w:r w:rsidR="002B56C3" w:rsidRPr="003025C7">
        <w:rPr>
          <w:sz w:val="22"/>
          <w:szCs w:val="22"/>
        </w:rPr>
        <w:t xml:space="preserve">acresceu </w:t>
      </w:r>
      <w:r w:rsidR="007F0546" w:rsidRPr="003025C7">
        <w:rPr>
          <w:sz w:val="22"/>
          <w:szCs w:val="22"/>
        </w:rPr>
        <w:t xml:space="preserve">o relator, </w:t>
      </w:r>
      <w:r w:rsidR="002B56C3" w:rsidRPr="003025C7">
        <w:rPr>
          <w:sz w:val="22"/>
          <w:szCs w:val="22"/>
        </w:rPr>
        <w:t xml:space="preserve">a recorrente, à época, adotou procedimentos de coleta de preços, de homologação e de adjudicação, atendendo, no que cabia, à Lei 8.666/1993. Assim, votou pelo provimento do recurso de reconsideração, tornando sem efeito a multa anteriormente aplicada, no que contou com a aprovação do Colegiado. </w:t>
      </w:r>
      <w:r w:rsidR="007F0546" w:rsidRPr="003025C7">
        <w:rPr>
          <w:sz w:val="22"/>
          <w:szCs w:val="22"/>
        </w:rPr>
        <w:t>Precedente citado: Acórdão n</w:t>
      </w:r>
      <w:r w:rsidR="007F0546" w:rsidRPr="003025C7">
        <w:rPr>
          <w:sz w:val="22"/>
          <w:szCs w:val="22"/>
          <w:u w:val="single"/>
          <w:vertAlign w:val="superscript"/>
        </w:rPr>
        <w:t>o</w:t>
      </w:r>
      <w:r w:rsidR="007F0546" w:rsidRPr="003025C7">
        <w:rPr>
          <w:sz w:val="22"/>
          <w:szCs w:val="22"/>
        </w:rPr>
        <w:t xml:space="preserve"> 353/2005, do Plenário. </w:t>
      </w:r>
      <w:r w:rsidR="00361487" w:rsidRPr="003025C7">
        <w:rPr>
          <w:b/>
          <w:i/>
          <w:sz w:val="22"/>
          <w:szCs w:val="22"/>
        </w:rPr>
        <w:t>Acórdão n.º 291/2011-2ª Câmara, TC-023.262/2006-4, rel. Min. Raimundo Carreiro, 25.01.2011</w:t>
      </w:r>
      <w:r w:rsidR="00361487" w:rsidRPr="003025C7">
        <w:rPr>
          <w:sz w:val="22"/>
          <w:szCs w:val="22"/>
        </w:rPr>
        <w:t>.</w:t>
      </w:r>
    </w:p>
    <w:p w:rsidR="00361487" w:rsidRPr="007A2166" w:rsidRDefault="00361487" w:rsidP="00BC1DBD">
      <w:pPr>
        <w:pStyle w:val="enter-3pt"/>
        <w:spacing w:line="240" w:lineRule="auto"/>
        <w:rPr>
          <w:b/>
          <w:sz w:val="22"/>
          <w:szCs w:val="22"/>
        </w:rPr>
      </w:pPr>
    </w:p>
    <w:p w:rsidR="0055716D" w:rsidRPr="00337E16" w:rsidRDefault="0055716D" w:rsidP="0055716D">
      <w:pPr>
        <w:pStyle w:val="enter-3pt"/>
        <w:spacing w:line="240" w:lineRule="auto"/>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6"/>
      </w:tblGrid>
      <w:tr w:rsidR="007334B1" w:rsidRPr="007C2A55" w:rsidTr="0030360F">
        <w:trPr>
          <w:trHeight w:val="779"/>
          <w:jc w:val="center"/>
        </w:trPr>
        <w:tc>
          <w:tcPr>
            <w:tcW w:w="0" w:type="auto"/>
            <w:vAlign w:val="center"/>
          </w:tcPr>
          <w:p w:rsidR="007334B1" w:rsidRPr="007C2A55" w:rsidRDefault="007334B1" w:rsidP="0030360F">
            <w:pPr>
              <w:pStyle w:val="enter-3pt"/>
              <w:spacing w:line="240" w:lineRule="auto"/>
              <w:jc w:val="center"/>
              <w:rPr>
                <w:b/>
                <w:i/>
                <w:sz w:val="18"/>
                <w:szCs w:val="18"/>
              </w:rPr>
            </w:pPr>
            <w:r w:rsidRPr="007C2A55">
              <w:rPr>
                <w:b/>
                <w:i/>
                <w:sz w:val="18"/>
                <w:szCs w:val="18"/>
              </w:rPr>
              <w:t>Responsáveis pelo Informativo:</w:t>
            </w:r>
          </w:p>
          <w:p w:rsidR="007334B1" w:rsidRPr="007C2A55" w:rsidRDefault="007334B1" w:rsidP="0030360F">
            <w:pPr>
              <w:pStyle w:val="enter-3pt"/>
              <w:spacing w:line="240" w:lineRule="auto"/>
              <w:jc w:val="center"/>
              <w:rPr>
                <w:i/>
                <w:sz w:val="18"/>
                <w:szCs w:val="18"/>
              </w:rPr>
            </w:pPr>
            <w:r w:rsidRPr="007C2A55">
              <w:rPr>
                <w:b/>
                <w:i/>
                <w:sz w:val="18"/>
                <w:szCs w:val="18"/>
              </w:rPr>
              <w:t>Elaboração:</w:t>
            </w:r>
            <w:r w:rsidRPr="007C2A55">
              <w:rPr>
                <w:i/>
                <w:sz w:val="18"/>
                <w:szCs w:val="18"/>
              </w:rPr>
              <w:t xml:space="preserve"> Sandro Henrique Maciel Bernardes, Assessor da Secretaria das Sessões</w:t>
            </w:r>
          </w:p>
          <w:p w:rsidR="007334B1" w:rsidRPr="007C2A55" w:rsidRDefault="007334B1" w:rsidP="0030360F">
            <w:pPr>
              <w:pStyle w:val="enter-3pt"/>
              <w:spacing w:line="240" w:lineRule="auto"/>
              <w:jc w:val="center"/>
              <w:rPr>
                <w:i/>
                <w:sz w:val="18"/>
                <w:szCs w:val="18"/>
              </w:rPr>
            </w:pPr>
            <w:r w:rsidRPr="007C2A55">
              <w:rPr>
                <w:b/>
                <w:i/>
                <w:sz w:val="18"/>
                <w:szCs w:val="18"/>
              </w:rPr>
              <w:t>Revisão:</w:t>
            </w:r>
            <w:r w:rsidRPr="007C2A55">
              <w:rPr>
                <w:i/>
                <w:sz w:val="18"/>
                <w:szCs w:val="18"/>
              </w:rPr>
              <w:t xml:space="preserve"> </w:t>
            </w:r>
            <w:r w:rsidR="00467815">
              <w:rPr>
                <w:i/>
                <w:sz w:val="18"/>
                <w:szCs w:val="18"/>
              </w:rPr>
              <w:t>Luiz Henrique Pochyly da Costa</w:t>
            </w:r>
            <w:r w:rsidRPr="007C2A55">
              <w:rPr>
                <w:i/>
                <w:sz w:val="18"/>
                <w:szCs w:val="18"/>
              </w:rPr>
              <w:t>, Secretário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337E16">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59" w:rsidRDefault="00126159" w:rsidP="008B0547">
      <w:pPr>
        <w:spacing w:after="0"/>
      </w:pPr>
      <w:r>
        <w:separator/>
      </w:r>
    </w:p>
  </w:endnote>
  <w:endnote w:type="continuationSeparator" w:id="0">
    <w:p w:rsidR="00126159" w:rsidRDefault="0012615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D76944">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59" w:rsidRDefault="00126159" w:rsidP="008B0547">
      <w:pPr>
        <w:spacing w:after="0"/>
      </w:pPr>
      <w:r>
        <w:separator/>
      </w:r>
    </w:p>
  </w:footnote>
  <w:footnote w:type="continuationSeparator" w:id="0">
    <w:p w:rsidR="00126159" w:rsidRDefault="0012615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4F12C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4F12C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2160"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1D56C3">
      <w:rPr>
        <w:rFonts w:ascii="Arial" w:hAnsi="Arial" w:cs="Arial"/>
        <w:noProof/>
        <w:lang w:eastAsia="pt-BR"/>
      </w:rPr>
      <w:t>4</w:t>
    </w:r>
    <w:r w:rsidR="000A6269">
      <w:rPr>
        <w:rFonts w:ascii="Arial" w:hAnsi="Arial" w:cs="Arial"/>
        <w:noProof/>
        <w:lang w:eastAsia="pt-BR"/>
      </w:rPr>
      <w:t>8</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3"/>
  </w:num>
  <w:num w:numId="3">
    <w:abstractNumId w:val="5"/>
  </w:num>
  <w:num w:numId="4">
    <w:abstractNumId w:val="0"/>
  </w:num>
  <w:num w:numId="5">
    <w:abstractNumId w:val="7"/>
  </w:num>
  <w:num w:numId="6">
    <w:abstractNumId w:val="12"/>
  </w:num>
  <w:num w:numId="7">
    <w:abstractNumId w:val="19"/>
  </w:num>
  <w:num w:numId="8">
    <w:abstractNumId w:val="17"/>
  </w:num>
  <w:num w:numId="9">
    <w:abstractNumId w:val="14"/>
  </w:num>
  <w:num w:numId="10">
    <w:abstractNumId w:val="3"/>
  </w:num>
  <w:num w:numId="11">
    <w:abstractNumId w:val="21"/>
  </w:num>
  <w:num w:numId="12">
    <w:abstractNumId w:val="2"/>
  </w:num>
  <w:num w:numId="13">
    <w:abstractNumId w:val="11"/>
  </w:num>
  <w:num w:numId="14">
    <w:abstractNumId w:val="18"/>
  </w:num>
  <w:num w:numId="15">
    <w:abstractNumId w:val="10"/>
  </w:num>
  <w:num w:numId="16">
    <w:abstractNumId w:val="1"/>
  </w:num>
  <w:num w:numId="17">
    <w:abstractNumId w:val="9"/>
  </w:num>
  <w:num w:numId="18">
    <w:abstractNumId w:val="20"/>
    <w:lvlOverride w:ilvl="0">
      <w:startOverride w:val="1"/>
    </w:lvlOverride>
  </w:num>
  <w:num w:numId="19">
    <w:abstractNumId w:val="1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41450"/>
    <w:rsid w:val="0004660A"/>
    <w:rsid w:val="00052B15"/>
    <w:rsid w:val="00054432"/>
    <w:rsid w:val="000562CD"/>
    <w:rsid w:val="00056D51"/>
    <w:rsid w:val="0006028E"/>
    <w:rsid w:val="00061C2E"/>
    <w:rsid w:val="00065E95"/>
    <w:rsid w:val="00070785"/>
    <w:rsid w:val="00074AC5"/>
    <w:rsid w:val="00080148"/>
    <w:rsid w:val="00084727"/>
    <w:rsid w:val="0009133A"/>
    <w:rsid w:val="00092C2E"/>
    <w:rsid w:val="00094C5B"/>
    <w:rsid w:val="000A0EF8"/>
    <w:rsid w:val="000A2C56"/>
    <w:rsid w:val="000A6269"/>
    <w:rsid w:val="000A62BD"/>
    <w:rsid w:val="000B0ECB"/>
    <w:rsid w:val="000B0FEA"/>
    <w:rsid w:val="000B2AFA"/>
    <w:rsid w:val="000D1FD7"/>
    <w:rsid w:val="000D6418"/>
    <w:rsid w:val="000D7DB6"/>
    <w:rsid w:val="000D7DED"/>
    <w:rsid w:val="000E2D47"/>
    <w:rsid w:val="000E3B31"/>
    <w:rsid w:val="000E504D"/>
    <w:rsid w:val="000F2F92"/>
    <w:rsid w:val="000F6D85"/>
    <w:rsid w:val="000F7CEE"/>
    <w:rsid w:val="001104BA"/>
    <w:rsid w:val="00112676"/>
    <w:rsid w:val="0011373A"/>
    <w:rsid w:val="00114511"/>
    <w:rsid w:val="00126026"/>
    <w:rsid w:val="00126159"/>
    <w:rsid w:val="00133EA9"/>
    <w:rsid w:val="00141D7A"/>
    <w:rsid w:val="001420D1"/>
    <w:rsid w:val="001444A2"/>
    <w:rsid w:val="00151F92"/>
    <w:rsid w:val="0015258E"/>
    <w:rsid w:val="00152ECC"/>
    <w:rsid w:val="001532E4"/>
    <w:rsid w:val="00156A48"/>
    <w:rsid w:val="00157AFE"/>
    <w:rsid w:val="00157C0F"/>
    <w:rsid w:val="001744E7"/>
    <w:rsid w:val="00176375"/>
    <w:rsid w:val="001A0CC1"/>
    <w:rsid w:val="001A330B"/>
    <w:rsid w:val="001A60A2"/>
    <w:rsid w:val="001A79D3"/>
    <w:rsid w:val="001B3E8E"/>
    <w:rsid w:val="001B4F90"/>
    <w:rsid w:val="001C0575"/>
    <w:rsid w:val="001C437E"/>
    <w:rsid w:val="001D03C7"/>
    <w:rsid w:val="001D1478"/>
    <w:rsid w:val="001D56C3"/>
    <w:rsid w:val="001D74CE"/>
    <w:rsid w:val="001E0BF1"/>
    <w:rsid w:val="001E1E28"/>
    <w:rsid w:val="001E2620"/>
    <w:rsid w:val="001E4147"/>
    <w:rsid w:val="001E747D"/>
    <w:rsid w:val="001E7C3D"/>
    <w:rsid w:val="001F00DF"/>
    <w:rsid w:val="002002CE"/>
    <w:rsid w:val="0020066F"/>
    <w:rsid w:val="0020107A"/>
    <w:rsid w:val="00202EAD"/>
    <w:rsid w:val="00203A6F"/>
    <w:rsid w:val="00211816"/>
    <w:rsid w:val="00226D9D"/>
    <w:rsid w:val="00232158"/>
    <w:rsid w:val="002328F9"/>
    <w:rsid w:val="00233CE3"/>
    <w:rsid w:val="0024593F"/>
    <w:rsid w:val="002476B6"/>
    <w:rsid w:val="00254590"/>
    <w:rsid w:val="0026362E"/>
    <w:rsid w:val="002649A7"/>
    <w:rsid w:val="002663B7"/>
    <w:rsid w:val="00271D81"/>
    <w:rsid w:val="00273E72"/>
    <w:rsid w:val="0027686D"/>
    <w:rsid w:val="00276DC0"/>
    <w:rsid w:val="002810D9"/>
    <w:rsid w:val="00281830"/>
    <w:rsid w:val="0029043B"/>
    <w:rsid w:val="00290A06"/>
    <w:rsid w:val="0029211E"/>
    <w:rsid w:val="0029450E"/>
    <w:rsid w:val="00297A00"/>
    <w:rsid w:val="002A190F"/>
    <w:rsid w:val="002A2129"/>
    <w:rsid w:val="002A3B3F"/>
    <w:rsid w:val="002B4392"/>
    <w:rsid w:val="002B56C3"/>
    <w:rsid w:val="002B6422"/>
    <w:rsid w:val="002B71BA"/>
    <w:rsid w:val="002C7B61"/>
    <w:rsid w:val="002C7B6D"/>
    <w:rsid w:val="002D35F5"/>
    <w:rsid w:val="002D47FE"/>
    <w:rsid w:val="002D739A"/>
    <w:rsid w:val="002D76AB"/>
    <w:rsid w:val="002E28BA"/>
    <w:rsid w:val="002E361C"/>
    <w:rsid w:val="002E3943"/>
    <w:rsid w:val="002E4254"/>
    <w:rsid w:val="002E4F13"/>
    <w:rsid w:val="002F1C09"/>
    <w:rsid w:val="002F5F3B"/>
    <w:rsid w:val="002F693C"/>
    <w:rsid w:val="003020F4"/>
    <w:rsid w:val="003025C7"/>
    <w:rsid w:val="0030360F"/>
    <w:rsid w:val="00304A73"/>
    <w:rsid w:val="003069F9"/>
    <w:rsid w:val="00310208"/>
    <w:rsid w:val="0031058F"/>
    <w:rsid w:val="0031089E"/>
    <w:rsid w:val="00310D69"/>
    <w:rsid w:val="003147B7"/>
    <w:rsid w:val="00317E59"/>
    <w:rsid w:val="00322AE7"/>
    <w:rsid w:val="00325246"/>
    <w:rsid w:val="003275E4"/>
    <w:rsid w:val="0033244F"/>
    <w:rsid w:val="00337E16"/>
    <w:rsid w:val="00340E66"/>
    <w:rsid w:val="00340F10"/>
    <w:rsid w:val="0034486B"/>
    <w:rsid w:val="00344D92"/>
    <w:rsid w:val="003455A2"/>
    <w:rsid w:val="00350E87"/>
    <w:rsid w:val="00353B7C"/>
    <w:rsid w:val="0035438E"/>
    <w:rsid w:val="00355828"/>
    <w:rsid w:val="00356E38"/>
    <w:rsid w:val="00357CBE"/>
    <w:rsid w:val="00361487"/>
    <w:rsid w:val="00361661"/>
    <w:rsid w:val="00381780"/>
    <w:rsid w:val="003824E4"/>
    <w:rsid w:val="00385DAB"/>
    <w:rsid w:val="0038696B"/>
    <w:rsid w:val="00392509"/>
    <w:rsid w:val="003943E5"/>
    <w:rsid w:val="00397D8E"/>
    <w:rsid w:val="003A2222"/>
    <w:rsid w:val="003A5479"/>
    <w:rsid w:val="003A5C1B"/>
    <w:rsid w:val="003A7C7F"/>
    <w:rsid w:val="003B0304"/>
    <w:rsid w:val="003B043F"/>
    <w:rsid w:val="003B155C"/>
    <w:rsid w:val="003B2E10"/>
    <w:rsid w:val="003B33CE"/>
    <w:rsid w:val="003B343D"/>
    <w:rsid w:val="003B56D7"/>
    <w:rsid w:val="003C1911"/>
    <w:rsid w:val="003C1B4F"/>
    <w:rsid w:val="003C2288"/>
    <w:rsid w:val="003C6DEB"/>
    <w:rsid w:val="003C7585"/>
    <w:rsid w:val="003C7A5C"/>
    <w:rsid w:val="003D73BD"/>
    <w:rsid w:val="003D7CCE"/>
    <w:rsid w:val="003E1B68"/>
    <w:rsid w:val="003E65D7"/>
    <w:rsid w:val="003F413A"/>
    <w:rsid w:val="003F54FB"/>
    <w:rsid w:val="003F6D1F"/>
    <w:rsid w:val="004169D8"/>
    <w:rsid w:val="004201AF"/>
    <w:rsid w:val="00425FF9"/>
    <w:rsid w:val="00427B3B"/>
    <w:rsid w:val="00427EBF"/>
    <w:rsid w:val="004362AB"/>
    <w:rsid w:val="004415FB"/>
    <w:rsid w:val="00441CE3"/>
    <w:rsid w:val="004421F5"/>
    <w:rsid w:val="0044434A"/>
    <w:rsid w:val="00445E76"/>
    <w:rsid w:val="00447217"/>
    <w:rsid w:val="00452C60"/>
    <w:rsid w:val="004617A9"/>
    <w:rsid w:val="0046384E"/>
    <w:rsid w:val="0046706B"/>
    <w:rsid w:val="00467815"/>
    <w:rsid w:val="00471284"/>
    <w:rsid w:val="00473696"/>
    <w:rsid w:val="00473721"/>
    <w:rsid w:val="0047491E"/>
    <w:rsid w:val="004837C6"/>
    <w:rsid w:val="00483998"/>
    <w:rsid w:val="00484E4C"/>
    <w:rsid w:val="00491438"/>
    <w:rsid w:val="00492E3F"/>
    <w:rsid w:val="00493F5C"/>
    <w:rsid w:val="004A171B"/>
    <w:rsid w:val="004B0194"/>
    <w:rsid w:val="004B1113"/>
    <w:rsid w:val="004B1DC3"/>
    <w:rsid w:val="004C780C"/>
    <w:rsid w:val="004D708E"/>
    <w:rsid w:val="004D760C"/>
    <w:rsid w:val="004D7C91"/>
    <w:rsid w:val="004E357A"/>
    <w:rsid w:val="004E65EB"/>
    <w:rsid w:val="004F12C8"/>
    <w:rsid w:val="004F7174"/>
    <w:rsid w:val="0050355D"/>
    <w:rsid w:val="005055B5"/>
    <w:rsid w:val="00511BBF"/>
    <w:rsid w:val="00515E7B"/>
    <w:rsid w:val="005217F8"/>
    <w:rsid w:val="0052267A"/>
    <w:rsid w:val="00531143"/>
    <w:rsid w:val="00536332"/>
    <w:rsid w:val="005438A1"/>
    <w:rsid w:val="00543EB8"/>
    <w:rsid w:val="00554A33"/>
    <w:rsid w:val="0055716D"/>
    <w:rsid w:val="00557953"/>
    <w:rsid w:val="00560E55"/>
    <w:rsid w:val="0056301A"/>
    <w:rsid w:val="005635AD"/>
    <w:rsid w:val="005640E1"/>
    <w:rsid w:val="00564EA1"/>
    <w:rsid w:val="0056534C"/>
    <w:rsid w:val="00567CEE"/>
    <w:rsid w:val="005713F4"/>
    <w:rsid w:val="00571E64"/>
    <w:rsid w:val="00580F26"/>
    <w:rsid w:val="0058427E"/>
    <w:rsid w:val="00590907"/>
    <w:rsid w:val="00594A7B"/>
    <w:rsid w:val="005A2D82"/>
    <w:rsid w:val="005A72F2"/>
    <w:rsid w:val="005B2194"/>
    <w:rsid w:val="005B2BC3"/>
    <w:rsid w:val="005B4CFA"/>
    <w:rsid w:val="005C1A79"/>
    <w:rsid w:val="005E269C"/>
    <w:rsid w:val="005E3586"/>
    <w:rsid w:val="005E4DEE"/>
    <w:rsid w:val="005E5FF1"/>
    <w:rsid w:val="005F01CE"/>
    <w:rsid w:val="005F70B6"/>
    <w:rsid w:val="005F7A87"/>
    <w:rsid w:val="0060076F"/>
    <w:rsid w:val="00601F0A"/>
    <w:rsid w:val="00604DBE"/>
    <w:rsid w:val="006063E1"/>
    <w:rsid w:val="006065E4"/>
    <w:rsid w:val="00611E07"/>
    <w:rsid w:val="00612045"/>
    <w:rsid w:val="00613AC9"/>
    <w:rsid w:val="00620E86"/>
    <w:rsid w:val="006219DD"/>
    <w:rsid w:val="00632ACC"/>
    <w:rsid w:val="00650463"/>
    <w:rsid w:val="00651660"/>
    <w:rsid w:val="00652171"/>
    <w:rsid w:val="00670FEA"/>
    <w:rsid w:val="0067353C"/>
    <w:rsid w:val="00676163"/>
    <w:rsid w:val="00677C22"/>
    <w:rsid w:val="006808CC"/>
    <w:rsid w:val="00685899"/>
    <w:rsid w:val="00692D30"/>
    <w:rsid w:val="00695597"/>
    <w:rsid w:val="00696A89"/>
    <w:rsid w:val="00697477"/>
    <w:rsid w:val="006A037E"/>
    <w:rsid w:val="006A7796"/>
    <w:rsid w:val="006B0495"/>
    <w:rsid w:val="006B0DCB"/>
    <w:rsid w:val="006B2408"/>
    <w:rsid w:val="006B3AF9"/>
    <w:rsid w:val="006B414C"/>
    <w:rsid w:val="006B4B0F"/>
    <w:rsid w:val="006C5C6C"/>
    <w:rsid w:val="006D4245"/>
    <w:rsid w:val="006F4DE0"/>
    <w:rsid w:val="006F6483"/>
    <w:rsid w:val="006F7332"/>
    <w:rsid w:val="0070385B"/>
    <w:rsid w:val="0070494F"/>
    <w:rsid w:val="00705758"/>
    <w:rsid w:val="0070717A"/>
    <w:rsid w:val="00712CCC"/>
    <w:rsid w:val="00713DE5"/>
    <w:rsid w:val="007174DA"/>
    <w:rsid w:val="00720910"/>
    <w:rsid w:val="00720F29"/>
    <w:rsid w:val="007224C2"/>
    <w:rsid w:val="00731409"/>
    <w:rsid w:val="007334B1"/>
    <w:rsid w:val="00737FEC"/>
    <w:rsid w:val="00756AA0"/>
    <w:rsid w:val="00757CE6"/>
    <w:rsid w:val="007671B6"/>
    <w:rsid w:val="007671DA"/>
    <w:rsid w:val="007719A8"/>
    <w:rsid w:val="00774593"/>
    <w:rsid w:val="00777599"/>
    <w:rsid w:val="00785CF8"/>
    <w:rsid w:val="00796068"/>
    <w:rsid w:val="00796CC0"/>
    <w:rsid w:val="007A1A35"/>
    <w:rsid w:val="007A2166"/>
    <w:rsid w:val="007A5922"/>
    <w:rsid w:val="007B259B"/>
    <w:rsid w:val="007B5018"/>
    <w:rsid w:val="007C546B"/>
    <w:rsid w:val="007C670D"/>
    <w:rsid w:val="007D0ED0"/>
    <w:rsid w:val="007D4A4A"/>
    <w:rsid w:val="007E0E05"/>
    <w:rsid w:val="007E1DD3"/>
    <w:rsid w:val="007E209F"/>
    <w:rsid w:val="007E4655"/>
    <w:rsid w:val="007E55E0"/>
    <w:rsid w:val="007E5C50"/>
    <w:rsid w:val="007F0546"/>
    <w:rsid w:val="007F22A5"/>
    <w:rsid w:val="008051DE"/>
    <w:rsid w:val="00810CC2"/>
    <w:rsid w:val="0081324B"/>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7634"/>
    <w:rsid w:val="0086124E"/>
    <w:rsid w:val="008652C9"/>
    <w:rsid w:val="00866992"/>
    <w:rsid w:val="00875991"/>
    <w:rsid w:val="00877FDD"/>
    <w:rsid w:val="00880FED"/>
    <w:rsid w:val="008841C8"/>
    <w:rsid w:val="00885367"/>
    <w:rsid w:val="00892BB8"/>
    <w:rsid w:val="00893014"/>
    <w:rsid w:val="00896755"/>
    <w:rsid w:val="008A2417"/>
    <w:rsid w:val="008A5D49"/>
    <w:rsid w:val="008A751E"/>
    <w:rsid w:val="008B0547"/>
    <w:rsid w:val="008B11A3"/>
    <w:rsid w:val="008B1FE5"/>
    <w:rsid w:val="008B3A74"/>
    <w:rsid w:val="008B434A"/>
    <w:rsid w:val="008B7B55"/>
    <w:rsid w:val="008C3A5B"/>
    <w:rsid w:val="008D2382"/>
    <w:rsid w:val="008D6F5D"/>
    <w:rsid w:val="008E003A"/>
    <w:rsid w:val="008E15E3"/>
    <w:rsid w:val="008E4C62"/>
    <w:rsid w:val="008E727E"/>
    <w:rsid w:val="008F2902"/>
    <w:rsid w:val="008F660B"/>
    <w:rsid w:val="009005CE"/>
    <w:rsid w:val="00901376"/>
    <w:rsid w:val="009021A4"/>
    <w:rsid w:val="00914B48"/>
    <w:rsid w:val="0091511B"/>
    <w:rsid w:val="009239AA"/>
    <w:rsid w:val="009245B5"/>
    <w:rsid w:val="00925EF2"/>
    <w:rsid w:val="0093795C"/>
    <w:rsid w:val="00937F7E"/>
    <w:rsid w:val="009444E6"/>
    <w:rsid w:val="00944A8E"/>
    <w:rsid w:val="009455E6"/>
    <w:rsid w:val="00956BA7"/>
    <w:rsid w:val="00956FD8"/>
    <w:rsid w:val="009575F7"/>
    <w:rsid w:val="00957E4B"/>
    <w:rsid w:val="0096021A"/>
    <w:rsid w:val="00960F73"/>
    <w:rsid w:val="0096655D"/>
    <w:rsid w:val="00971139"/>
    <w:rsid w:val="0097401F"/>
    <w:rsid w:val="00981FA0"/>
    <w:rsid w:val="00984366"/>
    <w:rsid w:val="00984E80"/>
    <w:rsid w:val="0098690F"/>
    <w:rsid w:val="00987EE5"/>
    <w:rsid w:val="00991EBE"/>
    <w:rsid w:val="00997A89"/>
    <w:rsid w:val="00997C8A"/>
    <w:rsid w:val="009A1339"/>
    <w:rsid w:val="009A3006"/>
    <w:rsid w:val="009A3994"/>
    <w:rsid w:val="009B62AF"/>
    <w:rsid w:val="009B7AB9"/>
    <w:rsid w:val="009D1B99"/>
    <w:rsid w:val="009D5445"/>
    <w:rsid w:val="009D565F"/>
    <w:rsid w:val="009D65B9"/>
    <w:rsid w:val="009E04DC"/>
    <w:rsid w:val="009E0FB3"/>
    <w:rsid w:val="009E5105"/>
    <w:rsid w:val="00A0244C"/>
    <w:rsid w:val="00A033FF"/>
    <w:rsid w:val="00A0409E"/>
    <w:rsid w:val="00A06137"/>
    <w:rsid w:val="00A07ACC"/>
    <w:rsid w:val="00A1329C"/>
    <w:rsid w:val="00A14E25"/>
    <w:rsid w:val="00A16A60"/>
    <w:rsid w:val="00A17A3D"/>
    <w:rsid w:val="00A2062A"/>
    <w:rsid w:val="00A21E19"/>
    <w:rsid w:val="00A239A8"/>
    <w:rsid w:val="00A30683"/>
    <w:rsid w:val="00A3115F"/>
    <w:rsid w:val="00A33030"/>
    <w:rsid w:val="00A378A2"/>
    <w:rsid w:val="00A407B6"/>
    <w:rsid w:val="00A60F52"/>
    <w:rsid w:val="00A63B4C"/>
    <w:rsid w:val="00A664E7"/>
    <w:rsid w:val="00A66E7F"/>
    <w:rsid w:val="00A75C52"/>
    <w:rsid w:val="00A767B2"/>
    <w:rsid w:val="00A82B9E"/>
    <w:rsid w:val="00A84186"/>
    <w:rsid w:val="00A85B14"/>
    <w:rsid w:val="00A875C0"/>
    <w:rsid w:val="00A9704A"/>
    <w:rsid w:val="00A97AD0"/>
    <w:rsid w:val="00AA1377"/>
    <w:rsid w:val="00AA49AF"/>
    <w:rsid w:val="00AA57CE"/>
    <w:rsid w:val="00AA7540"/>
    <w:rsid w:val="00AC0BAE"/>
    <w:rsid w:val="00AC126F"/>
    <w:rsid w:val="00AE1128"/>
    <w:rsid w:val="00AE1AB0"/>
    <w:rsid w:val="00AE2609"/>
    <w:rsid w:val="00AE439A"/>
    <w:rsid w:val="00AE617A"/>
    <w:rsid w:val="00AF09C7"/>
    <w:rsid w:val="00B03D35"/>
    <w:rsid w:val="00B05065"/>
    <w:rsid w:val="00B05194"/>
    <w:rsid w:val="00B17303"/>
    <w:rsid w:val="00B21343"/>
    <w:rsid w:val="00B25143"/>
    <w:rsid w:val="00B2585D"/>
    <w:rsid w:val="00B266FA"/>
    <w:rsid w:val="00B27359"/>
    <w:rsid w:val="00B33FC2"/>
    <w:rsid w:val="00B347F1"/>
    <w:rsid w:val="00B3502B"/>
    <w:rsid w:val="00B35C3E"/>
    <w:rsid w:val="00B36473"/>
    <w:rsid w:val="00B44029"/>
    <w:rsid w:val="00B47943"/>
    <w:rsid w:val="00B50446"/>
    <w:rsid w:val="00B50A6E"/>
    <w:rsid w:val="00B530FD"/>
    <w:rsid w:val="00B53C9C"/>
    <w:rsid w:val="00B5639B"/>
    <w:rsid w:val="00B60C3E"/>
    <w:rsid w:val="00B645FA"/>
    <w:rsid w:val="00B64775"/>
    <w:rsid w:val="00B67B4F"/>
    <w:rsid w:val="00B81718"/>
    <w:rsid w:val="00B86AF6"/>
    <w:rsid w:val="00B86E2A"/>
    <w:rsid w:val="00B9389E"/>
    <w:rsid w:val="00B96EA4"/>
    <w:rsid w:val="00B97A3E"/>
    <w:rsid w:val="00BA2F02"/>
    <w:rsid w:val="00BA2FFD"/>
    <w:rsid w:val="00BB37AF"/>
    <w:rsid w:val="00BB4C08"/>
    <w:rsid w:val="00BC1DBD"/>
    <w:rsid w:val="00BC5737"/>
    <w:rsid w:val="00BD1747"/>
    <w:rsid w:val="00BD3C68"/>
    <w:rsid w:val="00BD421D"/>
    <w:rsid w:val="00BE4614"/>
    <w:rsid w:val="00BE4E6F"/>
    <w:rsid w:val="00BE529D"/>
    <w:rsid w:val="00BE6637"/>
    <w:rsid w:val="00BF10E8"/>
    <w:rsid w:val="00BF3158"/>
    <w:rsid w:val="00C03A04"/>
    <w:rsid w:val="00C046F7"/>
    <w:rsid w:val="00C10C0B"/>
    <w:rsid w:val="00C1776A"/>
    <w:rsid w:val="00C22519"/>
    <w:rsid w:val="00C2305C"/>
    <w:rsid w:val="00C233D0"/>
    <w:rsid w:val="00C24162"/>
    <w:rsid w:val="00C2509D"/>
    <w:rsid w:val="00C34ABD"/>
    <w:rsid w:val="00C35F43"/>
    <w:rsid w:val="00C41D3C"/>
    <w:rsid w:val="00C43801"/>
    <w:rsid w:val="00C44A07"/>
    <w:rsid w:val="00C44BDC"/>
    <w:rsid w:val="00C45BFB"/>
    <w:rsid w:val="00C54B14"/>
    <w:rsid w:val="00C6352A"/>
    <w:rsid w:val="00C65B2D"/>
    <w:rsid w:val="00C65C5D"/>
    <w:rsid w:val="00C6656A"/>
    <w:rsid w:val="00C711E5"/>
    <w:rsid w:val="00C83AEE"/>
    <w:rsid w:val="00C85AC7"/>
    <w:rsid w:val="00C906CD"/>
    <w:rsid w:val="00CA0FB8"/>
    <w:rsid w:val="00CA2680"/>
    <w:rsid w:val="00CA6716"/>
    <w:rsid w:val="00CC42D4"/>
    <w:rsid w:val="00CD179A"/>
    <w:rsid w:val="00CD2536"/>
    <w:rsid w:val="00CF230D"/>
    <w:rsid w:val="00CF5489"/>
    <w:rsid w:val="00CF7615"/>
    <w:rsid w:val="00D003F8"/>
    <w:rsid w:val="00D04613"/>
    <w:rsid w:val="00D10769"/>
    <w:rsid w:val="00D116C7"/>
    <w:rsid w:val="00D13AC5"/>
    <w:rsid w:val="00D14E5F"/>
    <w:rsid w:val="00D2041E"/>
    <w:rsid w:val="00D341C9"/>
    <w:rsid w:val="00D3447D"/>
    <w:rsid w:val="00D3488B"/>
    <w:rsid w:val="00D361DE"/>
    <w:rsid w:val="00D3793E"/>
    <w:rsid w:val="00D46C4C"/>
    <w:rsid w:val="00D51F18"/>
    <w:rsid w:val="00D564BB"/>
    <w:rsid w:val="00D565FA"/>
    <w:rsid w:val="00D568ED"/>
    <w:rsid w:val="00D6014E"/>
    <w:rsid w:val="00D630E7"/>
    <w:rsid w:val="00D700E5"/>
    <w:rsid w:val="00D76186"/>
    <w:rsid w:val="00D76944"/>
    <w:rsid w:val="00D771E9"/>
    <w:rsid w:val="00D86DD4"/>
    <w:rsid w:val="00D92529"/>
    <w:rsid w:val="00DA5AAB"/>
    <w:rsid w:val="00DA6858"/>
    <w:rsid w:val="00DB1CD7"/>
    <w:rsid w:val="00DB2651"/>
    <w:rsid w:val="00DB4717"/>
    <w:rsid w:val="00DC6F31"/>
    <w:rsid w:val="00DD6D82"/>
    <w:rsid w:val="00DE045E"/>
    <w:rsid w:val="00DE1AA5"/>
    <w:rsid w:val="00DE231A"/>
    <w:rsid w:val="00DE23D6"/>
    <w:rsid w:val="00DE2CB6"/>
    <w:rsid w:val="00DE2DDE"/>
    <w:rsid w:val="00DE395F"/>
    <w:rsid w:val="00DE5414"/>
    <w:rsid w:val="00DF0C37"/>
    <w:rsid w:val="00DF2506"/>
    <w:rsid w:val="00DF301A"/>
    <w:rsid w:val="00DF3469"/>
    <w:rsid w:val="00DF3BE2"/>
    <w:rsid w:val="00DF4E2C"/>
    <w:rsid w:val="00DF75EC"/>
    <w:rsid w:val="00E06065"/>
    <w:rsid w:val="00E079C6"/>
    <w:rsid w:val="00E146CF"/>
    <w:rsid w:val="00E23C05"/>
    <w:rsid w:val="00E247E2"/>
    <w:rsid w:val="00E304EB"/>
    <w:rsid w:val="00E329D0"/>
    <w:rsid w:val="00E33746"/>
    <w:rsid w:val="00E36B53"/>
    <w:rsid w:val="00E37585"/>
    <w:rsid w:val="00E41B64"/>
    <w:rsid w:val="00E469D5"/>
    <w:rsid w:val="00E46CD5"/>
    <w:rsid w:val="00E500D9"/>
    <w:rsid w:val="00E51AB5"/>
    <w:rsid w:val="00E52345"/>
    <w:rsid w:val="00E52763"/>
    <w:rsid w:val="00E563AE"/>
    <w:rsid w:val="00E662CD"/>
    <w:rsid w:val="00E73271"/>
    <w:rsid w:val="00E74214"/>
    <w:rsid w:val="00E74D52"/>
    <w:rsid w:val="00E75855"/>
    <w:rsid w:val="00E85CBE"/>
    <w:rsid w:val="00E86566"/>
    <w:rsid w:val="00E875F5"/>
    <w:rsid w:val="00E92527"/>
    <w:rsid w:val="00E97045"/>
    <w:rsid w:val="00EA270C"/>
    <w:rsid w:val="00EA5CF4"/>
    <w:rsid w:val="00EB09B9"/>
    <w:rsid w:val="00EB7CB1"/>
    <w:rsid w:val="00EC1C35"/>
    <w:rsid w:val="00EC5E45"/>
    <w:rsid w:val="00ED0557"/>
    <w:rsid w:val="00ED34D4"/>
    <w:rsid w:val="00EE30EE"/>
    <w:rsid w:val="00EE6DE6"/>
    <w:rsid w:val="00EF057C"/>
    <w:rsid w:val="00EF1D14"/>
    <w:rsid w:val="00F01B31"/>
    <w:rsid w:val="00F03AB9"/>
    <w:rsid w:val="00F06479"/>
    <w:rsid w:val="00F076C5"/>
    <w:rsid w:val="00F120D9"/>
    <w:rsid w:val="00F124BE"/>
    <w:rsid w:val="00F24232"/>
    <w:rsid w:val="00F27170"/>
    <w:rsid w:val="00F30016"/>
    <w:rsid w:val="00F31C75"/>
    <w:rsid w:val="00F33277"/>
    <w:rsid w:val="00F341CC"/>
    <w:rsid w:val="00F40CAB"/>
    <w:rsid w:val="00F47C5C"/>
    <w:rsid w:val="00F54856"/>
    <w:rsid w:val="00F57650"/>
    <w:rsid w:val="00F60C74"/>
    <w:rsid w:val="00F64F51"/>
    <w:rsid w:val="00F67A35"/>
    <w:rsid w:val="00F765E8"/>
    <w:rsid w:val="00F86D88"/>
    <w:rsid w:val="00F87FA7"/>
    <w:rsid w:val="00F90898"/>
    <w:rsid w:val="00F9473C"/>
    <w:rsid w:val="00FA40A3"/>
    <w:rsid w:val="00FB3BA6"/>
    <w:rsid w:val="00FB4D65"/>
    <w:rsid w:val="00FB5954"/>
    <w:rsid w:val="00FC0CDF"/>
    <w:rsid w:val="00FC0D7C"/>
    <w:rsid w:val="00FC183A"/>
    <w:rsid w:val="00FC3D1C"/>
    <w:rsid w:val="00FD08A7"/>
    <w:rsid w:val="00FD2E55"/>
    <w:rsid w:val="00FD2FA9"/>
    <w:rsid w:val="00FD3572"/>
    <w:rsid w:val="00FE79EF"/>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284C705-3467-4C39-BD99-F690CC85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unhideWhenUsed/>
    <w:rsid w:val="00E75855"/>
  </w:style>
  <w:style w:type="character" w:customStyle="1" w:styleId="CorpodetextoChar">
    <w:name w:val="Corpo de texto Char"/>
    <w:basedOn w:val="Fontepargpadro"/>
    <w:link w:val="Corpodetexto"/>
    <w:uiPriority w:val="99"/>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E9E-8F7A-4BC1-AAC3-C5ECCA8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9214</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10899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2015-05-07T12:34:00Z</dcterms:created>
  <dcterms:modified xsi:type="dcterms:W3CDTF">2015-05-07T12:34:00Z</dcterms:modified>
</cp:coreProperties>
</file>