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421F5" w:rsidRDefault="009444E6" w:rsidP="00337E16">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4421F5">
        <w:rPr>
          <w:rFonts w:ascii="Times New Roman" w:hAnsi="Times New Roman"/>
          <w:b/>
          <w:i w:val="0"/>
          <w:color w:val="000000"/>
          <w:sz w:val="22"/>
          <w:szCs w:val="22"/>
        </w:rPr>
        <w:t xml:space="preserve">Sessões: </w:t>
      </w:r>
      <w:r w:rsidR="00467815" w:rsidRPr="004421F5">
        <w:rPr>
          <w:rFonts w:ascii="Times New Roman" w:hAnsi="Times New Roman"/>
          <w:b/>
          <w:i w:val="0"/>
          <w:color w:val="000000"/>
          <w:sz w:val="22"/>
          <w:szCs w:val="22"/>
        </w:rPr>
        <w:t>18 (não houve)</w:t>
      </w:r>
      <w:r w:rsidR="00F01B31" w:rsidRPr="004421F5">
        <w:rPr>
          <w:rFonts w:ascii="Times New Roman" w:hAnsi="Times New Roman"/>
          <w:b/>
          <w:i w:val="0"/>
          <w:color w:val="000000"/>
          <w:sz w:val="22"/>
          <w:szCs w:val="22"/>
        </w:rPr>
        <w:t xml:space="preserve"> e </w:t>
      </w:r>
      <w:r w:rsidR="00467815" w:rsidRPr="004421F5">
        <w:rPr>
          <w:rFonts w:ascii="Times New Roman" w:hAnsi="Times New Roman"/>
          <w:b/>
          <w:i w:val="0"/>
          <w:color w:val="000000"/>
          <w:sz w:val="22"/>
          <w:szCs w:val="22"/>
        </w:rPr>
        <w:t>19</w:t>
      </w:r>
      <w:r w:rsidRPr="004421F5">
        <w:rPr>
          <w:rFonts w:ascii="Times New Roman" w:hAnsi="Times New Roman"/>
          <w:b/>
          <w:i w:val="0"/>
          <w:color w:val="000000"/>
          <w:sz w:val="22"/>
          <w:szCs w:val="22"/>
        </w:rPr>
        <w:t xml:space="preserve"> de </w:t>
      </w:r>
      <w:r w:rsidR="00467815" w:rsidRPr="004421F5">
        <w:rPr>
          <w:rFonts w:ascii="Times New Roman" w:hAnsi="Times New Roman"/>
          <w:b/>
          <w:i w:val="0"/>
          <w:color w:val="000000"/>
          <w:sz w:val="22"/>
          <w:szCs w:val="22"/>
        </w:rPr>
        <w:t>janeir</w:t>
      </w:r>
      <w:r w:rsidR="007334B1" w:rsidRPr="004421F5">
        <w:rPr>
          <w:rFonts w:ascii="Times New Roman" w:hAnsi="Times New Roman"/>
          <w:b/>
          <w:i w:val="0"/>
          <w:color w:val="000000"/>
          <w:sz w:val="22"/>
          <w:szCs w:val="22"/>
        </w:rPr>
        <w:t>o</w:t>
      </w:r>
      <w:r w:rsidRPr="004421F5">
        <w:rPr>
          <w:rFonts w:ascii="Times New Roman" w:hAnsi="Times New Roman"/>
          <w:b/>
          <w:i w:val="0"/>
          <w:color w:val="000000"/>
          <w:sz w:val="22"/>
          <w:szCs w:val="22"/>
        </w:rPr>
        <w:t xml:space="preserve"> de 201</w:t>
      </w:r>
      <w:r w:rsidR="00467815" w:rsidRPr="004421F5">
        <w:rPr>
          <w:rFonts w:ascii="Times New Roman" w:hAnsi="Times New Roman"/>
          <w:b/>
          <w:i w:val="0"/>
          <w:color w:val="000000"/>
          <w:sz w:val="22"/>
          <w:szCs w:val="22"/>
        </w:rPr>
        <w:t>1</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7A2166" w:rsidRDefault="002D35F5" w:rsidP="00A407B6">
      <w:pPr>
        <w:pBdr>
          <w:top w:val="threeDEmboss" w:sz="24" w:space="0" w:color="auto"/>
        </w:pBdr>
        <w:tabs>
          <w:tab w:val="left" w:pos="284"/>
        </w:tabs>
        <w:spacing w:before="60" w:after="60"/>
        <w:ind w:left="0"/>
        <w:jc w:val="center"/>
        <w:rPr>
          <w:rFonts w:ascii="Cambria" w:hAnsi="Cambria"/>
          <w:b/>
          <w:bCs/>
          <w:smallCaps/>
          <w:sz w:val="22"/>
          <w:szCs w:val="22"/>
        </w:rPr>
      </w:pPr>
      <w:r w:rsidRPr="007A2166">
        <w:rPr>
          <w:rFonts w:ascii="Cambria" w:hAnsi="Cambria"/>
          <w:b/>
          <w:bCs/>
          <w:smallCaps/>
          <w:sz w:val="22"/>
          <w:szCs w:val="22"/>
        </w:rPr>
        <w:t>S</w:t>
      </w:r>
      <w:r w:rsidR="00FF7C62" w:rsidRPr="007A2166">
        <w:rPr>
          <w:rFonts w:ascii="Cambria" w:hAnsi="Cambria"/>
          <w:b/>
          <w:bCs/>
          <w:smallCaps/>
          <w:sz w:val="22"/>
          <w:szCs w:val="22"/>
        </w:rPr>
        <w:t>UMÁRIO</w:t>
      </w:r>
    </w:p>
    <w:p w:rsidR="008D5560" w:rsidRDefault="008D5560" w:rsidP="009764CC">
      <w:pPr>
        <w:pStyle w:val="tita"/>
        <w:spacing w:before="60" w:after="0" w:line="240" w:lineRule="auto"/>
        <w:jc w:val="both"/>
        <w:rPr>
          <w:i w:val="0"/>
          <w:iCs w:val="0"/>
          <w:sz w:val="22"/>
          <w:szCs w:val="22"/>
        </w:rPr>
      </w:pPr>
    </w:p>
    <w:p w:rsidR="009444E6" w:rsidRPr="007A2166" w:rsidRDefault="009444E6" w:rsidP="009764CC">
      <w:pPr>
        <w:pStyle w:val="tita"/>
        <w:spacing w:before="60" w:after="0" w:line="240" w:lineRule="auto"/>
        <w:jc w:val="both"/>
        <w:rPr>
          <w:i w:val="0"/>
          <w:iCs w:val="0"/>
          <w:sz w:val="22"/>
          <w:szCs w:val="22"/>
        </w:rPr>
      </w:pPr>
      <w:r w:rsidRPr="007A2166">
        <w:rPr>
          <w:i w:val="0"/>
          <w:iCs w:val="0"/>
          <w:sz w:val="22"/>
          <w:szCs w:val="22"/>
        </w:rPr>
        <w:t>Plenário</w:t>
      </w:r>
    </w:p>
    <w:p w:rsidR="002E28BA" w:rsidRPr="007A2166" w:rsidRDefault="002E28BA" w:rsidP="009764CC">
      <w:pPr>
        <w:pStyle w:val="Pargrafo"/>
        <w:spacing w:before="60"/>
        <w:jc w:val="both"/>
        <w:rPr>
          <w:sz w:val="22"/>
          <w:szCs w:val="22"/>
        </w:rPr>
      </w:pPr>
      <w:r w:rsidRPr="007A2166">
        <w:rPr>
          <w:sz w:val="22"/>
          <w:szCs w:val="22"/>
        </w:rPr>
        <w:t xml:space="preserve">Licitação com previsão de entrega de maquinário em diversos municípios do país: </w:t>
      </w:r>
    </w:p>
    <w:p w:rsidR="002E28BA" w:rsidRPr="007A2166" w:rsidRDefault="002E28BA" w:rsidP="009764CC">
      <w:pPr>
        <w:pStyle w:val="Pargrafo"/>
        <w:spacing w:before="60"/>
        <w:ind w:firstLine="567"/>
        <w:jc w:val="both"/>
        <w:rPr>
          <w:sz w:val="22"/>
          <w:szCs w:val="22"/>
        </w:rPr>
      </w:pPr>
      <w:r w:rsidRPr="007A2166">
        <w:rPr>
          <w:sz w:val="22"/>
          <w:szCs w:val="22"/>
        </w:rPr>
        <w:t xml:space="preserve">1 - Necessidade de definição precisa das localidades; </w:t>
      </w:r>
    </w:p>
    <w:p w:rsidR="002E28BA" w:rsidRPr="007A2166" w:rsidRDefault="002E28BA" w:rsidP="009764CC">
      <w:pPr>
        <w:pStyle w:val="Default"/>
        <w:spacing w:before="60"/>
        <w:ind w:firstLine="567"/>
        <w:jc w:val="both"/>
        <w:rPr>
          <w:color w:val="auto"/>
          <w:sz w:val="22"/>
          <w:szCs w:val="22"/>
        </w:rPr>
      </w:pPr>
      <w:r w:rsidRPr="007A2166">
        <w:rPr>
          <w:color w:val="auto"/>
          <w:sz w:val="22"/>
          <w:szCs w:val="22"/>
        </w:rPr>
        <w:t>2 - Justificativas com relação às quantidades a serem adquiridas</w:t>
      </w:r>
      <w:r w:rsidR="004B0194">
        <w:rPr>
          <w:color w:val="auto"/>
          <w:sz w:val="22"/>
          <w:szCs w:val="22"/>
        </w:rPr>
        <w:t>.</w:t>
      </w:r>
    </w:p>
    <w:p w:rsidR="00FE79EF" w:rsidRPr="007A2166" w:rsidRDefault="00FE79EF" w:rsidP="009764CC">
      <w:pPr>
        <w:pStyle w:val="indice"/>
        <w:spacing w:before="60" w:line="240" w:lineRule="auto"/>
      </w:pPr>
      <w:r w:rsidRPr="007A2166">
        <w:t>Impossibilidade do uso do pregão para serviços não caracteriz</w:t>
      </w:r>
      <w:r w:rsidR="007A2166" w:rsidRPr="007A2166">
        <w:t>ados</w:t>
      </w:r>
      <w:r w:rsidRPr="007A2166">
        <w:t xml:space="preserve"> como comuns.</w:t>
      </w:r>
    </w:p>
    <w:p w:rsidR="004421F5" w:rsidRPr="007A2166" w:rsidRDefault="004421F5" w:rsidP="009764CC">
      <w:pPr>
        <w:pStyle w:val="tita"/>
        <w:spacing w:before="60" w:after="0" w:line="240" w:lineRule="auto"/>
        <w:jc w:val="both"/>
        <w:rPr>
          <w:i w:val="0"/>
          <w:iCs w:val="0"/>
          <w:sz w:val="22"/>
          <w:szCs w:val="22"/>
        </w:rPr>
      </w:pPr>
      <w:r w:rsidRPr="007A2166">
        <w:rPr>
          <w:i w:val="0"/>
          <w:iCs w:val="0"/>
          <w:sz w:val="22"/>
          <w:szCs w:val="22"/>
        </w:rPr>
        <w:t>Nova Súmula</w:t>
      </w:r>
    </w:p>
    <w:p w:rsidR="004421F5" w:rsidRPr="007A2166" w:rsidRDefault="004421F5" w:rsidP="009764CC">
      <w:pPr>
        <w:pStyle w:val="enter-3pt"/>
        <w:spacing w:before="60" w:line="240" w:lineRule="auto"/>
        <w:rPr>
          <w:sz w:val="22"/>
          <w:szCs w:val="22"/>
        </w:rPr>
      </w:pPr>
      <w:r w:rsidRPr="007A2166">
        <w:rPr>
          <w:sz w:val="22"/>
          <w:szCs w:val="22"/>
        </w:rPr>
        <w:t>Súmula n.º 263</w:t>
      </w:r>
    </w:p>
    <w:p w:rsidR="003C6DEB" w:rsidRPr="007A2166" w:rsidRDefault="003C6DEB" w:rsidP="00337E16">
      <w:pPr>
        <w:pStyle w:val="indice"/>
        <w:spacing w:line="240" w:lineRule="auto"/>
      </w:pPr>
    </w:p>
    <w:p w:rsidR="003C6DEB" w:rsidRPr="007A216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7A2166">
        <w:rPr>
          <w:rFonts w:ascii="Cambria" w:hAnsi="Cambria"/>
          <w:b/>
          <w:bCs/>
          <w:smallCaps/>
          <w:sz w:val="22"/>
          <w:szCs w:val="22"/>
        </w:rPr>
        <w:t>PLENÁRIO</w:t>
      </w:r>
    </w:p>
    <w:p w:rsidR="003C6DEB" w:rsidRPr="007A2166" w:rsidRDefault="003C6DEB" w:rsidP="00337E16">
      <w:pPr>
        <w:pStyle w:val="tita"/>
        <w:spacing w:before="0" w:after="0" w:line="240" w:lineRule="auto"/>
        <w:jc w:val="both"/>
        <w:rPr>
          <w:i w:val="0"/>
          <w:iCs w:val="0"/>
          <w:sz w:val="22"/>
          <w:szCs w:val="22"/>
        </w:rPr>
      </w:pPr>
    </w:p>
    <w:p w:rsidR="00A239A8" w:rsidRPr="007A2166" w:rsidRDefault="00D04613" w:rsidP="00851D16">
      <w:pPr>
        <w:pStyle w:val="Pargrafo"/>
        <w:jc w:val="both"/>
        <w:rPr>
          <w:b/>
          <w:sz w:val="22"/>
          <w:szCs w:val="22"/>
        </w:rPr>
      </w:pPr>
      <w:r w:rsidRPr="007A2166">
        <w:rPr>
          <w:b/>
          <w:sz w:val="22"/>
          <w:szCs w:val="22"/>
        </w:rPr>
        <w:t>Licitação com previsão de entrega de maquinário em diversos municípios</w:t>
      </w:r>
      <w:r w:rsidR="004421F5" w:rsidRPr="007A2166">
        <w:rPr>
          <w:b/>
          <w:sz w:val="22"/>
          <w:szCs w:val="22"/>
        </w:rPr>
        <w:t xml:space="preserve"> do país</w:t>
      </w:r>
      <w:r w:rsidRPr="007A2166">
        <w:rPr>
          <w:b/>
          <w:sz w:val="22"/>
          <w:szCs w:val="22"/>
        </w:rPr>
        <w:t xml:space="preserve">: </w:t>
      </w:r>
      <w:r w:rsidR="004421F5" w:rsidRPr="007A2166">
        <w:rPr>
          <w:b/>
          <w:sz w:val="22"/>
          <w:szCs w:val="22"/>
        </w:rPr>
        <w:t>1 - N</w:t>
      </w:r>
      <w:r w:rsidRPr="007A2166">
        <w:rPr>
          <w:b/>
          <w:sz w:val="22"/>
          <w:szCs w:val="22"/>
        </w:rPr>
        <w:t xml:space="preserve">ecessidade de definição precisa das localidades </w:t>
      </w:r>
    </w:p>
    <w:p w:rsidR="00957E4B" w:rsidRPr="007A2166" w:rsidRDefault="002E28BA" w:rsidP="00957E4B">
      <w:pPr>
        <w:pStyle w:val="Default"/>
        <w:jc w:val="both"/>
        <w:rPr>
          <w:color w:val="auto"/>
          <w:sz w:val="22"/>
          <w:szCs w:val="22"/>
        </w:rPr>
      </w:pPr>
      <w:r w:rsidRPr="007A2166">
        <w:rPr>
          <w:sz w:val="22"/>
          <w:szCs w:val="22"/>
        </w:rPr>
        <w:t>R</w:t>
      </w:r>
      <w:r w:rsidR="00957E4B" w:rsidRPr="007A2166">
        <w:rPr>
          <w:sz w:val="22"/>
          <w:szCs w:val="22"/>
        </w:rPr>
        <w:t>epresentação ao TCU noticiou possíveis irregularidades no Pregão Eletrônico nº 32/2010 (</w:t>
      </w:r>
      <w:r w:rsidR="00E85CBE" w:rsidRPr="007A2166">
        <w:rPr>
          <w:sz w:val="22"/>
          <w:szCs w:val="22"/>
        </w:rPr>
        <w:t xml:space="preserve">para </w:t>
      </w:r>
      <w:r w:rsidR="00957E4B" w:rsidRPr="007A2166">
        <w:rPr>
          <w:sz w:val="22"/>
          <w:szCs w:val="22"/>
        </w:rPr>
        <w:t xml:space="preserve">registro de preços), promovido pelo Ministério da Pesca e Aquicultura </w:t>
      </w:r>
      <w:r w:rsidR="004421F5" w:rsidRPr="007A2166">
        <w:rPr>
          <w:sz w:val="22"/>
          <w:szCs w:val="22"/>
        </w:rPr>
        <w:t xml:space="preserve">- </w:t>
      </w:r>
      <w:r w:rsidR="00957E4B" w:rsidRPr="007A2166">
        <w:rPr>
          <w:sz w:val="22"/>
          <w:szCs w:val="22"/>
        </w:rPr>
        <w:t>(MPA), para eventual contratação de empresa(s) especializada(s) no fornecimento de máquinas agrícolas para formação de patrulhas mecanizadas, com vistas à implementação do Subprograma de Fomento à Aquicultura Familiar em Módulos Rurais</w:t>
      </w:r>
      <w:r w:rsidRPr="007A2166">
        <w:rPr>
          <w:sz w:val="22"/>
          <w:szCs w:val="22"/>
        </w:rPr>
        <w:t>.</w:t>
      </w:r>
      <w:r w:rsidR="00E06065" w:rsidRPr="007A2166">
        <w:rPr>
          <w:sz w:val="22"/>
          <w:szCs w:val="22"/>
        </w:rPr>
        <w:t xml:space="preserve"> </w:t>
      </w:r>
      <w:r w:rsidRPr="007A2166">
        <w:rPr>
          <w:sz w:val="22"/>
          <w:szCs w:val="22"/>
        </w:rPr>
        <w:t>O</w:t>
      </w:r>
      <w:r w:rsidR="00E06065" w:rsidRPr="007A2166">
        <w:rPr>
          <w:color w:val="auto"/>
          <w:sz w:val="22"/>
          <w:szCs w:val="22"/>
        </w:rPr>
        <w:t xml:space="preserve"> relator</w:t>
      </w:r>
      <w:r w:rsidRPr="007A2166">
        <w:rPr>
          <w:color w:val="auto"/>
          <w:sz w:val="22"/>
          <w:szCs w:val="22"/>
        </w:rPr>
        <w:t xml:space="preserve">, em decisão monocrática e ao </w:t>
      </w:r>
      <w:r w:rsidR="00E06065" w:rsidRPr="007A2166">
        <w:rPr>
          <w:color w:val="auto"/>
          <w:sz w:val="22"/>
          <w:szCs w:val="22"/>
        </w:rPr>
        <w:t>acolhe</w:t>
      </w:r>
      <w:r w:rsidRPr="007A2166">
        <w:rPr>
          <w:color w:val="auto"/>
          <w:sz w:val="22"/>
          <w:szCs w:val="22"/>
        </w:rPr>
        <w:t>r</w:t>
      </w:r>
      <w:r w:rsidR="00E06065" w:rsidRPr="007A2166">
        <w:rPr>
          <w:color w:val="auto"/>
          <w:sz w:val="22"/>
          <w:szCs w:val="22"/>
        </w:rPr>
        <w:t xml:space="preserve"> manifestação da unidade técnica, determinou a suspensão dos atos decorrentes do aludido certame até que o Tribunal delibere, em definitivo, a respeito da matéria questionada</w:t>
      </w:r>
      <w:r w:rsidR="00E85CBE" w:rsidRPr="007A2166">
        <w:rPr>
          <w:sz w:val="22"/>
          <w:szCs w:val="22"/>
        </w:rPr>
        <w:t>. Na etapa processual anterior, o então relator do processo, Ministro Benjamin Zymler, determinou a oitiva dos responsáveis do MPA, para que</w:t>
      </w:r>
      <w:r w:rsidR="00885367">
        <w:rPr>
          <w:sz w:val="22"/>
          <w:szCs w:val="22"/>
        </w:rPr>
        <w:t xml:space="preserve"> </w:t>
      </w:r>
      <w:r w:rsidR="00E85CBE" w:rsidRPr="007A2166">
        <w:rPr>
          <w:sz w:val="22"/>
          <w:szCs w:val="22"/>
        </w:rPr>
        <w:t xml:space="preserve">fosse avaliada a necessidade de adoção de medida cautelar, a depender da resposta à oitiva, em razão da insuficiente especificação do objeto do Pregão Eletrônico nº 32/2010, </w:t>
      </w:r>
      <w:r w:rsidRPr="007A2166">
        <w:rPr>
          <w:sz w:val="22"/>
          <w:szCs w:val="22"/>
        </w:rPr>
        <w:t>em face</w:t>
      </w:r>
      <w:r w:rsidR="00E85CBE" w:rsidRPr="007A2166">
        <w:rPr>
          <w:sz w:val="22"/>
          <w:szCs w:val="22"/>
        </w:rPr>
        <w:t xml:space="preserve"> </w:t>
      </w:r>
      <w:r w:rsidRPr="007A2166">
        <w:rPr>
          <w:sz w:val="22"/>
          <w:szCs w:val="22"/>
        </w:rPr>
        <w:t>d</w:t>
      </w:r>
      <w:r w:rsidR="00E85CBE" w:rsidRPr="007A2166">
        <w:rPr>
          <w:sz w:val="22"/>
          <w:szCs w:val="22"/>
        </w:rPr>
        <w:t xml:space="preserve">a omissão </w:t>
      </w:r>
      <w:r w:rsidRPr="007A2166">
        <w:rPr>
          <w:sz w:val="22"/>
          <w:szCs w:val="22"/>
        </w:rPr>
        <w:t>quanto</w:t>
      </w:r>
      <w:r w:rsidR="00E85CBE" w:rsidRPr="007A2166">
        <w:rPr>
          <w:sz w:val="22"/>
          <w:szCs w:val="22"/>
        </w:rPr>
        <w:t xml:space="preserve"> </w:t>
      </w:r>
      <w:r w:rsidRPr="007A2166">
        <w:rPr>
          <w:sz w:val="22"/>
          <w:szCs w:val="22"/>
        </w:rPr>
        <w:t>a</w:t>
      </w:r>
      <w:r w:rsidR="00E85CBE" w:rsidRPr="007A2166">
        <w:rPr>
          <w:sz w:val="22"/>
          <w:szCs w:val="22"/>
        </w:rPr>
        <w:t>os locais de entrega dos equipamentos. Ao examinar os argumentos apresentados, a unidade técnica concluiu que o MPA houvera falhado ao “</w:t>
      </w:r>
      <w:r w:rsidR="00E85CBE" w:rsidRPr="007A2166">
        <w:rPr>
          <w:i/>
          <w:sz w:val="22"/>
          <w:szCs w:val="22"/>
        </w:rPr>
        <w:t>deflagrar uma licitação sem que seu objeto estivesse definido de modo preciso, especialmente no que diz respeito aos locais de entrega dos equipamentos</w:t>
      </w:r>
      <w:r w:rsidR="00E85CBE" w:rsidRPr="007A2166">
        <w:rPr>
          <w:sz w:val="22"/>
          <w:szCs w:val="22"/>
        </w:rPr>
        <w:t xml:space="preserve">”. Ao concordar com a unidade técnica, o </w:t>
      </w:r>
      <w:r w:rsidRPr="007A2166">
        <w:rPr>
          <w:sz w:val="22"/>
          <w:szCs w:val="22"/>
        </w:rPr>
        <w:t xml:space="preserve">atual </w:t>
      </w:r>
      <w:r w:rsidR="00E85CBE" w:rsidRPr="007A2166">
        <w:rPr>
          <w:sz w:val="22"/>
          <w:szCs w:val="22"/>
        </w:rPr>
        <w:t>relator</w:t>
      </w:r>
      <w:r w:rsidRPr="007A2166">
        <w:rPr>
          <w:sz w:val="22"/>
          <w:szCs w:val="22"/>
        </w:rPr>
        <w:t>, Ministro Ubiratan Aguiar,</w:t>
      </w:r>
      <w:r w:rsidR="00E85CBE" w:rsidRPr="007A2166">
        <w:rPr>
          <w:sz w:val="22"/>
          <w:szCs w:val="22"/>
        </w:rPr>
        <w:t xml:space="preserve"> destacou em sua decisão que “</w:t>
      </w:r>
      <w:r w:rsidR="00E85CBE" w:rsidRPr="007A2166">
        <w:rPr>
          <w:i/>
          <w:sz w:val="22"/>
          <w:szCs w:val="22"/>
        </w:rPr>
        <w:t>sem ter conhecimento dos municípios onde deveriam ser entregues os equipamentos – tratores de esteira, retroescavadeiras e escavadeiras hidráulicas -, as empresas possivelmente estimaram, em suas propostas de preços, um custo de frete suficiente para não lhes acarretar prejuízos</w:t>
      </w:r>
      <w:r w:rsidR="00E06065" w:rsidRPr="007A2166">
        <w:rPr>
          <w:i/>
          <w:sz w:val="22"/>
          <w:szCs w:val="22"/>
        </w:rPr>
        <w:t>”</w:t>
      </w:r>
      <w:r w:rsidR="00E85CBE" w:rsidRPr="007A2166">
        <w:rPr>
          <w:i/>
          <w:sz w:val="22"/>
          <w:szCs w:val="22"/>
        </w:rPr>
        <w:t>.</w:t>
      </w:r>
      <w:r w:rsidR="00E06065" w:rsidRPr="007A2166">
        <w:rPr>
          <w:sz w:val="22"/>
          <w:szCs w:val="22"/>
        </w:rPr>
        <w:t xml:space="preserve"> </w:t>
      </w:r>
      <w:r w:rsidR="00E06065" w:rsidRPr="007A2166">
        <w:rPr>
          <w:iCs/>
          <w:color w:val="auto"/>
          <w:sz w:val="22"/>
          <w:szCs w:val="22"/>
        </w:rPr>
        <w:t>O Plenário referendou a cautelar deferida pelo relator</w:t>
      </w:r>
      <w:r w:rsidR="00E06065" w:rsidRPr="007A2166">
        <w:rPr>
          <w:color w:val="auto"/>
          <w:sz w:val="22"/>
          <w:szCs w:val="22"/>
        </w:rPr>
        <w:t>.</w:t>
      </w:r>
      <w:r w:rsidR="00467815" w:rsidRPr="007A2166">
        <w:rPr>
          <w:color w:val="auto"/>
          <w:sz w:val="22"/>
          <w:szCs w:val="22"/>
        </w:rPr>
        <w:t xml:space="preserve"> </w:t>
      </w:r>
      <w:r w:rsidR="00957E4B" w:rsidRPr="007A2166">
        <w:rPr>
          <w:b/>
          <w:i/>
          <w:color w:val="auto"/>
          <w:sz w:val="22"/>
          <w:szCs w:val="22"/>
        </w:rPr>
        <w:t>Decisão monocrática no TC-033.048/2010-0, rel. Min. Ubiratan Aguiar, 1</w:t>
      </w:r>
      <w:r w:rsidR="00D04613" w:rsidRPr="007A2166">
        <w:rPr>
          <w:b/>
          <w:i/>
          <w:color w:val="auto"/>
          <w:sz w:val="22"/>
          <w:szCs w:val="22"/>
        </w:rPr>
        <w:t>9</w:t>
      </w:r>
      <w:r w:rsidR="00957E4B" w:rsidRPr="007A2166">
        <w:rPr>
          <w:b/>
          <w:i/>
          <w:color w:val="auto"/>
          <w:sz w:val="22"/>
          <w:szCs w:val="22"/>
        </w:rPr>
        <w:t xml:space="preserve">.01.2011. </w:t>
      </w:r>
    </w:p>
    <w:p w:rsidR="00A239A8" w:rsidRPr="007A2166" w:rsidRDefault="00A239A8" w:rsidP="00957E4B">
      <w:pPr>
        <w:pStyle w:val="Pargrafo"/>
        <w:jc w:val="both"/>
        <w:rPr>
          <w:sz w:val="22"/>
          <w:szCs w:val="22"/>
        </w:rPr>
      </w:pPr>
    </w:p>
    <w:p w:rsidR="00D04613" w:rsidRPr="007A2166" w:rsidRDefault="00D04613" w:rsidP="00D04613">
      <w:pPr>
        <w:pStyle w:val="Default"/>
        <w:jc w:val="both"/>
        <w:rPr>
          <w:b/>
          <w:color w:val="auto"/>
          <w:sz w:val="22"/>
          <w:szCs w:val="22"/>
        </w:rPr>
      </w:pPr>
      <w:r w:rsidRPr="007A2166">
        <w:rPr>
          <w:b/>
          <w:color w:val="auto"/>
          <w:sz w:val="22"/>
          <w:szCs w:val="22"/>
        </w:rPr>
        <w:t>Licitação com previsão de entrega de maquinário em diversos municípios</w:t>
      </w:r>
      <w:r w:rsidR="004421F5" w:rsidRPr="007A2166">
        <w:rPr>
          <w:b/>
          <w:color w:val="auto"/>
          <w:sz w:val="22"/>
          <w:szCs w:val="22"/>
        </w:rPr>
        <w:t xml:space="preserve"> do país</w:t>
      </w:r>
      <w:r w:rsidRPr="007A2166">
        <w:rPr>
          <w:b/>
          <w:color w:val="auto"/>
          <w:sz w:val="22"/>
          <w:szCs w:val="22"/>
        </w:rPr>
        <w:t xml:space="preserve">: </w:t>
      </w:r>
      <w:r w:rsidR="004421F5" w:rsidRPr="007A2166">
        <w:rPr>
          <w:b/>
          <w:color w:val="auto"/>
          <w:sz w:val="22"/>
          <w:szCs w:val="22"/>
        </w:rPr>
        <w:t>2 - J</w:t>
      </w:r>
      <w:r w:rsidRPr="007A2166">
        <w:rPr>
          <w:b/>
          <w:color w:val="auto"/>
          <w:sz w:val="22"/>
          <w:szCs w:val="22"/>
        </w:rPr>
        <w:t>ustificativas com relação às quantidades a serem adquiridas</w:t>
      </w:r>
    </w:p>
    <w:p w:rsidR="00D04613" w:rsidRPr="007A2166" w:rsidRDefault="00467815" w:rsidP="00D04613">
      <w:pPr>
        <w:pStyle w:val="Default"/>
        <w:jc w:val="both"/>
        <w:rPr>
          <w:color w:val="auto"/>
          <w:sz w:val="22"/>
          <w:szCs w:val="22"/>
        </w:rPr>
      </w:pPr>
      <w:r w:rsidRPr="007A2166">
        <w:rPr>
          <w:color w:val="auto"/>
          <w:sz w:val="22"/>
          <w:szCs w:val="22"/>
        </w:rPr>
        <w:t>Ainda na decisão monocrática adotada a partir de r</w:t>
      </w:r>
      <w:r w:rsidRPr="007A2166">
        <w:rPr>
          <w:sz w:val="22"/>
          <w:szCs w:val="22"/>
        </w:rPr>
        <w:t xml:space="preserve">epresentação ao TCU que noticiou possíveis irregularidades no Pregão Eletrônico nº 32/2010 (para registro de preços), promovido pelo Ministério da Pesca e Aquicultura </w:t>
      </w:r>
      <w:r w:rsidR="004421F5" w:rsidRPr="007A2166">
        <w:rPr>
          <w:sz w:val="22"/>
          <w:szCs w:val="22"/>
        </w:rPr>
        <w:t xml:space="preserve">- </w:t>
      </w:r>
      <w:r w:rsidRPr="007A2166">
        <w:rPr>
          <w:sz w:val="22"/>
          <w:szCs w:val="22"/>
        </w:rPr>
        <w:t>(MPA), o relator destacou outra irregularidade a macular o certame: a inexistência de estudo de demanda capaz de justificar as quantidades licitadas, mesmo em se tratando de um pregão para registro de preços.  Para ele, se as estimativas das quantidades de aquisição estivessem baseadas em algum estudo de demanda, “</w:t>
      </w:r>
      <w:r w:rsidRPr="007A2166">
        <w:rPr>
          <w:i/>
          <w:sz w:val="22"/>
          <w:szCs w:val="22"/>
        </w:rPr>
        <w:t>certamente os preços ofertados pelas licitantes estariam o mais próximo possível do valor de mercado, consideradas as economias de escala</w:t>
      </w:r>
      <w:r w:rsidRPr="007A2166">
        <w:rPr>
          <w:sz w:val="22"/>
          <w:szCs w:val="22"/>
        </w:rPr>
        <w:t xml:space="preserve">”. </w:t>
      </w:r>
      <w:r w:rsidRPr="007A2166">
        <w:rPr>
          <w:iCs/>
          <w:sz w:val="22"/>
          <w:szCs w:val="22"/>
        </w:rPr>
        <w:t xml:space="preserve">A ausência de estimativa prévia da demanda, então, impossibilitaria o planejamento de seu atendimento, pois não seria possível estabelecer um cronograma de distribuição de produtos condizente com a real necessidade. </w:t>
      </w:r>
      <w:r w:rsidR="006F6483">
        <w:rPr>
          <w:iCs/>
          <w:sz w:val="22"/>
          <w:szCs w:val="22"/>
        </w:rPr>
        <w:t xml:space="preserve">Registrou, então, a </w:t>
      </w:r>
      <w:r w:rsidR="004B0194">
        <w:rPr>
          <w:iCs/>
          <w:sz w:val="22"/>
          <w:szCs w:val="22"/>
        </w:rPr>
        <w:t>pertinência</w:t>
      </w:r>
      <w:r w:rsidR="006F6483">
        <w:rPr>
          <w:iCs/>
          <w:sz w:val="22"/>
          <w:szCs w:val="22"/>
        </w:rPr>
        <w:t xml:space="preserve"> de se considerar tal fato quando da análise do mérito do processo, de modo a se expedir as recomendações corretivas para as futuras licitações do MPA que tenham objeto semelhante ao Pregão </w:t>
      </w:r>
      <w:r w:rsidR="006F6483" w:rsidRPr="007A2166">
        <w:rPr>
          <w:sz w:val="22"/>
          <w:szCs w:val="22"/>
        </w:rPr>
        <w:t>nº 32/2010</w:t>
      </w:r>
      <w:r w:rsidR="00D04613" w:rsidRPr="007A2166">
        <w:rPr>
          <w:sz w:val="22"/>
          <w:szCs w:val="22"/>
        </w:rPr>
        <w:t>.</w:t>
      </w:r>
      <w:r w:rsidR="006F6483">
        <w:rPr>
          <w:sz w:val="22"/>
          <w:szCs w:val="22"/>
        </w:rPr>
        <w:t xml:space="preserve"> </w:t>
      </w:r>
      <w:r w:rsidR="00D04613" w:rsidRPr="007A2166">
        <w:rPr>
          <w:iCs/>
          <w:color w:val="auto"/>
          <w:sz w:val="22"/>
          <w:szCs w:val="22"/>
        </w:rPr>
        <w:t>O Plenário referendou a cautelar deferida pelo relator</w:t>
      </w:r>
      <w:r w:rsidR="00D04613" w:rsidRPr="007A2166">
        <w:rPr>
          <w:color w:val="auto"/>
          <w:sz w:val="22"/>
          <w:szCs w:val="22"/>
        </w:rPr>
        <w:t xml:space="preserve">. </w:t>
      </w:r>
      <w:r w:rsidR="00D04613" w:rsidRPr="007A2166">
        <w:rPr>
          <w:b/>
          <w:i/>
          <w:color w:val="auto"/>
          <w:sz w:val="22"/>
          <w:szCs w:val="22"/>
        </w:rPr>
        <w:t xml:space="preserve">Decisão monocrática no TC-033.048/2010-0, rel. Min. Ubiratan Aguiar, 19.01.2011. </w:t>
      </w:r>
    </w:p>
    <w:p w:rsidR="00467815" w:rsidRPr="007A2166" w:rsidRDefault="00467815" w:rsidP="00467815">
      <w:pPr>
        <w:pStyle w:val="Default"/>
        <w:jc w:val="both"/>
        <w:rPr>
          <w:sz w:val="22"/>
          <w:szCs w:val="22"/>
        </w:rPr>
      </w:pPr>
    </w:p>
    <w:p w:rsidR="005A2D82" w:rsidRPr="007A2166" w:rsidRDefault="00FE79EF" w:rsidP="004421F5">
      <w:pPr>
        <w:pStyle w:val="indice"/>
        <w:spacing w:line="240" w:lineRule="auto"/>
        <w:rPr>
          <w:b/>
        </w:rPr>
      </w:pPr>
      <w:r w:rsidRPr="007A2166">
        <w:rPr>
          <w:b/>
        </w:rPr>
        <w:t>Impossibilidade do uso do pregão para serviços não caracteriz</w:t>
      </w:r>
      <w:r w:rsidR="007A2166" w:rsidRPr="007A2166">
        <w:rPr>
          <w:b/>
        </w:rPr>
        <w:t>ados</w:t>
      </w:r>
      <w:r w:rsidRPr="007A2166">
        <w:rPr>
          <w:b/>
        </w:rPr>
        <w:t xml:space="preserve"> como comuns</w:t>
      </w:r>
    </w:p>
    <w:p w:rsidR="00F60C74" w:rsidRPr="007A2166" w:rsidRDefault="00F60C74" w:rsidP="004421F5">
      <w:pPr>
        <w:widowControl w:val="0"/>
        <w:spacing w:after="0"/>
        <w:ind w:left="0"/>
        <w:rPr>
          <w:sz w:val="22"/>
          <w:szCs w:val="22"/>
        </w:rPr>
      </w:pPr>
      <w:r w:rsidRPr="007A2166">
        <w:rPr>
          <w:sz w:val="22"/>
          <w:szCs w:val="22"/>
        </w:rPr>
        <w:t xml:space="preserve">Representação formulada pela Associação Brasileira de Consultores de Engenharia – </w:t>
      </w:r>
      <w:r w:rsidR="004421F5" w:rsidRPr="007A2166">
        <w:rPr>
          <w:sz w:val="22"/>
          <w:szCs w:val="22"/>
        </w:rPr>
        <w:t>(</w:t>
      </w:r>
      <w:r w:rsidRPr="007A2166">
        <w:rPr>
          <w:sz w:val="22"/>
          <w:szCs w:val="22"/>
        </w:rPr>
        <w:t>ABCE</w:t>
      </w:r>
      <w:r w:rsidR="004421F5" w:rsidRPr="007A2166">
        <w:rPr>
          <w:sz w:val="22"/>
          <w:szCs w:val="22"/>
        </w:rPr>
        <w:t>)</w:t>
      </w:r>
      <w:r w:rsidRPr="007A2166">
        <w:rPr>
          <w:sz w:val="22"/>
          <w:szCs w:val="22"/>
        </w:rPr>
        <w:t xml:space="preserve"> cuidou de possíveis irregularidades no Pregão Eletrônico 78/2010, realizado pela Companhia Docas do Estado do Pará – </w:t>
      </w:r>
      <w:r w:rsidR="004421F5" w:rsidRPr="007A2166">
        <w:rPr>
          <w:sz w:val="22"/>
          <w:szCs w:val="22"/>
        </w:rPr>
        <w:t>(</w:t>
      </w:r>
      <w:r w:rsidRPr="007A2166">
        <w:rPr>
          <w:sz w:val="22"/>
          <w:szCs w:val="22"/>
        </w:rPr>
        <w:t>CDP</w:t>
      </w:r>
      <w:r w:rsidR="004421F5" w:rsidRPr="007A2166">
        <w:rPr>
          <w:sz w:val="22"/>
          <w:szCs w:val="22"/>
        </w:rPr>
        <w:t>)</w:t>
      </w:r>
      <w:r w:rsidRPr="007A2166">
        <w:rPr>
          <w:bCs/>
          <w:iCs/>
          <w:sz w:val="22"/>
          <w:szCs w:val="22"/>
        </w:rPr>
        <w:t xml:space="preserve">, </w:t>
      </w:r>
      <w:r w:rsidR="004421F5" w:rsidRPr="007A2166">
        <w:rPr>
          <w:bCs/>
          <w:iCs/>
          <w:sz w:val="22"/>
          <w:szCs w:val="22"/>
        </w:rPr>
        <w:t>cujo objeto consistiu</w:t>
      </w:r>
      <w:r w:rsidRPr="007A2166">
        <w:rPr>
          <w:bCs/>
          <w:iCs/>
          <w:sz w:val="22"/>
          <w:szCs w:val="22"/>
        </w:rPr>
        <w:t xml:space="preserve"> </w:t>
      </w:r>
      <w:r w:rsidR="004421F5" w:rsidRPr="007A2166">
        <w:rPr>
          <w:bCs/>
          <w:iCs/>
          <w:sz w:val="22"/>
          <w:szCs w:val="22"/>
        </w:rPr>
        <w:t>n</w:t>
      </w:r>
      <w:r w:rsidRPr="007A2166">
        <w:rPr>
          <w:bCs/>
          <w:iCs/>
          <w:sz w:val="22"/>
          <w:szCs w:val="22"/>
        </w:rPr>
        <w:t>a</w:t>
      </w:r>
      <w:r w:rsidRPr="007A2166">
        <w:rPr>
          <w:snapToGrid w:val="0"/>
          <w:sz w:val="22"/>
          <w:szCs w:val="22"/>
        </w:rPr>
        <w:t xml:space="preserve"> elaboração de estudos e projetos de engenharia para</w:t>
      </w:r>
      <w:r w:rsidRPr="007A2166">
        <w:rPr>
          <w:bCs/>
          <w:snapToGrid w:val="0"/>
          <w:sz w:val="22"/>
          <w:szCs w:val="22"/>
        </w:rPr>
        <w:t>: (I) construção de nova portaria; (II) centro administrativo; (III) urbanização das vias; (IV) rampa rodofluvial; (V) terminal de múltiplo uso 2 (TMU 2); e (VI) serviços de inspeção, análise e projeto executivo de recuperação/reforço/ampliação estrutural do Píer 100 (TMU 1), no Porto de Santarém/PA</w:t>
      </w:r>
      <w:r w:rsidRPr="007A2166">
        <w:rPr>
          <w:bCs/>
          <w:sz w:val="22"/>
          <w:szCs w:val="22"/>
        </w:rPr>
        <w:t xml:space="preserve">. Para a representante, </w:t>
      </w:r>
      <w:r w:rsidRPr="007A2166">
        <w:rPr>
          <w:snapToGrid w:val="0"/>
          <w:sz w:val="22"/>
          <w:szCs w:val="22"/>
        </w:rPr>
        <w:t>a modalidade licitatória – Pregão Eletrônico – é inadequada para o presente caso, haja vista que o referido objeto do edital não pode</w:t>
      </w:r>
      <w:r w:rsidR="00F33277" w:rsidRPr="007A2166">
        <w:rPr>
          <w:snapToGrid w:val="0"/>
          <w:sz w:val="22"/>
          <w:szCs w:val="22"/>
        </w:rPr>
        <w:t>ria</w:t>
      </w:r>
      <w:r w:rsidRPr="007A2166">
        <w:rPr>
          <w:snapToGrid w:val="0"/>
          <w:sz w:val="22"/>
          <w:szCs w:val="22"/>
        </w:rPr>
        <w:t xml:space="preserve"> ser caracterizado como “serviço comum”. Pela natureza do objeto da licitação, ainda para </w:t>
      </w:r>
      <w:r w:rsidR="004B1113">
        <w:rPr>
          <w:snapToGrid w:val="0"/>
          <w:sz w:val="22"/>
          <w:szCs w:val="22"/>
        </w:rPr>
        <w:t>a</w:t>
      </w:r>
      <w:r w:rsidR="004B0194">
        <w:rPr>
          <w:snapToGrid w:val="0"/>
          <w:sz w:val="22"/>
          <w:szCs w:val="22"/>
        </w:rPr>
        <w:t xml:space="preserve"> </w:t>
      </w:r>
      <w:r w:rsidRPr="007A2166">
        <w:rPr>
          <w:snapToGrid w:val="0"/>
          <w:sz w:val="22"/>
          <w:szCs w:val="22"/>
        </w:rPr>
        <w:t>representante, deveria ser adotado o tipo “técnica”, ou “técnica e preço”, incompatíveis com o pregão. Demandou, em consequência, a sustação do referido processo licitatório, em sede de medida cautelar, de modo a reverter a suposta prática irregular. A unidade técnica</w:t>
      </w:r>
      <w:r w:rsidR="00F33277" w:rsidRPr="007A2166">
        <w:rPr>
          <w:snapToGrid w:val="0"/>
          <w:sz w:val="22"/>
          <w:szCs w:val="22"/>
        </w:rPr>
        <w:t>,</w:t>
      </w:r>
      <w:r w:rsidRPr="007A2166">
        <w:rPr>
          <w:snapToGrid w:val="0"/>
          <w:sz w:val="22"/>
          <w:szCs w:val="22"/>
        </w:rPr>
        <w:t xml:space="preserve"> ao examinar a mat</w:t>
      </w:r>
      <w:r w:rsidR="00F33277" w:rsidRPr="007A2166">
        <w:rPr>
          <w:snapToGrid w:val="0"/>
          <w:sz w:val="22"/>
          <w:szCs w:val="22"/>
        </w:rPr>
        <w:t xml:space="preserve">éria, registrou, inicialmente, entendimento do TCU quanto à possibilidade do uso do pregão para serviços comuns de engenharia (súmula 257). Todavia, na situação examinada, </w:t>
      </w:r>
      <w:r w:rsidR="004B0194">
        <w:rPr>
          <w:snapToGrid w:val="0"/>
          <w:sz w:val="22"/>
          <w:szCs w:val="22"/>
        </w:rPr>
        <w:t>a hipótese seria distinta</w:t>
      </w:r>
      <w:r w:rsidR="00F33277" w:rsidRPr="007A2166">
        <w:rPr>
          <w:snapToGrid w:val="0"/>
          <w:sz w:val="22"/>
          <w:szCs w:val="22"/>
        </w:rPr>
        <w:t>, pois, por exemplo, diversos projetos conceituais seriam contratados por intermédio do referido certame. Tais projetos, que, ao fim, seriam anteprojetos a partir dos quais a CDP decidiria pela aprovação ou não dos arranjos gerais, orçamentos estimados, dentre outros aspectos, dependeriam consideravelmente da experiência e capacidade técnica dos licitantes, permitindo a obtenção de produtos distintos para um mesmo problema</w:t>
      </w:r>
      <w:r w:rsidR="005F7A87" w:rsidRPr="007A2166">
        <w:rPr>
          <w:snapToGrid w:val="0"/>
          <w:sz w:val="22"/>
          <w:szCs w:val="22"/>
        </w:rPr>
        <w:t>, o que</w:t>
      </w:r>
      <w:r w:rsidR="00FE79EF" w:rsidRPr="007A2166">
        <w:rPr>
          <w:snapToGrid w:val="0"/>
          <w:sz w:val="22"/>
          <w:szCs w:val="22"/>
        </w:rPr>
        <w:t xml:space="preserve">, ainda para a unidade técnica, </w:t>
      </w:r>
      <w:r w:rsidR="005F7A87" w:rsidRPr="007A2166">
        <w:rPr>
          <w:snapToGrid w:val="0"/>
          <w:sz w:val="22"/>
          <w:szCs w:val="22"/>
        </w:rPr>
        <w:t xml:space="preserve"> possibilitaria ao contratado, “</w:t>
      </w:r>
      <w:r w:rsidR="005F7A87" w:rsidRPr="007A2166">
        <w:rPr>
          <w:i/>
          <w:snapToGrid w:val="0"/>
          <w:sz w:val="22"/>
          <w:szCs w:val="22"/>
        </w:rPr>
        <w:t>a livre definição de soluções técnicas, como, por exemplo, de qual material a ser utilizado numa estrutura, quantos pilares e vigas terão um edifício, qual o tipo de laje, qual o sistema de combate ao incêndio, etc., devem ser licitados conforme o disposto no art. 46 da Lei 8.666/1993</w:t>
      </w:r>
      <w:r w:rsidR="005F7A87" w:rsidRPr="007A2166">
        <w:rPr>
          <w:snapToGrid w:val="0"/>
          <w:sz w:val="22"/>
          <w:szCs w:val="22"/>
        </w:rPr>
        <w:t>”. Em resumo, “</w:t>
      </w:r>
      <w:r w:rsidR="005F7A87" w:rsidRPr="007A2166">
        <w:rPr>
          <w:i/>
          <w:snapToGrid w:val="0"/>
          <w:sz w:val="22"/>
          <w:szCs w:val="22"/>
        </w:rPr>
        <w:t>se o projeto ou estudo a ser obtido pela realização do serviço por uma empresa ou profissional for similar ao projeto desenvolvido por outra empresa, dotada com as mesmas informações da primeira, esse objeto, no caso ‘estudos e projetos’ podem ser caracterizados como ‘comuns’. Caso contrário, se a similaridade dos produtos a serem entregues não puder ser assegurada, o objeto é incomum</w:t>
      </w:r>
      <w:r w:rsidR="005F7A87" w:rsidRPr="007A2166">
        <w:rPr>
          <w:snapToGrid w:val="0"/>
          <w:sz w:val="22"/>
          <w:szCs w:val="22"/>
        </w:rPr>
        <w:t>”. E, no caso da contratação pretendida pela CDP, “</w:t>
      </w:r>
      <w:r w:rsidR="005F7A87" w:rsidRPr="007A2166">
        <w:rPr>
          <w:i/>
          <w:sz w:val="22"/>
          <w:szCs w:val="22"/>
        </w:rPr>
        <w:t>não se trata de serviços padronizáveis ou de ‘prateleira’, mas sim sujeitos a intensa atividade intelectual com razoável grau de subjetivismo, os quais precisam atender demandas específicas CDP, afastando-se do conceito de especificações usuais do mercado</w:t>
      </w:r>
      <w:r w:rsidR="005F7A87" w:rsidRPr="007A2166">
        <w:rPr>
          <w:sz w:val="22"/>
          <w:szCs w:val="22"/>
        </w:rPr>
        <w:t xml:space="preserve">.” Assim, propôs a unidade técnica adoção da medida cautelar suscitada, de modo a suspender o pregão 78/2010, em face das irregularidades apontadas, no que contou com a anuência do Relator. </w:t>
      </w:r>
      <w:r w:rsidR="005F7A87" w:rsidRPr="007A2166">
        <w:rPr>
          <w:iCs/>
          <w:sz w:val="22"/>
          <w:szCs w:val="22"/>
        </w:rPr>
        <w:t xml:space="preserve">O Plenário referendou a cautelar. </w:t>
      </w:r>
      <w:r w:rsidRPr="007A2166">
        <w:rPr>
          <w:b/>
          <w:i/>
          <w:sz w:val="22"/>
          <w:szCs w:val="22"/>
        </w:rPr>
        <w:t xml:space="preserve">Decisão monocrática no TC-033.958/2010-6, rel. Min. Raimundo Carrero, 19.01.2011. </w:t>
      </w:r>
    </w:p>
    <w:p w:rsidR="004421F5" w:rsidRPr="007A2166" w:rsidRDefault="004421F5" w:rsidP="004421F5">
      <w:pPr>
        <w:pStyle w:val="TCU-RelVoto-demais"/>
        <w:spacing w:after="0"/>
        <w:rPr>
          <w:color w:val="FF0000"/>
          <w:sz w:val="22"/>
        </w:rPr>
      </w:pPr>
    </w:p>
    <w:p w:rsidR="004421F5" w:rsidRPr="007A2166" w:rsidRDefault="004421F5" w:rsidP="004421F5">
      <w:pPr>
        <w:pBdr>
          <w:top w:val="threeDEmboss" w:sz="24" w:space="0" w:color="auto"/>
        </w:pBdr>
        <w:tabs>
          <w:tab w:val="left" w:pos="284"/>
        </w:tabs>
        <w:spacing w:after="0"/>
        <w:ind w:left="0"/>
        <w:jc w:val="center"/>
        <w:rPr>
          <w:rFonts w:ascii="Cambria" w:hAnsi="Cambria"/>
          <w:b/>
          <w:bCs/>
          <w:smallCaps/>
          <w:sz w:val="22"/>
          <w:szCs w:val="22"/>
        </w:rPr>
      </w:pPr>
      <w:r w:rsidRPr="007A2166">
        <w:rPr>
          <w:rFonts w:ascii="Cambria" w:hAnsi="Cambria"/>
          <w:b/>
          <w:bCs/>
          <w:smallCaps/>
          <w:sz w:val="22"/>
          <w:szCs w:val="22"/>
        </w:rPr>
        <w:t>NOVA SÚMULA</w:t>
      </w:r>
    </w:p>
    <w:p w:rsidR="004421F5" w:rsidRPr="007A2166" w:rsidRDefault="004421F5" w:rsidP="004421F5">
      <w:pPr>
        <w:pStyle w:val="enter-3pt"/>
        <w:spacing w:line="240" w:lineRule="auto"/>
        <w:rPr>
          <w:b/>
          <w:sz w:val="22"/>
          <w:szCs w:val="22"/>
        </w:rPr>
      </w:pPr>
    </w:p>
    <w:p w:rsidR="004421F5" w:rsidRPr="007A2166" w:rsidRDefault="004421F5" w:rsidP="004421F5">
      <w:pPr>
        <w:pStyle w:val="Pargrafo"/>
        <w:jc w:val="both"/>
        <w:rPr>
          <w:b/>
          <w:sz w:val="22"/>
          <w:szCs w:val="22"/>
        </w:rPr>
      </w:pPr>
      <w:r w:rsidRPr="007A2166">
        <w:rPr>
          <w:b/>
          <w:sz w:val="22"/>
          <w:szCs w:val="22"/>
        </w:rPr>
        <w:t>Súmula n.º 263</w:t>
      </w:r>
    </w:p>
    <w:p w:rsidR="004421F5" w:rsidRPr="007A2166" w:rsidRDefault="004421F5" w:rsidP="004421F5">
      <w:pPr>
        <w:pStyle w:val="Recuodecorpodetexto"/>
        <w:ind w:firstLine="0"/>
        <w:jc w:val="both"/>
        <w:rPr>
          <w:sz w:val="22"/>
          <w:szCs w:val="22"/>
        </w:rPr>
      </w:pPr>
      <w:r w:rsidRPr="007A2166">
        <w:rPr>
          <w:sz w:val="22"/>
          <w:szCs w:val="22"/>
        </w:rPr>
        <w:t>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rsidR="0055716D" w:rsidRPr="00337E16" w:rsidRDefault="0055716D" w:rsidP="0055716D">
      <w:pPr>
        <w:pStyle w:val="enter-3pt"/>
        <w:spacing w:line="240" w:lineRule="auto"/>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1"/>
      </w:tblGrid>
      <w:tr w:rsidR="007334B1" w:rsidRPr="007C2A55" w:rsidTr="0030360F">
        <w:trPr>
          <w:trHeight w:val="779"/>
          <w:jc w:val="center"/>
        </w:trPr>
        <w:tc>
          <w:tcPr>
            <w:tcW w:w="0" w:type="auto"/>
            <w:vAlign w:val="center"/>
          </w:tcPr>
          <w:p w:rsidR="007334B1" w:rsidRPr="007C2A55" w:rsidRDefault="007334B1" w:rsidP="0030360F">
            <w:pPr>
              <w:pStyle w:val="enter-3pt"/>
              <w:spacing w:line="240" w:lineRule="auto"/>
              <w:jc w:val="center"/>
              <w:rPr>
                <w:b/>
                <w:i/>
                <w:sz w:val="18"/>
                <w:szCs w:val="18"/>
              </w:rPr>
            </w:pPr>
            <w:r w:rsidRPr="007C2A55">
              <w:rPr>
                <w:b/>
                <w:i/>
                <w:sz w:val="18"/>
                <w:szCs w:val="18"/>
              </w:rPr>
              <w:t>Responsáveis pelo Informativo:</w:t>
            </w:r>
          </w:p>
          <w:p w:rsidR="007334B1" w:rsidRPr="007C2A55" w:rsidRDefault="007334B1" w:rsidP="0030360F">
            <w:pPr>
              <w:pStyle w:val="enter-3pt"/>
              <w:spacing w:line="240" w:lineRule="auto"/>
              <w:jc w:val="center"/>
              <w:rPr>
                <w:i/>
                <w:sz w:val="18"/>
                <w:szCs w:val="18"/>
              </w:rPr>
            </w:pPr>
            <w:r w:rsidRPr="007C2A55">
              <w:rPr>
                <w:b/>
                <w:i/>
                <w:sz w:val="18"/>
                <w:szCs w:val="18"/>
              </w:rPr>
              <w:t>Elaboração:</w:t>
            </w:r>
            <w:r w:rsidRPr="007C2A55">
              <w:rPr>
                <w:i/>
                <w:sz w:val="18"/>
                <w:szCs w:val="18"/>
              </w:rPr>
              <w:t xml:space="preserve"> Sandro Henrique Maciel Bernardes, Assessor </w:t>
            </w:r>
            <w:r w:rsidR="00467815">
              <w:rPr>
                <w:i/>
                <w:sz w:val="18"/>
                <w:szCs w:val="18"/>
              </w:rPr>
              <w:t>interino</w:t>
            </w:r>
            <w:r w:rsidRPr="007C2A55">
              <w:rPr>
                <w:i/>
                <w:sz w:val="18"/>
                <w:szCs w:val="18"/>
              </w:rPr>
              <w:t xml:space="preserve"> da Secretaria das Sessões</w:t>
            </w:r>
          </w:p>
          <w:p w:rsidR="007334B1" w:rsidRPr="007C2A55" w:rsidRDefault="007334B1" w:rsidP="0030360F">
            <w:pPr>
              <w:pStyle w:val="enter-3pt"/>
              <w:spacing w:line="240" w:lineRule="auto"/>
              <w:jc w:val="center"/>
              <w:rPr>
                <w:i/>
                <w:sz w:val="18"/>
                <w:szCs w:val="18"/>
              </w:rPr>
            </w:pPr>
            <w:r w:rsidRPr="007C2A55">
              <w:rPr>
                <w:b/>
                <w:i/>
                <w:sz w:val="18"/>
                <w:szCs w:val="18"/>
              </w:rPr>
              <w:t>Revisão:</w:t>
            </w:r>
            <w:r w:rsidRPr="007C2A55">
              <w:rPr>
                <w:i/>
                <w:sz w:val="18"/>
                <w:szCs w:val="18"/>
              </w:rPr>
              <w:t xml:space="preserve"> </w:t>
            </w:r>
            <w:r w:rsidR="00467815">
              <w:rPr>
                <w:i/>
                <w:sz w:val="18"/>
                <w:szCs w:val="18"/>
              </w:rPr>
              <w:t>Luiz Henrique Pochyly da Costa</w:t>
            </w:r>
            <w:r w:rsidRPr="007C2A55">
              <w:rPr>
                <w:i/>
                <w:sz w:val="18"/>
                <w:szCs w:val="18"/>
              </w:rPr>
              <w:t>, Secretário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8627C9">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B5" w:rsidRDefault="00771BB5" w:rsidP="008B0547">
      <w:pPr>
        <w:spacing w:after="0"/>
      </w:pPr>
      <w:r>
        <w:separator/>
      </w:r>
    </w:p>
  </w:endnote>
  <w:endnote w:type="continuationSeparator" w:id="0">
    <w:p w:rsidR="00771BB5" w:rsidRDefault="00771BB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F72180">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B5" w:rsidRDefault="00771BB5" w:rsidP="008B0547">
      <w:pPr>
        <w:spacing w:after="0"/>
      </w:pPr>
      <w:r>
        <w:separator/>
      </w:r>
    </w:p>
  </w:footnote>
  <w:footnote w:type="continuationSeparator" w:id="0">
    <w:p w:rsidR="00771BB5" w:rsidRDefault="00771BB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7B04D1"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7B04D1"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2A5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1D56C3">
      <w:rPr>
        <w:rFonts w:ascii="Arial" w:hAnsi="Arial" w:cs="Arial"/>
        <w:noProof/>
        <w:lang w:eastAsia="pt-BR"/>
      </w:rPr>
      <w:t>4</w:t>
    </w:r>
    <w:r w:rsidR="00467815">
      <w:rPr>
        <w:rFonts w:ascii="Arial" w:hAnsi="Arial" w:cs="Arial"/>
        <w:noProof/>
        <w:lang w:eastAsia="pt-BR"/>
      </w:rPr>
      <w:t>7</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3"/>
  </w:num>
  <w:num w:numId="3">
    <w:abstractNumId w:val="5"/>
  </w:num>
  <w:num w:numId="4">
    <w:abstractNumId w:val="0"/>
  </w:num>
  <w:num w:numId="5">
    <w:abstractNumId w:val="7"/>
  </w:num>
  <w:num w:numId="6">
    <w:abstractNumId w:val="12"/>
  </w:num>
  <w:num w:numId="7">
    <w:abstractNumId w:val="19"/>
  </w:num>
  <w:num w:numId="8">
    <w:abstractNumId w:val="17"/>
  </w:num>
  <w:num w:numId="9">
    <w:abstractNumId w:val="14"/>
  </w:num>
  <w:num w:numId="10">
    <w:abstractNumId w:val="3"/>
  </w:num>
  <w:num w:numId="11">
    <w:abstractNumId w:val="21"/>
  </w:num>
  <w:num w:numId="12">
    <w:abstractNumId w:val="2"/>
  </w:num>
  <w:num w:numId="13">
    <w:abstractNumId w:val="11"/>
  </w:num>
  <w:num w:numId="14">
    <w:abstractNumId w:val="18"/>
  </w:num>
  <w:num w:numId="15">
    <w:abstractNumId w:val="10"/>
  </w:num>
  <w:num w:numId="16">
    <w:abstractNumId w:val="1"/>
  </w:num>
  <w:num w:numId="17">
    <w:abstractNumId w:val="9"/>
  </w:num>
  <w:num w:numId="18">
    <w:abstractNumId w:val="20"/>
    <w:lvlOverride w:ilvl="0">
      <w:startOverride w:val="1"/>
    </w:lvlOverride>
  </w:num>
  <w:num w:numId="19">
    <w:abstractNumId w:val="1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41450"/>
    <w:rsid w:val="0004660A"/>
    <w:rsid w:val="00052B15"/>
    <w:rsid w:val="00054432"/>
    <w:rsid w:val="000562CD"/>
    <w:rsid w:val="00056D51"/>
    <w:rsid w:val="0006028E"/>
    <w:rsid w:val="00061C2E"/>
    <w:rsid w:val="00065E95"/>
    <w:rsid w:val="00074AC5"/>
    <w:rsid w:val="00080148"/>
    <w:rsid w:val="00084727"/>
    <w:rsid w:val="0009133A"/>
    <w:rsid w:val="00092C2E"/>
    <w:rsid w:val="00094C5B"/>
    <w:rsid w:val="000A2C56"/>
    <w:rsid w:val="000A62BD"/>
    <w:rsid w:val="000B0ECB"/>
    <w:rsid w:val="000B0FEA"/>
    <w:rsid w:val="000B2AFA"/>
    <w:rsid w:val="000D1FD7"/>
    <w:rsid w:val="000D6418"/>
    <w:rsid w:val="000D7DB6"/>
    <w:rsid w:val="000D7DED"/>
    <w:rsid w:val="000E2D47"/>
    <w:rsid w:val="000E3B31"/>
    <w:rsid w:val="000F2F92"/>
    <w:rsid w:val="000F6D85"/>
    <w:rsid w:val="000F7CEE"/>
    <w:rsid w:val="001104BA"/>
    <w:rsid w:val="00112676"/>
    <w:rsid w:val="0011373A"/>
    <w:rsid w:val="00114511"/>
    <w:rsid w:val="00126026"/>
    <w:rsid w:val="00133EA9"/>
    <w:rsid w:val="00141D7A"/>
    <w:rsid w:val="001420D1"/>
    <w:rsid w:val="001444A2"/>
    <w:rsid w:val="00151F92"/>
    <w:rsid w:val="0015258E"/>
    <w:rsid w:val="00152ECC"/>
    <w:rsid w:val="001532E4"/>
    <w:rsid w:val="00156A48"/>
    <w:rsid w:val="00157AFE"/>
    <w:rsid w:val="00157C0F"/>
    <w:rsid w:val="001744E7"/>
    <w:rsid w:val="00176375"/>
    <w:rsid w:val="001A0CC1"/>
    <w:rsid w:val="001A330B"/>
    <w:rsid w:val="001A60A2"/>
    <w:rsid w:val="001A79D3"/>
    <w:rsid w:val="001B3E8E"/>
    <w:rsid w:val="001B4F90"/>
    <w:rsid w:val="001C0575"/>
    <w:rsid w:val="001C437E"/>
    <w:rsid w:val="001D03C7"/>
    <w:rsid w:val="001D1478"/>
    <w:rsid w:val="001D56C3"/>
    <w:rsid w:val="001D74CE"/>
    <w:rsid w:val="001E0BF1"/>
    <w:rsid w:val="001E1E28"/>
    <w:rsid w:val="001E2620"/>
    <w:rsid w:val="001E4147"/>
    <w:rsid w:val="001E747D"/>
    <w:rsid w:val="001E7C3D"/>
    <w:rsid w:val="001F00DF"/>
    <w:rsid w:val="002002CE"/>
    <w:rsid w:val="0020066F"/>
    <w:rsid w:val="0020107A"/>
    <w:rsid w:val="00202EAD"/>
    <w:rsid w:val="00203A6F"/>
    <w:rsid w:val="00211816"/>
    <w:rsid w:val="00226D9D"/>
    <w:rsid w:val="00232158"/>
    <w:rsid w:val="002328F9"/>
    <w:rsid w:val="00233CE3"/>
    <w:rsid w:val="0024593F"/>
    <w:rsid w:val="002476B6"/>
    <w:rsid w:val="00254590"/>
    <w:rsid w:val="0026362E"/>
    <w:rsid w:val="002649A7"/>
    <w:rsid w:val="002663B7"/>
    <w:rsid w:val="00271D81"/>
    <w:rsid w:val="00273E72"/>
    <w:rsid w:val="00276DC0"/>
    <w:rsid w:val="002810D9"/>
    <w:rsid w:val="00281830"/>
    <w:rsid w:val="0029043B"/>
    <w:rsid w:val="00290A06"/>
    <w:rsid w:val="0029211E"/>
    <w:rsid w:val="0029450E"/>
    <w:rsid w:val="002A190F"/>
    <w:rsid w:val="002A2129"/>
    <w:rsid w:val="002A3B3F"/>
    <w:rsid w:val="002B4392"/>
    <w:rsid w:val="002B6422"/>
    <w:rsid w:val="002B71BA"/>
    <w:rsid w:val="002C7B61"/>
    <w:rsid w:val="002C7B6D"/>
    <w:rsid w:val="002D1C09"/>
    <w:rsid w:val="002D35F5"/>
    <w:rsid w:val="002D47FE"/>
    <w:rsid w:val="002D739A"/>
    <w:rsid w:val="002D76AB"/>
    <w:rsid w:val="002E28BA"/>
    <w:rsid w:val="002E361C"/>
    <w:rsid w:val="002E3943"/>
    <w:rsid w:val="002E4254"/>
    <w:rsid w:val="002F1C09"/>
    <w:rsid w:val="002F5F3B"/>
    <w:rsid w:val="002F693C"/>
    <w:rsid w:val="003020F4"/>
    <w:rsid w:val="0030360F"/>
    <w:rsid w:val="00304A73"/>
    <w:rsid w:val="003069F9"/>
    <w:rsid w:val="00310208"/>
    <w:rsid w:val="0031058F"/>
    <w:rsid w:val="0031089E"/>
    <w:rsid w:val="00310D69"/>
    <w:rsid w:val="003147B7"/>
    <w:rsid w:val="00317E59"/>
    <w:rsid w:val="00322AE7"/>
    <w:rsid w:val="00325246"/>
    <w:rsid w:val="003275E4"/>
    <w:rsid w:val="0033244F"/>
    <w:rsid w:val="00337E16"/>
    <w:rsid w:val="00340E66"/>
    <w:rsid w:val="00340F10"/>
    <w:rsid w:val="0034486B"/>
    <w:rsid w:val="00344D92"/>
    <w:rsid w:val="003455A2"/>
    <w:rsid w:val="00350E87"/>
    <w:rsid w:val="00353B7C"/>
    <w:rsid w:val="0035438E"/>
    <w:rsid w:val="00355828"/>
    <w:rsid w:val="00357CBE"/>
    <w:rsid w:val="00361661"/>
    <w:rsid w:val="003824E4"/>
    <w:rsid w:val="00385DAB"/>
    <w:rsid w:val="0038696B"/>
    <w:rsid w:val="00392509"/>
    <w:rsid w:val="003943E5"/>
    <w:rsid w:val="00397D8E"/>
    <w:rsid w:val="003A2222"/>
    <w:rsid w:val="003A5479"/>
    <w:rsid w:val="003A5C1B"/>
    <w:rsid w:val="003A7C7F"/>
    <w:rsid w:val="003B0304"/>
    <w:rsid w:val="003B043F"/>
    <w:rsid w:val="003B155C"/>
    <w:rsid w:val="003B2E10"/>
    <w:rsid w:val="003B33CE"/>
    <w:rsid w:val="003B343D"/>
    <w:rsid w:val="003B56D7"/>
    <w:rsid w:val="003C1B4F"/>
    <w:rsid w:val="003C2288"/>
    <w:rsid w:val="003C6DEB"/>
    <w:rsid w:val="003C7585"/>
    <w:rsid w:val="003C7A5C"/>
    <w:rsid w:val="003D73BD"/>
    <w:rsid w:val="003D7CCE"/>
    <w:rsid w:val="003E1B68"/>
    <w:rsid w:val="003E65D7"/>
    <w:rsid w:val="003F413A"/>
    <w:rsid w:val="003F54FB"/>
    <w:rsid w:val="003F6D1F"/>
    <w:rsid w:val="004169D8"/>
    <w:rsid w:val="004201AF"/>
    <w:rsid w:val="00425FF9"/>
    <w:rsid w:val="00427B3B"/>
    <w:rsid w:val="00427EBF"/>
    <w:rsid w:val="004362AB"/>
    <w:rsid w:val="004415FB"/>
    <w:rsid w:val="00441CE3"/>
    <w:rsid w:val="004421F5"/>
    <w:rsid w:val="0044434A"/>
    <w:rsid w:val="00445E76"/>
    <w:rsid w:val="00447217"/>
    <w:rsid w:val="00452C60"/>
    <w:rsid w:val="004617A9"/>
    <w:rsid w:val="0046384E"/>
    <w:rsid w:val="0046706B"/>
    <w:rsid w:val="00467815"/>
    <w:rsid w:val="00471284"/>
    <w:rsid w:val="00473696"/>
    <w:rsid w:val="00473721"/>
    <w:rsid w:val="0047491E"/>
    <w:rsid w:val="004837C6"/>
    <w:rsid w:val="00483998"/>
    <w:rsid w:val="00484E4C"/>
    <w:rsid w:val="00491438"/>
    <w:rsid w:val="00492E3F"/>
    <w:rsid w:val="00493F5C"/>
    <w:rsid w:val="004A171B"/>
    <w:rsid w:val="004B0194"/>
    <w:rsid w:val="004B1113"/>
    <w:rsid w:val="004B1DC3"/>
    <w:rsid w:val="004C780C"/>
    <w:rsid w:val="004D708E"/>
    <w:rsid w:val="004D760C"/>
    <w:rsid w:val="004E357A"/>
    <w:rsid w:val="004E65EB"/>
    <w:rsid w:val="004F7174"/>
    <w:rsid w:val="0050355D"/>
    <w:rsid w:val="005055B5"/>
    <w:rsid w:val="00511BBF"/>
    <w:rsid w:val="00515E7B"/>
    <w:rsid w:val="005217F8"/>
    <w:rsid w:val="0052267A"/>
    <w:rsid w:val="00531143"/>
    <w:rsid w:val="00536332"/>
    <w:rsid w:val="005438A1"/>
    <w:rsid w:val="00543EB8"/>
    <w:rsid w:val="00554A33"/>
    <w:rsid w:val="0055716D"/>
    <w:rsid w:val="00557953"/>
    <w:rsid w:val="00560E55"/>
    <w:rsid w:val="0056301A"/>
    <w:rsid w:val="005635AD"/>
    <w:rsid w:val="005640E1"/>
    <w:rsid w:val="00564EA1"/>
    <w:rsid w:val="0056534C"/>
    <w:rsid w:val="00567CEE"/>
    <w:rsid w:val="005713F4"/>
    <w:rsid w:val="00571E64"/>
    <w:rsid w:val="00580F26"/>
    <w:rsid w:val="0058427E"/>
    <w:rsid w:val="00590907"/>
    <w:rsid w:val="00594A7B"/>
    <w:rsid w:val="005A2D82"/>
    <w:rsid w:val="005A72F2"/>
    <w:rsid w:val="005B2194"/>
    <w:rsid w:val="005B2BC3"/>
    <w:rsid w:val="005B4CFA"/>
    <w:rsid w:val="005C1A79"/>
    <w:rsid w:val="005E269C"/>
    <w:rsid w:val="005E3586"/>
    <w:rsid w:val="005E4DEE"/>
    <w:rsid w:val="005E5FF1"/>
    <w:rsid w:val="005F01CE"/>
    <w:rsid w:val="005F70B6"/>
    <w:rsid w:val="005F7A87"/>
    <w:rsid w:val="00601F0A"/>
    <w:rsid w:val="00604DBE"/>
    <w:rsid w:val="006063E1"/>
    <w:rsid w:val="006065E4"/>
    <w:rsid w:val="00611E07"/>
    <w:rsid w:val="00612045"/>
    <w:rsid w:val="00613AC9"/>
    <w:rsid w:val="00620E86"/>
    <w:rsid w:val="006219DD"/>
    <w:rsid w:val="00632ACC"/>
    <w:rsid w:val="00650463"/>
    <w:rsid w:val="00651660"/>
    <w:rsid w:val="00652171"/>
    <w:rsid w:val="00670FEA"/>
    <w:rsid w:val="0067353C"/>
    <w:rsid w:val="00676163"/>
    <w:rsid w:val="00677C22"/>
    <w:rsid w:val="006808CC"/>
    <w:rsid w:val="00685899"/>
    <w:rsid w:val="00692D30"/>
    <w:rsid w:val="00695597"/>
    <w:rsid w:val="00696A89"/>
    <w:rsid w:val="00697477"/>
    <w:rsid w:val="006A037E"/>
    <w:rsid w:val="006A7796"/>
    <w:rsid w:val="006B0495"/>
    <w:rsid w:val="006B0DCB"/>
    <w:rsid w:val="006B2408"/>
    <w:rsid w:val="006B3AF9"/>
    <w:rsid w:val="006B414C"/>
    <w:rsid w:val="006B4B0F"/>
    <w:rsid w:val="006C5C6C"/>
    <w:rsid w:val="006F4DE0"/>
    <w:rsid w:val="006F6483"/>
    <w:rsid w:val="006F7332"/>
    <w:rsid w:val="0070385B"/>
    <w:rsid w:val="0070494F"/>
    <w:rsid w:val="00705758"/>
    <w:rsid w:val="0070717A"/>
    <w:rsid w:val="00713DE5"/>
    <w:rsid w:val="007174DA"/>
    <w:rsid w:val="00720910"/>
    <w:rsid w:val="00720F29"/>
    <w:rsid w:val="007224C2"/>
    <w:rsid w:val="00731409"/>
    <w:rsid w:val="007334B1"/>
    <w:rsid w:val="00737FEC"/>
    <w:rsid w:val="00756AA0"/>
    <w:rsid w:val="00757CE6"/>
    <w:rsid w:val="007671B6"/>
    <w:rsid w:val="007671DA"/>
    <w:rsid w:val="007719A8"/>
    <w:rsid w:val="00771BB5"/>
    <w:rsid w:val="00774593"/>
    <w:rsid w:val="00777599"/>
    <w:rsid w:val="00785CF8"/>
    <w:rsid w:val="00796068"/>
    <w:rsid w:val="00796CC0"/>
    <w:rsid w:val="007A1A35"/>
    <w:rsid w:val="007A2166"/>
    <w:rsid w:val="007A5922"/>
    <w:rsid w:val="007B04D1"/>
    <w:rsid w:val="007B259B"/>
    <w:rsid w:val="007B5018"/>
    <w:rsid w:val="007C546B"/>
    <w:rsid w:val="007C670D"/>
    <w:rsid w:val="007D0ED0"/>
    <w:rsid w:val="007D4A4A"/>
    <w:rsid w:val="007E0E05"/>
    <w:rsid w:val="007E1DD3"/>
    <w:rsid w:val="007E209F"/>
    <w:rsid w:val="007E4655"/>
    <w:rsid w:val="007E55E0"/>
    <w:rsid w:val="007E5C50"/>
    <w:rsid w:val="007F22A5"/>
    <w:rsid w:val="008051DE"/>
    <w:rsid w:val="00810CC2"/>
    <w:rsid w:val="0081324B"/>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7634"/>
    <w:rsid w:val="0086124E"/>
    <w:rsid w:val="008627C9"/>
    <w:rsid w:val="008652C9"/>
    <w:rsid w:val="00866992"/>
    <w:rsid w:val="00875991"/>
    <w:rsid w:val="00877FDD"/>
    <w:rsid w:val="00880FED"/>
    <w:rsid w:val="008841C8"/>
    <w:rsid w:val="00885367"/>
    <w:rsid w:val="00892BB8"/>
    <w:rsid w:val="00893014"/>
    <w:rsid w:val="00896755"/>
    <w:rsid w:val="008A2417"/>
    <w:rsid w:val="008A5D49"/>
    <w:rsid w:val="008A751E"/>
    <w:rsid w:val="008B0547"/>
    <w:rsid w:val="008B11A3"/>
    <w:rsid w:val="008B1FE5"/>
    <w:rsid w:val="008B3A74"/>
    <w:rsid w:val="008B434A"/>
    <w:rsid w:val="008B7B55"/>
    <w:rsid w:val="008C3A5B"/>
    <w:rsid w:val="008D5560"/>
    <w:rsid w:val="008D6F5D"/>
    <w:rsid w:val="008E003A"/>
    <w:rsid w:val="008E15E3"/>
    <w:rsid w:val="008E4C62"/>
    <w:rsid w:val="008E727E"/>
    <w:rsid w:val="008F2902"/>
    <w:rsid w:val="008F660B"/>
    <w:rsid w:val="009005CE"/>
    <w:rsid w:val="00901376"/>
    <w:rsid w:val="009021A4"/>
    <w:rsid w:val="0091511B"/>
    <w:rsid w:val="009239AA"/>
    <w:rsid w:val="009245B5"/>
    <w:rsid w:val="0093795C"/>
    <w:rsid w:val="00937F7E"/>
    <w:rsid w:val="009444E6"/>
    <w:rsid w:val="00944A8E"/>
    <w:rsid w:val="009455E6"/>
    <w:rsid w:val="0095262A"/>
    <w:rsid w:val="00956BA7"/>
    <w:rsid w:val="00956FD8"/>
    <w:rsid w:val="009575F7"/>
    <w:rsid w:val="00957E4B"/>
    <w:rsid w:val="0096021A"/>
    <w:rsid w:val="00960F73"/>
    <w:rsid w:val="0096655D"/>
    <w:rsid w:val="00971139"/>
    <w:rsid w:val="0097401F"/>
    <w:rsid w:val="009764CC"/>
    <w:rsid w:val="00981FA0"/>
    <w:rsid w:val="00984366"/>
    <w:rsid w:val="00984E80"/>
    <w:rsid w:val="0098690F"/>
    <w:rsid w:val="00987EE5"/>
    <w:rsid w:val="00997C8A"/>
    <w:rsid w:val="009A1339"/>
    <w:rsid w:val="009A3006"/>
    <w:rsid w:val="009A3994"/>
    <w:rsid w:val="009B62AF"/>
    <w:rsid w:val="009B7AB9"/>
    <w:rsid w:val="009D1B99"/>
    <w:rsid w:val="009D5445"/>
    <w:rsid w:val="009D565F"/>
    <w:rsid w:val="009D65B9"/>
    <w:rsid w:val="009E04DC"/>
    <w:rsid w:val="009E0FB3"/>
    <w:rsid w:val="009E5105"/>
    <w:rsid w:val="00A0244C"/>
    <w:rsid w:val="00A033FF"/>
    <w:rsid w:val="00A0409E"/>
    <w:rsid w:val="00A06137"/>
    <w:rsid w:val="00A1329C"/>
    <w:rsid w:val="00A14E25"/>
    <w:rsid w:val="00A16A60"/>
    <w:rsid w:val="00A17A3D"/>
    <w:rsid w:val="00A2062A"/>
    <w:rsid w:val="00A21E19"/>
    <w:rsid w:val="00A239A8"/>
    <w:rsid w:val="00A26B61"/>
    <w:rsid w:val="00A30683"/>
    <w:rsid w:val="00A3115F"/>
    <w:rsid w:val="00A33030"/>
    <w:rsid w:val="00A378A2"/>
    <w:rsid w:val="00A407B6"/>
    <w:rsid w:val="00A60F52"/>
    <w:rsid w:val="00A63B4C"/>
    <w:rsid w:val="00A664E7"/>
    <w:rsid w:val="00A66E7F"/>
    <w:rsid w:val="00A75C52"/>
    <w:rsid w:val="00A767B2"/>
    <w:rsid w:val="00A82B9E"/>
    <w:rsid w:val="00A84186"/>
    <w:rsid w:val="00A85B14"/>
    <w:rsid w:val="00A875C0"/>
    <w:rsid w:val="00A9704A"/>
    <w:rsid w:val="00A97AD0"/>
    <w:rsid w:val="00AA1377"/>
    <w:rsid w:val="00AA49AF"/>
    <w:rsid w:val="00AA57CE"/>
    <w:rsid w:val="00AA7540"/>
    <w:rsid w:val="00AC0BAE"/>
    <w:rsid w:val="00AC126F"/>
    <w:rsid w:val="00AE1128"/>
    <w:rsid w:val="00AE1AB0"/>
    <w:rsid w:val="00AE23B7"/>
    <w:rsid w:val="00AE2609"/>
    <w:rsid w:val="00AE439A"/>
    <w:rsid w:val="00AE617A"/>
    <w:rsid w:val="00AF09C7"/>
    <w:rsid w:val="00B03D35"/>
    <w:rsid w:val="00B05065"/>
    <w:rsid w:val="00B05194"/>
    <w:rsid w:val="00B17303"/>
    <w:rsid w:val="00B21343"/>
    <w:rsid w:val="00B25143"/>
    <w:rsid w:val="00B2585D"/>
    <w:rsid w:val="00B266FA"/>
    <w:rsid w:val="00B27359"/>
    <w:rsid w:val="00B33FC2"/>
    <w:rsid w:val="00B347F1"/>
    <w:rsid w:val="00B3502B"/>
    <w:rsid w:val="00B35C3E"/>
    <w:rsid w:val="00B36473"/>
    <w:rsid w:val="00B44029"/>
    <w:rsid w:val="00B47943"/>
    <w:rsid w:val="00B50446"/>
    <w:rsid w:val="00B530FD"/>
    <w:rsid w:val="00B5639B"/>
    <w:rsid w:val="00B60C3E"/>
    <w:rsid w:val="00B64775"/>
    <w:rsid w:val="00B67B4F"/>
    <w:rsid w:val="00B81718"/>
    <w:rsid w:val="00B86AF6"/>
    <w:rsid w:val="00B86E2A"/>
    <w:rsid w:val="00B9389E"/>
    <w:rsid w:val="00B96EA4"/>
    <w:rsid w:val="00B97A3E"/>
    <w:rsid w:val="00BA2FFD"/>
    <w:rsid w:val="00BB37AF"/>
    <w:rsid w:val="00BB4C08"/>
    <w:rsid w:val="00BC5737"/>
    <w:rsid w:val="00BD1747"/>
    <w:rsid w:val="00BD3C68"/>
    <w:rsid w:val="00BD421D"/>
    <w:rsid w:val="00BE4614"/>
    <w:rsid w:val="00BE4E6F"/>
    <w:rsid w:val="00BE529D"/>
    <w:rsid w:val="00BE6637"/>
    <w:rsid w:val="00BF10E8"/>
    <w:rsid w:val="00BF3158"/>
    <w:rsid w:val="00C03A04"/>
    <w:rsid w:val="00C046F7"/>
    <w:rsid w:val="00C10C0B"/>
    <w:rsid w:val="00C1776A"/>
    <w:rsid w:val="00C22519"/>
    <w:rsid w:val="00C2305C"/>
    <w:rsid w:val="00C233D0"/>
    <w:rsid w:val="00C24162"/>
    <w:rsid w:val="00C2509D"/>
    <w:rsid w:val="00C34ABD"/>
    <w:rsid w:val="00C35F43"/>
    <w:rsid w:val="00C44A07"/>
    <w:rsid w:val="00C44BDC"/>
    <w:rsid w:val="00C45BFB"/>
    <w:rsid w:val="00C54B14"/>
    <w:rsid w:val="00C6352A"/>
    <w:rsid w:val="00C65B2D"/>
    <w:rsid w:val="00C65C5D"/>
    <w:rsid w:val="00C6656A"/>
    <w:rsid w:val="00C711E5"/>
    <w:rsid w:val="00C83AEE"/>
    <w:rsid w:val="00C85AC7"/>
    <w:rsid w:val="00C906CD"/>
    <w:rsid w:val="00CA0FB8"/>
    <w:rsid w:val="00CA6716"/>
    <w:rsid w:val="00CC42D4"/>
    <w:rsid w:val="00CD2536"/>
    <w:rsid w:val="00CF230D"/>
    <w:rsid w:val="00CF5489"/>
    <w:rsid w:val="00CF7615"/>
    <w:rsid w:val="00D003F8"/>
    <w:rsid w:val="00D04613"/>
    <w:rsid w:val="00D10769"/>
    <w:rsid w:val="00D116C7"/>
    <w:rsid w:val="00D13AC5"/>
    <w:rsid w:val="00D14E5F"/>
    <w:rsid w:val="00D2041E"/>
    <w:rsid w:val="00D341C9"/>
    <w:rsid w:val="00D3447D"/>
    <w:rsid w:val="00D3488B"/>
    <w:rsid w:val="00D361DE"/>
    <w:rsid w:val="00D46C4C"/>
    <w:rsid w:val="00D51F18"/>
    <w:rsid w:val="00D564BB"/>
    <w:rsid w:val="00D565FA"/>
    <w:rsid w:val="00D568ED"/>
    <w:rsid w:val="00D6014E"/>
    <w:rsid w:val="00D630E7"/>
    <w:rsid w:val="00D700E5"/>
    <w:rsid w:val="00D76186"/>
    <w:rsid w:val="00D771E9"/>
    <w:rsid w:val="00D86DD4"/>
    <w:rsid w:val="00D92529"/>
    <w:rsid w:val="00DA5AAB"/>
    <w:rsid w:val="00DA6858"/>
    <w:rsid w:val="00DB1CD7"/>
    <w:rsid w:val="00DB2651"/>
    <w:rsid w:val="00DB4717"/>
    <w:rsid w:val="00DC6F31"/>
    <w:rsid w:val="00DD6D82"/>
    <w:rsid w:val="00DE045E"/>
    <w:rsid w:val="00DE23D6"/>
    <w:rsid w:val="00DE2CB6"/>
    <w:rsid w:val="00DE2DDE"/>
    <w:rsid w:val="00DE5414"/>
    <w:rsid w:val="00DF0C37"/>
    <w:rsid w:val="00DF2506"/>
    <w:rsid w:val="00DF301A"/>
    <w:rsid w:val="00DF3469"/>
    <w:rsid w:val="00DF3BE2"/>
    <w:rsid w:val="00DF4E2C"/>
    <w:rsid w:val="00DF75EC"/>
    <w:rsid w:val="00E06065"/>
    <w:rsid w:val="00E079C6"/>
    <w:rsid w:val="00E146CF"/>
    <w:rsid w:val="00E23C05"/>
    <w:rsid w:val="00E247E2"/>
    <w:rsid w:val="00E304EB"/>
    <w:rsid w:val="00E329D0"/>
    <w:rsid w:val="00E33746"/>
    <w:rsid w:val="00E36B53"/>
    <w:rsid w:val="00E37585"/>
    <w:rsid w:val="00E469D5"/>
    <w:rsid w:val="00E46CD5"/>
    <w:rsid w:val="00E500D9"/>
    <w:rsid w:val="00E51AB5"/>
    <w:rsid w:val="00E52345"/>
    <w:rsid w:val="00E52763"/>
    <w:rsid w:val="00E563AE"/>
    <w:rsid w:val="00E662CD"/>
    <w:rsid w:val="00E73271"/>
    <w:rsid w:val="00E74214"/>
    <w:rsid w:val="00E74D52"/>
    <w:rsid w:val="00E75855"/>
    <w:rsid w:val="00E85CBE"/>
    <w:rsid w:val="00E86566"/>
    <w:rsid w:val="00E875F5"/>
    <w:rsid w:val="00E92527"/>
    <w:rsid w:val="00E97045"/>
    <w:rsid w:val="00EA270C"/>
    <w:rsid w:val="00EA5CF4"/>
    <w:rsid w:val="00EB09B9"/>
    <w:rsid w:val="00EB7CB1"/>
    <w:rsid w:val="00EC1C35"/>
    <w:rsid w:val="00ED0557"/>
    <w:rsid w:val="00ED34D4"/>
    <w:rsid w:val="00EE30EE"/>
    <w:rsid w:val="00EE6DE6"/>
    <w:rsid w:val="00EF057C"/>
    <w:rsid w:val="00EF1D14"/>
    <w:rsid w:val="00F01B31"/>
    <w:rsid w:val="00F03AB9"/>
    <w:rsid w:val="00F06479"/>
    <w:rsid w:val="00F076C5"/>
    <w:rsid w:val="00F120D9"/>
    <w:rsid w:val="00F124BE"/>
    <w:rsid w:val="00F24232"/>
    <w:rsid w:val="00F27170"/>
    <w:rsid w:val="00F30016"/>
    <w:rsid w:val="00F31C75"/>
    <w:rsid w:val="00F33277"/>
    <w:rsid w:val="00F341CC"/>
    <w:rsid w:val="00F40CAB"/>
    <w:rsid w:val="00F47C5C"/>
    <w:rsid w:val="00F54856"/>
    <w:rsid w:val="00F57650"/>
    <w:rsid w:val="00F60C74"/>
    <w:rsid w:val="00F64F51"/>
    <w:rsid w:val="00F67A35"/>
    <w:rsid w:val="00F72180"/>
    <w:rsid w:val="00F765E8"/>
    <w:rsid w:val="00F86D88"/>
    <w:rsid w:val="00F87FA7"/>
    <w:rsid w:val="00F9473C"/>
    <w:rsid w:val="00FA40A3"/>
    <w:rsid w:val="00FB3BA6"/>
    <w:rsid w:val="00FB4D65"/>
    <w:rsid w:val="00FB5954"/>
    <w:rsid w:val="00FC0CDF"/>
    <w:rsid w:val="00FC183A"/>
    <w:rsid w:val="00FC3D1C"/>
    <w:rsid w:val="00FD08A7"/>
    <w:rsid w:val="00FD2E55"/>
    <w:rsid w:val="00FD2FA9"/>
    <w:rsid w:val="00FE79EF"/>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4BD8275-B8DF-4659-B6F0-B20A83A0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B2C2-3271-4895-ABC0-B0523FA7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1303</Words>
  <Characters>7042</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8329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2015-05-07T12:34:00Z</dcterms:created>
  <dcterms:modified xsi:type="dcterms:W3CDTF">2015-05-07T12:34:00Z</dcterms:modified>
</cp:coreProperties>
</file>