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337E16" w:rsidRDefault="009444E6" w:rsidP="00337E16">
      <w:pPr>
        <w:pStyle w:val="Ttulo8"/>
        <w:tabs>
          <w:tab w:val="right" w:pos="4423"/>
        </w:tabs>
        <w:spacing w:before="0" w:after="0"/>
        <w:ind w:left="0"/>
        <w:rPr>
          <w:rFonts w:ascii="Times New Roman" w:hAnsi="Times New Roman"/>
          <w:b/>
          <w:i w:val="0"/>
          <w:sz w:val="22"/>
          <w:szCs w:val="22"/>
        </w:rPr>
      </w:pPr>
      <w:bookmarkStart w:id="0" w:name="_GoBack"/>
      <w:bookmarkEnd w:id="0"/>
      <w:r w:rsidRPr="00337E16">
        <w:rPr>
          <w:rFonts w:ascii="Times New Roman" w:hAnsi="Times New Roman"/>
          <w:b/>
          <w:i w:val="0"/>
          <w:sz w:val="22"/>
          <w:szCs w:val="22"/>
        </w:rPr>
        <w:t xml:space="preserve">Sessões: </w:t>
      </w:r>
      <w:r w:rsidR="007334B1">
        <w:rPr>
          <w:rFonts w:ascii="Times New Roman" w:hAnsi="Times New Roman"/>
          <w:b/>
          <w:i w:val="0"/>
          <w:sz w:val="22"/>
          <w:szCs w:val="22"/>
        </w:rPr>
        <w:t>7</w:t>
      </w:r>
      <w:r w:rsidR="00F01B31" w:rsidRPr="00337E16">
        <w:rPr>
          <w:rFonts w:ascii="Times New Roman" w:hAnsi="Times New Roman"/>
          <w:b/>
          <w:i w:val="0"/>
          <w:sz w:val="22"/>
          <w:szCs w:val="22"/>
        </w:rPr>
        <w:t xml:space="preserve"> e </w:t>
      </w:r>
      <w:r w:rsidR="007334B1">
        <w:rPr>
          <w:rFonts w:ascii="Times New Roman" w:hAnsi="Times New Roman"/>
          <w:b/>
          <w:i w:val="0"/>
          <w:sz w:val="22"/>
          <w:szCs w:val="22"/>
        </w:rPr>
        <w:t>8</w:t>
      </w:r>
      <w:r w:rsidRPr="00337E16">
        <w:rPr>
          <w:rFonts w:ascii="Times New Roman" w:hAnsi="Times New Roman"/>
          <w:b/>
          <w:i w:val="0"/>
          <w:sz w:val="22"/>
          <w:szCs w:val="22"/>
        </w:rPr>
        <w:t xml:space="preserve"> de </w:t>
      </w:r>
      <w:r w:rsidR="007334B1">
        <w:rPr>
          <w:rFonts w:ascii="Times New Roman" w:hAnsi="Times New Roman"/>
          <w:b/>
          <w:i w:val="0"/>
          <w:sz w:val="22"/>
          <w:szCs w:val="22"/>
        </w:rPr>
        <w:t>dezembro</w:t>
      </w:r>
      <w:r w:rsidRPr="00337E16">
        <w:rPr>
          <w:rFonts w:ascii="Times New Roman" w:hAnsi="Times New Roman"/>
          <w:b/>
          <w:i w:val="0"/>
          <w:sz w:val="22"/>
          <w:szCs w:val="22"/>
        </w:rPr>
        <w:t xml:space="preserve"> de 2010</w:t>
      </w:r>
    </w:p>
    <w:p w:rsidR="002D35F5" w:rsidRPr="00337E16" w:rsidRDefault="002D35F5" w:rsidP="00337E16">
      <w:pPr>
        <w:pStyle w:val="Corpodetexto2"/>
        <w:spacing w:after="0" w:line="240" w:lineRule="auto"/>
        <w:ind w:left="0"/>
        <w:rPr>
          <w:sz w:val="22"/>
          <w:szCs w:val="22"/>
        </w:rPr>
      </w:pPr>
      <w:r w:rsidRPr="00337E16">
        <w:rPr>
          <w:sz w:val="22"/>
          <w:szCs w:val="22"/>
        </w:rPr>
        <w:t>Este Informativo, elaborado a partir das deliberações tomadas pelo Tribunal nas sessões de julgamento das Câmaras e do Plenário, contém resumos de algumas decisões proferidas na</w:t>
      </w:r>
      <w:r w:rsidR="000562CD" w:rsidRPr="00337E16">
        <w:rPr>
          <w:sz w:val="22"/>
          <w:szCs w:val="22"/>
        </w:rPr>
        <w:t>(</w:t>
      </w:r>
      <w:r w:rsidRPr="00337E16">
        <w:rPr>
          <w:sz w:val="22"/>
          <w:szCs w:val="22"/>
        </w:rPr>
        <w:t>s</w:t>
      </w:r>
      <w:r w:rsidR="000562CD" w:rsidRPr="00337E16">
        <w:rPr>
          <w:sz w:val="22"/>
          <w:szCs w:val="22"/>
        </w:rPr>
        <w:t>)</w:t>
      </w:r>
      <w:r w:rsidRPr="00337E16">
        <w:rPr>
          <w:sz w:val="22"/>
          <w:szCs w:val="22"/>
        </w:rPr>
        <w:t xml:space="preserve"> data</w:t>
      </w:r>
      <w:r w:rsidR="000562CD" w:rsidRPr="00337E16">
        <w:rPr>
          <w:sz w:val="22"/>
          <w:szCs w:val="22"/>
        </w:rPr>
        <w:t>(</w:t>
      </w:r>
      <w:r w:rsidRPr="00337E16">
        <w:rPr>
          <w:sz w:val="22"/>
          <w:szCs w:val="22"/>
        </w:rPr>
        <w:t>s</w:t>
      </w:r>
      <w:r w:rsidR="000562CD" w:rsidRPr="00337E16">
        <w:rPr>
          <w:sz w:val="22"/>
          <w:szCs w:val="22"/>
        </w:rPr>
        <w:t>)</w:t>
      </w:r>
      <w:r w:rsidRPr="00337E16">
        <w:rPr>
          <w:sz w:val="22"/>
          <w:szCs w:val="22"/>
        </w:rPr>
        <w:t xml:space="preserve"> acima indicada</w:t>
      </w:r>
      <w:r w:rsidR="000562CD" w:rsidRPr="00337E16">
        <w:rPr>
          <w:sz w:val="22"/>
          <w:szCs w:val="22"/>
        </w:rPr>
        <w:t>(</w:t>
      </w:r>
      <w:r w:rsidRPr="00337E16">
        <w:rPr>
          <w:sz w:val="22"/>
          <w:szCs w:val="22"/>
        </w:rPr>
        <w:t>s</w:t>
      </w:r>
      <w:r w:rsidR="000562CD" w:rsidRPr="00337E16">
        <w:rPr>
          <w:sz w:val="22"/>
          <w:szCs w:val="22"/>
        </w:rPr>
        <w:t>)</w:t>
      </w:r>
      <w:r w:rsidRPr="00337E16">
        <w:rPr>
          <w:sz w:val="22"/>
          <w:szCs w:val="22"/>
        </w:rPr>
        <w:t>,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337E16" w:rsidRDefault="00FF7C62" w:rsidP="00337E16">
      <w:pPr>
        <w:pStyle w:val="Corpodetexto2"/>
        <w:spacing w:after="0" w:line="240" w:lineRule="auto"/>
        <w:ind w:left="0"/>
        <w:rPr>
          <w:sz w:val="22"/>
          <w:szCs w:val="22"/>
        </w:rPr>
      </w:pPr>
    </w:p>
    <w:p w:rsidR="002D35F5" w:rsidRPr="00337E16" w:rsidRDefault="002D35F5" w:rsidP="00337E16">
      <w:pPr>
        <w:pBdr>
          <w:top w:val="threeDEmboss" w:sz="24" w:space="0" w:color="auto"/>
        </w:pBdr>
        <w:tabs>
          <w:tab w:val="left" w:pos="284"/>
        </w:tabs>
        <w:spacing w:after="0"/>
        <w:ind w:left="0"/>
        <w:jc w:val="center"/>
        <w:rPr>
          <w:rFonts w:ascii="Cambria" w:hAnsi="Cambria"/>
          <w:b/>
          <w:bCs/>
          <w:smallCaps/>
          <w:sz w:val="22"/>
          <w:szCs w:val="22"/>
        </w:rPr>
      </w:pPr>
      <w:r w:rsidRPr="00337E16">
        <w:rPr>
          <w:rFonts w:ascii="Cambria" w:hAnsi="Cambria"/>
          <w:b/>
          <w:bCs/>
          <w:smallCaps/>
          <w:sz w:val="22"/>
          <w:szCs w:val="22"/>
        </w:rPr>
        <w:t>S</w:t>
      </w:r>
      <w:r w:rsidR="00FF7C62" w:rsidRPr="00337E16">
        <w:rPr>
          <w:rFonts w:ascii="Cambria" w:hAnsi="Cambria"/>
          <w:b/>
          <w:bCs/>
          <w:smallCaps/>
          <w:sz w:val="22"/>
          <w:szCs w:val="22"/>
        </w:rPr>
        <w:t>UMÁRIO</w:t>
      </w:r>
    </w:p>
    <w:p w:rsidR="009444E6" w:rsidRPr="00857634" w:rsidRDefault="009444E6" w:rsidP="00857634">
      <w:pPr>
        <w:pStyle w:val="tita"/>
        <w:spacing w:before="60" w:after="60" w:line="240" w:lineRule="auto"/>
        <w:jc w:val="both"/>
        <w:rPr>
          <w:i w:val="0"/>
          <w:iCs w:val="0"/>
          <w:sz w:val="22"/>
          <w:szCs w:val="22"/>
        </w:rPr>
      </w:pPr>
      <w:r w:rsidRPr="00857634">
        <w:rPr>
          <w:i w:val="0"/>
          <w:iCs w:val="0"/>
          <w:sz w:val="22"/>
          <w:szCs w:val="22"/>
        </w:rPr>
        <w:t>Plenário</w:t>
      </w:r>
    </w:p>
    <w:p w:rsidR="0096655D" w:rsidRPr="00857634" w:rsidRDefault="0096655D" w:rsidP="00857634">
      <w:pPr>
        <w:pStyle w:val="indice"/>
        <w:spacing w:before="60" w:after="60" w:line="240" w:lineRule="auto"/>
        <w:rPr>
          <w:color w:val="auto"/>
        </w:rPr>
      </w:pPr>
      <w:r w:rsidRPr="00857634">
        <w:rPr>
          <w:color w:val="auto"/>
        </w:rPr>
        <w:t>Responsabilidade pela participação, em licitação expressamente reservada a ME e EPP, de sociedade que não se enquadra na definição legal dessas categorias</w:t>
      </w:r>
      <w:r w:rsidR="00A06137" w:rsidRPr="00857634">
        <w:rPr>
          <w:color w:val="auto"/>
        </w:rPr>
        <w:t>.</w:t>
      </w:r>
    </w:p>
    <w:p w:rsidR="00A06137" w:rsidRPr="00857634" w:rsidRDefault="00A06137" w:rsidP="00857634">
      <w:pPr>
        <w:pStyle w:val="indice"/>
        <w:spacing w:before="60" w:after="60" w:line="240" w:lineRule="auto"/>
        <w:rPr>
          <w:color w:val="auto"/>
        </w:rPr>
      </w:pPr>
      <w:r w:rsidRPr="00857634">
        <w:rPr>
          <w:color w:val="auto"/>
        </w:rPr>
        <w:t>Consequências, para a contratada, do não cumprimento da obrigação contratual de comprovar a regularidade fiscal durante a execução do ajuste.</w:t>
      </w:r>
    </w:p>
    <w:p w:rsidR="001E747D" w:rsidRPr="00857634" w:rsidRDefault="00A06137" w:rsidP="00857634">
      <w:pPr>
        <w:pStyle w:val="Pargrafo"/>
        <w:spacing w:before="60" w:after="60"/>
        <w:jc w:val="both"/>
        <w:rPr>
          <w:sz w:val="22"/>
          <w:szCs w:val="22"/>
        </w:rPr>
      </w:pPr>
      <w:r w:rsidRPr="00857634">
        <w:rPr>
          <w:sz w:val="22"/>
          <w:szCs w:val="22"/>
        </w:rPr>
        <w:t>Fornecimento de sistema com transferência de tecnologia e execução de serviços técnicos especializados: parcelamento como regra</w:t>
      </w:r>
      <w:r w:rsidR="00851D16" w:rsidRPr="00857634">
        <w:t>.</w:t>
      </w:r>
    </w:p>
    <w:p w:rsidR="00A06137" w:rsidRPr="00857634" w:rsidRDefault="00A06137" w:rsidP="00857634">
      <w:pPr>
        <w:pStyle w:val="indice"/>
        <w:spacing w:before="60" w:after="60" w:line="240" w:lineRule="auto"/>
        <w:rPr>
          <w:color w:val="auto"/>
        </w:rPr>
      </w:pPr>
      <w:r w:rsidRPr="00857634">
        <w:rPr>
          <w:color w:val="auto"/>
        </w:rPr>
        <w:t>Conflito de regulamento próprio de licitações e contratos de entidade da Administração Pública com disposições da Lei n.º 8.666/93.</w:t>
      </w:r>
    </w:p>
    <w:p w:rsidR="0055716D" w:rsidRPr="00857634" w:rsidRDefault="0055716D" w:rsidP="00857634">
      <w:pPr>
        <w:pStyle w:val="tita"/>
        <w:spacing w:before="60" w:after="60" w:line="240" w:lineRule="auto"/>
        <w:jc w:val="both"/>
        <w:rPr>
          <w:i w:val="0"/>
          <w:iCs w:val="0"/>
          <w:sz w:val="22"/>
          <w:szCs w:val="22"/>
        </w:rPr>
      </w:pPr>
      <w:r w:rsidRPr="00857634">
        <w:rPr>
          <w:i w:val="0"/>
          <w:iCs w:val="0"/>
          <w:sz w:val="22"/>
          <w:szCs w:val="22"/>
        </w:rPr>
        <w:t>Primeira Câmara</w:t>
      </w:r>
    </w:p>
    <w:p w:rsidR="00A06137" w:rsidRPr="00857634" w:rsidRDefault="00A06137" w:rsidP="00857634">
      <w:pPr>
        <w:pStyle w:val="Pargrafo"/>
        <w:spacing w:before="60" w:after="60"/>
        <w:jc w:val="both"/>
        <w:rPr>
          <w:sz w:val="22"/>
          <w:szCs w:val="22"/>
        </w:rPr>
      </w:pPr>
      <w:r w:rsidRPr="00857634">
        <w:rPr>
          <w:sz w:val="22"/>
          <w:szCs w:val="22"/>
        </w:rPr>
        <w:t>Alteração contratual sem caracterização do “jogo de planilha”: presunção relativa de desequilíbrio econômico-financeiro do contrato.</w:t>
      </w:r>
    </w:p>
    <w:p w:rsidR="00BC5737" w:rsidRPr="00857634" w:rsidRDefault="00BC5737" w:rsidP="00857634">
      <w:pPr>
        <w:pStyle w:val="tita"/>
        <w:spacing w:before="60" w:after="60" w:line="240" w:lineRule="auto"/>
        <w:jc w:val="both"/>
        <w:rPr>
          <w:i w:val="0"/>
          <w:iCs w:val="0"/>
          <w:sz w:val="22"/>
          <w:szCs w:val="22"/>
        </w:rPr>
      </w:pPr>
      <w:r w:rsidRPr="00857634">
        <w:rPr>
          <w:i w:val="0"/>
          <w:iCs w:val="0"/>
          <w:sz w:val="22"/>
          <w:szCs w:val="22"/>
        </w:rPr>
        <w:t>Segunda Câmara</w:t>
      </w:r>
    </w:p>
    <w:p w:rsidR="00857634" w:rsidRPr="00857634" w:rsidRDefault="00857634" w:rsidP="00857634">
      <w:pPr>
        <w:pStyle w:val="Pargrafo"/>
        <w:spacing w:before="60" w:after="60"/>
        <w:jc w:val="both"/>
        <w:rPr>
          <w:sz w:val="22"/>
          <w:szCs w:val="22"/>
        </w:rPr>
      </w:pPr>
      <w:r w:rsidRPr="00857634">
        <w:rPr>
          <w:sz w:val="22"/>
          <w:szCs w:val="22"/>
        </w:rPr>
        <w:t>O planejamento inadequado por parte da administração afasta a possibilidade de contratação emergencial, com fundamento no art. 24, inc. IV, da Lei 8.666/93.</w:t>
      </w:r>
    </w:p>
    <w:p w:rsidR="00611E07" w:rsidRPr="00857634" w:rsidRDefault="00857634" w:rsidP="00857634">
      <w:pPr>
        <w:pStyle w:val="Pargrafo"/>
        <w:spacing w:before="60" w:after="60"/>
        <w:jc w:val="both"/>
        <w:rPr>
          <w:sz w:val="22"/>
          <w:szCs w:val="22"/>
        </w:rPr>
      </w:pPr>
      <w:r w:rsidRPr="00857634">
        <w:rPr>
          <w:sz w:val="22"/>
          <w:szCs w:val="22"/>
        </w:rPr>
        <w:t>Participação, em licitações, de entidades sem fins lucrativos: deve haver nexo entre os serviços a serem prestados e os fins estatutários da entidade</w:t>
      </w:r>
      <w:r w:rsidR="00094C5B" w:rsidRPr="00857634">
        <w:rPr>
          <w:sz w:val="22"/>
          <w:szCs w:val="22"/>
        </w:rPr>
        <w:t>.</w:t>
      </w:r>
    </w:p>
    <w:p w:rsidR="003C6DEB" w:rsidRPr="00337E16" w:rsidRDefault="003C6DEB" w:rsidP="00337E16">
      <w:pPr>
        <w:pStyle w:val="indice"/>
        <w:spacing w:line="240" w:lineRule="auto"/>
      </w:pPr>
    </w:p>
    <w:p w:rsidR="003C6DEB" w:rsidRPr="00337E16" w:rsidRDefault="003C6DEB" w:rsidP="00337E16">
      <w:pPr>
        <w:pBdr>
          <w:top w:val="threeDEmboss" w:sz="24" w:space="0" w:color="auto"/>
        </w:pBdr>
        <w:tabs>
          <w:tab w:val="left" w:pos="284"/>
        </w:tabs>
        <w:spacing w:after="0"/>
        <w:ind w:left="0"/>
        <w:jc w:val="center"/>
        <w:rPr>
          <w:rFonts w:ascii="Cambria" w:hAnsi="Cambria"/>
          <w:b/>
          <w:bCs/>
          <w:smallCaps/>
          <w:sz w:val="22"/>
          <w:szCs w:val="22"/>
        </w:rPr>
      </w:pPr>
      <w:r w:rsidRPr="00337E16">
        <w:rPr>
          <w:rFonts w:ascii="Cambria" w:hAnsi="Cambria"/>
          <w:b/>
          <w:bCs/>
          <w:smallCaps/>
          <w:sz w:val="22"/>
          <w:szCs w:val="22"/>
        </w:rPr>
        <w:t>PLENÁRIO</w:t>
      </w:r>
    </w:p>
    <w:p w:rsidR="003C6DEB" w:rsidRDefault="003C6DEB" w:rsidP="00337E16">
      <w:pPr>
        <w:pStyle w:val="tita"/>
        <w:spacing w:before="0" w:after="0" w:line="240" w:lineRule="auto"/>
        <w:jc w:val="both"/>
        <w:rPr>
          <w:i w:val="0"/>
          <w:iCs w:val="0"/>
          <w:sz w:val="22"/>
          <w:szCs w:val="22"/>
        </w:rPr>
      </w:pPr>
    </w:p>
    <w:p w:rsidR="009E5105" w:rsidRPr="002B4392" w:rsidRDefault="0096655D" w:rsidP="009E5105">
      <w:pPr>
        <w:pStyle w:val="indice"/>
        <w:spacing w:before="60" w:line="240" w:lineRule="auto"/>
        <w:rPr>
          <w:b/>
        </w:rPr>
      </w:pPr>
      <w:r w:rsidRPr="002B4392">
        <w:rPr>
          <w:b/>
        </w:rPr>
        <w:t>Responsabilidade pela participação, em licitação expressamente reservada a ME e EPP, de sociedade que não se enquadra na definição legal dessas categorias</w:t>
      </w:r>
    </w:p>
    <w:p w:rsidR="009E5105" w:rsidRPr="002B4392" w:rsidRDefault="006C5C6C" w:rsidP="009E5105">
      <w:pPr>
        <w:pStyle w:val="Pargrafo"/>
        <w:jc w:val="both"/>
        <w:rPr>
          <w:sz w:val="22"/>
          <w:szCs w:val="22"/>
        </w:rPr>
      </w:pPr>
      <w:r w:rsidRPr="002B4392">
        <w:rPr>
          <w:sz w:val="22"/>
          <w:szCs w:val="22"/>
        </w:rPr>
        <w:t xml:space="preserve">Representação </w:t>
      </w:r>
      <w:r w:rsidR="004617A9" w:rsidRPr="002B4392">
        <w:rPr>
          <w:sz w:val="22"/>
          <w:szCs w:val="22"/>
        </w:rPr>
        <w:t xml:space="preserve">intentada junto ao Tribunal </w:t>
      </w:r>
      <w:r w:rsidR="00C6656A" w:rsidRPr="002B4392">
        <w:rPr>
          <w:sz w:val="22"/>
          <w:szCs w:val="22"/>
        </w:rPr>
        <w:t xml:space="preserve">cuidou de possíveis irregularidades praticadas por empresas que, supostamente, participaram de forma indevida de licitações públicas na condição de microempresa (ME) ou empresa de pequeno porte (EPP), contrariando a Lei Complementar nº 123/2006 (Estatuto Nacional da Microempresa e da Empresa de Pequeno Porte) e o Decreto 6.204/2007.  </w:t>
      </w:r>
      <w:r w:rsidRPr="002B4392">
        <w:rPr>
          <w:sz w:val="22"/>
          <w:szCs w:val="22"/>
        </w:rPr>
        <w:t>N</w:t>
      </w:r>
      <w:r w:rsidR="002B4392" w:rsidRPr="002B4392">
        <w:rPr>
          <w:sz w:val="22"/>
          <w:szCs w:val="22"/>
        </w:rPr>
        <w:t>este quadro</w:t>
      </w:r>
      <w:r w:rsidRPr="002B4392">
        <w:rPr>
          <w:sz w:val="22"/>
          <w:szCs w:val="22"/>
        </w:rPr>
        <w:t xml:space="preserve">, foi promovida a </w:t>
      </w:r>
      <w:r w:rsidR="006918DB">
        <w:rPr>
          <w:sz w:val="22"/>
          <w:szCs w:val="22"/>
        </w:rPr>
        <w:t xml:space="preserve"> oitiva</w:t>
      </w:r>
      <w:r w:rsidRPr="002B4392">
        <w:rPr>
          <w:sz w:val="22"/>
          <w:szCs w:val="22"/>
        </w:rPr>
        <w:t xml:space="preserve"> da </w:t>
      </w:r>
      <w:r w:rsidR="002B4392" w:rsidRPr="002B4392">
        <w:rPr>
          <w:sz w:val="22"/>
          <w:szCs w:val="22"/>
        </w:rPr>
        <w:t xml:space="preserve">empresa </w:t>
      </w:r>
      <w:r w:rsidRPr="002B4392">
        <w:rPr>
          <w:sz w:val="22"/>
          <w:szCs w:val="22"/>
        </w:rPr>
        <w:t>Comercial Vencini Ltda.</w:t>
      </w:r>
      <w:r w:rsidR="002B4392" w:rsidRPr="002B4392">
        <w:rPr>
          <w:sz w:val="22"/>
          <w:szCs w:val="22"/>
        </w:rPr>
        <w:t>,</w:t>
      </w:r>
      <w:r w:rsidRPr="002B4392">
        <w:rPr>
          <w:sz w:val="22"/>
          <w:szCs w:val="22"/>
        </w:rPr>
        <w:t xml:space="preserve"> </w:t>
      </w:r>
      <w:r w:rsidR="006918DB">
        <w:rPr>
          <w:sz w:val="22"/>
          <w:szCs w:val="22"/>
        </w:rPr>
        <w:t>pelo</w:t>
      </w:r>
      <w:r w:rsidRPr="002B4392">
        <w:rPr>
          <w:sz w:val="22"/>
          <w:szCs w:val="22"/>
        </w:rPr>
        <w:t xml:space="preserve"> fato de, aparentemente, ter</w:t>
      </w:r>
      <w:r w:rsidR="006918DB">
        <w:rPr>
          <w:sz w:val="22"/>
          <w:szCs w:val="22"/>
        </w:rPr>
        <w:t>-</w:t>
      </w:r>
      <w:r w:rsidRPr="002B4392">
        <w:rPr>
          <w:sz w:val="22"/>
          <w:szCs w:val="22"/>
        </w:rPr>
        <w:t>se beneficiado, indevidamente, do enquadramento como pequena empresa. Ao examinar os argumentos apresentados</w:t>
      </w:r>
      <w:r w:rsidR="002B4392" w:rsidRPr="002B4392">
        <w:rPr>
          <w:sz w:val="22"/>
          <w:szCs w:val="22"/>
        </w:rPr>
        <w:t xml:space="preserve"> pela empresa</w:t>
      </w:r>
      <w:r w:rsidRPr="002B4392">
        <w:rPr>
          <w:sz w:val="22"/>
          <w:szCs w:val="22"/>
        </w:rPr>
        <w:t>, o relator registrou que, “</w:t>
      </w:r>
      <w:r w:rsidRPr="002B4392">
        <w:rPr>
          <w:i/>
          <w:sz w:val="22"/>
          <w:szCs w:val="22"/>
        </w:rPr>
        <w:t>c</w:t>
      </w:r>
      <w:r w:rsidR="00C6656A" w:rsidRPr="002B4392">
        <w:rPr>
          <w:i/>
          <w:sz w:val="22"/>
          <w:szCs w:val="22"/>
        </w:rPr>
        <w:t>omprovou-se que seu faturamento bruto era superior ao limite estabelecido para o enquadramento como pequena empresa</w:t>
      </w:r>
      <w:r w:rsidRPr="002B4392">
        <w:rPr>
          <w:sz w:val="22"/>
          <w:szCs w:val="22"/>
        </w:rPr>
        <w:t xml:space="preserve">” sendo que </w:t>
      </w:r>
      <w:r w:rsidR="00001878" w:rsidRPr="002B4392">
        <w:rPr>
          <w:sz w:val="22"/>
          <w:szCs w:val="22"/>
        </w:rPr>
        <w:t>a empresa não solicitara</w:t>
      </w:r>
      <w:r w:rsidR="00C6656A" w:rsidRPr="002B4392">
        <w:rPr>
          <w:sz w:val="22"/>
          <w:szCs w:val="22"/>
        </w:rPr>
        <w:t xml:space="preserve"> a alteração de seu enquadramento e </w:t>
      </w:r>
      <w:r w:rsidR="00001878" w:rsidRPr="002B4392">
        <w:rPr>
          <w:sz w:val="22"/>
          <w:szCs w:val="22"/>
        </w:rPr>
        <w:t>ainda</w:t>
      </w:r>
      <w:r w:rsidR="00C6656A" w:rsidRPr="002B4392">
        <w:rPr>
          <w:sz w:val="22"/>
          <w:szCs w:val="22"/>
        </w:rPr>
        <w:t xml:space="preserve"> particip</w:t>
      </w:r>
      <w:r w:rsidR="00001878" w:rsidRPr="002B4392">
        <w:rPr>
          <w:sz w:val="22"/>
          <w:szCs w:val="22"/>
        </w:rPr>
        <w:t>ara</w:t>
      </w:r>
      <w:r w:rsidR="00C6656A" w:rsidRPr="002B4392">
        <w:rPr>
          <w:sz w:val="22"/>
          <w:szCs w:val="22"/>
        </w:rPr>
        <w:t xml:space="preserve"> de procedimento licitatório exclusivo para micro e pequenas empresas, vencendo o certame e beneficiando-se de sua própria omissão</w:t>
      </w:r>
      <w:r w:rsidR="00F67A35">
        <w:rPr>
          <w:sz w:val="22"/>
          <w:szCs w:val="22"/>
        </w:rPr>
        <w:t>. Desse modo, ao não solicitar seu desenquadramento</w:t>
      </w:r>
      <w:r w:rsidR="00001878" w:rsidRPr="002B4392">
        <w:rPr>
          <w:sz w:val="22"/>
          <w:szCs w:val="22"/>
        </w:rPr>
        <w:t xml:space="preserve">, </w:t>
      </w:r>
      <w:r w:rsidR="00F67A35">
        <w:rPr>
          <w:sz w:val="22"/>
          <w:szCs w:val="22"/>
        </w:rPr>
        <w:t xml:space="preserve">a </w:t>
      </w:r>
      <w:r w:rsidR="00C6656A" w:rsidRPr="002B4392">
        <w:rPr>
          <w:sz w:val="22"/>
          <w:szCs w:val="22"/>
        </w:rPr>
        <w:t>empresa benef</w:t>
      </w:r>
      <w:r w:rsidR="00F67A35">
        <w:rPr>
          <w:sz w:val="22"/>
          <w:szCs w:val="22"/>
        </w:rPr>
        <w:t>iciou-se,</w:t>
      </w:r>
      <w:r w:rsidR="00C6656A" w:rsidRPr="002B4392">
        <w:rPr>
          <w:sz w:val="22"/>
          <w:szCs w:val="22"/>
        </w:rPr>
        <w:t xml:space="preserve"> indevid</w:t>
      </w:r>
      <w:r w:rsidR="00F67A35">
        <w:rPr>
          <w:sz w:val="22"/>
          <w:szCs w:val="22"/>
        </w:rPr>
        <w:t xml:space="preserve">amente, da condição </w:t>
      </w:r>
      <w:r w:rsidR="00C6656A" w:rsidRPr="002B4392">
        <w:rPr>
          <w:sz w:val="22"/>
          <w:szCs w:val="22"/>
        </w:rPr>
        <w:t>de ME ou EPP.</w:t>
      </w:r>
      <w:r w:rsidR="00001878" w:rsidRPr="002B4392">
        <w:rPr>
          <w:sz w:val="22"/>
          <w:szCs w:val="22"/>
        </w:rPr>
        <w:t xml:space="preserve"> Em razão disso, votou </w:t>
      </w:r>
      <w:r w:rsidR="00F67A35">
        <w:rPr>
          <w:sz w:val="22"/>
          <w:szCs w:val="22"/>
        </w:rPr>
        <w:t xml:space="preserve">o relator </w:t>
      </w:r>
      <w:r w:rsidR="00001878" w:rsidRPr="002B4392">
        <w:rPr>
          <w:sz w:val="22"/>
          <w:szCs w:val="22"/>
        </w:rPr>
        <w:t>por que se sancionasse a empresa</w:t>
      </w:r>
      <w:r w:rsidR="00C6656A" w:rsidRPr="002B4392">
        <w:rPr>
          <w:sz w:val="22"/>
          <w:szCs w:val="22"/>
        </w:rPr>
        <w:t xml:space="preserve"> </w:t>
      </w:r>
      <w:r w:rsidR="00001878" w:rsidRPr="002B4392">
        <w:rPr>
          <w:sz w:val="22"/>
          <w:szCs w:val="22"/>
        </w:rPr>
        <w:t xml:space="preserve">com a </w:t>
      </w:r>
      <w:r w:rsidR="00C6656A" w:rsidRPr="002B4392">
        <w:rPr>
          <w:sz w:val="22"/>
          <w:szCs w:val="22"/>
        </w:rPr>
        <w:t>declaração de inidoneidade pa</w:t>
      </w:r>
      <w:r w:rsidR="00001878" w:rsidRPr="002B4392">
        <w:rPr>
          <w:sz w:val="22"/>
          <w:szCs w:val="22"/>
        </w:rPr>
        <w:t xml:space="preserve">ra licitar </w:t>
      </w:r>
      <w:r w:rsidR="00F67A35">
        <w:rPr>
          <w:sz w:val="22"/>
          <w:szCs w:val="22"/>
        </w:rPr>
        <w:t xml:space="preserve">ou contratar </w:t>
      </w:r>
      <w:r w:rsidR="00001878" w:rsidRPr="002B4392">
        <w:rPr>
          <w:sz w:val="22"/>
          <w:szCs w:val="22"/>
        </w:rPr>
        <w:t>com a Administração</w:t>
      </w:r>
      <w:r w:rsidR="00F67A35">
        <w:rPr>
          <w:sz w:val="22"/>
          <w:szCs w:val="22"/>
        </w:rPr>
        <w:t xml:space="preserve"> Pública,</w:t>
      </w:r>
      <w:r w:rsidR="00001878" w:rsidRPr="002B4392">
        <w:rPr>
          <w:sz w:val="22"/>
          <w:szCs w:val="22"/>
        </w:rPr>
        <w:t xml:space="preserve"> pelo prazo de </w:t>
      </w:r>
      <w:r w:rsidR="00C6656A" w:rsidRPr="002B4392">
        <w:rPr>
          <w:sz w:val="22"/>
          <w:szCs w:val="22"/>
        </w:rPr>
        <w:t xml:space="preserve">seis meses, </w:t>
      </w:r>
      <w:r w:rsidR="00001878" w:rsidRPr="002B4392">
        <w:rPr>
          <w:sz w:val="22"/>
          <w:szCs w:val="22"/>
        </w:rPr>
        <w:t>sem prejuízo de ementar o entendimento de que “</w:t>
      </w:r>
      <w:r w:rsidR="00001878" w:rsidRPr="002B4392">
        <w:rPr>
          <w:i/>
          <w:sz w:val="22"/>
          <w:szCs w:val="22"/>
        </w:rPr>
        <w:t xml:space="preserve">a participação em licitação expressamente reservada a </w:t>
      </w:r>
      <w:bookmarkStart w:id="1" w:name="Hit2"/>
      <w:r w:rsidR="00001878" w:rsidRPr="002B4392">
        <w:rPr>
          <w:i/>
          <w:sz w:val="22"/>
          <w:szCs w:val="22"/>
        </w:rPr>
        <w:t>microempresas</w:t>
      </w:r>
      <w:bookmarkEnd w:id="1"/>
      <w:r w:rsidR="00001878" w:rsidRPr="002B4392">
        <w:rPr>
          <w:i/>
          <w:sz w:val="22"/>
          <w:szCs w:val="22"/>
        </w:rPr>
        <w:t xml:space="preserve"> (ME) e a empresas de pequeno porte (EPP), por sociedade que não se enquadra na definição legal reservada a essas categorias, configura fraude ao certame</w:t>
      </w:r>
      <w:r w:rsidR="00001878" w:rsidRPr="002B4392">
        <w:rPr>
          <w:sz w:val="22"/>
          <w:szCs w:val="22"/>
        </w:rPr>
        <w:t>”. Precedentes citados:</w:t>
      </w:r>
      <w:r w:rsidR="00C6656A" w:rsidRPr="002B4392">
        <w:rPr>
          <w:sz w:val="22"/>
          <w:szCs w:val="22"/>
        </w:rPr>
        <w:t xml:space="preserve"> Acórdãos 1028/2010, 1972/2010, 2578/2010 e 2846/2010</w:t>
      </w:r>
      <w:r w:rsidR="00001878" w:rsidRPr="002B4392">
        <w:rPr>
          <w:sz w:val="22"/>
          <w:szCs w:val="22"/>
        </w:rPr>
        <w:t>, todos do Plenário</w:t>
      </w:r>
      <w:r w:rsidR="00C6656A" w:rsidRPr="002B4392">
        <w:rPr>
          <w:sz w:val="22"/>
          <w:szCs w:val="22"/>
        </w:rPr>
        <w:t>.</w:t>
      </w:r>
      <w:r w:rsidR="00001878" w:rsidRPr="002B4392">
        <w:rPr>
          <w:sz w:val="22"/>
          <w:szCs w:val="22"/>
        </w:rPr>
        <w:t xml:space="preserve"> </w:t>
      </w:r>
      <w:r w:rsidR="009E5105" w:rsidRPr="002B4392">
        <w:rPr>
          <w:b/>
          <w:i/>
          <w:sz w:val="22"/>
          <w:szCs w:val="22"/>
        </w:rPr>
        <w:t xml:space="preserve">Acórdão n.º </w:t>
      </w:r>
      <w:r w:rsidR="00C6656A" w:rsidRPr="002B4392">
        <w:rPr>
          <w:b/>
          <w:i/>
          <w:sz w:val="22"/>
          <w:szCs w:val="22"/>
        </w:rPr>
        <w:t>3381</w:t>
      </w:r>
      <w:r w:rsidR="009E5105" w:rsidRPr="002B4392">
        <w:rPr>
          <w:b/>
          <w:i/>
          <w:sz w:val="22"/>
          <w:szCs w:val="22"/>
        </w:rPr>
        <w:t>/2010-Plenário, TC-00</w:t>
      </w:r>
      <w:r w:rsidR="00C6656A" w:rsidRPr="002B4392">
        <w:rPr>
          <w:b/>
          <w:i/>
          <w:sz w:val="22"/>
          <w:szCs w:val="22"/>
        </w:rPr>
        <w:t>8</w:t>
      </w:r>
      <w:r w:rsidR="009E5105" w:rsidRPr="002B4392">
        <w:rPr>
          <w:b/>
          <w:i/>
          <w:sz w:val="22"/>
          <w:szCs w:val="22"/>
        </w:rPr>
        <w:t>.</w:t>
      </w:r>
      <w:r w:rsidR="00C6656A" w:rsidRPr="002B4392">
        <w:rPr>
          <w:b/>
          <w:i/>
          <w:sz w:val="22"/>
          <w:szCs w:val="22"/>
        </w:rPr>
        <w:t>721</w:t>
      </w:r>
      <w:r w:rsidR="009E5105" w:rsidRPr="002B4392">
        <w:rPr>
          <w:b/>
          <w:i/>
          <w:sz w:val="22"/>
          <w:szCs w:val="22"/>
        </w:rPr>
        <w:t>/2010-</w:t>
      </w:r>
      <w:r w:rsidR="00C6656A" w:rsidRPr="002B4392">
        <w:rPr>
          <w:b/>
          <w:i/>
          <w:sz w:val="22"/>
          <w:szCs w:val="22"/>
        </w:rPr>
        <w:t>6</w:t>
      </w:r>
      <w:r w:rsidR="009E5105" w:rsidRPr="002B4392">
        <w:rPr>
          <w:b/>
          <w:i/>
          <w:sz w:val="22"/>
          <w:szCs w:val="22"/>
        </w:rPr>
        <w:t xml:space="preserve">, rel. Min. </w:t>
      </w:r>
      <w:r w:rsidR="00C6656A" w:rsidRPr="002B4392">
        <w:rPr>
          <w:b/>
          <w:i/>
          <w:sz w:val="22"/>
          <w:szCs w:val="22"/>
        </w:rPr>
        <w:t>Walton Alencar Rodrigues</w:t>
      </w:r>
      <w:r w:rsidR="009E5105" w:rsidRPr="002B4392">
        <w:rPr>
          <w:b/>
          <w:i/>
          <w:sz w:val="22"/>
          <w:szCs w:val="22"/>
        </w:rPr>
        <w:t xml:space="preserve">, </w:t>
      </w:r>
      <w:r w:rsidR="00C6656A" w:rsidRPr="002B4392">
        <w:rPr>
          <w:b/>
          <w:i/>
          <w:sz w:val="22"/>
          <w:szCs w:val="22"/>
        </w:rPr>
        <w:t>0</w:t>
      </w:r>
      <w:r w:rsidR="00061C2E" w:rsidRPr="002B4392">
        <w:rPr>
          <w:b/>
          <w:i/>
          <w:sz w:val="22"/>
          <w:szCs w:val="22"/>
        </w:rPr>
        <w:t>8</w:t>
      </w:r>
      <w:r w:rsidR="009E5105" w:rsidRPr="002B4392">
        <w:rPr>
          <w:b/>
          <w:i/>
          <w:sz w:val="22"/>
          <w:szCs w:val="22"/>
        </w:rPr>
        <w:t>.</w:t>
      </w:r>
      <w:r w:rsidR="00C6656A" w:rsidRPr="002B4392">
        <w:rPr>
          <w:b/>
          <w:i/>
          <w:sz w:val="22"/>
          <w:szCs w:val="22"/>
        </w:rPr>
        <w:t>12</w:t>
      </w:r>
      <w:r w:rsidR="009E5105" w:rsidRPr="002B4392">
        <w:rPr>
          <w:b/>
          <w:i/>
          <w:sz w:val="22"/>
          <w:szCs w:val="22"/>
        </w:rPr>
        <w:t>.2010</w:t>
      </w:r>
      <w:r w:rsidR="009E5105" w:rsidRPr="002B4392">
        <w:rPr>
          <w:sz w:val="22"/>
          <w:szCs w:val="22"/>
        </w:rPr>
        <w:t>.</w:t>
      </w:r>
    </w:p>
    <w:p w:rsidR="009E5105" w:rsidRPr="002B4392" w:rsidRDefault="009E5105" w:rsidP="00A239A8">
      <w:pPr>
        <w:pStyle w:val="indice"/>
        <w:spacing w:before="60" w:line="240" w:lineRule="auto"/>
      </w:pPr>
    </w:p>
    <w:p w:rsidR="0055716D" w:rsidRPr="002B4392" w:rsidRDefault="00A239A8" w:rsidP="00A239A8">
      <w:pPr>
        <w:pStyle w:val="indice"/>
        <w:spacing w:before="60" w:line="240" w:lineRule="auto"/>
        <w:rPr>
          <w:b/>
        </w:rPr>
      </w:pPr>
      <w:r w:rsidRPr="002B4392">
        <w:rPr>
          <w:b/>
        </w:rPr>
        <w:t>Consequências, para a contratada, do não cumprimento da obrigação contratual de comprovar a regularidade fiscal durante a execução do ajuste</w:t>
      </w:r>
    </w:p>
    <w:p w:rsidR="00A239A8" w:rsidRPr="002B4392" w:rsidRDefault="004617A9" w:rsidP="00A239A8">
      <w:pPr>
        <w:pStyle w:val="Pargrafo"/>
        <w:jc w:val="both"/>
        <w:rPr>
          <w:sz w:val="22"/>
          <w:szCs w:val="22"/>
        </w:rPr>
      </w:pPr>
      <w:bookmarkStart w:id="2" w:name="Hit16"/>
      <w:r w:rsidRPr="002B4392">
        <w:rPr>
          <w:sz w:val="22"/>
          <w:szCs w:val="22"/>
        </w:rPr>
        <w:t>A</w:t>
      </w:r>
      <w:r w:rsidR="00A239A8" w:rsidRPr="002B4392">
        <w:rPr>
          <w:sz w:val="22"/>
          <w:szCs w:val="22"/>
        </w:rPr>
        <w:t xml:space="preserve">uditoria </w:t>
      </w:r>
      <w:bookmarkEnd w:id="2"/>
      <w:r w:rsidRPr="002B4392">
        <w:rPr>
          <w:sz w:val="22"/>
          <w:szCs w:val="22"/>
        </w:rPr>
        <w:t xml:space="preserve">foi </w:t>
      </w:r>
      <w:r w:rsidR="00A239A8" w:rsidRPr="002B4392">
        <w:rPr>
          <w:sz w:val="22"/>
          <w:szCs w:val="22"/>
        </w:rPr>
        <w:t xml:space="preserve">realizada na base de dados do Sistema do Cadastro Integrado da Dívida Ativa da União (Cida), </w:t>
      </w:r>
      <w:r w:rsidRPr="002B4392">
        <w:rPr>
          <w:sz w:val="22"/>
          <w:szCs w:val="22"/>
        </w:rPr>
        <w:t>em razão de deliberação anterior do</w:t>
      </w:r>
      <w:r w:rsidR="00A239A8" w:rsidRPr="002B4392">
        <w:rPr>
          <w:sz w:val="22"/>
          <w:szCs w:val="22"/>
        </w:rPr>
        <w:t xml:space="preserve"> Plenário</w:t>
      </w:r>
      <w:r w:rsidRPr="002B4392">
        <w:rPr>
          <w:sz w:val="22"/>
          <w:szCs w:val="22"/>
        </w:rPr>
        <w:t xml:space="preserve"> (</w:t>
      </w:r>
      <w:r w:rsidR="00A239A8" w:rsidRPr="002B4392">
        <w:rPr>
          <w:sz w:val="22"/>
          <w:szCs w:val="22"/>
        </w:rPr>
        <w:t>Acórdão 1.010/2009-TCU</w:t>
      </w:r>
      <w:r w:rsidRPr="002B4392">
        <w:rPr>
          <w:sz w:val="22"/>
          <w:szCs w:val="22"/>
        </w:rPr>
        <w:t>)</w:t>
      </w:r>
      <w:r w:rsidR="00A239A8" w:rsidRPr="002B4392">
        <w:rPr>
          <w:sz w:val="22"/>
          <w:szCs w:val="22"/>
        </w:rPr>
        <w:t xml:space="preserve">, </w:t>
      </w:r>
      <w:r w:rsidR="00A06137">
        <w:rPr>
          <w:sz w:val="22"/>
          <w:szCs w:val="22"/>
        </w:rPr>
        <w:t>em razão</w:t>
      </w:r>
      <w:r w:rsidRPr="002B4392">
        <w:rPr>
          <w:sz w:val="22"/>
          <w:szCs w:val="22"/>
        </w:rPr>
        <w:t xml:space="preserve"> </w:t>
      </w:r>
      <w:r w:rsidR="00A06137">
        <w:rPr>
          <w:sz w:val="22"/>
          <w:szCs w:val="22"/>
        </w:rPr>
        <w:t>d</w:t>
      </w:r>
      <w:r w:rsidR="00A239A8" w:rsidRPr="002B4392">
        <w:rPr>
          <w:sz w:val="22"/>
          <w:szCs w:val="22"/>
        </w:rPr>
        <w:t xml:space="preserve">a existência de processos no TCU tratando de fraudes no sistema Cida, utilizado pela Procuradoria-Geral da Fazenda Nacional (PGFN) na gestão e operação das </w:t>
      </w:r>
      <w:hyperlink r:id="rId8" w:history="1">
        <w:r w:rsidR="00A239A8" w:rsidRPr="002B4392">
          <w:rPr>
            <w:sz w:val="22"/>
            <w:szCs w:val="22"/>
          </w:rPr>
          <w:t>informações</w:t>
        </w:r>
      </w:hyperlink>
      <w:r w:rsidR="00A239A8" w:rsidRPr="002B4392">
        <w:rPr>
          <w:sz w:val="22"/>
          <w:szCs w:val="22"/>
        </w:rPr>
        <w:t xml:space="preserve"> constantes nos cadastros da Dívida Ativa da União. </w:t>
      </w:r>
      <w:r w:rsidRPr="002B4392">
        <w:rPr>
          <w:sz w:val="22"/>
          <w:szCs w:val="22"/>
        </w:rPr>
        <w:t xml:space="preserve">Um dos achados apontados pela equipe </w:t>
      </w:r>
      <w:r w:rsidR="00A239A8" w:rsidRPr="002B4392">
        <w:rPr>
          <w:sz w:val="22"/>
          <w:szCs w:val="22"/>
        </w:rPr>
        <w:t xml:space="preserve">de auditoria </w:t>
      </w:r>
      <w:r w:rsidRPr="002B4392">
        <w:rPr>
          <w:sz w:val="22"/>
          <w:szCs w:val="22"/>
        </w:rPr>
        <w:t xml:space="preserve">foi a </w:t>
      </w:r>
      <w:r w:rsidR="00A239A8" w:rsidRPr="002B4392">
        <w:rPr>
          <w:sz w:val="22"/>
          <w:szCs w:val="22"/>
        </w:rPr>
        <w:t>contratação e pagamento de fornecedor</w:t>
      </w:r>
      <w:r w:rsidRPr="002B4392">
        <w:rPr>
          <w:sz w:val="22"/>
          <w:szCs w:val="22"/>
        </w:rPr>
        <w:t>es em situação fiscal irregular</w:t>
      </w:r>
      <w:r w:rsidR="0033244F" w:rsidRPr="002B4392">
        <w:rPr>
          <w:sz w:val="22"/>
          <w:szCs w:val="22"/>
        </w:rPr>
        <w:t>. Ao examinar a matéria, o relator destacou que, “a</w:t>
      </w:r>
      <w:r w:rsidR="00A239A8" w:rsidRPr="002B4392">
        <w:rPr>
          <w:i/>
          <w:sz w:val="22"/>
          <w:szCs w:val="22"/>
        </w:rPr>
        <w:t xml:space="preserve"> Lei 8.666/93, em seu art. 55, XIII, impõe a inclusão, em todo contrato administrativo, de cláusula estabelecendo a obrigação do contratado de manter, durante toda a execução do ajuste, as condições de habilitação exigida na licitação, dentre as quais a regularidade fiscal</w:t>
      </w:r>
      <w:r w:rsidR="0033244F" w:rsidRPr="002B4392">
        <w:rPr>
          <w:sz w:val="22"/>
          <w:szCs w:val="22"/>
        </w:rPr>
        <w:t>”</w:t>
      </w:r>
      <w:r w:rsidR="00A239A8" w:rsidRPr="002B4392">
        <w:rPr>
          <w:sz w:val="22"/>
          <w:szCs w:val="22"/>
        </w:rPr>
        <w:t>.</w:t>
      </w:r>
      <w:r w:rsidR="0033244F" w:rsidRPr="002B4392">
        <w:rPr>
          <w:sz w:val="22"/>
          <w:szCs w:val="22"/>
        </w:rPr>
        <w:t xml:space="preserve"> Assim, “</w:t>
      </w:r>
      <w:r w:rsidR="0033244F" w:rsidRPr="002B4392">
        <w:rPr>
          <w:i/>
          <w:sz w:val="22"/>
          <w:szCs w:val="22"/>
        </w:rPr>
        <w:t>u</w:t>
      </w:r>
      <w:r w:rsidR="00A239A8" w:rsidRPr="002B4392">
        <w:rPr>
          <w:i/>
          <w:sz w:val="22"/>
          <w:szCs w:val="22"/>
        </w:rPr>
        <w:t>ma vez descumprida a obrigação de comprovar a regularidade fiscal, a Administração tem a faculdade de aplicar as sanções dispostas no art. 87 da Lei 8.666/1993, ou até mesmo a rescisão contratual, conforme art. 77 c/c art. 78, inciso I, da Lei 8.666/1993</w:t>
      </w:r>
      <w:r w:rsidR="0033244F" w:rsidRPr="002B4392">
        <w:rPr>
          <w:sz w:val="22"/>
          <w:szCs w:val="22"/>
        </w:rPr>
        <w:t>”</w:t>
      </w:r>
      <w:r w:rsidR="00A239A8" w:rsidRPr="002B4392">
        <w:rPr>
          <w:sz w:val="22"/>
          <w:szCs w:val="22"/>
        </w:rPr>
        <w:t>.</w:t>
      </w:r>
      <w:r w:rsidR="0033244F" w:rsidRPr="002B4392">
        <w:rPr>
          <w:sz w:val="22"/>
          <w:szCs w:val="22"/>
        </w:rPr>
        <w:t xml:space="preserve"> Por consequência, </w:t>
      </w:r>
      <w:r w:rsidR="00A239A8" w:rsidRPr="002B4392">
        <w:rPr>
          <w:sz w:val="22"/>
          <w:szCs w:val="22"/>
        </w:rPr>
        <w:t>enquanto não adimplida a obrigação de comprovar a regularidade fiscal, o contratado não pode</w:t>
      </w:r>
      <w:r w:rsidR="002A2129" w:rsidRPr="002B4392">
        <w:rPr>
          <w:sz w:val="22"/>
          <w:szCs w:val="22"/>
        </w:rPr>
        <w:t>ria</w:t>
      </w:r>
      <w:r w:rsidR="00A239A8" w:rsidRPr="002B4392">
        <w:rPr>
          <w:sz w:val="22"/>
          <w:szCs w:val="22"/>
        </w:rPr>
        <w:t xml:space="preserve"> exigir o cumprimento da contraprestação que cabe</w:t>
      </w:r>
      <w:r w:rsidR="002A2129" w:rsidRPr="002B4392">
        <w:rPr>
          <w:sz w:val="22"/>
          <w:szCs w:val="22"/>
        </w:rPr>
        <w:t>ria</w:t>
      </w:r>
      <w:r w:rsidR="00A239A8" w:rsidRPr="002B4392">
        <w:rPr>
          <w:sz w:val="22"/>
          <w:szCs w:val="22"/>
        </w:rPr>
        <w:t xml:space="preserve"> à Administração. </w:t>
      </w:r>
      <w:r w:rsidR="0033244F" w:rsidRPr="002B4392">
        <w:rPr>
          <w:sz w:val="22"/>
          <w:szCs w:val="22"/>
        </w:rPr>
        <w:t>Ocorre que, na maioria das vezes</w:t>
      </w:r>
      <w:r w:rsidR="002A2129" w:rsidRPr="002B4392">
        <w:rPr>
          <w:sz w:val="22"/>
          <w:szCs w:val="22"/>
        </w:rPr>
        <w:t>,</w:t>
      </w:r>
      <w:r w:rsidR="0033244F" w:rsidRPr="002B4392">
        <w:rPr>
          <w:sz w:val="22"/>
          <w:szCs w:val="22"/>
        </w:rPr>
        <w:t xml:space="preserve"> a situação de irregularidade fiscal</w:t>
      </w:r>
      <w:r w:rsidR="002A2129" w:rsidRPr="002B4392">
        <w:rPr>
          <w:sz w:val="22"/>
          <w:szCs w:val="22"/>
        </w:rPr>
        <w:t xml:space="preserve"> seria verificada</w:t>
      </w:r>
      <w:r w:rsidR="0033244F" w:rsidRPr="002B4392">
        <w:rPr>
          <w:sz w:val="22"/>
          <w:szCs w:val="22"/>
        </w:rPr>
        <w:t xml:space="preserve"> du</w:t>
      </w:r>
      <w:r w:rsidR="002A2129" w:rsidRPr="002B4392">
        <w:rPr>
          <w:sz w:val="22"/>
          <w:szCs w:val="22"/>
        </w:rPr>
        <w:t>rante os 180 dias de validade de</w:t>
      </w:r>
      <w:r w:rsidR="0033244F" w:rsidRPr="002B4392">
        <w:rPr>
          <w:sz w:val="22"/>
          <w:szCs w:val="22"/>
        </w:rPr>
        <w:t xml:space="preserve"> certidão </w:t>
      </w:r>
      <w:r w:rsidR="002A2129" w:rsidRPr="002B4392">
        <w:rPr>
          <w:sz w:val="22"/>
          <w:szCs w:val="22"/>
        </w:rPr>
        <w:t xml:space="preserve">anteriormente emitida </w:t>
      </w:r>
      <w:r w:rsidR="0033244F" w:rsidRPr="002B4392">
        <w:rPr>
          <w:sz w:val="22"/>
          <w:szCs w:val="22"/>
        </w:rPr>
        <w:t>a empresas que passaram a ter inscrições em situação irregular.</w:t>
      </w:r>
      <w:r w:rsidR="002A2129" w:rsidRPr="002B4392">
        <w:rPr>
          <w:sz w:val="22"/>
          <w:szCs w:val="22"/>
        </w:rPr>
        <w:t xml:space="preserve"> Desse modo, de maneira a evitar a mesma ocorrência em situações futuras, o relator, em linha com o sugerido pela unidade técnica, votou por que </w:t>
      </w:r>
      <w:r w:rsidR="00A06137">
        <w:rPr>
          <w:sz w:val="22"/>
          <w:szCs w:val="22"/>
        </w:rPr>
        <w:t xml:space="preserve">se </w:t>
      </w:r>
      <w:r w:rsidR="002A2129" w:rsidRPr="002B4392">
        <w:rPr>
          <w:sz w:val="22"/>
          <w:szCs w:val="22"/>
        </w:rPr>
        <w:t xml:space="preserve">expedisse recomendação à </w:t>
      </w:r>
      <w:r w:rsidR="00A239A8" w:rsidRPr="002B4392">
        <w:rPr>
          <w:sz w:val="22"/>
          <w:szCs w:val="22"/>
        </w:rPr>
        <w:t>Procuradori</w:t>
      </w:r>
      <w:r w:rsidR="002A2129" w:rsidRPr="002B4392">
        <w:rPr>
          <w:sz w:val="22"/>
          <w:szCs w:val="22"/>
        </w:rPr>
        <w:t>a-Geral da Fazenda Nacional</w:t>
      </w:r>
      <w:r w:rsidR="006918DB">
        <w:rPr>
          <w:sz w:val="22"/>
          <w:szCs w:val="22"/>
        </w:rPr>
        <w:t xml:space="preserve"> para</w:t>
      </w:r>
      <w:r w:rsidR="002A2129" w:rsidRPr="002B4392">
        <w:rPr>
          <w:sz w:val="22"/>
          <w:szCs w:val="22"/>
        </w:rPr>
        <w:t xml:space="preserve"> que</w:t>
      </w:r>
      <w:r w:rsidR="00A239A8" w:rsidRPr="002B4392">
        <w:rPr>
          <w:sz w:val="22"/>
          <w:szCs w:val="22"/>
        </w:rPr>
        <w:t xml:space="preserve"> articul</w:t>
      </w:r>
      <w:r w:rsidR="002A2129" w:rsidRPr="002B4392">
        <w:rPr>
          <w:sz w:val="22"/>
          <w:szCs w:val="22"/>
        </w:rPr>
        <w:t>asse</w:t>
      </w:r>
      <w:r w:rsidR="00A239A8" w:rsidRPr="002B4392">
        <w:rPr>
          <w:sz w:val="22"/>
          <w:szCs w:val="22"/>
        </w:rPr>
        <w:t xml:space="preserve"> </w:t>
      </w:r>
      <w:r w:rsidR="002A2129" w:rsidRPr="002B4392">
        <w:rPr>
          <w:sz w:val="22"/>
          <w:szCs w:val="22"/>
        </w:rPr>
        <w:t>“</w:t>
      </w:r>
      <w:r w:rsidR="00A239A8" w:rsidRPr="002B4392">
        <w:rPr>
          <w:i/>
          <w:sz w:val="22"/>
          <w:szCs w:val="22"/>
        </w:rPr>
        <w:t>junto à Receita Federal do Brasil e ao Ministério do Planejamento, Orçamento e Gestão a realização de estudos para análise da conveniência e oportunidade de se promover a alteração da sistemática de comprovação de regularidade fiscal perante a Fazenda Nacional, mediante redução do prazo de validade da certidão e, até mesmo, de sua eliminação por meio da instituição de mecanismos de verificação automática e instantânea de regularidade fiscal, de forma a se reduzir os casos de fornecedores que se valem do atual prazo de certidão para contratar e receber pagamentos da administração pública, mesmo estando em situação irregular perante a Dívida Ativa da União</w:t>
      </w:r>
      <w:r w:rsidR="002A2129" w:rsidRPr="002B4392">
        <w:rPr>
          <w:sz w:val="22"/>
          <w:szCs w:val="22"/>
        </w:rPr>
        <w:t>”</w:t>
      </w:r>
      <w:r w:rsidR="00A06137">
        <w:rPr>
          <w:sz w:val="22"/>
          <w:szCs w:val="22"/>
        </w:rPr>
        <w:t xml:space="preserve">. O </w:t>
      </w:r>
      <w:r w:rsidR="002A2129" w:rsidRPr="002B4392">
        <w:rPr>
          <w:sz w:val="22"/>
          <w:szCs w:val="22"/>
        </w:rPr>
        <w:t>Plenário</w:t>
      </w:r>
      <w:r w:rsidR="00A06137">
        <w:rPr>
          <w:sz w:val="22"/>
          <w:szCs w:val="22"/>
        </w:rPr>
        <w:t xml:space="preserve"> acolheu o encaminhamento</w:t>
      </w:r>
      <w:r w:rsidR="002A2129" w:rsidRPr="002B4392">
        <w:rPr>
          <w:sz w:val="22"/>
          <w:szCs w:val="22"/>
        </w:rPr>
        <w:t xml:space="preserve">. </w:t>
      </w:r>
      <w:r w:rsidR="00A239A8" w:rsidRPr="002B4392">
        <w:rPr>
          <w:b/>
          <w:i/>
          <w:sz w:val="22"/>
          <w:szCs w:val="22"/>
        </w:rPr>
        <w:t>Acórdão n.º 338</w:t>
      </w:r>
      <w:r w:rsidR="005438A1" w:rsidRPr="002B4392">
        <w:rPr>
          <w:b/>
          <w:i/>
          <w:sz w:val="22"/>
          <w:szCs w:val="22"/>
        </w:rPr>
        <w:t>2</w:t>
      </w:r>
      <w:r w:rsidR="00A239A8" w:rsidRPr="002B4392">
        <w:rPr>
          <w:b/>
          <w:i/>
          <w:sz w:val="22"/>
          <w:szCs w:val="22"/>
        </w:rPr>
        <w:t>/2010-Plenário, TC-0</w:t>
      </w:r>
      <w:r w:rsidR="005438A1" w:rsidRPr="002B4392">
        <w:rPr>
          <w:b/>
          <w:i/>
          <w:sz w:val="22"/>
          <w:szCs w:val="22"/>
        </w:rPr>
        <w:t>11</w:t>
      </w:r>
      <w:r w:rsidR="00A239A8" w:rsidRPr="002B4392">
        <w:rPr>
          <w:b/>
          <w:i/>
          <w:sz w:val="22"/>
          <w:szCs w:val="22"/>
        </w:rPr>
        <w:t>.</w:t>
      </w:r>
      <w:r w:rsidR="005438A1" w:rsidRPr="002B4392">
        <w:rPr>
          <w:b/>
          <w:i/>
          <w:sz w:val="22"/>
          <w:szCs w:val="22"/>
        </w:rPr>
        <w:t>296</w:t>
      </w:r>
      <w:r w:rsidR="00A239A8" w:rsidRPr="002B4392">
        <w:rPr>
          <w:b/>
          <w:i/>
          <w:sz w:val="22"/>
          <w:szCs w:val="22"/>
        </w:rPr>
        <w:t>/20</w:t>
      </w:r>
      <w:r w:rsidR="005438A1" w:rsidRPr="002B4392">
        <w:rPr>
          <w:b/>
          <w:i/>
          <w:sz w:val="22"/>
          <w:szCs w:val="22"/>
        </w:rPr>
        <w:t>09</w:t>
      </w:r>
      <w:r w:rsidR="00A239A8" w:rsidRPr="002B4392">
        <w:rPr>
          <w:b/>
          <w:i/>
          <w:sz w:val="22"/>
          <w:szCs w:val="22"/>
        </w:rPr>
        <w:t>-</w:t>
      </w:r>
      <w:r w:rsidR="005438A1" w:rsidRPr="002B4392">
        <w:rPr>
          <w:b/>
          <w:i/>
          <w:sz w:val="22"/>
          <w:szCs w:val="22"/>
        </w:rPr>
        <w:t>4</w:t>
      </w:r>
      <w:r w:rsidR="00A239A8" w:rsidRPr="002B4392">
        <w:rPr>
          <w:b/>
          <w:i/>
          <w:sz w:val="22"/>
          <w:szCs w:val="22"/>
        </w:rPr>
        <w:t>, rel. Min. Walton Alencar Rodrigues, 08.12.2010</w:t>
      </w:r>
      <w:r w:rsidR="00A239A8" w:rsidRPr="002B4392">
        <w:rPr>
          <w:sz w:val="22"/>
          <w:szCs w:val="22"/>
        </w:rPr>
        <w:t>.</w:t>
      </w:r>
    </w:p>
    <w:p w:rsidR="00A239A8" w:rsidRPr="002B4392" w:rsidRDefault="00A239A8" w:rsidP="0055716D">
      <w:pPr>
        <w:pStyle w:val="enter-3pt"/>
        <w:spacing w:line="240" w:lineRule="auto"/>
        <w:rPr>
          <w:sz w:val="22"/>
          <w:szCs w:val="22"/>
        </w:rPr>
      </w:pPr>
    </w:p>
    <w:p w:rsidR="00A239A8" w:rsidRPr="002B4392" w:rsidRDefault="00851D16" w:rsidP="00851D16">
      <w:pPr>
        <w:pStyle w:val="Pargrafo"/>
        <w:jc w:val="both"/>
        <w:rPr>
          <w:b/>
          <w:sz w:val="22"/>
          <w:szCs w:val="22"/>
        </w:rPr>
      </w:pPr>
      <w:r w:rsidRPr="002B4392">
        <w:rPr>
          <w:b/>
          <w:sz w:val="22"/>
          <w:szCs w:val="22"/>
        </w:rPr>
        <w:t>Fornecimento de sistema com transferência de tecnologia e execução de serviços técnicos especializados: parcelamento como regra</w:t>
      </w:r>
    </w:p>
    <w:p w:rsidR="00851D16" w:rsidRPr="002B4392" w:rsidRDefault="00A06137" w:rsidP="00851D16">
      <w:pPr>
        <w:pStyle w:val="Pargrafo"/>
        <w:jc w:val="both"/>
        <w:rPr>
          <w:sz w:val="22"/>
          <w:szCs w:val="22"/>
        </w:rPr>
      </w:pPr>
      <w:r>
        <w:rPr>
          <w:sz w:val="22"/>
          <w:szCs w:val="22"/>
        </w:rPr>
        <w:t>O TCU recebeu</w:t>
      </w:r>
      <w:r w:rsidR="002A2129" w:rsidRPr="002B4392">
        <w:rPr>
          <w:sz w:val="22"/>
          <w:szCs w:val="22"/>
        </w:rPr>
        <w:t xml:space="preserve"> representação de licitante contra o Pregão Presencial nº 118/2009, promovido pelo Ministério da Saúde (MS), com formação de Registro de Preço</w:t>
      </w:r>
      <w:r w:rsidR="00B9389E" w:rsidRPr="002B4392">
        <w:rPr>
          <w:sz w:val="22"/>
          <w:szCs w:val="22"/>
        </w:rPr>
        <w:t>,</w:t>
      </w:r>
      <w:r w:rsidR="002A2129" w:rsidRPr="002B4392">
        <w:rPr>
          <w:sz w:val="22"/>
          <w:szCs w:val="22"/>
        </w:rPr>
        <w:t xml:space="preserve"> para futura aquisição de Solução de Informação Hospitalar integrada ao Sistema de Registro Eletrônico de Saúde para Atenção Integral (RES-AI), com implantação em seis hospitais federais no Rio de Janeiro.</w:t>
      </w:r>
      <w:r w:rsidR="00B9389E" w:rsidRPr="002B4392">
        <w:rPr>
          <w:sz w:val="22"/>
          <w:szCs w:val="22"/>
        </w:rPr>
        <w:t xml:space="preserve"> </w:t>
      </w:r>
      <w:r w:rsidR="00937F7E" w:rsidRPr="002B4392">
        <w:rPr>
          <w:sz w:val="22"/>
          <w:szCs w:val="22"/>
        </w:rPr>
        <w:t>Nos autos, foi p</w:t>
      </w:r>
      <w:r w:rsidR="00B9389E" w:rsidRPr="002B4392">
        <w:rPr>
          <w:sz w:val="22"/>
          <w:szCs w:val="22"/>
        </w:rPr>
        <w:t>romovida a audiência de um dos responsáveis</w:t>
      </w:r>
      <w:r w:rsidR="00937F7E" w:rsidRPr="002B4392">
        <w:rPr>
          <w:sz w:val="22"/>
          <w:szCs w:val="22"/>
        </w:rPr>
        <w:t xml:space="preserve"> pela </w:t>
      </w:r>
      <w:r w:rsidR="0020107A" w:rsidRPr="002B4392">
        <w:rPr>
          <w:sz w:val="22"/>
          <w:szCs w:val="22"/>
        </w:rPr>
        <w:t xml:space="preserve">ausência de divisão do objeto, uma vez que foram licitados, em conjunto, os dois itens do </w:t>
      </w:r>
      <w:r w:rsidR="00696A89" w:rsidRPr="002B4392">
        <w:rPr>
          <w:sz w:val="22"/>
          <w:szCs w:val="22"/>
        </w:rPr>
        <w:t>Pregão</w:t>
      </w:r>
      <w:r w:rsidR="0020107A" w:rsidRPr="002B4392">
        <w:rPr>
          <w:sz w:val="22"/>
          <w:szCs w:val="22"/>
        </w:rPr>
        <w:t>, quais sejam</w:t>
      </w:r>
      <w:r w:rsidR="00696A89" w:rsidRPr="002B4392">
        <w:rPr>
          <w:sz w:val="22"/>
          <w:szCs w:val="22"/>
        </w:rPr>
        <w:t>:</w:t>
      </w:r>
      <w:r w:rsidR="00696A89" w:rsidRPr="002B4392">
        <w:rPr>
          <w:sz w:val="22"/>
          <w:szCs w:val="22"/>
        </w:rPr>
        <w:tab/>
        <w:t>fornecimento de um sistema que atendesse previamente os requisitos técnicos funcionais com transferência de propriedade para o Ministério da Saúde;</w:t>
      </w:r>
      <w:r w:rsidR="0020107A" w:rsidRPr="002B4392">
        <w:rPr>
          <w:sz w:val="22"/>
          <w:szCs w:val="22"/>
        </w:rPr>
        <w:t xml:space="preserve"> e</w:t>
      </w:r>
      <w:r w:rsidR="006918DB">
        <w:rPr>
          <w:sz w:val="22"/>
          <w:szCs w:val="22"/>
        </w:rPr>
        <w:t xml:space="preserve"> prestação</w:t>
      </w:r>
      <w:r w:rsidR="0020107A" w:rsidRPr="002B4392">
        <w:rPr>
          <w:sz w:val="22"/>
          <w:szCs w:val="22"/>
        </w:rPr>
        <w:t xml:space="preserve"> </w:t>
      </w:r>
      <w:r w:rsidR="006918DB">
        <w:rPr>
          <w:sz w:val="22"/>
          <w:szCs w:val="22"/>
        </w:rPr>
        <w:t>d</w:t>
      </w:r>
      <w:r w:rsidR="0020107A" w:rsidRPr="002B4392">
        <w:rPr>
          <w:sz w:val="22"/>
          <w:szCs w:val="22"/>
        </w:rPr>
        <w:t>os</w:t>
      </w:r>
      <w:r w:rsidR="00696A89" w:rsidRPr="002B4392">
        <w:rPr>
          <w:sz w:val="22"/>
          <w:szCs w:val="22"/>
        </w:rPr>
        <w:t xml:space="preserve"> serviços especializados necessários</w:t>
      </w:r>
      <w:r w:rsidR="0020107A" w:rsidRPr="002B4392">
        <w:rPr>
          <w:sz w:val="22"/>
          <w:szCs w:val="22"/>
        </w:rPr>
        <w:t xml:space="preserve"> à manutenção de tal sistema (</w:t>
      </w:r>
      <w:r w:rsidR="00696A89" w:rsidRPr="002B4392">
        <w:rPr>
          <w:sz w:val="22"/>
          <w:szCs w:val="22"/>
        </w:rPr>
        <w:t>transferência de tecnologia, implantação do produto e sustentação do sistema nos hospitais</w:t>
      </w:r>
      <w:r w:rsidR="0020107A" w:rsidRPr="002B4392">
        <w:rPr>
          <w:sz w:val="22"/>
          <w:szCs w:val="22"/>
        </w:rPr>
        <w:t>)</w:t>
      </w:r>
      <w:r w:rsidR="00696A89" w:rsidRPr="002B4392">
        <w:rPr>
          <w:sz w:val="22"/>
          <w:szCs w:val="22"/>
        </w:rPr>
        <w:t>.</w:t>
      </w:r>
      <w:r w:rsidR="0020107A" w:rsidRPr="002B4392">
        <w:rPr>
          <w:sz w:val="22"/>
          <w:szCs w:val="22"/>
        </w:rPr>
        <w:t xml:space="preserve"> Ao refutar os argumentos apresentados pelo responsável, </w:t>
      </w:r>
      <w:r w:rsidR="00696A89" w:rsidRPr="002B4392">
        <w:rPr>
          <w:sz w:val="22"/>
          <w:szCs w:val="22"/>
        </w:rPr>
        <w:t xml:space="preserve">consistentes na eventual perda de qualidade dos serviços, </w:t>
      </w:r>
      <w:r w:rsidR="006918DB">
        <w:rPr>
          <w:sz w:val="22"/>
          <w:szCs w:val="22"/>
        </w:rPr>
        <w:t>se</w:t>
      </w:r>
      <w:r w:rsidR="0020107A" w:rsidRPr="002B4392">
        <w:rPr>
          <w:sz w:val="22"/>
          <w:szCs w:val="22"/>
        </w:rPr>
        <w:t xml:space="preserve"> licitados separadamente, o relator destacou existir no</w:t>
      </w:r>
      <w:r w:rsidR="00696A89" w:rsidRPr="002B4392">
        <w:rPr>
          <w:sz w:val="22"/>
          <w:szCs w:val="22"/>
        </w:rPr>
        <w:t xml:space="preserve"> mercado </w:t>
      </w:r>
      <w:r w:rsidR="0020107A" w:rsidRPr="002B4392">
        <w:rPr>
          <w:sz w:val="22"/>
          <w:szCs w:val="22"/>
        </w:rPr>
        <w:t>“</w:t>
      </w:r>
      <w:r w:rsidR="00696A89" w:rsidRPr="002B4392">
        <w:rPr>
          <w:i/>
          <w:sz w:val="22"/>
          <w:szCs w:val="22"/>
        </w:rPr>
        <w:t>amplo espectro de fornecedores, principalmente para os serviços de sustentação do sistema, tradicionalmente realizados pelas empresas de T</w:t>
      </w:r>
      <w:r w:rsidR="0020107A" w:rsidRPr="002B4392">
        <w:rPr>
          <w:i/>
          <w:sz w:val="22"/>
          <w:szCs w:val="22"/>
        </w:rPr>
        <w:t xml:space="preserve">ecnologia da </w:t>
      </w:r>
      <w:r w:rsidR="00696A89" w:rsidRPr="002B4392">
        <w:rPr>
          <w:i/>
          <w:sz w:val="22"/>
          <w:szCs w:val="22"/>
        </w:rPr>
        <w:t>I</w:t>
      </w:r>
      <w:r w:rsidR="0020107A" w:rsidRPr="002B4392">
        <w:rPr>
          <w:i/>
          <w:sz w:val="22"/>
          <w:szCs w:val="22"/>
        </w:rPr>
        <w:t>nformação</w:t>
      </w:r>
      <w:r w:rsidR="0020107A" w:rsidRPr="002B4392">
        <w:rPr>
          <w:sz w:val="22"/>
          <w:szCs w:val="22"/>
        </w:rPr>
        <w:t>”</w:t>
      </w:r>
      <w:r w:rsidR="00696A89" w:rsidRPr="002B4392">
        <w:rPr>
          <w:sz w:val="22"/>
          <w:szCs w:val="22"/>
        </w:rPr>
        <w:t>.</w:t>
      </w:r>
      <w:r w:rsidR="0020107A" w:rsidRPr="002B4392">
        <w:rPr>
          <w:sz w:val="22"/>
          <w:szCs w:val="22"/>
        </w:rPr>
        <w:t xml:space="preserve"> Para ele, “</w:t>
      </w:r>
      <w:r w:rsidR="00696A89" w:rsidRPr="002B4392">
        <w:rPr>
          <w:i/>
          <w:sz w:val="22"/>
          <w:szCs w:val="22"/>
        </w:rPr>
        <w:t>ao abranger na mesma adjudicação tanto o fornecimento do sistema como a prestação de todos os serviços correspondentes, criou-se uma situação de dependência tecnológica com a empresa vencedora da licitação</w:t>
      </w:r>
      <w:r w:rsidR="0020107A" w:rsidRPr="002B4392">
        <w:rPr>
          <w:sz w:val="22"/>
          <w:szCs w:val="22"/>
        </w:rPr>
        <w:t>”</w:t>
      </w:r>
      <w:r w:rsidR="00696A89" w:rsidRPr="002B4392">
        <w:rPr>
          <w:sz w:val="22"/>
          <w:szCs w:val="22"/>
        </w:rPr>
        <w:t xml:space="preserve">. </w:t>
      </w:r>
      <w:r>
        <w:rPr>
          <w:sz w:val="22"/>
          <w:szCs w:val="22"/>
        </w:rPr>
        <w:t>Ocorrera, assim, o não parcelamento do objeto, quando ele seria não só viável, mas imposto, por sua própria natureza. Por conseguinte</w:t>
      </w:r>
      <w:r w:rsidR="005635AD" w:rsidRPr="002B4392">
        <w:rPr>
          <w:sz w:val="22"/>
          <w:szCs w:val="22"/>
        </w:rPr>
        <w:t xml:space="preserve">, votou pelo não </w:t>
      </w:r>
      <w:r w:rsidR="00696A89" w:rsidRPr="002B4392">
        <w:rPr>
          <w:sz w:val="22"/>
          <w:szCs w:val="22"/>
        </w:rPr>
        <w:t>acolh</w:t>
      </w:r>
      <w:r w:rsidR="005635AD" w:rsidRPr="002B4392">
        <w:rPr>
          <w:sz w:val="22"/>
          <w:szCs w:val="22"/>
        </w:rPr>
        <w:t>imento</w:t>
      </w:r>
      <w:r w:rsidR="00696A89" w:rsidRPr="002B4392">
        <w:rPr>
          <w:sz w:val="22"/>
          <w:szCs w:val="22"/>
        </w:rPr>
        <w:t xml:space="preserve"> </w:t>
      </w:r>
      <w:r w:rsidR="005635AD" w:rsidRPr="002B4392">
        <w:rPr>
          <w:sz w:val="22"/>
          <w:szCs w:val="22"/>
        </w:rPr>
        <w:t>d</w:t>
      </w:r>
      <w:r w:rsidR="00696A89" w:rsidRPr="002B4392">
        <w:rPr>
          <w:sz w:val="22"/>
          <w:szCs w:val="22"/>
        </w:rPr>
        <w:t>a</w:t>
      </w:r>
      <w:r w:rsidR="005635AD" w:rsidRPr="002B4392">
        <w:rPr>
          <w:sz w:val="22"/>
          <w:szCs w:val="22"/>
        </w:rPr>
        <w:t xml:space="preserve">s justificativas do responsável, bem como pela aplicação de multa, no que foi acompanhado pelo Plenário. </w:t>
      </w:r>
      <w:r w:rsidR="00851D16" w:rsidRPr="002B4392">
        <w:rPr>
          <w:b/>
          <w:i/>
          <w:sz w:val="22"/>
          <w:szCs w:val="22"/>
        </w:rPr>
        <w:t>Acórdão n.º 3</w:t>
      </w:r>
      <w:r w:rsidR="00696A89" w:rsidRPr="002B4392">
        <w:rPr>
          <w:b/>
          <w:i/>
          <w:sz w:val="22"/>
          <w:szCs w:val="22"/>
        </w:rPr>
        <w:t>401</w:t>
      </w:r>
      <w:r w:rsidR="00851D16" w:rsidRPr="002B4392">
        <w:rPr>
          <w:b/>
          <w:i/>
          <w:sz w:val="22"/>
          <w:szCs w:val="22"/>
        </w:rPr>
        <w:t>/2010-Plenário, TC-0</w:t>
      </w:r>
      <w:r w:rsidR="00696A89" w:rsidRPr="002B4392">
        <w:rPr>
          <w:b/>
          <w:i/>
          <w:sz w:val="22"/>
          <w:szCs w:val="22"/>
        </w:rPr>
        <w:t>27</w:t>
      </w:r>
      <w:r w:rsidR="00851D16" w:rsidRPr="002B4392">
        <w:rPr>
          <w:b/>
          <w:i/>
          <w:sz w:val="22"/>
          <w:szCs w:val="22"/>
        </w:rPr>
        <w:t>.</w:t>
      </w:r>
      <w:r w:rsidR="00696A89" w:rsidRPr="002B4392">
        <w:rPr>
          <w:b/>
          <w:i/>
          <w:sz w:val="22"/>
          <w:szCs w:val="22"/>
        </w:rPr>
        <w:t>963</w:t>
      </w:r>
      <w:r w:rsidR="00851D16" w:rsidRPr="002B4392">
        <w:rPr>
          <w:b/>
          <w:i/>
          <w:sz w:val="22"/>
          <w:szCs w:val="22"/>
        </w:rPr>
        <w:t>/2009-</w:t>
      </w:r>
      <w:r w:rsidR="00696A89" w:rsidRPr="002B4392">
        <w:rPr>
          <w:b/>
          <w:i/>
          <w:sz w:val="22"/>
          <w:szCs w:val="22"/>
        </w:rPr>
        <w:t>2</w:t>
      </w:r>
      <w:r w:rsidR="00851D16" w:rsidRPr="002B4392">
        <w:rPr>
          <w:b/>
          <w:i/>
          <w:sz w:val="22"/>
          <w:szCs w:val="22"/>
        </w:rPr>
        <w:t xml:space="preserve">, rel. Min. </w:t>
      </w:r>
      <w:r w:rsidR="00696A89" w:rsidRPr="002B4392">
        <w:rPr>
          <w:b/>
          <w:i/>
          <w:sz w:val="22"/>
          <w:szCs w:val="22"/>
        </w:rPr>
        <w:t>José Jorge</w:t>
      </w:r>
      <w:r w:rsidR="00851D16" w:rsidRPr="002B4392">
        <w:rPr>
          <w:b/>
          <w:i/>
          <w:sz w:val="22"/>
          <w:szCs w:val="22"/>
        </w:rPr>
        <w:t>, 08.12.2010</w:t>
      </w:r>
      <w:r w:rsidR="00851D16" w:rsidRPr="002B4392">
        <w:rPr>
          <w:sz w:val="22"/>
          <w:szCs w:val="22"/>
        </w:rPr>
        <w:t>.</w:t>
      </w:r>
    </w:p>
    <w:p w:rsidR="00A239A8" w:rsidRPr="002B4392" w:rsidRDefault="00A239A8" w:rsidP="0055716D">
      <w:pPr>
        <w:pStyle w:val="enter-3pt"/>
        <w:spacing w:line="240" w:lineRule="auto"/>
        <w:rPr>
          <w:sz w:val="22"/>
          <w:szCs w:val="22"/>
        </w:rPr>
      </w:pPr>
    </w:p>
    <w:p w:rsidR="005A2D82" w:rsidRPr="002B4392" w:rsidRDefault="005A2D82" w:rsidP="005A2D82">
      <w:pPr>
        <w:pStyle w:val="indice"/>
        <w:spacing w:before="60" w:line="240" w:lineRule="auto"/>
        <w:rPr>
          <w:b/>
        </w:rPr>
      </w:pPr>
      <w:r w:rsidRPr="002B4392">
        <w:rPr>
          <w:b/>
        </w:rPr>
        <w:t>Co</w:t>
      </w:r>
      <w:r w:rsidR="002B6422" w:rsidRPr="002B4392">
        <w:rPr>
          <w:b/>
        </w:rPr>
        <w:t>nflito de</w:t>
      </w:r>
      <w:r w:rsidRPr="002B4392">
        <w:rPr>
          <w:b/>
        </w:rPr>
        <w:t xml:space="preserve"> regulamento próprio de licitações e contratos </w:t>
      </w:r>
      <w:r w:rsidR="002B6422" w:rsidRPr="002B4392">
        <w:rPr>
          <w:b/>
        </w:rPr>
        <w:t>de entidade da Administração Pública com disposições da</w:t>
      </w:r>
      <w:r w:rsidRPr="002B4392">
        <w:rPr>
          <w:b/>
        </w:rPr>
        <w:t xml:space="preserve"> Lei n.º 8.666/93</w:t>
      </w:r>
    </w:p>
    <w:p w:rsidR="00202EAD" w:rsidRPr="002B4392" w:rsidRDefault="00F57650" w:rsidP="00202EAD">
      <w:pPr>
        <w:pStyle w:val="Pargrafo"/>
        <w:jc w:val="both"/>
        <w:rPr>
          <w:sz w:val="22"/>
          <w:szCs w:val="22"/>
        </w:rPr>
      </w:pPr>
      <w:r w:rsidRPr="002B4392">
        <w:rPr>
          <w:sz w:val="22"/>
          <w:szCs w:val="22"/>
        </w:rPr>
        <w:t xml:space="preserve">Auditoria </w:t>
      </w:r>
      <w:r w:rsidR="000A62BD" w:rsidRPr="002B4392">
        <w:rPr>
          <w:sz w:val="22"/>
          <w:szCs w:val="22"/>
        </w:rPr>
        <w:t xml:space="preserve">foi </w:t>
      </w:r>
      <w:r w:rsidR="00202EAD" w:rsidRPr="002B4392">
        <w:rPr>
          <w:sz w:val="22"/>
          <w:szCs w:val="22"/>
        </w:rPr>
        <w:t>realizad</w:t>
      </w:r>
      <w:r w:rsidRPr="002B4392">
        <w:rPr>
          <w:sz w:val="22"/>
          <w:szCs w:val="22"/>
        </w:rPr>
        <w:t>a</w:t>
      </w:r>
      <w:r w:rsidR="00202EAD" w:rsidRPr="002B4392">
        <w:rPr>
          <w:sz w:val="22"/>
          <w:szCs w:val="22"/>
        </w:rPr>
        <w:t xml:space="preserve"> junto à Fundação Habitacional do Exército </w:t>
      </w:r>
      <w:r w:rsidR="000A62BD" w:rsidRPr="002B4392">
        <w:rPr>
          <w:sz w:val="22"/>
          <w:szCs w:val="22"/>
        </w:rPr>
        <w:t>–</w:t>
      </w:r>
      <w:r w:rsidR="00202EAD" w:rsidRPr="002B4392">
        <w:rPr>
          <w:sz w:val="22"/>
          <w:szCs w:val="22"/>
        </w:rPr>
        <w:t xml:space="preserve"> </w:t>
      </w:r>
      <w:r w:rsidR="000A62BD" w:rsidRPr="002B4392">
        <w:rPr>
          <w:sz w:val="22"/>
          <w:szCs w:val="22"/>
        </w:rPr>
        <w:t>(</w:t>
      </w:r>
      <w:r w:rsidR="00202EAD" w:rsidRPr="002B4392">
        <w:rPr>
          <w:sz w:val="22"/>
          <w:szCs w:val="22"/>
        </w:rPr>
        <w:t>FHE</w:t>
      </w:r>
      <w:r w:rsidR="000A62BD" w:rsidRPr="002B4392">
        <w:rPr>
          <w:sz w:val="22"/>
          <w:szCs w:val="22"/>
        </w:rPr>
        <w:t>)</w:t>
      </w:r>
      <w:r w:rsidR="00202EAD" w:rsidRPr="002B4392">
        <w:rPr>
          <w:sz w:val="22"/>
          <w:szCs w:val="22"/>
        </w:rPr>
        <w:t xml:space="preserve">, com a finalidade de </w:t>
      </w:r>
      <w:r w:rsidR="000A62BD" w:rsidRPr="002B4392">
        <w:rPr>
          <w:sz w:val="22"/>
          <w:szCs w:val="22"/>
        </w:rPr>
        <w:t>aferir</w:t>
      </w:r>
      <w:r w:rsidR="00202EAD" w:rsidRPr="002B4392">
        <w:rPr>
          <w:sz w:val="22"/>
          <w:szCs w:val="22"/>
        </w:rPr>
        <w:t xml:space="preserve"> a conformidade da incorporação e desincorporação de bens imóveis do Comando do Exército, extensivo à Fundação Habitacional do Exército - FHE, entre os exercícios de 2004 e 2007, bem como a necessidade de inclusão, ou não, da FHE na Lei Orçamentária Anual.</w:t>
      </w:r>
      <w:r w:rsidR="000A62BD" w:rsidRPr="002B4392">
        <w:rPr>
          <w:sz w:val="22"/>
          <w:szCs w:val="22"/>
        </w:rPr>
        <w:t xml:space="preserve"> No trabalho, a unidade técnica verificou a existência de </w:t>
      </w:r>
      <w:r w:rsidR="00A06137">
        <w:rPr>
          <w:sz w:val="22"/>
          <w:szCs w:val="22"/>
        </w:rPr>
        <w:t>r</w:t>
      </w:r>
      <w:r w:rsidR="00202EAD" w:rsidRPr="002B4392">
        <w:rPr>
          <w:sz w:val="22"/>
          <w:szCs w:val="22"/>
        </w:rPr>
        <w:t xml:space="preserve">egulamento </w:t>
      </w:r>
      <w:r w:rsidR="000A62BD" w:rsidRPr="002B4392">
        <w:rPr>
          <w:sz w:val="22"/>
          <w:szCs w:val="22"/>
        </w:rPr>
        <w:t xml:space="preserve">próprio </w:t>
      </w:r>
      <w:r w:rsidR="00A06137">
        <w:rPr>
          <w:sz w:val="22"/>
          <w:szCs w:val="22"/>
        </w:rPr>
        <w:t>de l</w:t>
      </w:r>
      <w:r w:rsidR="00202EAD" w:rsidRPr="002B4392">
        <w:rPr>
          <w:sz w:val="22"/>
          <w:szCs w:val="22"/>
        </w:rPr>
        <w:t xml:space="preserve">icitações e </w:t>
      </w:r>
      <w:r w:rsidR="00A06137">
        <w:rPr>
          <w:sz w:val="22"/>
          <w:szCs w:val="22"/>
        </w:rPr>
        <w:t>c</w:t>
      </w:r>
      <w:r w:rsidR="00202EAD" w:rsidRPr="002B4392">
        <w:rPr>
          <w:sz w:val="22"/>
          <w:szCs w:val="22"/>
        </w:rPr>
        <w:t xml:space="preserve">ontratos da FHE, </w:t>
      </w:r>
      <w:r w:rsidR="000A62BD" w:rsidRPr="002B4392">
        <w:rPr>
          <w:sz w:val="22"/>
          <w:szCs w:val="22"/>
        </w:rPr>
        <w:t>aprovado</w:t>
      </w:r>
      <w:r w:rsidR="00202EAD" w:rsidRPr="002B4392">
        <w:rPr>
          <w:sz w:val="22"/>
          <w:szCs w:val="22"/>
        </w:rPr>
        <w:t xml:space="preserve"> mediante a Portaria do Comandante do Exército </w:t>
      </w:r>
      <w:r w:rsidR="000A62BD" w:rsidRPr="002B4392">
        <w:rPr>
          <w:sz w:val="22"/>
          <w:szCs w:val="22"/>
        </w:rPr>
        <w:t xml:space="preserve">de nº </w:t>
      </w:r>
      <w:r w:rsidR="00202EAD" w:rsidRPr="002B4392">
        <w:rPr>
          <w:sz w:val="22"/>
          <w:szCs w:val="22"/>
        </w:rPr>
        <w:t xml:space="preserve">152/2007, </w:t>
      </w:r>
      <w:r w:rsidRPr="002B4392">
        <w:rPr>
          <w:sz w:val="22"/>
          <w:szCs w:val="22"/>
        </w:rPr>
        <w:t xml:space="preserve">com </w:t>
      </w:r>
      <w:r w:rsidR="00202EAD" w:rsidRPr="002B4392">
        <w:rPr>
          <w:sz w:val="22"/>
          <w:szCs w:val="22"/>
        </w:rPr>
        <w:t>disposições contr</w:t>
      </w:r>
      <w:r w:rsidRPr="002B4392">
        <w:rPr>
          <w:sz w:val="22"/>
          <w:szCs w:val="22"/>
        </w:rPr>
        <w:t>árias</w:t>
      </w:r>
      <w:r w:rsidR="00202EAD" w:rsidRPr="002B4392">
        <w:rPr>
          <w:sz w:val="22"/>
          <w:szCs w:val="22"/>
        </w:rPr>
        <w:t xml:space="preserve"> </w:t>
      </w:r>
      <w:r w:rsidRPr="002B4392">
        <w:rPr>
          <w:sz w:val="22"/>
          <w:szCs w:val="22"/>
        </w:rPr>
        <w:t>à</w:t>
      </w:r>
      <w:r w:rsidR="00202EAD" w:rsidRPr="002B4392">
        <w:rPr>
          <w:sz w:val="22"/>
          <w:szCs w:val="22"/>
        </w:rPr>
        <w:t xml:space="preserve"> Lei 8.666/93</w:t>
      </w:r>
      <w:r w:rsidR="000A62BD" w:rsidRPr="002B4392">
        <w:rPr>
          <w:sz w:val="22"/>
          <w:szCs w:val="22"/>
        </w:rPr>
        <w:t xml:space="preserve">. </w:t>
      </w:r>
      <w:r w:rsidRPr="002B4392">
        <w:rPr>
          <w:sz w:val="22"/>
          <w:szCs w:val="22"/>
        </w:rPr>
        <w:t>Em seu voto, o relator destacou que, “</w:t>
      </w:r>
      <w:r w:rsidR="00202EAD" w:rsidRPr="00A06137">
        <w:rPr>
          <w:i/>
          <w:sz w:val="22"/>
          <w:szCs w:val="22"/>
        </w:rPr>
        <w:t>o regulamento de licitações da FHE não pode contrariar a Lei 8.666/93, tendo em vista o que dispõe o art. 119 do referido diploma legal:</w:t>
      </w:r>
      <w:r w:rsidRPr="002B4392">
        <w:rPr>
          <w:sz w:val="22"/>
          <w:szCs w:val="22"/>
        </w:rPr>
        <w:t xml:space="preserve"> ‘</w:t>
      </w:r>
      <w:r w:rsidR="00202EAD" w:rsidRPr="002B4392">
        <w:rPr>
          <w:i/>
          <w:sz w:val="22"/>
          <w:szCs w:val="22"/>
        </w:rPr>
        <w:t xml:space="preserve">art. 119. As sociedades de economia mista, empresas e fundações públicas e demais entidades controladas direta ou indiretamente pela União e pelas entidades referidas no artigo anterior </w:t>
      </w:r>
      <w:r w:rsidR="00202EAD" w:rsidRPr="002B4392">
        <w:rPr>
          <w:i/>
          <w:sz w:val="22"/>
          <w:szCs w:val="22"/>
          <w:u w:val="single"/>
        </w:rPr>
        <w:t>editarão regulamentos próprios devidamente publicados, ficando sujeitas às disposições desta Lei</w:t>
      </w:r>
      <w:r w:rsidR="00202EAD" w:rsidRPr="002B4392">
        <w:rPr>
          <w:i/>
          <w:sz w:val="22"/>
          <w:szCs w:val="22"/>
        </w:rPr>
        <w:t>.</w:t>
      </w:r>
      <w:r w:rsidRPr="002B4392">
        <w:rPr>
          <w:i/>
          <w:sz w:val="22"/>
          <w:szCs w:val="22"/>
        </w:rPr>
        <w:t>’</w:t>
      </w:r>
      <w:r w:rsidRPr="002B4392">
        <w:rPr>
          <w:sz w:val="22"/>
          <w:szCs w:val="22"/>
        </w:rPr>
        <w:t xml:space="preserve"> (grifo do original). </w:t>
      </w:r>
      <w:r w:rsidR="00202EAD" w:rsidRPr="002B4392">
        <w:rPr>
          <w:i/>
          <w:sz w:val="22"/>
          <w:szCs w:val="22"/>
        </w:rPr>
        <w:t xml:space="preserve"> </w:t>
      </w:r>
      <w:r w:rsidRPr="002B4392">
        <w:rPr>
          <w:sz w:val="22"/>
          <w:szCs w:val="22"/>
        </w:rPr>
        <w:t xml:space="preserve">Desse modo, seria </w:t>
      </w:r>
      <w:r w:rsidR="00202EAD" w:rsidRPr="002B4392">
        <w:rPr>
          <w:sz w:val="22"/>
          <w:szCs w:val="22"/>
        </w:rPr>
        <w:t xml:space="preserve">necessário promover alterações no regulamento </w:t>
      </w:r>
      <w:r w:rsidR="00A06137">
        <w:rPr>
          <w:sz w:val="22"/>
          <w:szCs w:val="22"/>
        </w:rPr>
        <w:t xml:space="preserve">de licitações </w:t>
      </w:r>
      <w:r w:rsidR="00202EAD" w:rsidRPr="002B4392">
        <w:rPr>
          <w:sz w:val="22"/>
          <w:szCs w:val="22"/>
        </w:rPr>
        <w:t>da FHE</w:t>
      </w:r>
      <w:r w:rsidR="00A06137">
        <w:rPr>
          <w:sz w:val="22"/>
          <w:szCs w:val="22"/>
        </w:rPr>
        <w:t>,</w:t>
      </w:r>
      <w:r w:rsidR="00202EAD" w:rsidRPr="002B4392">
        <w:rPr>
          <w:sz w:val="22"/>
          <w:szCs w:val="22"/>
        </w:rPr>
        <w:t xml:space="preserve"> a fim de torná-lo consentâneo com as disposições da Lei 8.666/93</w:t>
      </w:r>
      <w:r w:rsidRPr="002B4392">
        <w:rPr>
          <w:sz w:val="22"/>
          <w:szCs w:val="22"/>
        </w:rPr>
        <w:t xml:space="preserve">. Todavia, entendeu que, </w:t>
      </w:r>
      <w:r w:rsidR="00202EAD" w:rsidRPr="002B4392">
        <w:rPr>
          <w:sz w:val="22"/>
          <w:szCs w:val="22"/>
        </w:rPr>
        <w:t>enquanto não fo</w:t>
      </w:r>
      <w:r w:rsidRPr="002B4392">
        <w:rPr>
          <w:sz w:val="22"/>
          <w:szCs w:val="22"/>
        </w:rPr>
        <w:t>sse</w:t>
      </w:r>
      <w:r w:rsidR="00202EAD" w:rsidRPr="002B4392">
        <w:rPr>
          <w:sz w:val="22"/>
          <w:szCs w:val="22"/>
        </w:rPr>
        <w:t xml:space="preserve"> editado o novo regulamento, </w:t>
      </w:r>
      <w:r w:rsidRPr="002B4392">
        <w:rPr>
          <w:sz w:val="22"/>
          <w:szCs w:val="22"/>
        </w:rPr>
        <w:t xml:space="preserve">com os ajustes necessários, </w:t>
      </w:r>
      <w:r w:rsidR="00202EAD" w:rsidRPr="002B4392">
        <w:rPr>
          <w:sz w:val="22"/>
          <w:szCs w:val="22"/>
        </w:rPr>
        <w:t>cabe</w:t>
      </w:r>
      <w:r w:rsidRPr="002B4392">
        <w:rPr>
          <w:sz w:val="22"/>
          <w:szCs w:val="22"/>
        </w:rPr>
        <w:t>ria</w:t>
      </w:r>
      <w:r w:rsidR="00202EAD" w:rsidRPr="002B4392">
        <w:rPr>
          <w:sz w:val="22"/>
          <w:szCs w:val="22"/>
        </w:rPr>
        <w:t xml:space="preserve"> determinar à </w:t>
      </w:r>
      <w:r w:rsidRPr="002B4392">
        <w:rPr>
          <w:sz w:val="22"/>
          <w:szCs w:val="22"/>
        </w:rPr>
        <w:t>FHE</w:t>
      </w:r>
      <w:r w:rsidR="00202EAD" w:rsidRPr="002B4392">
        <w:rPr>
          <w:sz w:val="22"/>
          <w:szCs w:val="22"/>
        </w:rPr>
        <w:t xml:space="preserve"> que</w:t>
      </w:r>
      <w:r w:rsidRPr="002B4392">
        <w:rPr>
          <w:sz w:val="22"/>
          <w:szCs w:val="22"/>
        </w:rPr>
        <w:t>,</w:t>
      </w:r>
      <w:r w:rsidR="00202EAD" w:rsidRPr="002B4392">
        <w:rPr>
          <w:sz w:val="22"/>
          <w:szCs w:val="22"/>
        </w:rPr>
        <w:t xml:space="preserve"> </w:t>
      </w:r>
      <w:r w:rsidRPr="002B4392">
        <w:rPr>
          <w:sz w:val="22"/>
          <w:szCs w:val="22"/>
        </w:rPr>
        <w:t>“</w:t>
      </w:r>
      <w:r w:rsidR="00202EAD" w:rsidRPr="002B4392">
        <w:rPr>
          <w:i/>
          <w:sz w:val="22"/>
          <w:szCs w:val="22"/>
        </w:rPr>
        <w:t>não aplique os dispositivos do regulamento vigente que contrariam a Lei 8.666/93, devendo, em substituição a tais dispositivos, ser aplicadas as disposições da referida lei</w:t>
      </w:r>
      <w:r w:rsidRPr="002B4392">
        <w:rPr>
          <w:sz w:val="22"/>
          <w:szCs w:val="22"/>
        </w:rPr>
        <w:t>”</w:t>
      </w:r>
      <w:r w:rsidR="00202EAD" w:rsidRPr="002B4392">
        <w:rPr>
          <w:sz w:val="22"/>
          <w:szCs w:val="22"/>
        </w:rPr>
        <w:t xml:space="preserve">. </w:t>
      </w:r>
      <w:r w:rsidRPr="002B4392">
        <w:rPr>
          <w:sz w:val="22"/>
          <w:szCs w:val="22"/>
        </w:rPr>
        <w:t>N</w:t>
      </w:r>
      <w:r w:rsidR="00202EAD" w:rsidRPr="002B4392">
        <w:rPr>
          <w:sz w:val="22"/>
          <w:szCs w:val="22"/>
        </w:rPr>
        <w:t xml:space="preserve">o tocante aos dispositivos regulamentares consentâneos com a Lei de Licitações, </w:t>
      </w:r>
      <w:r w:rsidRPr="002B4392">
        <w:rPr>
          <w:sz w:val="22"/>
          <w:szCs w:val="22"/>
        </w:rPr>
        <w:t xml:space="preserve">ainda para o relator, </w:t>
      </w:r>
      <w:r w:rsidR="00202EAD" w:rsidRPr="002B4392">
        <w:rPr>
          <w:sz w:val="22"/>
          <w:szCs w:val="22"/>
        </w:rPr>
        <w:t>não h</w:t>
      </w:r>
      <w:r w:rsidRPr="002B4392">
        <w:rPr>
          <w:sz w:val="22"/>
          <w:szCs w:val="22"/>
        </w:rPr>
        <w:t>averia</w:t>
      </w:r>
      <w:r w:rsidR="00202EAD" w:rsidRPr="002B4392">
        <w:rPr>
          <w:sz w:val="22"/>
          <w:szCs w:val="22"/>
        </w:rPr>
        <w:t xml:space="preserve"> óbice </w:t>
      </w:r>
      <w:r w:rsidRPr="002B4392">
        <w:rPr>
          <w:sz w:val="22"/>
          <w:szCs w:val="22"/>
        </w:rPr>
        <w:t xml:space="preserve">algum </w:t>
      </w:r>
      <w:r w:rsidR="00202EAD" w:rsidRPr="002B4392">
        <w:rPr>
          <w:sz w:val="22"/>
          <w:szCs w:val="22"/>
        </w:rPr>
        <w:t>em continuar a aplicá-los.</w:t>
      </w:r>
      <w:r w:rsidRPr="002B4392">
        <w:rPr>
          <w:sz w:val="22"/>
          <w:szCs w:val="22"/>
        </w:rPr>
        <w:t xml:space="preserve"> Por conseguinte, propôs, e o Plenário</w:t>
      </w:r>
      <w:r w:rsidR="00A06137">
        <w:rPr>
          <w:sz w:val="22"/>
          <w:szCs w:val="22"/>
        </w:rPr>
        <w:t xml:space="preserve"> acatou</w:t>
      </w:r>
      <w:r w:rsidRPr="002B4392">
        <w:rPr>
          <w:sz w:val="22"/>
          <w:szCs w:val="22"/>
        </w:rPr>
        <w:t>, determina</w:t>
      </w:r>
      <w:r w:rsidR="00A06137">
        <w:rPr>
          <w:sz w:val="22"/>
          <w:szCs w:val="22"/>
        </w:rPr>
        <w:t>r</w:t>
      </w:r>
      <w:r w:rsidRPr="002B4392">
        <w:rPr>
          <w:sz w:val="22"/>
          <w:szCs w:val="22"/>
        </w:rPr>
        <w:t xml:space="preserve"> </w:t>
      </w:r>
      <w:r w:rsidR="002B6422" w:rsidRPr="002B4392">
        <w:rPr>
          <w:sz w:val="22"/>
          <w:szCs w:val="22"/>
        </w:rPr>
        <w:t>ao Comando do Exército que instituísse “</w:t>
      </w:r>
      <w:r w:rsidR="00202EAD" w:rsidRPr="002B4392">
        <w:rPr>
          <w:i/>
          <w:sz w:val="22"/>
          <w:szCs w:val="22"/>
        </w:rPr>
        <w:t>no prazo de cento e vinte dias, contados a partir da ciência, novo regulamento de licitações e contratos para a Fundação Habitacional do Exército escoimado de dispositivos que contrariem as disposições da Lei 8.666/93, dotando-o de mecanismos aptos a garantir que as licitações e contratações que envolvam os recursos originados das permutas de bens efetuadas com o Comando do Exército sejam processadas em integral conformidade com o disposto na referida lei</w:t>
      </w:r>
      <w:r w:rsidR="002B6422" w:rsidRPr="002B4392">
        <w:rPr>
          <w:sz w:val="22"/>
          <w:szCs w:val="22"/>
        </w:rPr>
        <w:t xml:space="preserve">”. </w:t>
      </w:r>
      <w:r w:rsidR="00202EAD" w:rsidRPr="002B4392">
        <w:rPr>
          <w:b/>
          <w:i/>
          <w:sz w:val="22"/>
          <w:szCs w:val="22"/>
        </w:rPr>
        <w:t>Acórdão n.º 3410/2010-Plenário, TC-028.066/2007-3, rel. Min-Subst. Augusto Sherman Cavalcanti, 08.12.2010</w:t>
      </w:r>
      <w:r w:rsidR="00202EAD" w:rsidRPr="002B4392">
        <w:rPr>
          <w:sz w:val="22"/>
          <w:szCs w:val="22"/>
        </w:rPr>
        <w:t>.</w:t>
      </w:r>
    </w:p>
    <w:p w:rsidR="0055716D" w:rsidRPr="00337E16" w:rsidRDefault="0055716D" w:rsidP="0055716D">
      <w:pPr>
        <w:pStyle w:val="enter-3pt"/>
        <w:spacing w:line="240" w:lineRule="auto"/>
        <w:rPr>
          <w:sz w:val="22"/>
          <w:szCs w:val="22"/>
        </w:rPr>
      </w:pPr>
    </w:p>
    <w:p w:rsidR="0055716D" w:rsidRPr="00337E16" w:rsidRDefault="0055716D" w:rsidP="0055716D">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PRIMEIRA</w:t>
      </w:r>
      <w:r w:rsidRPr="00337E16">
        <w:rPr>
          <w:rFonts w:ascii="Cambria" w:hAnsi="Cambria"/>
          <w:b/>
          <w:bCs/>
          <w:smallCaps/>
          <w:sz w:val="22"/>
          <w:szCs w:val="22"/>
        </w:rPr>
        <w:t xml:space="preserve"> CÂMARA</w:t>
      </w:r>
    </w:p>
    <w:p w:rsidR="0055716D" w:rsidRPr="00337E16" w:rsidRDefault="0055716D" w:rsidP="0055716D">
      <w:pPr>
        <w:pStyle w:val="Pargrafo"/>
        <w:jc w:val="both"/>
        <w:rPr>
          <w:b/>
          <w:sz w:val="22"/>
          <w:szCs w:val="22"/>
        </w:rPr>
      </w:pPr>
    </w:p>
    <w:p w:rsidR="0055716D" w:rsidRPr="00BD1747" w:rsidRDefault="00BD1747" w:rsidP="0055716D">
      <w:pPr>
        <w:pStyle w:val="Pargrafo"/>
        <w:jc w:val="both"/>
        <w:rPr>
          <w:b/>
          <w:sz w:val="22"/>
          <w:szCs w:val="22"/>
        </w:rPr>
      </w:pPr>
      <w:r w:rsidRPr="00BD1747">
        <w:rPr>
          <w:b/>
          <w:sz w:val="22"/>
          <w:szCs w:val="22"/>
        </w:rPr>
        <w:t>Alteração contratual sem caracterização do “jogo de planilha”: presunção relativa de desequilíbrio econômico-financeiro do contrato</w:t>
      </w:r>
    </w:p>
    <w:p w:rsidR="00BD1747" w:rsidRPr="00202EAD" w:rsidRDefault="002B6422" w:rsidP="00BD1747">
      <w:pPr>
        <w:pStyle w:val="Pargrafo"/>
        <w:jc w:val="both"/>
        <w:rPr>
          <w:sz w:val="22"/>
          <w:szCs w:val="22"/>
          <w:lang w:val="en-US"/>
        </w:rPr>
      </w:pPr>
      <w:r>
        <w:rPr>
          <w:sz w:val="22"/>
          <w:szCs w:val="22"/>
        </w:rPr>
        <w:t>Em sede de processo de representação, foram</w:t>
      </w:r>
      <w:r w:rsidR="00BD1747" w:rsidRPr="00BD1747">
        <w:rPr>
          <w:sz w:val="22"/>
          <w:szCs w:val="22"/>
        </w:rPr>
        <w:t xml:space="preserve"> noticia</w:t>
      </w:r>
      <w:r>
        <w:rPr>
          <w:sz w:val="22"/>
          <w:szCs w:val="22"/>
        </w:rPr>
        <w:t>das</w:t>
      </w:r>
      <w:r w:rsidR="00BD1747" w:rsidRPr="00BD1747">
        <w:rPr>
          <w:sz w:val="22"/>
          <w:szCs w:val="22"/>
        </w:rPr>
        <w:t xml:space="preserve"> possíveis irregularidades em obras de asfaltamento da BR-101</w:t>
      </w:r>
      <w:r w:rsidR="00A06137">
        <w:rPr>
          <w:sz w:val="22"/>
          <w:szCs w:val="22"/>
        </w:rPr>
        <w:t>,</w:t>
      </w:r>
      <w:r w:rsidR="00BD1747" w:rsidRPr="00BD1747">
        <w:rPr>
          <w:sz w:val="22"/>
          <w:szCs w:val="22"/>
        </w:rPr>
        <w:t xml:space="preserve"> situada</w:t>
      </w:r>
      <w:r w:rsidR="00A06137">
        <w:rPr>
          <w:sz w:val="22"/>
          <w:szCs w:val="22"/>
        </w:rPr>
        <w:t>s</w:t>
      </w:r>
      <w:r w:rsidR="00BD1747" w:rsidRPr="00BD1747">
        <w:rPr>
          <w:sz w:val="22"/>
          <w:szCs w:val="22"/>
        </w:rPr>
        <w:t xml:space="preserve"> entre as localidades de Estreito e Bujurú, e nas obras relativas ao trecho Bujurú-Tavares.</w:t>
      </w:r>
      <w:r>
        <w:rPr>
          <w:sz w:val="22"/>
          <w:szCs w:val="22"/>
        </w:rPr>
        <w:t xml:space="preserve"> De acordo com a unidade instrutiva</w:t>
      </w:r>
      <w:r w:rsidR="00BD1747" w:rsidRPr="00BD1747">
        <w:rPr>
          <w:sz w:val="22"/>
          <w:szCs w:val="22"/>
        </w:rPr>
        <w:t xml:space="preserve">, a modificação efetuada pelos termos aditivos representaria prejuízo para a Administração, </w:t>
      </w:r>
      <w:r>
        <w:rPr>
          <w:sz w:val="22"/>
          <w:szCs w:val="22"/>
        </w:rPr>
        <w:t>pois</w:t>
      </w:r>
      <w:r w:rsidR="00BD1747" w:rsidRPr="00BD1747">
        <w:rPr>
          <w:sz w:val="22"/>
          <w:szCs w:val="22"/>
        </w:rPr>
        <w:t xml:space="preserve"> retir</w:t>
      </w:r>
      <w:r w:rsidR="00A06137">
        <w:rPr>
          <w:sz w:val="22"/>
          <w:szCs w:val="22"/>
        </w:rPr>
        <w:t>ara</w:t>
      </w:r>
      <w:r w:rsidR="00BD1747" w:rsidRPr="00BD1747">
        <w:rPr>
          <w:sz w:val="22"/>
          <w:szCs w:val="22"/>
        </w:rPr>
        <w:t xml:space="preserve"> da proposta da empresa contratada a vantagem comparativa que lhe assegurou a vitó</w:t>
      </w:r>
      <w:r>
        <w:rPr>
          <w:sz w:val="22"/>
          <w:szCs w:val="22"/>
        </w:rPr>
        <w:t xml:space="preserve">ria no procedimento licitatório. Para </w:t>
      </w:r>
      <w:r w:rsidR="00A06137">
        <w:rPr>
          <w:sz w:val="22"/>
          <w:szCs w:val="22"/>
        </w:rPr>
        <w:t>a unidade técnica</w:t>
      </w:r>
      <w:r>
        <w:rPr>
          <w:sz w:val="22"/>
          <w:szCs w:val="22"/>
        </w:rPr>
        <w:t xml:space="preserve">, com </w:t>
      </w:r>
      <w:r w:rsidR="00BD1747" w:rsidRPr="00BD1747">
        <w:rPr>
          <w:sz w:val="22"/>
          <w:szCs w:val="22"/>
        </w:rPr>
        <w:t>a supressão ou redução de quantitativos de itens com preços unitários que seriam favoráveis à Administração, teriam sobressaído, com maior preço relativo na planilha orçamentária, itens com custos unitários mais onerosos aos cofres públicos, o que tornaria patente o desequilíbrio da relação contratual em detrimento da Administração</w:t>
      </w:r>
      <w:r w:rsidR="00577891">
        <w:rPr>
          <w:sz w:val="22"/>
          <w:szCs w:val="22"/>
        </w:rPr>
        <w:t>. Essa realidade implicaria</w:t>
      </w:r>
      <w:r w:rsidR="00BD1747" w:rsidRPr="00BD1747">
        <w:rPr>
          <w:sz w:val="22"/>
          <w:szCs w:val="22"/>
        </w:rPr>
        <w:t xml:space="preserve"> a perda da vantagem comparativa da proposta</w:t>
      </w:r>
      <w:r w:rsidR="00577891">
        <w:rPr>
          <w:sz w:val="22"/>
          <w:szCs w:val="22"/>
        </w:rPr>
        <w:t xml:space="preserve"> da licitante</w:t>
      </w:r>
      <w:r w:rsidR="00BD1747" w:rsidRPr="00BD1747">
        <w:rPr>
          <w:sz w:val="22"/>
          <w:szCs w:val="22"/>
        </w:rPr>
        <w:t xml:space="preserve">, que deixaria de ser a melhor classificada em </w:t>
      </w:r>
      <w:r w:rsidR="00B21343">
        <w:rPr>
          <w:sz w:val="22"/>
          <w:szCs w:val="22"/>
        </w:rPr>
        <w:t>relação aos outros concorrentes. No voto, o relator destacou que “</w:t>
      </w:r>
      <w:r w:rsidR="00B21343" w:rsidRPr="00B21343">
        <w:rPr>
          <w:i/>
          <w:sz w:val="22"/>
          <w:szCs w:val="22"/>
        </w:rPr>
        <w:t>o</w:t>
      </w:r>
      <w:r w:rsidR="00BD1747" w:rsidRPr="00B21343">
        <w:rPr>
          <w:i/>
          <w:sz w:val="22"/>
          <w:szCs w:val="22"/>
        </w:rPr>
        <w:t xml:space="preserve"> jogo de planilha se concretiza por meio de aditivos contratuais em que se verifique a ocorrência de ato culposo ou doloso do agente público prejudicial ao erário</w:t>
      </w:r>
      <w:r w:rsidR="00B21343">
        <w:rPr>
          <w:sz w:val="22"/>
          <w:szCs w:val="22"/>
        </w:rPr>
        <w:t>”</w:t>
      </w:r>
      <w:r w:rsidR="00BD1747" w:rsidRPr="00BD1747">
        <w:rPr>
          <w:sz w:val="22"/>
          <w:szCs w:val="22"/>
        </w:rPr>
        <w:t>.</w:t>
      </w:r>
      <w:r w:rsidR="00B21343">
        <w:rPr>
          <w:sz w:val="22"/>
          <w:szCs w:val="22"/>
        </w:rPr>
        <w:t xml:space="preserve"> Todavia, haveria situações em que “</w:t>
      </w:r>
      <w:r w:rsidR="00B21343" w:rsidRPr="00325246">
        <w:rPr>
          <w:i/>
          <w:sz w:val="22"/>
          <w:szCs w:val="22"/>
        </w:rPr>
        <w:t xml:space="preserve">as modificações </w:t>
      </w:r>
      <w:r w:rsidR="00BD1747" w:rsidRPr="00325246">
        <w:rPr>
          <w:i/>
          <w:sz w:val="22"/>
          <w:szCs w:val="22"/>
        </w:rPr>
        <w:t>contratuais são tecnicamente justificáveis e necessárias, realizadas para promover o interesse público e não para proporcionar ganhos ilegítimos para a contratada</w:t>
      </w:r>
      <w:r w:rsidR="00325246">
        <w:rPr>
          <w:sz w:val="22"/>
          <w:szCs w:val="22"/>
        </w:rPr>
        <w:t>”</w:t>
      </w:r>
      <w:r w:rsidR="00BD1747" w:rsidRPr="00BD1747">
        <w:rPr>
          <w:sz w:val="22"/>
          <w:szCs w:val="22"/>
        </w:rPr>
        <w:t>.</w:t>
      </w:r>
      <w:r w:rsidR="00325246">
        <w:rPr>
          <w:sz w:val="22"/>
          <w:szCs w:val="22"/>
        </w:rPr>
        <w:t xml:space="preserve"> </w:t>
      </w:r>
      <w:r w:rsidR="00BD1747" w:rsidRPr="00BD1747">
        <w:rPr>
          <w:sz w:val="22"/>
          <w:szCs w:val="22"/>
        </w:rPr>
        <w:t>N</w:t>
      </w:r>
      <w:r w:rsidR="00325246">
        <w:rPr>
          <w:sz w:val="22"/>
          <w:szCs w:val="22"/>
        </w:rPr>
        <w:t>a espécie</w:t>
      </w:r>
      <w:r w:rsidR="00BD1747" w:rsidRPr="00BD1747">
        <w:rPr>
          <w:sz w:val="22"/>
          <w:szCs w:val="22"/>
        </w:rPr>
        <w:t xml:space="preserve">, as modificações contratuais </w:t>
      </w:r>
      <w:r w:rsidR="00325246">
        <w:rPr>
          <w:sz w:val="22"/>
          <w:szCs w:val="22"/>
        </w:rPr>
        <w:t>s</w:t>
      </w:r>
      <w:r w:rsidR="00BD1747" w:rsidRPr="00BD1747">
        <w:rPr>
          <w:sz w:val="22"/>
          <w:szCs w:val="22"/>
        </w:rPr>
        <w:t>er</w:t>
      </w:r>
      <w:r w:rsidR="00325246">
        <w:rPr>
          <w:sz w:val="22"/>
          <w:szCs w:val="22"/>
        </w:rPr>
        <w:t>i</w:t>
      </w:r>
      <w:r w:rsidR="00BD1747" w:rsidRPr="00BD1747">
        <w:rPr>
          <w:sz w:val="22"/>
          <w:szCs w:val="22"/>
        </w:rPr>
        <w:t>am justificáveis tecnicamente</w:t>
      </w:r>
      <w:r w:rsidR="00325246">
        <w:rPr>
          <w:sz w:val="22"/>
          <w:szCs w:val="22"/>
        </w:rPr>
        <w:t xml:space="preserve">, </w:t>
      </w:r>
      <w:r w:rsidR="00BD1747" w:rsidRPr="00BD1747">
        <w:rPr>
          <w:sz w:val="22"/>
          <w:szCs w:val="22"/>
        </w:rPr>
        <w:t>est</w:t>
      </w:r>
      <w:r w:rsidR="00BD1747">
        <w:rPr>
          <w:sz w:val="22"/>
          <w:szCs w:val="22"/>
        </w:rPr>
        <w:t>a</w:t>
      </w:r>
      <w:r w:rsidR="00325246">
        <w:rPr>
          <w:sz w:val="22"/>
          <w:szCs w:val="22"/>
        </w:rPr>
        <w:t>ndo</w:t>
      </w:r>
      <w:r w:rsidR="00BD1747">
        <w:rPr>
          <w:sz w:val="22"/>
          <w:szCs w:val="22"/>
        </w:rPr>
        <w:t xml:space="preserve"> devidamente fundamentadas.</w:t>
      </w:r>
      <w:r w:rsidR="00325246">
        <w:rPr>
          <w:sz w:val="22"/>
          <w:szCs w:val="22"/>
        </w:rPr>
        <w:t xml:space="preserve"> </w:t>
      </w:r>
      <w:r w:rsidR="00BD1747" w:rsidRPr="00BD1747">
        <w:rPr>
          <w:sz w:val="22"/>
          <w:szCs w:val="22"/>
        </w:rPr>
        <w:t xml:space="preserve">Não </w:t>
      </w:r>
      <w:r w:rsidR="00325246">
        <w:rPr>
          <w:sz w:val="22"/>
          <w:szCs w:val="22"/>
        </w:rPr>
        <w:t>teriam</w:t>
      </w:r>
      <w:r w:rsidR="00BD1747" w:rsidRPr="00BD1747">
        <w:rPr>
          <w:sz w:val="22"/>
          <w:szCs w:val="22"/>
        </w:rPr>
        <w:t xml:space="preserve"> </w:t>
      </w:r>
      <w:r w:rsidR="00325246">
        <w:rPr>
          <w:sz w:val="22"/>
          <w:szCs w:val="22"/>
        </w:rPr>
        <w:t xml:space="preserve">sido </w:t>
      </w:r>
      <w:r w:rsidR="00BD1747" w:rsidRPr="00BD1747">
        <w:rPr>
          <w:sz w:val="22"/>
          <w:szCs w:val="22"/>
        </w:rPr>
        <w:t>evidenciados</w:t>
      </w:r>
      <w:r w:rsidR="00325246">
        <w:rPr>
          <w:sz w:val="22"/>
          <w:szCs w:val="22"/>
        </w:rPr>
        <w:t>,</w:t>
      </w:r>
      <w:r w:rsidR="00BD1747" w:rsidRPr="00BD1747">
        <w:rPr>
          <w:sz w:val="22"/>
          <w:szCs w:val="22"/>
        </w:rPr>
        <w:t xml:space="preserve"> nos autos</w:t>
      </w:r>
      <w:r w:rsidR="00325246">
        <w:rPr>
          <w:sz w:val="22"/>
          <w:szCs w:val="22"/>
        </w:rPr>
        <w:t>,</w:t>
      </w:r>
      <w:r w:rsidR="00BD1747" w:rsidRPr="00BD1747">
        <w:rPr>
          <w:sz w:val="22"/>
          <w:szCs w:val="22"/>
        </w:rPr>
        <w:t xml:space="preserve"> </w:t>
      </w:r>
      <w:r w:rsidR="00325246">
        <w:rPr>
          <w:sz w:val="22"/>
          <w:szCs w:val="22"/>
        </w:rPr>
        <w:t>“</w:t>
      </w:r>
      <w:r w:rsidR="00BD1747" w:rsidRPr="00325246">
        <w:rPr>
          <w:i/>
          <w:sz w:val="22"/>
          <w:szCs w:val="22"/>
        </w:rPr>
        <w:t>intuitos, atos ou procedimentos visando, mediante ardil ou qualquer subterfúgio urdido pelas partes, alterar, em favor da contratada, as condições econômico-financeiras originalmente estabelecidas</w:t>
      </w:r>
      <w:r w:rsidR="00325246">
        <w:rPr>
          <w:sz w:val="22"/>
          <w:szCs w:val="22"/>
        </w:rPr>
        <w:t>”</w:t>
      </w:r>
      <w:r w:rsidR="00BD1747" w:rsidRPr="00BD1747">
        <w:rPr>
          <w:sz w:val="22"/>
          <w:szCs w:val="22"/>
        </w:rPr>
        <w:t xml:space="preserve">. </w:t>
      </w:r>
      <w:r w:rsidR="00325246">
        <w:rPr>
          <w:sz w:val="22"/>
          <w:szCs w:val="22"/>
        </w:rPr>
        <w:t>Não teria ocorrido, em consequência, a prática condenável do “jogo de planilhas”, apesar de “</w:t>
      </w:r>
      <w:r w:rsidR="00BD1747" w:rsidRPr="00325246">
        <w:rPr>
          <w:i/>
          <w:sz w:val="22"/>
          <w:szCs w:val="22"/>
        </w:rPr>
        <w:t>evidenciado que as modificações procedidas podem ter favorecido a contratada</w:t>
      </w:r>
      <w:r w:rsidR="00325246">
        <w:rPr>
          <w:sz w:val="22"/>
          <w:szCs w:val="22"/>
        </w:rPr>
        <w:t>”</w:t>
      </w:r>
      <w:r w:rsidR="00BD1747" w:rsidRPr="00BD1747">
        <w:rPr>
          <w:sz w:val="22"/>
          <w:szCs w:val="22"/>
        </w:rPr>
        <w:t>.</w:t>
      </w:r>
      <w:r w:rsidR="00325246">
        <w:rPr>
          <w:sz w:val="22"/>
          <w:szCs w:val="22"/>
        </w:rPr>
        <w:t xml:space="preserve"> Restaria apurar, então, “</w:t>
      </w:r>
      <w:r w:rsidR="00BD1747" w:rsidRPr="00325246">
        <w:rPr>
          <w:i/>
          <w:sz w:val="22"/>
          <w:szCs w:val="22"/>
        </w:rPr>
        <w:t>se alterações promovidas pela Administração, no interesse público, legítimas, e que resultem favoráveis à contratada, como as que aqui se discute, sempre teriam o condão de obrigar as partes à revisão das cláusulas econômico-financeiras do contrato para que se mantivesse o equilíbrio contratual inicialmente pactuado, com base no art. 58, § 2º, da Lei nº 8.666/1993</w:t>
      </w:r>
      <w:r w:rsidR="00325246">
        <w:rPr>
          <w:sz w:val="22"/>
          <w:szCs w:val="22"/>
        </w:rPr>
        <w:t>”</w:t>
      </w:r>
      <w:r w:rsidR="00BD1747" w:rsidRPr="00BD1747">
        <w:rPr>
          <w:sz w:val="22"/>
          <w:szCs w:val="22"/>
        </w:rPr>
        <w:t xml:space="preserve">. </w:t>
      </w:r>
      <w:r w:rsidR="00325246">
        <w:rPr>
          <w:sz w:val="22"/>
          <w:szCs w:val="22"/>
        </w:rPr>
        <w:t xml:space="preserve">A esse respeito, o relator, com </w:t>
      </w:r>
      <w:r w:rsidR="00731409">
        <w:rPr>
          <w:sz w:val="22"/>
          <w:szCs w:val="22"/>
        </w:rPr>
        <w:t>base em julgado proferido pelo Tribunal, destacou que “</w:t>
      </w:r>
      <w:r w:rsidR="00BD1747" w:rsidRPr="00BD1747">
        <w:rPr>
          <w:i/>
          <w:sz w:val="22"/>
          <w:szCs w:val="22"/>
        </w:rPr>
        <w:t>a aferição da eventual redução ou supressão do desconto sobre o orçamento-base, após alterações contratuais, gera a presunção de possível desequilíbrio econômico-financeiro, a ser completa e cabalmente confirmado ou refutado pela Administração, oferecendo-se ampla oportunidade de manifestação da contratada</w:t>
      </w:r>
      <w:r w:rsidR="00731409">
        <w:rPr>
          <w:i/>
          <w:sz w:val="22"/>
          <w:szCs w:val="22"/>
        </w:rPr>
        <w:t xml:space="preserve"> </w:t>
      </w:r>
      <w:r w:rsidR="00731409">
        <w:rPr>
          <w:sz w:val="22"/>
          <w:szCs w:val="22"/>
        </w:rPr>
        <w:t xml:space="preserve">(...) </w:t>
      </w:r>
      <w:r w:rsidR="00BD1747" w:rsidRPr="00BD1747">
        <w:rPr>
          <w:i/>
          <w:sz w:val="22"/>
          <w:szCs w:val="22"/>
        </w:rPr>
        <w:t>Se da modificação supressiva ou redutiva, tecnicamente justificável, resultar nova configuração de proposta que, à época da licitação, não seria a mais economicamente vantajosa, esse fato não constitui motivo suficiente para impor, direta e imediatamente, ônus à empresa contratada resultante dessa alteração. Isso servirá apenas como presunção relativa do desequilíbrio, a ser cabalmente examinada</w:t>
      </w:r>
      <w:r w:rsidR="00731409">
        <w:rPr>
          <w:i/>
          <w:sz w:val="22"/>
          <w:szCs w:val="22"/>
        </w:rPr>
        <w:t>”</w:t>
      </w:r>
      <w:r w:rsidR="00BD1747" w:rsidRPr="00731409">
        <w:rPr>
          <w:sz w:val="22"/>
          <w:szCs w:val="22"/>
        </w:rPr>
        <w:t>.</w:t>
      </w:r>
      <w:r w:rsidR="00731409">
        <w:rPr>
          <w:i/>
          <w:sz w:val="22"/>
          <w:szCs w:val="22"/>
        </w:rPr>
        <w:t xml:space="preserve"> </w:t>
      </w:r>
      <w:r w:rsidR="00731409">
        <w:rPr>
          <w:sz w:val="22"/>
          <w:szCs w:val="22"/>
        </w:rPr>
        <w:t>No presente caso</w:t>
      </w:r>
      <w:r w:rsidR="00BD1747" w:rsidRPr="00BD1747">
        <w:rPr>
          <w:sz w:val="22"/>
          <w:szCs w:val="22"/>
        </w:rPr>
        <w:t>, além de tecnicamente justificada, a própria unidade técnica</w:t>
      </w:r>
      <w:r w:rsidR="00731409">
        <w:rPr>
          <w:sz w:val="22"/>
          <w:szCs w:val="22"/>
        </w:rPr>
        <w:t>, na opinião do relator,</w:t>
      </w:r>
      <w:r w:rsidR="00BD1747" w:rsidRPr="00BD1747">
        <w:rPr>
          <w:sz w:val="22"/>
          <w:szCs w:val="22"/>
        </w:rPr>
        <w:t xml:space="preserve"> conclui</w:t>
      </w:r>
      <w:r w:rsidR="00731409">
        <w:rPr>
          <w:sz w:val="22"/>
          <w:szCs w:val="22"/>
        </w:rPr>
        <w:t>u</w:t>
      </w:r>
      <w:r w:rsidR="00BD1747" w:rsidRPr="00BD1747">
        <w:rPr>
          <w:sz w:val="22"/>
          <w:szCs w:val="22"/>
        </w:rPr>
        <w:t xml:space="preserve"> que "</w:t>
      </w:r>
      <w:r w:rsidR="00BD1747" w:rsidRPr="00731409">
        <w:rPr>
          <w:i/>
          <w:sz w:val="22"/>
          <w:szCs w:val="22"/>
        </w:rPr>
        <w:t>a revisão de projeto determinada por este Tribunal mostrou-se tecnicamente vantajosa ao permitir a execução da obra sem as habituais paralisações para a solução de problemas decorrentes de falhas de projeto, fato quase inédito no DNIT</w:t>
      </w:r>
      <w:r w:rsidR="00BD1747" w:rsidRPr="00BD1747">
        <w:rPr>
          <w:sz w:val="22"/>
          <w:szCs w:val="22"/>
        </w:rPr>
        <w:t>"</w:t>
      </w:r>
      <w:r w:rsidR="00731409">
        <w:rPr>
          <w:sz w:val="22"/>
          <w:szCs w:val="22"/>
        </w:rPr>
        <w:t>.</w:t>
      </w:r>
      <w:r w:rsidR="00BD1747" w:rsidRPr="00BD1747">
        <w:rPr>
          <w:sz w:val="22"/>
          <w:szCs w:val="22"/>
        </w:rPr>
        <w:t xml:space="preserve"> </w:t>
      </w:r>
      <w:r w:rsidR="00731409">
        <w:rPr>
          <w:sz w:val="22"/>
          <w:szCs w:val="22"/>
        </w:rPr>
        <w:t xml:space="preserve">Assim, as </w:t>
      </w:r>
      <w:r w:rsidR="00BD1747" w:rsidRPr="00BD1747">
        <w:rPr>
          <w:sz w:val="22"/>
          <w:szCs w:val="22"/>
        </w:rPr>
        <w:t>alterações contratuais</w:t>
      </w:r>
      <w:r w:rsidR="00731409">
        <w:rPr>
          <w:sz w:val="22"/>
          <w:szCs w:val="22"/>
        </w:rPr>
        <w:t>,</w:t>
      </w:r>
      <w:r w:rsidR="00BD1747" w:rsidRPr="00BD1747">
        <w:rPr>
          <w:sz w:val="22"/>
          <w:szCs w:val="22"/>
        </w:rPr>
        <w:t xml:space="preserve"> n</w:t>
      </w:r>
      <w:r w:rsidR="00731409">
        <w:rPr>
          <w:sz w:val="22"/>
          <w:szCs w:val="22"/>
        </w:rPr>
        <w:t>o</w:t>
      </w:r>
      <w:r w:rsidR="00BD1747" w:rsidRPr="00BD1747">
        <w:rPr>
          <w:sz w:val="22"/>
          <w:szCs w:val="22"/>
        </w:rPr>
        <w:t xml:space="preserve"> contexto</w:t>
      </w:r>
      <w:r w:rsidR="00731409">
        <w:rPr>
          <w:sz w:val="22"/>
          <w:szCs w:val="22"/>
        </w:rPr>
        <w:t>,</w:t>
      </w:r>
      <w:r w:rsidR="00BD1747" w:rsidRPr="00BD1747">
        <w:rPr>
          <w:sz w:val="22"/>
          <w:szCs w:val="22"/>
        </w:rPr>
        <w:t xml:space="preserve"> não pode</w:t>
      </w:r>
      <w:r w:rsidR="00731409">
        <w:rPr>
          <w:sz w:val="22"/>
          <w:szCs w:val="22"/>
        </w:rPr>
        <w:t>ria</w:t>
      </w:r>
      <w:r w:rsidR="00BD1747" w:rsidRPr="00BD1747">
        <w:rPr>
          <w:sz w:val="22"/>
          <w:szCs w:val="22"/>
        </w:rPr>
        <w:t>m obrigar à revisão das cláusulas econômico-financeiras do contrato para suprimir potencial ganho proporcionado à contratada na execução por decisões unilaterais da Administração</w:t>
      </w:r>
      <w:r w:rsidR="00731409">
        <w:rPr>
          <w:sz w:val="22"/>
          <w:szCs w:val="22"/>
        </w:rPr>
        <w:t xml:space="preserve">. Com os fundamentos apontados, o relator propôs, em consequência, a improcedência da representação, o que foi aprovado pelo colegiado. </w:t>
      </w:r>
      <w:r w:rsidR="00325246" w:rsidRPr="00325246">
        <w:rPr>
          <w:sz w:val="22"/>
          <w:szCs w:val="22"/>
        </w:rPr>
        <w:t>Precedente citado: Acórdão nº 1755/2004, do Plenário.</w:t>
      </w:r>
      <w:r w:rsidR="00325246">
        <w:rPr>
          <w:b/>
          <w:sz w:val="22"/>
          <w:szCs w:val="22"/>
        </w:rPr>
        <w:t xml:space="preserve"> </w:t>
      </w:r>
      <w:r w:rsidR="00BD1747" w:rsidRPr="00337E16">
        <w:rPr>
          <w:b/>
          <w:i/>
          <w:sz w:val="22"/>
          <w:szCs w:val="22"/>
        </w:rPr>
        <w:t xml:space="preserve">Acórdão n.º </w:t>
      </w:r>
      <w:r w:rsidR="00BD1747">
        <w:rPr>
          <w:b/>
          <w:i/>
          <w:sz w:val="22"/>
          <w:szCs w:val="22"/>
        </w:rPr>
        <w:t>8366</w:t>
      </w:r>
      <w:r w:rsidR="00BD1747" w:rsidRPr="00337E16">
        <w:rPr>
          <w:b/>
          <w:i/>
          <w:sz w:val="22"/>
          <w:szCs w:val="22"/>
        </w:rPr>
        <w:t>/2010</w:t>
      </w:r>
      <w:r w:rsidR="00BD1747">
        <w:rPr>
          <w:b/>
          <w:i/>
          <w:sz w:val="22"/>
          <w:szCs w:val="22"/>
        </w:rPr>
        <w:t>-Plenário</w:t>
      </w:r>
      <w:r w:rsidR="00BD1747" w:rsidRPr="00337E16">
        <w:rPr>
          <w:b/>
          <w:i/>
          <w:sz w:val="22"/>
          <w:szCs w:val="22"/>
        </w:rPr>
        <w:t>, TC-0</w:t>
      </w:r>
      <w:r w:rsidR="00BD1747">
        <w:rPr>
          <w:b/>
          <w:i/>
          <w:sz w:val="22"/>
          <w:szCs w:val="22"/>
        </w:rPr>
        <w:t>20</w:t>
      </w:r>
      <w:r w:rsidR="00BD1747" w:rsidRPr="00337E16">
        <w:rPr>
          <w:b/>
          <w:i/>
          <w:sz w:val="22"/>
          <w:szCs w:val="22"/>
        </w:rPr>
        <w:t>.</w:t>
      </w:r>
      <w:r w:rsidR="00BD1747">
        <w:rPr>
          <w:b/>
          <w:i/>
          <w:sz w:val="22"/>
          <w:szCs w:val="22"/>
        </w:rPr>
        <w:t>201</w:t>
      </w:r>
      <w:r w:rsidR="00BD1747" w:rsidRPr="00337E16">
        <w:rPr>
          <w:b/>
          <w:i/>
          <w:sz w:val="22"/>
          <w:szCs w:val="22"/>
        </w:rPr>
        <w:t>/20</w:t>
      </w:r>
      <w:r w:rsidR="00BD1747">
        <w:rPr>
          <w:b/>
          <w:i/>
          <w:sz w:val="22"/>
          <w:szCs w:val="22"/>
        </w:rPr>
        <w:t>05</w:t>
      </w:r>
      <w:r w:rsidR="00BD1747" w:rsidRPr="00337E16">
        <w:rPr>
          <w:b/>
          <w:i/>
          <w:sz w:val="22"/>
          <w:szCs w:val="22"/>
        </w:rPr>
        <w:t>-</w:t>
      </w:r>
      <w:r w:rsidR="00BD1747">
        <w:rPr>
          <w:b/>
          <w:i/>
          <w:sz w:val="22"/>
          <w:szCs w:val="22"/>
        </w:rPr>
        <w:t>7</w:t>
      </w:r>
      <w:r w:rsidR="00BD1747" w:rsidRPr="00337E16">
        <w:rPr>
          <w:b/>
          <w:i/>
          <w:sz w:val="22"/>
          <w:szCs w:val="22"/>
        </w:rPr>
        <w:t xml:space="preserve">, rel. </w:t>
      </w:r>
      <w:r w:rsidR="00BD1747" w:rsidRPr="00202EAD">
        <w:rPr>
          <w:b/>
          <w:i/>
          <w:sz w:val="22"/>
          <w:szCs w:val="22"/>
          <w:lang w:val="en-US"/>
        </w:rPr>
        <w:t xml:space="preserve">Min-Subst. </w:t>
      </w:r>
      <w:r w:rsidR="00BD1747">
        <w:rPr>
          <w:b/>
          <w:i/>
          <w:sz w:val="22"/>
          <w:szCs w:val="22"/>
          <w:lang w:val="en-US"/>
        </w:rPr>
        <w:t>Weder de Oliveira</w:t>
      </w:r>
      <w:r w:rsidR="00BD1747" w:rsidRPr="00202EAD">
        <w:rPr>
          <w:b/>
          <w:i/>
          <w:sz w:val="22"/>
          <w:szCs w:val="22"/>
          <w:lang w:val="en-US"/>
        </w:rPr>
        <w:t>, 0</w:t>
      </w:r>
      <w:r w:rsidR="00BD1747">
        <w:rPr>
          <w:b/>
          <w:i/>
          <w:sz w:val="22"/>
          <w:szCs w:val="22"/>
          <w:lang w:val="en-US"/>
        </w:rPr>
        <w:t>7</w:t>
      </w:r>
      <w:r w:rsidR="00BD1747" w:rsidRPr="00202EAD">
        <w:rPr>
          <w:b/>
          <w:i/>
          <w:sz w:val="22"/>
          <w:szCs w:val="22"/>
          <w:lang w:val="en-US"/>
        </w:rPr>
        <w:t>.12.2010</w:t>
      </w:r>
      <w:r w:rsidR="00BD1747" w:rsidRPr="00202EAD">
        <w:rPr>
          <w:sz w:val="22"/>
          <w:szCs w:val="22"/>
          <w:lang w:val="en-US"/>
        </w:rPr>
        <w:t>.</w:t>
      </w:r>
    </w:p>
    <w:p w:rsidR="00BC5737" w:rsidRPr="00BD1747" w:rsidRDefault="00BC5737" w:rsidP="00BC5737">
      <w:pPr>
        <w:pStyle w:val="enter-3pt"/>
        <w:spacing w:line="240" w:lineRule="auto"/>
        <w:rPr>
          <w:sz w:val="22"/>
          <w:szCs w:val="22"/>
          <w:lang w:val="en-US"/>
        </w:rPr>
      </w:pPr>
    </w:p>
    <w:p w:rsidR="008A2417" w:rsidRPr="00337E16" w:rsidRDefault="008A2417" w:rsidP="008A2417">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SEGUNDA</w:t>
      </w:r>
      <w:r w:rsidRPr="00337E16">
        <w:rPr>
          <w:rFonts w:ascii="Cambria" w:hAnsi="Cambria"/>
          <w:b/>
          <w:bCs/>
          <w:smallCaps/>
          <w:sz w:val="22"/>
          <w:szCs w:val="22"/>
        </w:rPr>
        <w:t xml:space="preserve"> CÂMARA</w:t>
      </w:r>
    </w:p>
    <w:p w:rsidR="008A2417" w:rsidRPr="00337E16" w:rsidRDefault="008A2417" w:rsidP="008A2417">
      <w:pPr>
        <w:pStyle w:val="Pargrafo"/>
        <w:jc w:val="both"/>
        <w:rPr>
          <w:b/>
          <w:sz w:val="22"/>
          <w:szCs w:val="22"/>
        </w:rPr>
      </w:pPr>
    </w:p>
    <w:p w:rsidR="008A2417" w:rsidRPr="002B4392" w:rsidRDefault="002B4392" w:rsidP="008A2417">
      <w:pPr>
        <w:pStyle w:val="Pargrafo"/>
        <w:jc w:val="both"/>
        <w:rPr>
          <w:b/>
          <w:sz w:val="22"/>
          <w:szCs w:val="22"/>
        </w:rPr>
      </w:pPr>
      <w:r>
        <w:rPr>
          <w:b/>
          <w:sz w:val="22"/>
          <w:szCs w:val="22"/>
        </w:rPr>
        <w:t xml:space="preserve">O </w:t>
      </w:r>
      <w:r w:rsidR="004D760C" w:rsidRPr="004D760C">
        <w:rPr>
          <w:b/>
          <w:sz w:val="22"/>
          <w:szCs w:val="22"/>
        </w:rPr>
        <w:t xml:space="preserve">planejamento </w:t>
      </w:r>
      <w:r>
        <w:rPr>
          <w:b/>
          <w:sz w:val="22"/>
          <w:szCs w:val="22"/>
        </w:rPr>
        <w:t>in</w:t>
      </w:r>
      <w:r w:rsidR="004D760C" w:rsidRPr="004D760C">
        <w:rPr>
          <w:b/>
          <w:sz w:val="22"/>
          <w:szCs w:val="22"/>
        </w:rPr>
        <w:t>adequado por parte da administração</w:t>
      </w:r>
      <w:r>
        <w:rPr>
          <w:b/>
          <w:sz w:val="22"/>
          <w:szCs w:val="22"/>
        </w:rPr>
        <w:t xml:space="preserve"> afasta a possibilidade de contratação emergencial, com fundamento no </w:t>
      </w:r>
      <w:r w:rsidRPr="002B4392">
        <w:rPr>
          <w:b/>
          <w:sz w:val="22"/>
          <w:szCs w:val="22"/>
        </w:rPr>
        <w:t>art. 24, inc. IV, da Lei 8.666/93</w:t>
      </w:r>
    </w:p>
    <w:p w:rsidR="004D760C" w:rsidRPr="00337E16" w:rsidRDefault="001A0CC1" w:rsidP="004D760C">
      <w:pPr>
        <w:pStyle w:val="Pargrafo"/>
        <w:jc w:val="both"/>
        <w:rPr>
          <w:sz w:val="22"/>
          <w:szCs w:val="22"/>
        </w:rPr>
      </w:pPr>
      <w:r>
        <w:rPr>
          <w:sz w:val="22"/>
          <w:szCs w:val="22"/>
        </w:rPr>
        <w:t>Mediante</w:t>
      </w:r>
      <w:r w:rsidR="004D760C" w:rsidRPr="004D760C">
        <w:rPr>
          <w:sz w:val="22"/>
          <w:szCs w:val="22"/>
        </w:rPr>
        <w:t xml:space="preserve"> pedido de reexame</w:t>
      </w:r>
      <w:r>
        <w:rPr>
          <w:sz w:val="22"/>
          <w:szCs w:val="22"/>
        </w:rPr>
        <w:t>, responsável</w:t>
      </w:r>
      <w:r w:rsidR="004D760C" w:rsidRPr="004D760C">
        <w:rPr>
          <w:sz w:val="22"/>
          <w:szCs w:val="22"/>
        </w:rPr>
        <w:t>, reitor da Universidade Federal do Tocantins – UFT</w:t>
      </w:r>
      <w:r>
        <w:rPr>
          <w:sz w:val="22"/>
          <w:szCs w:val="22"/>
        </w:rPr>
        <w:t>, manifestou seu inconformismo diante do</w:t>
      </w:r>
      <w:r w:rsidR="004D760C" w:rsidRPr="004D760C">
        <w:rPr>
          <w:sz w:val="22"/>
          <w:szCs w:val="22"/>
        </w:rPr>
        <w:t xml:space="preserve"> Acórdão 3.489/2009 – 2ª Câmara, proferido em sede de </w:t>
      </w:r>
      <w:r>
        <w:rPr>
          <w:sz w:val="22"/>
          <w:szCs w:val="22"/>
        </w:rPr>
        <w:t xml:space="preserve">processo de </w:t>
      </w:r>
      <w:r w:rsidR="004D760C" w:rsidRPr="004D760C">
        <w:rPr>
          <w:sz w:val="22"/>
          <w:szCs w:val="22"/>
        </w:rPr>
        <w:t>representação</w:t>
      </w:r>
      <w:r>
        <w:rPr>
          <w:sz w:val="22"/>
          <w:szCs w:val="22"/>
        </w:rPr>
        <w:t xml:space="preserve">, no qual fora apenado com </w:t>
      </w:r>
      <w:r w:rsidRPr="004D760C">
        <w:rPr>
          <w:sz w:val="22"/>
          <w:szCs w:val="22"/>
        </w:rPr>
        <w:t>a multa prevista no art. 58, II, da Lei 8.443/92</w:t>
      </w:r>
      <w:r>
        <w:rPr>
          <w:sz w:val="22"/>
          <w:szCs w:val="22"/>
        </w:rPr>
        <w:t>, por conta da</w:t>
      </w:r>
      <w:r w:rsidR="004D760C" w:rsidRPr="004D760C">
        <w:rPr>
          <w:sz w:val="22"/>
          <w:szCs w:val="22"/>
        </w:rPr>
        <w:t xml:space="preserve"> realização </w:t>
      </w:r>
      <w:r>
        <w:rPr>
          <w:sz w:val="22"/>
          <w:szCs w:val="22"/>
        </w:rPr>
        <w:t xml:space="preserve">indevida </w:t>
      </w:r>
      <w:r w:rsidR="004D760C" w:rsidRPr="004D760C">
        <w:rPr>
          <w:sz w:val="22"/>
          <w:szCs w:val="22"/>
        </w:rPr>
        <w:t>de contratação emergencial</w:t>
      </w:r>
      <w:r>
        <w:rPr>
          <w:sz w:val="22"/>
          <w:szCs w:val="22"/>
        </w:rPr>
        <w:t xml:space="preserve">, por dispensa de licitação (art. 24, </w:t>
      </w:r>
      <w:r w:rsidR="002B4392">
        <w:rPr>
          <w:sz w:val="22"/>
          <w:szCs w:val="22"/>
        </w:rPr>
        <w:t xml:space="preserve">inc. </w:t>
      </w:r>
      <w:r>
        <w:rPr>
          <w:sz w:val="22"/>
          <w:szCs w:val="22"/>
        </w:rPr>
        <w:t xml:space="preserve">IV, da Lei 8.666/93), </w:t>
      </w:r>
      <w:r w:rsidR="004D760C" w:rsidRPr="004D760C">
        <w:rPr>
          <w:sz w:val="22"/>
          <w:szCs w:val="22"/>
        </w:rPr>
        <w:t>de serviços de vigilância armada e desarmada</w:t>
      </w:r>
      <w:r>
        <w:rPr>
          <w:sz w:val="22"/>
          <w:szCs w:val="22"/>
        </w:rPr>
        <w:t>,</w:t>
      </w:r>
      <w:r w:rsidR="004D760C" w:rsidRPr="004D760C">
        <w:rPr>
          <w:sz w:val="22"/>
          <w:szCs w:val="22"/>
        </w:rPr>
        <w:t xml:space="preserve"> </w:t>
      </w:r>
      <w:r>
        <w:rPr>
          <w:sz w:val="22"/>
          <w:szCs w:val="22"/>
        </w:rPr>
        <w:t xml:space="preserve">tendo entendido o Tribunal que a emergência, essencialmente, ocorrera da </w:t>
      </w:r>
      <w:r w:rsidR="004D760C" w:rsidRPr="004D760C">
        <w:rPr>
          <w:sz w:val="22"/>
          <w:szCs w:val="22"/>
        </w:rPr>
        <w:t>ausência de planejamento adequado</w:t>
      </w:r>
      <w:r>
        <w:rPr>
          <w:sz w:val="22"/>
          <w:szCs w:val="22"/>
        </w:rPr>
        <w:t xml:space="preserve">. Após descrever todo o </w:t>
      </w:r>
      <w:r>
        <w:rPr>
          <w:b/>
          <w:sz w:val="22"/>
          <w:szCs w:val="22"/>
        </w:rPr>
        <w:t>iter</w:t>
      </w:r>
      <w:r>
        <w:rPr>
          <w:sz w:val="22"/>
          <w:szCs w:val="22"/>
        </w:rPr>
        <w:t xml:space="preserve"> pela qual passou a contratação, enfatizando a morosidade havida, o relator, </w:t>
      </w:r>
      <w:r w:rsidR="00857634">
        <w:rPr>
          <w:sz w:val="22"/>
          <w:szCs w:val="22"/>
        </w:rPr>
        <w:t xml:space="preserve">no </w:t>
      </w:r>
      <w:r>
        <w:rPr>
          <w:sz w:val="22"/>
          <w:szCs w:val="22"/>
        </w:rPr>
        <w:t>voto, destacou que “</w:t>
      </w:r>
      <w:r w:rsidR="004D760C" w:rsidRPr="001A0CC1">
        <w:rPr>
          <w:i/>
          <w:sz w:val="22"/>
          <w:szCs w:val="22"/>
        </w:rPr>
        <w:t>os gestores deflagraram um processo licitatório sem ao menos definir as necessidades da Administração, o que mais uma vez contribuiu para o atraso verificado na condução do certame</w:t>
      </w:r>
      <w:r>
        <w:rPr>
          <w:sz w:val="22"/>
          <w:szCs w:val="22"/>
        </w:rPr>
        <w:t>”</w:t>
      </w:r>
      <w:r w:rsidR="004D760C" w:rsidRPr="004D760C">
        <w:rPr>
          <w:sz w:val="22"/>
          <w:szCs w:val="22"/>
        </w:rPr>
        <w:t>.</w:t>
      </w:r>
      <w:r>
        <w:rPr>
          <w:sz w:val="22"/>
          <w:szCs w:val="22"/>
        </w:rPr>
        <w:t xml:space="preserve"> Além disso, quanto </w:t>
      </w:r>
      <w:r w:rsidR="00577891">
        <w:rPr>
          <w:sz w:val="22"/>
          <w:szCs w:val="22"/>
        </w:rPr>
        <w:t>a</w:t>
      </w:r>
      <w:r w:rsidR="004D760C" w:rsidRPr="004D760C">
        <w:rPr>
          <w:sz w:val="22"/>
          <w:szCs w:val="22"/>
        </w:rPr>
        <w:t xml:space="preserve"> </w:t>
      </w:r>
      <w:r>
        <w:rPr>
          <w:sz w:val="22"/>
          <w:szCs w:val="22"/>
        </w:rPr>
        <w:t xml:space="preserve">uma </w:t>
      </w:r>
      <w:r w:rsidR="004D760C" w:rsidRPr="004D760C">
        <w:rPr>
          <w:sz w:val="22"/>
          <w:szCs w:val="22"/>
        </w:rPr>
        <w:t>alegada carência de pessoal, observo</w:t>
      </w:r>
      <w:r>
        <w:rPr>
          <w:sz w:val="22"/>
          <w:szCs w:val="22"/>
        </w:rPr>
        <w:t>u</w:t>
      </w:r>
      <w:r w:rsidR="004D760C" w:rsidRPr="004D760C">
        <w:rPr>
          <w:sz w:val="22"/>
          <w:szCs w:val="22"/>
        </w:rPr>
        <w:t xml:space="preserve"> </w:t>
      </w:r>
      <w:r>
        <w:rPr>
          <w:sz w:val="22"/>
          <w:szCs w:val="22"/>
        </w:rPr>
        <w:t>“</w:t>
      </w:r>
      <w:r w:rsidR="004D760C" w:rsidRPr="001A0CC1">
        <w:rPr>
          <w:i/>
          <w:sz w:val="22"/>
          <w:szCs w:val="22"/>
        </w:rPr>
        <w:t>se tratar de fato previsível a ser contornado com um adequado planejamento, o que não ocorreu</w:t>
      </w:r>
      <w:r>
        <w:rPr>
          <w:sz w:val="22"/>
          <w:szCs w:val="22"/>
        </w:rPr>
        <w:t>”</w:t>
      </w:r>
      <w:r w:rsidR="004D760C" w:rsidRPr="004D760C">
        <w:rPr>
          <w:sz w:val="22"/>
          <w:szCs w:val="22"/>
        </w:rPr>
        <w:t>.</w:t>
      </w:r>
      <w:r>
        <w:rPr>
          <w:sz w:val="22"/>
          <w:szCs w:val="22"/>
        </w:rPr>
        <w:t xml:space="preserve"> Por tudo, concluiu que “</w:t>
      </w:r>
      <w:r w:rsidR="004D760C" w:rsidRPr="002B4392">
        <w:rPr>
          <w:i/>
          <w:sz w:val="22"/>
          <w:szCs w:val="22"/>
        </w:rPr>
        <w:t>restou devidamente evidenciado que a contratação emergencial decorreu da ausência de planejamento adequado por parte da administração da entidade</w:t>
      </w:r>
      <w:r w:rsidR="002B4392">
        <w:rPr>
          <w:sz w:val="22"/>
          <w:szCs w:val="22"/>
        </w:rPr>
        <w:t>”</w:t>
      </w:r>
      <w:r w:rsidR="004D760C" w:rsidRPr="004D760C">
        <w:rPr>
          <w:sz w:val="22"/>
          <w:szCs w:val="22"/>
        </w:rPr>
        <w:t>. Assim, por considerar</w:t>
      </w:r>
      <w:r w:rsidR="002B4392">
        <w:rPr>
          <w:sz w:val="22"/>
          <w:szCs w:val="22"/>
        </w:rPr>
        <w:t>,</w:t>
      </w:r>
      <w:r w:rsidR="004D760C" w:rsidRPr="004D760C">
        <w:rPr>
          <w:sz w:val="22"/>
          <w:szCs w:val="22"/>
        </w:rPr>
        <w:t xml:space="preserve"> ainda</w:t>
      </w:r>
      <w:r w:rsidR="002B4392">
        <w:rPr>
          <w:sz w:val="22"/>
          <w:szCs w:val="22"/>
        </w:rPr>
        <w:t>,</w:t>
      </w:r>
      <w:r w:rsidR="004D760C" w:rsidRPr="004D760C">
        <w:rPr>
          <w:sz w:val="22"/>
          <w:szCs w:val="22"/>
        </w:rPr>
        <w:t xml:space="preserve"> que a penalidade aplicada </w:t>
      </w:r>
      <w:r w:rsidR="002B4392">
        <w:rPr>
          <w:sz w:val="22"/>
          <w:szCs w:val="22"/>
        </w:rPr>
        <w:t xml:space="preserve">anteriormente seria </w:t>
      </w:r>
      <w:r w:rsidR="004D760C" w:rsidRPr="004D760C">
        <w:rPr>
          <w:sz w:val="22"/>
          <w:szCs w:val="22"/>
        </w:rPr>
        <w:t xml:space="preserve">compatível com o grau de reprovabilidade verificado na conduta inquinada, </w:t>
      </w:r>
      <w:r w:rsidR="002B4392">
        <w:rPr>
          <w:sz w:val="22"/>
          <w:szCs w:val="22"/>
        </w:rPr>
        <w:t xml:space="preserve">votou pelo não provimento </w:t>
      </w:r>
      <w:r w:rsidR="00577891">
        <w:rPr>
          <w:sz w:val="22"/>
          <w:szCs w:val="22"/>
        </w:rPr>
        <w:t xml:space="preserve">do </w:t>
      </w:r>
      <w:r w:rsidR="002B4392">
        <w:rPr>
          <w:sz w:val="22"/>
          <w:szCs w:val="22"/>
        </w:rPr>
        <w:t xml:space="preserve">recurso, no que foi acompanhado pelos demais ministros da 2ª Câmara. </w:t>
      </w:r>
      <w:r w:rsidR="004D760C" w:rsidRPr="00337E16">
        <w:rPr>
          <w:b/>
          <w:i/>
          <w:sz w:val="22"/>
          <w:szCs w:val="22"/>
        </w:rPr>
        <w:t xml:space="preserve">Acórdão n.º </w:t>
      </w:r>
      <w:r w:rsidR="004D760C">
        <w:rPr>
          <w:b/>
          <w:i/>
          <w:sz w:val="22"/>
          <w:szCs w:val="22"/>
        </w:rPr>
        <w:t>7557</w:t>
      </w:r>
      <w:r w:rsidR="004D760C" w:rsidRPr="00337E16">
        <w:rPr>
          <w:b/>
          <w:i/>
          <w:sz w:val="22"/>
          <w:szCs w:val="22"/>
        </w:rPr>
        <w:t>/2010</w:t>
      </w:r>
      <w:r w:rsidR="004D760C">
        <w:rPr>
          <w:b/>
          <w:i/>
          <w:sz w:val="22"/>
          <w:szCs w:val="22"/>
        </w:rPr>
        <w:t>-2ª Câmara</w:t>
      </w:r>
      <w:r w:rsidR="004D760C" w:rsidRPr="00337E16">
        <w:rPr>
          <w:b/>
          <w:i/>
          <w:sz w:val="22"/>
          <w:szCs w:val="22"/>
        </w:rPr>
        <w:t>, TC-0</w:t>
      </w:r>
      <w:r w:rsidR="004D760C">
        <w:rPr>
          <w:b/>
          <w:i/>
          <w:sz w:val="22"/>
          <w:szCs w:val="22"/>
        </w:rPr>
        <w:t>30</w:t>
      </w:r>
      <w:r w:rsidR="004D760C" w:rsidRPr="00337E16">
        <w:rPr>
          <w:b/>
          <w:i/>
          <w:sz w:val="22"/>
          <w:szCs w:val="22"/>
        </w:rPr>
        <w:t>.</w:t>
      </w:r>
      <w:r w:rsidR="004D760C">
        <w:rPr>
          <w:b/>
          <w:i/>
          <w:sz w:val="22"/>
          <w:szCs w:val="22"/>
        </w:rPr>
        <w:t>657</w:t>
      </w:r>
      <w:r w:rsidR="004D760C" w:rsidRPr="00337E16">
        <w:rPr>
          <w:b/>
          <w:i/>
          <w:sz w:val="22"/>
          <w:szCs w:val="22"/>
        </w:rPr>
        <w:t>/2008-</w:t>
      </w:r>
      <w:r w:rsidR="004D760C">
        <w:rPr>
          <w:b/>
          <w:i/>
          <w:sz w:val="22"/>
          <w:szCs w:val="22"/>
        </w:rPr>
        <w:t>2</w:t>
      </w:r>
      <w:r w:rsidR="004D760C" w:rsidRPr="00337E16">
        <w:rPr>
          <w:b/>
          <w:i/>
          <w:sz w:val="22"/>
          <w:szCs w:val="22"/>
        </w:rPr>
        <w:t xml:space="preserve">, rel. Min. </w:t>
      </w:r>
      <w:r w:rsidR="004D760C">
        <w:rPr>
          <w:b/>
          <w:i/>
          <w:sz w:val="22"/>
          <w:szCs w:val="22"/>
        </w:rPr>
        <w:t>Benjamin Zymler</w:t>
      </w:r>
      <w:r w:rsidR="004D760C" w:rsidRPr="00337E16">
        <w:rPr>
          <w:b/>
          <w:i/>
          <w:sz w:val="22"/>
          <w:szCs w:val="22"/>
        </w:rPr>
        <w:t xml:space="preserve">, </w:t>
      </w:r>
      <w:r w:rsidR="004D760C">
        <w:rPr>
          <w:b/>
          <w:i/>
          <w:sz w:val="22"/>
          <w:szCs w:val="22"/>
        </w:rPr>
        <w:t>07</w:t>
      </w:r>
      <w:r w:rsidR="004D760C" w:rsidRPr="00337E16">
        <w:rPr>
          <w:b/>
          <w:i/>
          <w:sz w:val="22"/>
          <w:szCs w:val="22"/>
        </w:rPr>
        <w:t>.</w:t>
      </w:r>
      <w:r w:rsidR="004D760C">
        <w:rPr>
          <w:b/>
          <w:i/>
          <w:sz w:val="22"/>
          <w:szCs w:val="22"/>
        </w:rPr>
        <w:t>12</w:t>
      </w:r>
      <w:r w:rsidR="004D760C" w:rsidRPr="00337E16">
        <w:rPr>
          <w:b/>
          <w:i/>
          <w:sz w:val="22"/>
          <w:szCs w:val="22"/>
        </w:rPr>
        <w:t>.2010</w:t>
      </w:r>
      <w:r w:rsidR="004D760C" w:rsidRPr="00337E16">
        <w:rPr>
          <w:sz w:val="22"/>
          <w:szCs w:val="22"/>
        </w:rPr>
        <w:t>.</w:t>
      </w:r>
    </w:p>
    <w:p w:rsidR="00692D30" w:rsidRDefault="00692D30" w:rsidP="008A2417">
      <w:pPr>
        <w:pStyle w:val="Pargrafo"/>
        <w:jc w:val="both"/>
        <w:rPr>
          <w:sz w:val="22"/>
          <w:szCs w:val="22"/>
        </w:rPr>
      </w:pPr>
    </w:p>
    <w:p w:rsidR="004D760C" w:rsidRPr="00094C5B" w:rsidRDefault="00094C5B" w:rsidP="008A2417">
      <w:pPr>
        <w:pStyle w:val="Pargrafo"/>
        <w:jc w:val="both"/>
        <w:rPr>
          <w:b/>
          <w:sz w:val="22"/>
          <w:szCs w:val="22"/>
        </w:rPr>
      </w:pPr>
      <w:r w:rsidRPr="00094C5B">
        <w:rPr>
          <w:b/>
          <w:sz w:val="22"/>
          <w:szCs w:val="22"/>
        </w:rPr>
        <w:t xml:space="preserve">Participação, em licitações, de entidades sem fins lucrativos: </w:t>
      </w:r>
      <w:r w:rsidR="00857634">
        <w:rPr>
          <w:b/>
          <w:sz w:val="22"/>
          <w:szCs w:val="22"/>
        </w:rPr>
        <w:t xml:space="preserve">deve haver </w:t>
      </w:r>
      <w:r w:rsidRPr="00094C5B">
        <w:rPr>
          <w:b/>
          <w:sz w:val="22"/>
          <w:szCs w:val="22"/>
        </w:rPr>
        <w:t>nexo entre os serviços a serem prestados e os fins estatutários da entidade</w:t>
      </w:r>
    </w:p>
    <w:p w:rsidR="008A2417" w:rsidRPr="00337E16" w:rsidRDefault="00857634" w:rsidP="008051DE">
      <w:pPr>
        <w:spacing w:after="0"/>
        <w:ind w:left="0"/>
        <w:rPr>
          <w:sz w:val="22"/>
          <w:szCs w:val="22"/>
        </w:rPr>
      </w:pPr>
      <w:r w:rsidRPr="00857634">
        <w:rPr>
          <w:sz w:val="22"/>
          <w:szCs w:val="22"/>
        </w:rPr>
        <w:t>Mediante p</w:t>
      </w:r>
      <w:r w:rsidR="00F67A35" w:rsidRPr="00857634">
        <w:rPr>
          <w:sz w:val="22"/>
          <w:szCs w:val="22"/>
        </w:rPr>
        <w:t>edido de r</w:t>
      </w:r>
      <w:r w:rsidR="00094C5B" w:rsidRPr="00857634">
        <w:rPr>
          <w:sz w:val="22"/>
          <w:szCs w:val="22"/>
        </w:rPr>
        <w:t>eexame</w:t>
      </w:r>
      <w:r w:rsidRPr="00857634">
        <w:rPr>
          <w:sz w:val="22"/>
          <w:szCs w:val="22"/>
        </w:rPr>
        <w:t>,</w:t>
      </w:r>
      <w:r w:rsidR="00094C5B" w:rsidRPr="00857634">
        <w:rPr>
          <w:sz w:val="22"/>
          <w:szCs w:val="22"/>
        </w:rPr>
        <w:t xml:space="preserve"> o Instituto de Professores Públicos e Particulares</w:t>
      </w:r>
      <w:r w:rsidRPr="00857634">
        <w:rPr>
          <w:sz w:val="22"/>
          <w:szCs w:val="22"/>
        </w:rPr>
        <w:t xml:space="preserve"> manifestou sua insatisfação </w:t>
      </w:r>
      <w:r>
        <w:rPr>
          <w:sz w:val="22"/>
          <w:szCs w:val="22"/>
        </w:rPr>
        <w:t>com</w:t>
      </w:r>
      <w:r w:rsidRPr="00857634">
        <w:rPr>
          <w:sz w:val="22"/>
          <w:szCs w:val="22"/>
        </w:rPr>
        <w:t xml:space="preserve"> o Acórdão nº 5.555/2009-2ª Câmara</w:t>
      </w:r>
      <w:r>
        <w:rPr>
          <w:sz w:val="22"/>
          <w:szCs w:val="22"/>
        </w:rPr>
        <w:t>, no qual constou</w:t>
      </w:r>
      <w:r w:rsidRPr="00857634">
        <w:rPr>
          <w:sz w:val="22"/>
          <w:szCs w:val="22"/>
        </w:rPr>
        <w:t xml:space="preserve"> determinação à Fundação Oswaldo Cruz (Fiocruz)</w:t>
      </w:r>
      <w:r>
        <w:rPr>
          <w:sz w:val="22"/>
          <w:szCs w:val="22"/>
        </w:rPr>
        <w:t xml:space="preserve"> de que</w:t>
      </w:r>
      <w:r w:rsidRPr="00857634">
        <w:rPr>
          <w:i/>
          <w:color w:val="000000"/>
          <w:sz w:val="22"/>
          <w:szCs w:val="22"/>
        </w:rPr>
        <w:t xml:space="preserve"> </w:t>
      </w:r>
      <w:r>
        <w:rPr>
          <w:color w:val="000000"/>
          <w:sz w:val="22"/>
          <w:szCs w:val="22"/>
        </w:rPr>
        <w:t>“</w:t>
      </w:r>
      <w:r w:rsidRPr="00857634">
        <w:rPr>
          <w:i/>
          <w:color w:val="000000"/>
          <w:sz w:val="22"/>
          <w:szCs w:val="22"/>
        </w:rPr>
        <w:t>não habilite em seus certames licitatórios para a contratação de serviços de terceirização ou assemelhados, como o Pregão Eletrônico 90/2009, entidades civis sem fins lucrativos, pois não há nexo [de relação] entre o objeto social dessas entidades e os serviços a serem prestados, considerando que terceirização de mão-de-obra não se coaduna com a natureza jurídica de tais entes, por se caracterizar como ato de comércio com finalidade econômica</w:t>
      </w:r>
      <w:r w:rsidRPr="00857634">
        <w:rPr>
          <w:color w:val="000000"/>
          <w:sz w:val="22"/>
          <w:szCs w:val="22"/>
        </w:rPr>
        <w:t>”</w:t>
      </w:r>
      <w:r>
        <w:rPr>
          <w:color w:val="000000"/>
          <w:sz w:val="22"/>
          <w:szCs w:val="22"/>
        </w:rPr>
        <w:t xml:space="preserve">. Nesta etapa processual, a unidade </w:t>
      </w:r>
      <w:r w:rsidR="000E2D47">
        <w:rPr>
          <w:color w:val="000000"/>
          <w:sz w:val="22"/>
          <w:szCs w:val="22"/>
        </w:rPr>
        <w:t xml:space="preserve">técnica, ao propor o não provimento do recurso, manteve o entendimento </w:t>
      </w:r>
      <w:r w:rsidR="00094C5B" w:rsidRPr="00094C5B">
        <w:rPr>
          <w:sz w:val="22"/>
          <w:szCs w:val="22"/>
        </w:rPr>
        <w:t>de que os serviços de terceirização não po</w:t>
      </w:r>
      <w:r w:rsidR="008051DE">
        <w:rPr>
          <w:sz w:val="22"/>
          <w:szCs w:val="22"/>
        </w:rPr>
        <w:t>de</w:t>
      </w:r>
      <w:r w:rsidR="00094C5B" w:rsidRPr="00094C5B">
        <w:rPr>
          <w:sz w:val="22"/>
          <w:szCs w:val="22"/>
        </w:rPr>
        <w:t>m ser desempenhados por membros de uma entidade sem fins lucrativos.</w:t>
      </w:r>
      <w:r w:rsidR="000E2D47">
        <w:rPr>
          <w:sz w:val="22"/>
          <w:szCs w:val="22"/>
        </w:rPr>
        <w:t xml:space="preserve"> O relator, todavia, divergiu do sugerido. Incorporou em suas razões de decidir, então, parecer expedido pelo Ministério Público junto ao Tribunal – MP/TCU, no qual </w:t>
      </w:r>
      <w:r w:rsidR="008051DE">
        <w:rPr>
          <w:sz w:val="22"/>
          <w:szCs w:val="22"/>
        </w:rPr>
        <w:t xml:space="preserve">foi </w:t>
      </w:r>
      <w:r w:rsidR="000E2D47">
        <w:rPr>
          <w:sz w:val="22"/>
          <w:szCs w:val="22"/>
        </w:rPr>
        <w:t>registr</w:t>
      </w:r>
      <w:r w:rsidR="008051DE">
        <w:rPr>
          <w:sz w:val="22"/>
          <w:szCs w:val="22"/>
        </w:rPr>
        <w:t>ad</w:t>
      </w:r>
      <w:r w:rsidR="000E2D47">
        <w:rPr>
          <w:sz w:val="22"/>
          <w:szCs w:val="22"/>
        </w:rPr>
        <w:t>o que</w:t>
      </w:r>
      <w:r w:rsidR="00094C5B" w:rsidRPr="00094C5B">
        <w:rPr>
          <w:sz w:val="22"/>
          <w:szCs w:val="22"/>
        </w:rPr>
        <w:t xml:space="preserve"> </w:t>
      </w:r>
      <w:r w:rsidR="000E2D47">
        <w:rPr>
          <w:sz w:val="22"/>
          <w:szCs w:val="22"/>
        </w:rPr>
        <w:t>“</w:t>
      </w:r>
      <w:r w:rsidR="000E2D47" w:rsidRPr="000E2D47">
        <w:rPr>
          <w:i/>
          <w:sz w:val="22"/>
          <w:szCs w:val="22"/>
        </w:rPr>
        <w:t xml:space="preserve">não </w:t>
      </w:r>
      <w:r w:rsidR="00094C5B" w:rsidRPr="000E2D47">
        <w:rPr>
          <w:i/>
          <w:sz w:val="22"/>
          <w:szCs w:val="22"/>
        </w:rPr>
        <w:t>se deve promover a vedação genérica de participação de entidades sem fins lucrativos em licitações, porquanto viável</w:t>
      </w:r>
      <w:r w:rsidR="000E2D47">
        <w:rPr>
          <w:sz w:val="22"/>
          <w:szCs w:val="22"/>
        </w:rPr>
        <w:t xml:space="preserve">”. Pontuou o </w:t>
      </w:r>
      <w:r w:rsidR="000E2D47">
        <w:rPr>
          <w:b/>
          <w:sz w:val="22"/>
          <w:szCs w:val="22"/>
        </w:rPr>
        <w:t xml:space="preserve">parquet </w:t>
      </w:r>
      <w:r w:rsidR="000E2D47">
        <w:rPr>
          <w:sz w:val="22"/>
          <w:szCs w:val="22"/>
        </w:rPr>
        <w:t xml:space="preserve">especializado ser esse o sentido da lei, </w:t>
      </w:r>
      <w:r w:rsidR="008051DE">
        <w:rPr>
          <w:sz w:val="22"/>
          <w:szCs w:val="22"/>
        </w:rPr>
        <w:t xml:space="preserve">tal </w:t>
      </w:r>
      <w:r w:rsidR="000E2D47">
        <w:rPr>
          <w:sz w:val="22"/>
          <w:szCs w:val="22"/>
        </w:rPr>
        <w:t xml:space="preserve">como consta do </w:t>
      </w:r>
      <w:r w:rsidR="00094C5B" w:rsidRPr="00094C5B">
        <w:rPr>
          <w:sz w:val="22"/>
          <w:szCs w:val="22"/>
        </w:rPr>
        <w:t>art. 24 da Lei de Licitações, que</w:t>
      </w:r>
      <w:r w:rsidR="000E2D47">
        <w:rPr>
          <w:sz w:val="22"/>
          <w:szCs w:val="22"/>
        </w:rPr>
        <w:t>,</w:t>
      </w:r>
      <w:r w:rsidR="00094C5B" w:rsidRPr="00094C5B">
        <w:rPr>
          <w:sz w:val="22"/>
          <w:szCs w:val="22"/>
        </w:rPr>
        <w:t xml:space="preserve"> em seu inciso XX</w:t>
      </w:r>
      <w:r w:rsidR="000E2D47">
        <w:rPr>
          <w:sz w:val="22"/>
          <w:szCs w:val="22"/>
        </w:rPr>
        <w:t>,</w:t>
      </w:r>
      <w:r w:rsidR="00094C5B" w:rsidRPr="00094C5B">
        <w:rPr>
          <w:sz w:val="22"/>
          <w:szCs w:val="22"/>
        </w:rPr>
        <w:t xml:space="preserve"> </w:t>
      </w:r>
      <w:r w:rsidR="000E2D47">
        <w:rPr>
          <w:sz w:val="22"/>
          <w:szCs w:val="22"/>
        </w:rPr>
        <w:t>“</w:t>
      </w:r>
      <w:r w:rsidR="00094C5B" w:rsidRPr="000E2D47">
        <w:rPr>
          <w:i/>
          <w:sz w:val="22"/>
          <w:szCs w:val="22"/>
        </w:rPr>
        <w:t>permite a contratação direta de associação de portadores de deficiência física, sem fins lucrativos, e de comprovada idoneidade, por órgãos ou entidades da Administração Pública, para a prestação de serviços ou fornecimento de mão de obra, desde que o preço contratado seja compatível com o praticado no mercado</w:t>
      </w:r>
      <w:r w:rsidR="000E2D47">
        <w:rPr>
          <w:sz w:val="22"/>
          <w:szCs w:val="22"/>
        </w:rPr>
        <w:t>”</w:t>
      </w:r>
      <w:r w:rsidR="00094C5B" w:rsidRPr="00094C5B">
        <w:rPr>
          <w:sz w:val="22"/>
          <w:szCs w:val="22"/>
        </w:rPr>
        <w:t>.</w:t>
      </w:r>
      <w:r w:rsidR="000E2D47">
        <w:rPr>
          <w:sz w:val="22"/>
          <w:szCs w:val="22"/>
        </w:rPr>
        <w:t xml:space="preserve"> </w:t>
      </w:r>
      <w:r w:rsidR="00094C5B" w:rsidRPr="00094C5B">
        <w:rPr>
          <w:sz w:val="22"/>
          <w:szCs w:val="22"/>
        </w:rPr>
        <w:t xml:space="preserve">Dessa forma, o dispositivo legal </w:t>
      </w:r>
      <w:r w:rsidR="000E2D47">
        <w:rPr>
          <w:sz w:val="22"/>
          <w:szCs w:val="22"/>
        </w:rPr>
        <w:t xml:space="preserve">em referência </w:t>
      </w:r>
      <w:r w:rsidR="00094C5B" w:rsidRPr="00094C5B">
        <w:rPr>
          <w:sz w:val="22"/>
          <w:szCs w:val="22"/>
        </w:rPr>
        <w:t>assegura</w:t>
      </w:r>
      <w:r w:rsidR="000E2D47">
        <w:rPr>
          <w:sz w:val="22"/>
          <w:szCs w:val="22"/>
        </w:rPr>
        <w:t>ria</w:t>
      </w:r>
      <w:r w:rsidR="00094C5B" w:rsidRPr="00094C5B">
        <w:rPr>
          <w:sz w:val="22"/>
          <w:szCs w:val="22"/>
        </w:rPr>
        <w:t xml:space="preserve"> a habilitação de licitantes que atuem sem objetivo de lucro nos certames promovidos pela Administração Pública.</w:t>
      </w:r>
      <w:r w:rsidR="000E2D47">
        <w:rPr>
          <w:sz w:val="22"/>
          <w:szCs w:val="22"/>
        </w:rPr>
        <w:t xml:space="preserve"> O fundamental, então, seria verificar “</w:t>
      </w:r>
      <w:r w:rsidR="00094C5B" w:rsidRPr="000E2D47">
        <w:rPr>
          <w:i/>
          <w:sz w:val="22"/>
          <w:szCs w:val="22"/>
        </w:rPr>
        <w:t>as condições de atendimento do objeto prestado pela entidade sem fins lucrativos, sem implicar em desvio de finalidade, ou seja, sem que sejam desobedecidos os objetivos estatutários da entidade, devendo haver compatibilidade entre o objeto da licitação e a finalidade de atuação da entidade</w:t>
      </w:r>
      <w:r w:rsidR="000E2D47">
        <w:rPr>
          <w:sz w:val="22"/>
          <w:szCs w:val="22"/>
        </w:rPr>
        <w:t>”</w:t>
      </w:r>
      <w:r w:rsidR="00094C5B" w:rsidRPr="00094C5B">
        <w:rPr>
          <w:sz w:val="22"/>
          <w:szCs w:val="22"/>
        </w:rPr>
        <w:t>.</w:t>
      </w:r>
      <w:r w:rsidR="000E2D47">
        <w:rPr>
          <w:sz w:val="22"/>
          <w:szCs w:val="22"/>
        </w:rPr>
        <w:t xml:space="preserve"> Por conta disso, votou pelo </w:t>
      </w:r>
      <w:r w:rsidR="00094C5B" w:rsidRPr="00094C5B">
        <w:rPr>
          <w:sz w:val="22"/>
          <w:szCs w:val="22"/>
        </w:rPr>
        <w:t>provimento parcial</w:t>
      </w:r>
      <w:r w:rsidR="000E2D47">
        <w:rPr>
          <w:sz w:val="22"/>
          <w:szCs w:val="22"/>
        </w:rPr>
        <w:t xml:space="preserve"> do recurso</w:t>
      </w:r>
      <w:r w:rsidR="00094C5B" w:rsidRPr="00094C5B">
        <w:rPr>
          <w:sz w:val="22"/>
          <w:szCs w:val="22"/>
        </w:rPr>
        <w:t xml:space="preserve">, </w:t>
      </w:r>
      <w:r w:rsidR="000E2D47">
        <w:rPr>
          <w:sz w:val="22"/>
          <w:szCs w:val="22"/>
        </w:rPr>
        <w:t>de maneira a se alterar o</w:t>
      </w:r>
      <w:r w:rsidR="00094C5B" w:rsidRPr="00094C5B">
        <w:rPr>
          <w:sz w:val="22"/>
          <w:szCs w:val="22"/>
        </w:rPr>
        <w:t xml:space="preserve"> Acórdão n.º 5.555/2009-2.ª Câmara, dirigido à Fundação Oswaldo Cruz (Fiocruz), e, </w:t>
      </w:r>
      <w:r w:rsidR="008051DE">
        <w:rPr>
          <w:sz w:val="22"/>
          <w:szCs w:val="22"/>
        </w:rPr>
        <w:t xml:space="preserve">pela determinação, </w:t>
      </w:r>
      <w:r w:rsidR="00094C5B" w:rsidRPr="00094C5B">
        <w:rPr>
          <w:sz w:val="22"/>
          <w:szCs w:val="22"/>
        </w:rPr>
        <w:t xml:space="preserve">em caráter normativo, aos Órgãos e Entidades da Administração Pública Federal Direta, Autárquica e Fundacional, </w:t>
      </w:r>
      <w:r w:rsidR="008051DE">
        <w:rPr>
          <w:sz w:val="22"/>
          <w:szCs w:val="22"/>
        </w:rPr>
        <w:t>de que</w:t>
      </w:r>
      <w:r w:rsidR="00094C5B" w:rsidRPr="00094C5B">
        <w:rPr>
          <w:sz w:val="22"/>
          <w:szCs w:val="22"/>
        </w:rPr>
        <w:t xml:space="preserve"> </w:t>
      </w:r>
      <w:r w:rsidR="008051DE">
        <w:rPr>
          <w:sz w:val="22"/>
          <w:szCs w:val="22"/>
        </w:rPr>
        <w:t>“</w:t>
      </w:r>
      <w:r w:rsidR="00094C5B" w:rsidRPr="008051DE">
        <w:rPr>
          <w:i/>
          <w:sz w:val="22"/>
          <w:szCs w:val="22"/>
        </w:rPr>
        <w:t>não habilitem, nos certames licitatórios para a contratação de serviços de terceirização ou assemelhados, entidades sem fins lucrativos cujos estatutos e objetivos sociais não tenham nexo com os serviços a serem prestados</w:t>
      </w:r>
      <w:r w:rsidR="008051DE">
        <w:rPr>
          <w:sz w:val="22"/>
          <w:szCs w:val="22"/>
        </w:rPr>
        <w:t xml:space="preserve">”, o que contou com a aprovação do colegiado. </w:t>
      </w:r>
      <w:r w:rsidR="008A2417" w:rsidRPr="00337E16">
        <w:rPr>
          <w:b/>
          <w:i/>
          <w:sz w:val="22"/>
          <w:szCs w:val="22"/>
        </w:rPr>
        <w:t xml:space="preserve">Acórdão n.º </w:t>
      </w:r>
      <w:r w:rsidR="00094C5B">
        <w:rPr>
          <w:b/>
          <w:i/>
          <w:sz w:val="22"/>
          <w:szCs w:val="22"/>
        </w:rPr>
        <w:t>7459</w:t>
      </w:r>
      <w:r w:rsidR="008A2417" w:rsidRPr="00337E16">
        <w:rPr>
          <w:b/>
          <w:i/>
          <w:sz w:val="22"/>
          <w:szCs w:val="22"/>
        </w:rPr>
        <w:t>/2010</w:t>
      </w:r>
      <w:r w:rsidR="00151F92">
        <w:rPr>
          <w:b/>
          <w:i/>
          <w:sz w:val="22"/>
          <w:szCs w:val="22"/>
        </w:rPr>
        <w:t>-2ª Câmara</w:t>
      </w:r>
      <w:r w:rsidR="008A2417" w:rsidRPr="00337E16">
        <w:rPr>
          <w:b/>
          <w:i/>
          <w:sz w:val="22"/>
          <w:szCs w:val="22"/>
        </w:rPr>
        <w:t>, TC-0</w:t>
      </w:r>
      <w:r w:rsidR="00094C5B">
        <w:rPr>
          <w:b/>
          <w:i/>
          <w:sz w:val="22"/>
          <w:szCs w:val="22"/>
        </w:rPr>
        <w:t>19</w:t>
      </w:r>
      <w:r w:rsidR="008A2417" w:rsidRPr="00337E16">
        <w:rPr>
          <w:b/>
          <w:i/>
          <w:sz w:val="22"/>
          <w:szCs w:val="22"/>
        </w:rPr>
        <w:t>.</w:t>
      </w:r>
      <w:r w:rsidR="00094C5B">
        <w:rPr>
          <w:b/>
          <w:i/>
          <w:sz w:val="22"/>
          <w:szCs w:val="22"/>
        </w:rPr>
        <w:t>843</w:t>
      </w:r>
      <w:r w:rsidR="008A2417" w:rsidRPr="00337E16">
        <w:rPr>
          <w:b/>
          <w:i/>
          <w:sz w:val="22"/>
          <w:szCs w:val="22"/>
        </w:rPr>
        <w:t>/200</w:t>
      </w:r>
      <w:r w:rsidR="00094C5B">
        <w:rPr>
          <w:b/>
          <w:i/>
          <w:sz w:val="22"/>
          <w:szCs w:val="22"/>
        </w:rPr>
        <w:t>9</w:t>
      </w:r>
      <w:r w:rsidR="008A2417" w:rsidRPr="00337E16">
        <w:rPr>
          <w:b/>
          <w:i/>
          <w:sz w:val="22"/>
          <w:szCs w:val="22"/>
        </w:rPr>
        <w:t>-</w:t>
      </w:r>
      <w:r w:rsidR="00094C5B">
        <w:rPr>
          <w:b/>
          <w:i/>
          <w:sz w:val="22"/>
          <w:szCs w:val="22"/>
        </w:rPr>
        <w:t>0</w:t>
      </w:r>
      <w:r w:rsidR="008A2417" w:rsidRPr="00337E16">
        <w:rPr>
          <w:b/>
          <w:i/>
          <w:sz w:val="22"/>
          <w:szCs w:val="22"/>
        </w:rPr>
        <w:t xml:space="preserve">, rel. Min. </w:t>
      </w:r>
      <w:r w:rsidR="00094C5B">
        <w:rPr>
          <w:b/>
          <w:i/>
          <w:sz w:val="22"/>
          <w:szCs w:val="22"/>
        </w:rPr>
        <w:t>Raimundo Carreiro</w:t>
      </w:r>
      <w:r w:rsidR="008A2417" w:rsidRPr="00337E16">
        <w:rPr>
          <w:b/>
          <w:i/>
          <w:sz w:val="22"/>
          <w:szCs w:val="22"/>
        </w:rPr>
        <w:t xml:space="preserve">, </w:t>
      </w:r>
      <w:r w:rsidR="00094C5B">
        <w:rPr>
          <w:b/>
          <w:i/>
          <w:sz w:val="22"/>
          <w:szCs w:val="22"/>
        </w:rPr>
        <w:t>07</w:t>
      </w:r>
      <w:r w:rsidR="008A2417" w:rsidRPr="00337E16">
        <w:rPr>
          <w:b/>
          <w:i/>
          <w:sz w:val="22"/>
          <w:szCs w:val="22"/>
        </w:rPr>
        <w:t>.</w:t>
      </w:r>
      <w:r w:rsidR="00094C5B">
        <w:rPr>
          <w:b/>
          <w:i/>
          <w:sz w:val="22"/>
          <w:szCs w:val="22"/>
        </w:rPr>
        <w:t>12</w:t>
      </w:r>
      <w:r w:rsidR="008A2417" w:rsidRPr="00337E16">
        <w:rPr>
          <w:b/>
          <w:i/>
          <w:sz w:val="22"/>
          <w:szCs w:val="22"/>
        </w:rPr>
        <w:t>.2010</w:t>
      </w:r>
      <w:r w:rsidR="008A2417" w:rsidRPr="00337E16">
        <w:rPr>
          <w:sz w:val="22"/>
          <w:szCs w:val="22"/>
        </w:rPr>
        <w:t>.</w:t>
      </w:r>
    </w:p>
    <w:p w:rsidR="007334B1" w:rsidRPr="007C2A55" w:rsidRDefault="007334B1" w:rsidP="007334B1">
      <w:pPr>
        <w:pStyle w:val="enter-3pt"/>
        <w:spacing w:line="240" w:lineRule="auto"/>
        <w:jc w:val="center"/>
        <w:rPr>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6"/>
      </w:tblGrid>
      <w:tr w:rsidR="007334B1" w:rsidRPr="007C2A55" w:rsidTr="0030360F">
        <w:trPr>
          <w:trHeight w:val="779"/>
          <w:jc w:val="center"/>
        </w:trPr>
        <w:tc>
          <w:tcPr>
            <w:tcW w:w="0" w:type="auto"/>
            <w:vAlign w:val="center"/>
          </w:tcPr>
          <w:p w:rsidR="007334B1" w:rsidRPr="007C2A55" w:rsidRDefault="007334B1" w:rsidP="0030360F">
            <w:pPr>
              <w:pStyle w:val="enter-3pt"/>
              <w:spacing w:line="240" w:lineRule="auto"/>
              <w:jc w:val="center"/>
              <w:rPr>
                <w:b/>
                <w:i/>
                <w:sz w:val="18"/>
                <w:szCs w:val="18"/>
              </w:rPr>
            </w:pPr>
            <w:r w:rsidRPr="007C2A55">
              <w:rPr>
                <w:b/>
                <w:i/>
                <w:sz w:val="18"/>
                <w:szCs w:val="18"/>
              </w:rPr>
              <w:t>Responsáveis pelo Informativo:</w:t>
            </w:r>
          </w:p>
          <w:p w:rsidR="007334B1" w:rsidRPr="007C2A55" w:rsidRDefault="007334B1" w:rsidP="0030360F">
            <w:pPr>
              <w:pStyle w:val="enter-3pt"/>
              <w:spacing w:line="240" w:lineRule="auto"/>
              <w:jc w:val="center"/>
              <w:rPr>
                <w:i/>
                <w:sz w:val="18"/>
                <w:szCs w:val="18"/>
              </w:rPr>
            </w:pPr>
            <w:r w:rsidRPr="007C2A55">
              <w:rPr>
                <w:b/>
                <w:i/>
                <w:sz w:val="18"/>
                <w:szCs w:val="18"/>
              </w:rPr>
              <w:t>Elaboração:</w:t>
            </w:r>
            <w:r w:rsidRPr="007C2A55">
              <w:rPr>
                <w:i/>
                <w:sz w:val="18"/>
                <w:szCs w:val="18"/>
              </w:rPr>
              <w:t xml:space="preserve"> Sandro Henrique Maciel Bernardes, Assessor em substituição da Secretaria das Sessões</w:t>
            </w:r>
          </w:p>
          <w:p w:rsidR="007334B1" w:rsidRPr="007C2A55" w:rsidRDefault="007334B1" w:rsidP="0030360F">
            <w:pPr>
              <w:pStyle w:val="enter-3pt"/>
              <w:spacing w:line="240" w:lineRule="auto"/>
              <w:jc w:val="center"/>
              <w:rPr>
                <w:i/>
                <w:sz w:val="18"/>
                <w:szCs w:val="18"/>
              </w:rPr>
            </w:pPr>
            <w:r w:rsidRPr="007C2A55">
              <w:rPr>
                <w:b/>
                <w:i/>
                <w:sz w:val="18"/>
                <w:szCs w:val="18"/>
              </w:rPr>
              <w:t>Revisão:</w:t>
            </w:r>
            <w:r w:rsidRPr="007C2A55">
              <w:rPr>
                <w:i/>
                <w:sz w:val="18"/>
                <w:szCs w:val="18"/>
              </w:rPr>
              <w:t xml:space="preserve"> Odilon Cavallari de Oliveira, Secretário das Sessões</w:t>
            </w:r>
          </w:p>
          <w:p w:rsidR="007334B1" w:rsidRPr="007C2A55" w:rsidRDefault="007334B1" w:rsidP="0030360F">
            <w:pPr>
              <w:pStyle w:val="enter-3pt"/>
              <w:spacing w:line="240" w:lineRule="auto"/>
              <w:jc w:val="center"/>
              <w:rPr>
                <w:b/>
                <w:i/>
                <w:sz w:val="22"/>
                <w:szCs w:val="22"/>
              </w:rPr>
            </w:pPr>
            <w:r w:rsidRPr="007C2A55">
              <w:rPr>
                <w:b/>
                <w:i/>
                <w:sz w:val="18"/>
                <w:szCs w:val="18"/>
              </w:rPr>
              <w:t xml:space="preserve">Contato: </w:t>
            </w:r>
            <w:hyperlink r:id="rId9" w:history="1">
              <w:r w:rsidRPr="007C2A55">
                <w:rPr>
                  <w:rStyle w:val="Hyperlink"/>
                  <w:b/>
                  <w:i/>
                  <w:color w:val="auto"/>
                  <w:sz w:val="18"/>
                  <w:szCs w:val="18"/>
                </w:rPr>
                <w:t>infojuris@tcu.gov.br</w:t>
              </w:r>
            </w:hyperlink>
          </w:p>
        </w:tc>
      </w:tr>
    </w:tbl>
    <w:p w:rsidR="007334B1" w:rsidRPr="007C2A55" w:rsidRDefault="007334B1" w:rsidP="007334B1">
      <w:pPr>
        <w:pStyle w:val="enter-3pt"/>
        <w:spacing w:line="240" w:lineRule="auto"/>
        <w:jc w:val="center"/>
        <w:rPr>
          <w:b/>
          <w:sz w:val="22"/>
          <w:szCs w:val="22"/>
        </w:rPr>
      </w:pPr>
    </w:p>
    <w:sectPr w:rsidR="007334B1" w:rsidRPr="007C2A55" w:rsidSect="00337E16">
      <w:headerReference w:type="default" r:id="rId10"/>
      <w:footerReference w:type="default" r:id="rId11"/>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B6F" w:rsidRDefault="00344B6F" w:rsidP="008B0547">
      <w:pPr>
        <w:spacing w:after="0"/>
      </w:pPr>
      <w:r>
        <w:separator/>
      </w:r>
    </w:p>
  </w:endnote>
  <w:endnote w:type="continuationSeparator" w:id="0">
    <w:p w:rsidR="00344B6F" w:rsidRDefault="00344B6F"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Pr="00C906CD" w:rsidRDefault="00C906CD"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CC43B4">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B6F" w:rsidRDefault="00344B6F" w:rsidP="008B0547">
      <w:pPr>
        <w:spacing w:after="0"/>
      </w:pPr>
      <w:r>
        <w:separator/>
      </w:r>
    </w:p>
  </w:footnote>
  <w:footnote w:type="continuationSeparator" w:id="0">
    <w:p w:rsidR="00344B6F" w:rsidRDefault="00344B6F"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Default="003224CD"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47">
      <w:rPr>
        <w:rFonts w:ascii="Arial" w:hAnsi="Arial" w:cs="Arial"/>
        <w:b/>
      </w:rPr>
      <w:t>TRIBUNAL DE CONTAS DA UNIÃO</w:t>
    </w:r>
  </w:p>
  <w:p w:rsidR="008B0547" w:rsidRPr="00515E7B" w:rsidRDefault="003224CD"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5412F"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15E7B" w:rsidRPr="00515E7B">
      <w:rPr>
        <w:rFonts w:ascii="Arial" w:hAnsi="Arial" w:cs="Arial"/>
        <w:noProof/>
        <w:lang w:eastAsia="pt-BR"/>
      </w:rPr>
      <w:t>Info</w:t>
    </w:r>
    <w:r w:rsidR="006F4DE0">
      <w:rPr>
        <w:rFonts w:ascii="Arial" w:hAnsi="Arial" w:cs="Arial"/>
        <w:noProof/>
        <w:lang w:eastAsia="pt-BR"/>
      </w:rPr>
      <w:t>rmativo</w:t>
    </w:r>
    <w:r w:rsidR="00515E7B">
      <w:rPr>
        <w:rFonts w:ascii="Arial" w:hAnsi="Arial" w:cs="Arial"/>
        <w:noProof/>
        <w:lang w:eastAsia="pt-BR"/>
      </w:rPr>
      <w:t xml:space="preserve"> </w:t>
    </w:r>
    <w:r w:rsidR="002810D9">
      <w:rPr>
        <w:rFonts w:ascii="Arial" w:hAnsi="Arial" w:cs="Arial"/>
        <w:noProof/>
        <w:lang w:eastAsia="pt-BR"/>
      </w:rPr>
      <w:t>de Jurisprudência sobre</w:t>
    </w:r>
    <w:r w:rsidR="00515E7B">
      <w:rPr>
        <w:rFonts w:ascii="Arial" w:hAnsi="Arial" w:cs="Arial"/>
        <w:noProof/>
        <w:lang w:eastAsia="pt-BR"/>
      </w:rPr>
      <w:t xml:space="preserve"> </w:t>
    </w:r>
    <w:r w:rsidR="002810D9">
      <w:rPr>
        <w:rFonts w:ascii="Arial" w:hAnsi="Arial" w:cs="Arial"/>
        <w:noProof/>
        <w:lang w:eastAsia="pt-BR"/>
      </w:rPr>
      <w:t>L</w:t>
    </w:r>
    <w:r w:rsidR="00515E7B" w:rsidRPr="00515E7B">
      <w:rPr>
        <w:rFonts w:ascii="Arial" w:hAnsi="Arial" w:cs="Arial"/>
        <w:noProof/>
        <w:lang w:eastAsia="pt-BR"/>
      </w:rPr>
      <w:t xml:space="preserve">icitações e </w:t>
    </w:r>
    <w:r w:rsidR="002810D9">
      <w:rPr>
        <w:rFonts w:ascii="Arial" w:hAnsi="Arial" w:cs="Arial"/>
        <w:noProof/>
        <w:lang w:eastAsia="pt-BR"/>
      </w:rPr>
      <w:t>C</w:t>
    </w:r>
    <w:r w:rsidR="00515E7B" w:rsidRPr="00515E7B">
      <w:rPr>
        <w:rFonts w:ascii="Arial" w:hAnsi="Arial" w:cs="Arial"/>
        <w:noProof/>
        <w:lang w:eastAsia="pt-BR"/>
      </w:rPr>
      <w:t>ontratos</w:t>
    </w:r>
    <w:r w:rsidR="00FF7C62">
      <w:rPr>
        <w:rFonts w:ascii="Arial" w:hAnsi="Arial" w:cs="Arial"/>
        <w:noProof/>
        <w:lang w:eastAsia="pt-BR"/>
      </w:rPr>
      <w:t xml:space="preserve"> nº </w:t>
    </w:r>
    <w:r w:rsidR="001D56C3">
      <w:rPr>
        <w:rFonts w:ascii="Arial" w:hAnsi="Arial" w:cs="Arial"/>
        <w:noProof/>
        <w:lang w:eastAsia="pt-BR"/>
      </w:rPr>
      <w:t>4</w:t>
    </w:r>
    <w:r w:rsidR="007334B1">
      <w:rPr>
        <w:rFonts w:ascii="Arial" w:hAnsi="Arial" w:cs="Arial"/>
        <w:noProof/>
        <w:lang w:eastAsia="pt-BR"/>
      </w:rPr>
      <w:t>6</w:t>
    </w:r>
  </w:p>
  <w:p w:rsidR="008B0547" w:rsidRDefault="008B05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5">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8">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9">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0">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5">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0">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5"/>
  </w:num>
  <w:num w:numId="2">
    <w:abstractNumId w:val="12"/>
  </w:num>
  <w:num w:numId="3">
    <w:abstractNumId w:val="5"/>
  </w:num>
  <w:num w:numId="4">
    <w:abstractNumId w:val="0"/>
  </w:num>
  <w:num w:numId="5">
    <w:abstractNumId w:val="6"/>
  </w:num>
  <w:num w:numId="6">
    <w:abstractNumId w:val="11"/>
  </w:num>
  <w:num w:numId="7">
    <w:abstractNumId w:val="18"/>
  </w:num>
  <w:num w:numId="8">
    <w:abstractNumId w:val="16"/>
  </w:num>
  <w:num w:numId="9">
    <w:abstractNumId w:val="13"/>
  </w:num>
  <w:num w:numId="10">
    <w:abstractNumId w:val="3"/>
  </w:num>
  <w:num w:numId="11">
    <w:abstractNumId w:val="20"/>
  </w:num>
  <w:num w:numId="12">
    <w:abstractNumId w:val="2"/>
  </w:num>
  <w:num w:numId="13">
    <w:abstractNumId w:val="10"/>
  </w:num>
  <w:num w:numId="14">
    <w:abstractNumId w:val="17"/>
  </w:num>
  <w:num w:numId="15">
    <w:abstractNumId w:val="9"/>
  </w:num>
  <w:num w:numId="16">
    <w:abstractNumId w:val="1"/>
  </w:num>
  <w:num w:numId="17">
    <w:abstractNumId w:val="8"/>
  </w:num>
  <w:num w:numId="18">
    <w:abstractNumId w:val="19"/>
    <w:lvlOverride w:ilvl="0">
      <w:startOverride w:val="1"/>
    </w:lvlOverride>
  </w:num>
  <w:num w:numId="19">
    <w:abstractNumId w:val="14"/>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1878"/>
    <w:rsid w:val="00003CEA"/>
    <w:rsid w:val="00004614"/>
    <w:rsid w:val="00005435"/>
    <w:rsid w:val="00005E1E"/>
    <w:rsid w:val="00012468"/>
    <w:rsid w:val="0001636D"/>
    <w:rsid w:val="00023D72"/>
    <w:rsid w:val="000271FA"/>
    <w:rsid w:val="00032198"/>
    <w:rsid w:val="00041450"/>
    <w:rsid w:val="0004660A"/>
    <w:rsid w:val="00052B15"/>
    <w:rsid w:val="00054432"/>
    <w:rsid w:val="000562CD"/>
    <w:rsid w:val="00056D51"/>
    <w:rsid w:val="0006028E"/>
    <w:rsid w:val="00061C2E"/>
    <w:rsid w:val="00065E95"/>
    <w:rsid w:val="00080148"/>
    <w:rsid w:val="00084727"/>
    <w:rsid w:val="0009133A"/>
    <w:rsid w:val="00092C2E"/>
    <w:rsid w:val="00094C5B"/>
    <w:rsid w:val="000A2C56"/>
    <w:rsid w:val="000A62BD"/>
    <w:rsid w:val="000B0ECB"/>
    <w:rsid w:val="000B0FEA"/>
    <w:rsid w:val="000B2AFA"/>
    <w:rsid w:val="000D1FD7"/>
    <w:rsid w:val="000D6418"/>
    <w:rsid w:val="000D7DB6"/>
    <w:rsid w:val="000D7DED"/>
    <w:rsid w:val="000E2D47"/>
    <w:rsid w:val="000E3B31"/>
    <w:rsid w:val="000F2F92"/>
    <w:rsid w:val="000F6D85"/>
    <w:rsid w:val="000F7CEE"/>
    <w:rsid w:val="001104BA"/>
    <w:rsid w:val="00112676"/>
    <w:rsid w:val="0011373A"/>
    <w:rsid w:val="00114511"/>
    <w:rsid w:val="00126026"/>
    <w:rsid w:val="00133EA9"/>
    <w:rsid w:val="00141D7A"/>
    <w:rsid w:val="001420D1"/>
    <w:rsid w:val="001444A2"/>
    <w:rsid w:val="00151F92"/>
    <w:rsid w:val="0015258E"/>
    <w:rsid w:val="00152ECC"/>
    <w:rsid w:val="001532E4"/>
    <w:rsid w:val="00156A48"/>
    <w:rsid w:val="00157AFE"/>
    <w:rsid w:val="00157C0F"/>
    <w:rsid w:val="001744E7"/>
    <w:rsid w:val="00176375"/>
    <w:rsid w:val="001A0CC1"/>
    <w:rsid w:val="001A330B"/>
    <w:rsid w:val="001A60A2"/>
    <w:rsid w:val="001B3E8E"/>
    <w:rsid w:val="001B4F90"/>
    <w:rsid w:val="001C0575"/>
    <w:rsid w:val="001C437E"/>
    <w:rsid w:val="001D03C7"/>
    <w:rsid w:val="001D1478"/>
    <w:rsid w:val="001D56C3"/>
    <w:rsid w:val="001D74CE"/>
    <w:rsid w:val="001E0BF1"/>
    <w:rsid w:val="001E1E28"/>
    <w:rsid w:val="001E2620"/>
    <w:rsid w:val="001E4147"/>
    <w:rsid w:val="001E747D"/>
    <w:rsid w:val="001E7C3D"/>
    <w:rsid w:val="001F00DF"/>
    <w:rsid w:val="002002CE"/>
    <w:rsid w:val="0020066F"/>
    <w:rsid w:val="0020107A"/>
    <w:rsid w:val="00202EAD"/>
    <w:rsid w:val="00203A6F"/>
    <w:rsid w:val="00211816"/>
    <w:rsid w:val="00226D9D"/>
    <w:rsid w:val="00232158"/>
    <w:rsid w:val="002328F9"/>
    <w:rsid w:val="00233CE3"/>
    <w:rsid w:val="0024593F"/>
    <w:rsid w:val="002476B6"/>
    <w:rsid w:val="00254590"/>
    <w:rsid w:val="0026362E"/>
    <w:rsid w:val="002649A7"/>
    <w:rsid w:val="002663B7"/>
    <w:rsid w:val="00271D81"/>
    <w:rsid w:val="00273E72"/>
    <w:rsid w:val="00276DC0"/>
    <w:rsid w:val="002810D9"/>
    <w:rsid w:val="00281830"/>
    <w:rsid w:val="0029043B"/>
    <w:rsid w:val="00290A06"/>
    <w:rsid w:val="0029211E"/>
    <w:rsid w:val="0029450E"/>
    <w:rsid w:val="002A190F"/>
    <w:rsid w:val="002A2129"/>
    <w:rsid w:val="002A3B3F"/>
    <w:rsid w:val="002B4392"/>
    <w:rsid w:val="002B6422"/>
    <w:rsid w:val="002B71BA"/>
    <w:rsid w:val="002C7B61"/>
    <w:rsid w:val="002C7B6D"/>
    <w:rsid w:val="002D35F5"/>
    <w:rsid w:val="002D47FE"/>
    <w:rsid w:val="002D739A"/>
    <w:rsid w:val="002D76AB"/>
    <w:rsid w:val="002E361C"/>
    <w:rsid w:val="002E3943"/>
    <w:rsid w:val="002E4254"/>
    <w:rsid w:val="002F1C09"/>
    <w:rsid w:val="002F5F3B"/>
    <w:rsid w:val="002F693C"/>
    <w:rsid w:val="003020F4"/>
    <w:rsid w:val="0030360F"/>
    <w:rsid w:val="00304A73"/>
    <w:rsid w:val="003069F9"/>
    <w:rsid w:val="00310208"/>
    <w:rsid w:val="0031058F"/>
    <w:rsid w:val="0031089E"/>
    <w:rsid w:val="00310D69"/>
    <w:rsid w:val="003147B7"/>
    <w:rsid w:val="00317E59"/>
    <w:rsid w:val="003224CD"/>
    <w:rsid w:val="00322AE7"/>
    <w:rsid w:val="00325246"/>
    <w:rsid w:val="003275E4"/>
    <w:rsid w:val="0033244F"/>
    <w:rsid w:val="00337E16"/>
    <w:rsid w:val="00340E66"/>
    <w:rsid w:val="00340F10"/>
    <w:rsid w:val="0034486B"/>
    <w:rsid w:val="00344B6F"/>
    <w:rsid w:val="00344D92"/>
    <w:rsid w:val="003455A2"/>
    <w:rsid w:val="00350E87"/>
    <w:rsid w:val="00353B7C"/>
    <w:rsid w:val="0035438E"/>
    <w:rsid w:val="00355828"/>
    <w:rsid w:val="00357CBE"/>
    <w:rsid w:val="00361661"/>
    <w:rsid w:val="003824E4"/>
    <w:rsid w:val="00385DAB"/>
    <w:rsid w:val="0038696B"/>
    <w:rsid w:val="00392509"/>
    <w:rsid w:val="003943E5"/>
    <w:rsid w:val="00397D8E"/>
    <w:rsid w:val="003A2222"/>
    <w:rsid w:val="003A5479"/>
    <w:rsid w:val="003A5C1B"/>
    <w:rsid w:val="003A7C7F"/>
    <w:rsid w:val="003B0304"/>
    <w:rsid w:val="003B043F"/>
    <w:rsid w:val="003B155C"/>
    <w:rsid w:val="003B2E10"/>
    <w:rsid w:val="003B33CE"/>
    <w:rsid w:val="003B343D"/>
    <w:rsid w:val="003B56D7"/>
    <w:rsid w:val="003C1B4F"/>
    <w:rsid w:val="003C2288"/>
    <w:rsid w:val="003C6DEB"/>
    <w:rsid w:val="003C7585"/>
    <w:rsid w:val="003C7A5C"/>
    <w:rsid w:val="003D1FCD"/>
    <w:rsid w:val="003D73BD"/>
    <w:rsid w:val="003D7CCE"/>
    <w:rsid w:val="003E1B68"/>
    <w:rsid w:val="003E65D7"/>
    <w:rsid w:val="003F413A"/>
    <w:rsid w:val="003F54FB"/>
    <w:rsid w:val="003F6D1F"/>
    <w:rsid w:val="004169D8"/>
    <w:rsid w:val="004201AF"/>
    <w:rsid w:val="00425FF9"/>
    <w:rsid w:val="00427B3B"/>
    <w:rsid w:val="00427EBF"/>
    <w:rsid w:val="00430AD2"/>
    <w:rsid w:val="004362AB"/>
    <w:rsid w:val="004415FB"/>
    <w:rsid w:val="00441CE3"/>
    <w:rsid w:val="0044434A"/>
    <w:rsid w:val="00445E76"/>
    <w:rsid w:val="00447217"/>
    <w:rsid w:val="00452C60"/>
    <w:rsid w:val="004617A9"/>
    <w:rsid w:val="0046384E"/>
    <w:rsid w:val="0046706B"/>
    <w:rsid w:val="00471284"/>
    <w:rsid w:val="00473696"/>
    <w:rsid w:val="0047491E"/>
    <w:rsid w:val="004837C6"/>
    <w:rsid w:val="00483998"/>
    <w:rsid w:val="00484E4C"/>
    <w:rsid w:val="00491438"/>
    <w:rsid w:val="00492E3F"/>
    <w:rsid w:val="00493F5C"/>
    <w:rsid w:val="004A171B"/>
    <w:rsid w:val="004B1DC3"/>
    <w:rsid w:val="004C780C"/>
    <w:rsid w:val="004D708E"/>
    <w:rsid w:val="004D760C"/>
    <w:rsid w:val="004E357A"/>
    <w:rsid w:val="004E65EB"/>
    <w:rsid w:val="004F7174"/>
    <w:rsid w:val="0050355D"/>
    <w:rsid w:val="005055B5"/>
    <w:rsid w:val="00511BBF"/>
    <w:rsid w:val="00515E7B"/>
    <w:rsid w:val="005217F8"/>
    <w:rsid w:val="0052267A"/>
    <w:rsid w:val="00531143"/>
    <w:rsid w:val="00536332"/>
    <w:rsid w:val="005438A1"/>
    <w:rsid w:val="00543EB8"/>
    <w:rsid w:val="00554A33"/>
    <w:rsid w:val="0055716D"/>
    <w:rsid w:val="00557953"/>
    <w:rsid w:val="00560E55"/>
    <w:rsid w:val="0056301A"/>
    <w:rsid w:val="005635AD"/>
    <w:rsid w:val="005640E1"/>
    <w:rsid w:val="00564EA1"/>
    <w:rsid w:val="0056534C"/>
    <w:rsid w:val="00567CEE"/>
    <w:rsid w:val="005713F4"/>
    <w:rsid w:val="00571E64"/>
    <w:rsid w:val="00577891"/>
    <w:rsid w:val="00580F26"/>
    <w:rsid w:val="0058427E"/>
    <w:rsid w:val="00590907"/>
    <w:rsid w:val="005A2D82"/>
    <w:rsid w:val="005A72F2"/>
    <w:rsid w:val="005B2194"/>
    <w:rsid w:val="005B2BC3"/>
    <w:rsid w:val="005B4CFA"/>
    <w:rsid w:val="005C1A79"/>
    <w:rsid w:val="005E269C"/>
    <w:rsid w:val="005E3586"/>
    <w:rsid w:val="005E4DEE"/>
    <w:rsid w:val="005E5FF1"/>
    <w:rsid w:val="005F01CE"/>
    <w:rsid w:val="005F70B6"/>
    <w:rsid w:val="00604DBE"/>
    <w:rsid w:val="006063E1"/>
    <w:rsid w:val="006065E4"/>
    <w:rsid w:val="00611E07"/>
    <w:rsid w:val="00612045"/>
    <w:rsid w:val="00613AC9"/>
    <w:rsid w:val="00620E86"/>
    <w:rsid w:val="006219DD"/>
    <w:rsid w:val="00632ACC"/>
    <w:rsid w:val="00650463"/>
    <w:rsid w:val="00651660"/>
    <w:rsid w:val="00652171"/>
    <w:rsid w:val="00670FEA"/>
    <w:rsid w:val="0067353C"/>
    <w:rsid w:val="00676163"/>
    <w:rsid w:val="00677C22"/>
    <w:rsid w:val="006808CC"/>
    <w:rsid w:val="00685899"/>
    <w:rsid w:val="006918DB"/>
    <w:rsid w:val="00692D30"/>
    <w:rsid w:val="00695597"/>
    <w:rsid w:val="00696A89"/>
    <w:rsid w:val="00697477"/>
    <w:rsid w:val="006A037E"/>
    <w:rsid w:val="006A7796"/>
    <w:rsid w:val="006B0495"/>
    <w:rsid w:val="006B0DCB"/>
    <w:rsid w:val="006B2408"/>
    <w:rsid w:val="006B3AF9"/>
    <w:rsid w:val="006B414C"/>
    <w:rsid w:val="006B4B0F"/>
    <w:rsid w:val="006C5C6C"/>
    <w:rsid w:val="006F4DE0"/>
    <w:rsid w:val="006F7332"/>
    <w:rsid w:val="0070385B"/>
    <w:rsid w:val="0070494F"/>
    <w:rsid w:val="00705758"/>
    <w:rsid w:val="0070717A"/>
    <w:rsid w:val="00713DE5"/>
    <w:rsid w:val="007174DA"/>
    <w:rsid w:val="00720910"/>
    <w:rsid w:val="00720F29"/>
    <w:rsid w:val="007224C2"/>
    <w:rsid w:val="00731409"/>
    <w:rsid w:val="007334B1"/>
    <w:rsid w:val="00737FEC"/>
    <w:rsid w:val="00756AA0"/>
    <w:rsid w:val="00757CE6"/>
    <w:rsid w:val="007671B6"/>
    <w:rsid w:val="007671DA"/>
    <w:rsid w:val="007719A8"/>
    <w:rsid w:val="00774593"/>
    <w:rsid w:val="00777599"/>
    <w:rsid w:val="00785CF8"/>
    <w:rsid w:val="00796068"/>
    <w:rsid w:val="00796CC0"/>
    <w:rsid w:val="007A1A35"/>
    <w:rsid w:val="007A5922"/>
    <w:rsid w:val="007B259B"/>
    <w:rsid w:val="007B5018"/>
    <w:rsid w:val="007C670D"/>
    <w:rsid w:val="007D0ED0"/>
    <w:rsid w:val="007D4A4A"/>
    <w:rsid w:val="007E0E05"/>
    <w:rsid w:val="007E1DD3"/>
    <w:rsid w:val="007E209F"/>
    <w:rsid w:val="007E4655"/>
    <w:rsid w:val="007E55E0"/>
    <w:rsid w:val="007E5C50"/>
    <w:rsid w:val="007F22A5"/>
    <w:rsid w:val="008051DE"/>
    <w:rsid w:val="00810CC2"/>
    <w:rsid w:val="0081324B"/>
    <w:rsid w:val="00816193"/>
    <w:rsid w:val="008165E4"/>
    <w:rsid w:val="00825155"/>
    <w:rsid w:val="00825EB9"/>
    <w:rsid w:val="008303E2"/>
    <w:rsid w:val="008341F8"/>
    <w:rsid w:val="008359F3"/>
    <w:rsid w:val="00835DB6"/>
    <w:rsid w:val="00836AC2"/>
    <w:rsid w:val="00844C5B"/>
    <w:rsid w:val="008501A4"/>
    <w:rsid w:val="008505A1"/>
    <w:rsid w:val="00850817"/>
    <w:rsid w:val="00851D16"/>
    <w:rsid w:val="00857634"/>
    <w:rsid w:val="0086124E"/>
    <w:rsid w:val="008652C9"/>
    <w:rsid w:val="00866992"/>
    <w:rsid w:val="00875991"/>
    <w:rsid w:val="00877FDD"/>
    <w:rsid w:val="00880FED"/>
    <w:rsid w:val="008841C8"/>
    <w:rsid w:val="00892BB8"/>
    <w:rsid w:val="00893014"/>
    <w:rsid w:val="00896755"/>
    <w:rsid w:val="008A2417"/>
    <w:rsid w:val="008A5D49"/>
    <w:rsid w:val="008A751E"/>
    <w:rsid w:val="008B0547"/>
    <w:rsid w:val="008B11A3"/>
    <w:rsid w:val="008B1FE5"/>
    <w:rsid w:val="008B434A"/>
    <w:rsid w:val="008B7B55"/>
    <w:rsid w:val="008C3A5B"/>
    <w:rsid w:val="008D6F5D"/>
    <w:rsid w:val="008E003A"/>
    <w:rsid w:val="008E15E3"/>
    <w:rsid w:val="008E4C62"/>
    <w:rsid w:val="008E727E"/>
    <w:rsid w:val="008F2902"/>
    <w:rsid w:val="008F660B"/>
    <w:rsid w:val="009005CE"/>
    <w:rsid w:val="00901376"/>
    <w:rsid w:val="009021A4"/>
    <w:rsid w:val="0091511B"/>
    <w:rsid w:val="009239AA"/>
    <w:rsid w:val="009245B5"/>
    <w:rsid w:val="0093795C"/>
    <w:rsid w:val="00937F7E"/>
    <w:rsid w:val="009444E6"/>
    <w:rsid w:val="00944A8E"/>
    <w:rsid w:val="009455E6"/>
    <w:rsid w:val="00956BA7"/>
    <w:rsid w:val="00956FD8"/>
    <w:rsid w:val="009575F7"/>
    <w:rsid w:val="0096021A"/>
    <w:rsid w:val="00960F73"/>
    <w:rsid w:val="0096655D"/>
    <w:rsid w:val="00971139"/>
    <w:rsid w:val="0097401F"/>
    <w:rsid w:val="00981FA0"/>
    <w:rsid w:val="00984366"/>
    <w:rsid w:val="00984E80"/>
    <w:rsid w:val="0098690F"/>
    <w:rsid w:val="00987EE5"/>
    <w:rsid w:val="00997C8A"/>
    <w:rsid w:val="009A1339"/>
    <w:rsid w:val="009A3006"/>
    <w:rsid w:val="009A3994"/>
    <w:rsid w:val="009B62AF"/>
    <w:rsid w:val="009B7AB9"/>
    <w:rsid w:val="009D1B99"/>
    <w:rsid w:val="009D5445"/>
    <w:rsid w:val="009D565F"/>
    <w:rsid w:val="009D65B9"/>
    <w:rsid w:val="009E04DC"/>
    <w:rsid w:val="009E0FB3"/>
    <w:rsid w:val="009E5105"/>
    <w:rsid w:val="00A0244C"/>
    <w:rsid w:val="00A033FF"/>
    <w:rsid w:val="00A0409E"/>
    <w:rsid w:val="00A06137"/>
    <w:rsid w:val="00A1329C"/>
    <w:rsid w:val="00A14E25"/>
    <w:rsid w:val="00A16638"/>
    <w:rsid w:val="00A16A60"/>
    <w:rsid w:val="00A17A3D"/>
    <w:rsid w:val="00A2062A"/>
    <w:rsid w:val="00A21E19"/>
    <w:rsid w:val="00A239A8"/>
    <w:rsid w:val="00A30683"/>
    <w:rsid w:val="00A3115F"/>
    <w:rsid w:val="00A33030"/>
    <w:rsid w:val="00A378A2"/>
    <w:rsid w:val="00A60F52"/>
    <w:rsid w:val="00A63B4C"/>
    <w:rsid w:val="00A664E7"/>
    <w:rsid w:val="00A66E7F"/>
    <w:rsid w:val="00A75C52"/>
    <w:rsid w:val="00A767B2"/>
    <w:rsid w:val="00A82B9E"/>
    <w:rsid w:val="00A84186"/>
    <w:rsid w:val="00A85B14"/>
    <w:rsid w:val="00A9704A"/>
    <w:rsid w:val="00A97AD0"/>
    <w:rsid w:val="00AA1377"/>
    <w:rsid w:val="00AA49AF"/>
    <w:rsid w:val="00AA57CE"/>
    <w:rsid w:val="00AA7540"/>
    <w:rsid w:val="00AC0BAE"/>
    <w:rsid w:val="00AC126F"/>
    <w:rsid w:val="00AE1128"/>
    <w:rsid w:val="00AE1AB0"/>
    <w:rsid w:val="00AE2609"/>
    <w:rsid w:val="00AE439A"/>
    <w:rsid w:val="00AE617A"/>
    <w:rsid w:val="00AF09C7"/>
    <w:rsid w:val="00B03D35"/>
    <w:rsid w:val="00B05065"/>
    <w:rsid w:val="00B05194"/>
    <w:rsid w:val="00B17303"/>
    <w:rsid w:val="00B21343"/>
    <w:rsid w:val="00B25143"/>
    <w:rsid w:val="00B2585D"/>
    <w:rsid w:val="00B266FA"/>
    <w:rsid w:val="00B27359"/>
    <w:rsid w:val="00B33FC2"/>
    <w:rsid w:val="00B347F1"/>
    <w:rsid w:val="00B3502B"/>
    <w:rsid w:val="00B35C3E"/>
    <w:rsid w:val="00B36473"/>
    <w:rsid w:val="00B36776"/>
    <w:rsid w:val="00B44029"/>
    <w:rsid w:val="00B47943"/>
    <w:rsid w:val="00B50446"/>
    <w:rsid w:val="00B530FD"/>
    <w:rsid w:val="00B5639B"/>
    <w:rsid w:val="00B60C3E"/>
    <w:rsid w:val="00B64775"/>
    <w:rsid w:val="00B67B4F"/>
    <w:rsid w:val="00B81718"/>
    <w:rsid w:val="00B86AF6"/>
    <w:rsid w:val="00B86E2A"/>
    <w:rsid w:val="00B9389E"/>
    <w:rsid w:val="00B96EA4"/>
    <w:rsid w:val="00B97A3E"/>
    <w:rsid w:val="00BA2FFD"/>
    <w:rsid w:val="00BB37AF"/>
    <w:rsid w:val="00BB4C08"/>
    <w:rsid w:val="00BC5737"/>
    <w:rsid w:val="00BD1747"/>
    <w:rsid w:val="00BD3C68"/>
    <w:rsid w:val="00BD421D"/>
    <w:rsid w:val="00BE4614"/>
    <w:rsid w:val="00BE4E6F"/>
    <w:rsid w:val="00BE529D"/>
    <w:rsid w:val="00BE6637"/>
    <w:rsid w:val="00BF10E8"/>
    <w:rsid w:val="00BF3158"/>
    <w:rsid w:val="00C03A04"/>
    <w:rsid w:val="00C03DA7"/>
    <w:rsid w:val="00C046F7"/>
    <w:rsid w:val="00C10C0B"/>
    <w:rsid w:val="00C1776A"/>
    <w:rsid w:val="00C22519"/>
    <w:rsid w:val="00C2305C"/>
    <w:rsid w:val="00C233D0"/>
    <w:rsid w:val="00C24162"/>
    <w:rsid w:val="00C2509D"/>
    <w:rsid w:val="00C34ABD"/>
    <w:rsid w:val="00C35F43"/>
    <w:rsid w:val="00C44A07"/>
    <w:rsid w:val="00C44BDC"/>
    <w:rsid w:val="00C45BFB"/>
    <w:rsid w:val="00C54B14"/>
    <w:rsid w:val="00C57307"/>
    <w:rsid w:val="00C6352A"/>
    <w:rsid w:val="00C65B2D"/>
    <w:rsid w:val="00C65C5D"/>
    <w:rsid w:val="00C6656A"/>
    <w:rsid w:val="00C711E5"/>
    <w:rsid w:val="00C83AEE"/>
    <w:rsid w:val="00C85AC7"/>
    <w:rsid w:val="00C906CD"/>
    <w:rsid w:val="00CA6716"/>
    <w:rsid w:val="00CC42D4"/>
    <w:rsid w:val="00CC43B4"/>
    <w:rsid w:val="00CD2536"/>
    <w:rsid w:val="00CE6D58"/>
    <w:rsid w:val="00CF230D"/>
    <w:rsid w:val="00CF5489"/>
    <w:rsid w:val="00CF7615"/>
    <w:rsid w:val="00D003F8"/>
    <w:rsid w:val="00D10769"/>
    <w:rsid w:val="00D116C7"/>
    <w:rsid w:val="00D13AC5"/>
    <w:rsid w:val="00D14E5F"/>
    <w:rsid w:val="00D2041E"/>
    <w:rsid w:val="00D341C9"/>
    <w:rsid w:val="00D3447D"/>
    <w:rsid w:val="00D3488B"/>
    <w:rsid w:val="00D361DE"/>
    <w:rsid w:val="00D46C4C"/>
    <w:rsid w:val="00D51F18"/>
    <w:rsid w:val="00D564BB"/>
    <w:rsid w:val="00D565FA"/>
    <w:rsid w:val="00D568ED"/>
    <w:rsid w:val="00D6014E"/>
    <w:rsid w:val="00D630E7"/>
    <w:rsid w:val="00D700E5"/>
    <w:rsid w:val="00D76186"/>
    <w:rsid w:val="00D86DD4"/>
    <w:rsid w:val="00D92529"/>
    <w:rsid w:val="00DA5AAB"/>
    <w:rsid w:val="00DA6858"/>
    <w:rsid w:val="00DB1CD7"/>
    <w:rsid w:val="00DB2651"/>
    <w:rsid w:val="00DB4717"/>
    <w:rsid w:val="00DC6F31"/>
    <w:rsid w:val="00DD6D82"/>
    <w:rsid w:val="00DE045E"/>
    <w:rsid w:val="00DE23D6"/>
    <w:rsid w:val="00DE2CB6"/>
    <w:rsid w:val="00DE2DDE"/>
    <w:rsid w:val="00DE5414"/>
    <w:rsid w:val="00DF0C37"/>
    <w:rsid w:val="00DF2506"/>
    <w:rsid w:val="00DF301A"/>
    <w:rsid w:val="00DF3469"/>
    <w:rsid w:val="00DF3BE2"/>
    <w:rsid w:val="00DF4E2C"/>
    <w:rsid w:val="00DF75EC"/>
    <w:rsid w:val="00E079C6"/>
    <w:rsid w:val="00E146CF"/>
    <w:rsid w:val="00E23C05"/>
    <w:rsid w:val="00E247E2"/>
    <w:rsid w:val="00E304EB"/>
    <w:rsid w:val="00E329D0"/>
    <w:rsid w:val="00E33746"/>
    <w:rsid w:val="00E36B53"/>
    <w:rsid w:val="00E37585"/>
    <w:rsid w:val="00E469D5"/>
    <w:rsid w:val="00E46CD5"/>
    <w:rsid w:val="00E500D9"/>
    <w:rsid w:val="00E51AB5"/>
    <w:rsid w:val="00E52345"/>
    <w:rsid w:val="00E52763"/>
    <w:rsid w:val="00E563AE"/>
    <w:rsid w:val="00E662CD"/>
    <w:rsid w:val="00E73271"/>
    <w:rsid w:val="00E74214"/>
    <w:rsid w:val="00E74D52"/>
    <w:rsid w:val="00E75855"/>
    <w:rsid w:val="00E86566"/>
    <w:rsid w:val="00E875F5"/>
    <w:rsid w:val="00E92527"/>
    <w:rsid w:val="00E97045"/>
    <w:rsid w:val="00EA270C"/>
    <w:rsid w:val="00EA5CF4"/>
    <w:rsid w:val="00EB09B9"/>
    <w:rsid w:val="00EB7CB1"/>
    <w:rsid w:val="00EC1C35"/>
    <w:rsid w:val="00ED0557"/>
    <w:rsid w:val="00ED34D4"/>
    <w:rsid w:val="00EE30EE"/>
    <w:rsid w:val="00EE6DE6"/>
    <w:rsid w:val="00EF057C"/>
    <w:rsid w:val="00EF1D14"/>
    <w:rsid w:val="00F01B31"/>
    <w:rsid w:val="00F03AB9"/>
    <w:rsid w:val="00F06479"/>
    <w:rsid w:val="00F076C5"/>
    <w:rsid w:val="00F120D9"/>
    <w:rsid w:val="00F124BE"/>
    <w:rsid w:val="00F27170"/>
    <w:rsid w:val="00F30016"/>
    <w:rsid w:val="00F31C75"/>
    <w:rsid w:val="00F341CC"/>
    <w:rsid w:val="00F342A3"/>
    <w:rsid w:val="00F40CAB"/>
    <w:rsid w:val="00F47C5C"/>
    <w:rsid w:val="00F54856"/>
    <w:rsid w:val="00F57650"/>
    <w:rsid w:val="00F64F51"/>
    <w:rsid w:val="00F67A35"/>
    <w:rsid w:val="00F765E8"/>
    <w:rsid w:val="00F86D88"/>
    <w:rsid w:val="00F87FA7"/>
    <w:rsid w:val="00F9473C"/>
    <w:rsid w:val="00FA40A3"/>
    <w:rsid w:val="00FB3BA6"/>
    <w:rsid w:val="00FB4D65"/>
    <w:rsid w:val="00FB5954"/>
    <w:rsid w:val="00FC0CDF"/>
    <w:rsid w:val="00FC183A"/>
    <w:rsid w:val="00FC3D1C"/>
    <w:rsid w:val="00FD08A7"/>
    <w:rsid w:val="00FD2E55"/>
    <w:rsid w:val="00FD2FA9"/>
    <w:rsid w:val="00FF025A"/>
    <w:rsid w:val="00FF088B"/>
    <w:rsid w:val="00FF10AF"/>
    <w:rsid w:val="00FF334E"/>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6BFDA7E3-B0A3-4EB4-9E2E-FC9F5C0E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semiHidden/>
    <w:unhideWhenUsed/>
    <w:rsid w:val="008B0547"/>
    <w:pPr>
      <w:tabs>
        <w:tab w:val="center" w:pos="4252"/>
        <w:tab w:val="right" w:pos="8504"/>
      </w:tabs>
      <w:spacing w:after="0"/>
    </w:pPr>
  </w:style>
  <w:style w:type="character" w:customStyle="1" w:styleId="RodapChar">
    <w:name w:val="Rodapé Char"/>
    <w:basedOn w:val="Fontepargpadro"/>
    <w:link w:val="Rodap"/>
    <w:uiPriority w:val="99"/>
    <w:semiHidden/>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iPriority w:val="99"/>
    <w:semiHidden/>
    <w:unhideWhenUsed/>
    <w:rsid w:val="00E75855"/>
  </w:style>
  <w:style w:type="character" w:customStyle="1" w:styleId="CorpodetextoChar">
    <w:name w:val="Corpo de texto Char"/>
    <w:basedOn w:val="Fontepargpadro"/>
    <w:link w:val="Corpodetexto"/>
    <w:uiPriority w:val="99"/>
    <w:semiHidden/>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uiPriority w:val="99"/>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uiPriority w:val="99"/>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etimjuridico.com.br/doutrina/texto.asp?id=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juris@tcu.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00476-9CB2-4D65-A72B-158821CA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3118</Words>
  <Characters>16843</Characters>
  <Application>Microsoft Office Word</Application>
  <DocSecurity>4</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19922</CharactersWithSpaces>
  <SharedDoc>false</SharedDoc>
  <HLinks>
    <vt:vector size="12" baseType="variant">
      <vt:variant>
        <vt:i4>7602203</vt:i4>
      </vt:variant>
      <vt:variant>
        <vt:i4>3</vt:i4>
      </vt:variant>
      <vt:variant>
        <vt:i4>0</vt:i4>
      </vt:variant>
      <vt:variant>
        <vt:i4>5</vt:i4>
      </vt:variant>
      <vt:variant>
        <vt:lpwstr>mailto:infojuris@tcu.gov.br</vt:lpwstr>
      </vt:variant>
      <vt:variant>
        <vt:lpwstr/>
      </vt:variant>
      <vt:variant>
        <vt:i4>6881335</vt:i4>
      </vt:variant>
      <vt:variant>
        <vt:i4>0</vt:i4>
      </vt:variant>
      <vt:variant>
        <vt:i4>0</vt:i4>
      </vt:variant>
      <vt:variant>
        <vt:i4>5</vt:i4>
      </vt:variant>
      <vt:variant>
        <vt:lpwstr>http://www.boletimjuridico.com.br/doutrina/texto.asp?id=39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2010-12-15T22:18:00Z</cp:lastPrinted>
  <dcterms:created xsi:type="dcterms:W3CDTF">2015-05-07T12:34:00Z</dcterms:created>
  <dcterms:modified xsi:type="dcterms:W3CDTF">2015-05-07T12:34:00Z</dcterms:modified>
</cp:coreProperties>
</file>