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62" w:rsidRPr="007615E7" w:rsidRDefault="009444E6" w:rsidP="00337E16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6C351F">
        <w:rPr>
          <w:rFonts w:ascii="Times New Roman" w:hAnsi="Times New Roman"/>
          <w:b/>
          <w:i w:val="0"/>
          <w:sz w:val="22"/>
          <w:szCs w:val="22"/>
        </w:rPr>
        <w:t xml:space="preserve">Sessões: </w:t>
      </w:r>
      <w:r w:rsidR="00DD4BC8">
        <w:rPr>
          <w:rFonts w:ascii="Times New Roman" w:hAnsi="Times New Roman"/>
          <w:b/>
          <w:i w:val="0"/>
          <w:sz w:val="22"/>
          <w:szCs w:val="22"/>
        </w:rPr>
        <w:t>30</w:t>
      </w:r>
      <w:r w:rsidRPr="006C351F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6C351F" w:rsidRPr="006C351F">
        <w:rPr>
          <w:rFonts w:ascii="Times New Roman" w:hAnsi="Times New Roman"/>
          <w:b/>
          <w:i w:val="0"/>
          <w:sz w:val="22"/>
          <w:szCs w:val="22"/>
        </w:rPr>
        <w:t>novem</w:t>
      </w:r>
      <w:r w:rsidR="00BB227D" w:rsidRPr="006C351F">
        <w:rPr>
          <w:rFonts w:ascii="Times New Roman" w:hAnsi="Times New Roman"/>
          <w:b/>
          <w:i w:val="0"/>
          <w:sz w:val="22"/>
          <w:szCs w:val="22"/>
        </w:rPr>
        <w:t>bro</w:t>
      </w:r>
      <w:r w:rsidRPr="006C351F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DD4BC8">
        <w:rPr>
          <w:rFonts w:ascii="Times New Roman" w:hAnsi="Times New Roman"/>
          <w:b/>
          <w:i w:val="0"/>
          <w:sz w:val="22"/>
          <w:szCs w:val="22"/>
        </w:rPr>
        <w:t xml:space="preserve">e 1º de </w:t>
      </w:r>
      <w:r w:rsidRPr="006C351F">
        <w:rPr>
          <w:rFonts w:ascii="Times New Roman" w:hAnsi="Times New Roman"/>
          <w:b/>
          <w:i w:val="0"/>
          <w:sz w:val="22"/>
          <w:szCs w:val="22"/>
        </w:rPr>
        <w:t>de</w:t>
      </w:r>
      <w:r w:rsidR="00DD4BC8">
        <w:rPr>
          <w:rFonts w:ascii="Times New Roman" w:hAnsi="Times New Roman"/>
          <w:b/>
          <w:i w:val="0"/>
          <w:sz w:val="22"/>
          <w:szCs w:val="22"/>
        </w:rPr>
        <w:t>zembro</w:t>
      </w:r>
      <w:r w:rsidRPr="006C351F">
        <w:rPr>
          <w:rFonts w:ascii="Times New Roman" w:hAnsi="Times New Roman"/>
          <w:b/>
          <w:i w:val="0"/>
          <w:sz w:val="22"/>
          <w:szCs w:val="22"/>
        </w:rPr>
        <w:t xml:space="preserve"> 2010</w:t>
      </w:r>
    </w:p>
    <w:p w:rsidR="002D35F5" w:rsidRPr="00337E16" w:rsidRDefault="002D35F5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  <w:r w:rsidRPr="00337E16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data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 xml:space="preserve"> acima indicada</w:t>
      </w:r>
      <w:r w:rsidR="000562CD" w:rsidRPr="00337E16">
        <w:rPr>
          <w:sz w:val="22"/>
          <w:szCs w:val="22"/>
        </w:rPr>
        <w:t>(</w:t>
      </w:r>
      <w:r w:rsidRPr="00337E16">
        <w:rPr>
          <w:sz w:val="22"/>
          <w:szCs w:val="22"/>
        </w:rPr>
        <w:t>s</w:t>
      </w:r>
      <w:r w:rsidR="000562CD" w:rsidRPr="00337E16">
        <w:rPr>
          <w:sz w:val="22"/>
          <w:szCs w:val="22"/>
        </w:rPr>
        <w:t>)</w:t>
      </w:r>
      <w:r w:rsidRPr="00337E16">
        <w:rPr>
          <w:sz w:val="22"/>
          <w:szCs w:val="22"/>
        </w:rPr>
        <w:t>, relativas a licitações e contratos, e tem por finalidade facilitar o acompanhamento, pelo leitor, da jurisprudência do TCU quanto aos aspectos relevantes que envolvem o tema. Por esse motivo,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</w:t>
      </w:r>
    </w:p>
    <w:p w:rsidR="00FF7C62" w:rsidRPr="00337E16" w:rsidRDefault="00FF7C62" w:rsidP="00337E16">
      <w:pPr>
        <w:pStyle w:val="Corpodetexto2"/>
        <w:spacing w:after="0" w:line="240" w:lineRule="auto"/>
        <w:ind w:left="0"/>
        <w:rPr>
          <w:sz w:val="22"/>
          <w:szCs w:val="22"/>
        </w:rPr>
      </w:pPr>
    </w:p>
    <w:p w:rsidR="002D35F5" w:rsidRPr="00337E16" w:rsidRDefault="002D35F5" w:rsidP="008A3ACB">
      <w:pPr>
        <w:pBdr>
          <w:top w:val="threeDEmboss" w:sz="24" w:space="0" w:color="auto"/>
        </w:pBdr>
        <w:tabs>
          <w:tab w:val="left" w:pos="284"/>
        </w:tabs>
        <w:spacing w:before="60" w:after="6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337E16">
        <w:rPr>
          <w:rFonts w:ascii="Cambria" w:hAnsi="Cambria"/>
          <w:b/>
          <w:bCs/>
          <w:smallCaps/>
          <w:sz w:val="22"/>
          <w:szCs w:val="22"/>
        </w:rPr>
        <w:t>S</w:t>
      </w:r>
      <w:r w:rsidR="00FF7C62" w:rsidRPr="00337E16">
        <w:rPr>
          <w:rFonts w:ascii="Cambria" w:hAnsi="Cambria"/>
          <w:b/>
          <w:bCs/>
          <w:smallCaps/>
          <w:sz w:val="22"/>
          <w:szCs w:val="22"/>
        </w:rPr>
        <w:t>UMÁRIO</w:t>
      </w:r>
    </w:p>
    <w:p w:rsidR="009444E6" w:rsidRPr="001158D1" w:rsidRDefault="009444E6" w:rsidP="008A3ACB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1158D1">
        <w:rPr>
          <w:i w:val="0"/>
          <w:iCs w:val="0"/>
          <w:sz w:val="22"/>
          <w:szCs w:val="22"/>
        </w:rPr>
        <w:t>Plenário</w:t>
      </w:r>
    </w:p>
    <w:p w:rsidR="00E27B8F" w:rsidRPr="008A3ACB" w:rsidRDefault="00E27B8F" w:rsidP="008A3ACB">
      <w:pPr>
        <w:spacing w:before="60" w:after="60"/>
        <w:ind w:left="0"/>
        <w:rPr>
          <w:sz w:val="22"/>
          <w:szCs w:val="22"/>
        </w:rPr>
      </w:pPr>
      <w:r w:rsidRPr="00E27B8F">
        <w:rPr>
          <w:sz w:val="22"/>
          <w:szCs w:val="22"/>
        </w:rPr>
        <w:t xml:space="preserve">A declaração de inidoneidade aplicada pelo TCU independe do enquadramento da conduta em um dos tipos penais </w:t>
      </w:r>
      <w:r w:rsidRPr="008A3ACB">
        <w:rPr>
          <w:sz w:val="22"/>
          <w:szCs w:val="22"/>
        </w:rPr>
        <w:t>contidos na Lei 8.666/1993.</w:t>
      </w:r>
    </w:p>
    <w:p w:rsidR="00EF70DA" w:rsidRPr="008A3ACB" w:rsidRDefault="00EF70DA" w:rsidP="008A3ACB">
      <w:pPr>
        <w:spacing w:before="60" w:after="60"/>
        <w:ind w:left="0"/>
        <w:rPr>
          <w:sz w:val="22"/>
          <w:szCs w:val="22"/>
        </w:rPr>
      </w:pPr>
      <w:r w:rsidRPr="008A3ACB">
        <w:rPr>
          <w:sz w:val="22"/>
          <w:szCs w:val="22"/>
        </w:rPr>
        <w:t>As contratações diretas amparadas no art. 24, inc. IV, da Lei 8.666/1993 – emergência ou calamidade pública-, podem, excepcionalmente e atendidas determinadas condições, ultrapassar 180 dias.</w:t>
      </w:r>
    </w:p>
    <w:p w:rsidR="001158D1" w:rsidRPr="008A3ACB" w:rsidRDefault="008A3ACB" w:rsidP="008A3ACB">
      <w:pPr>
        <w:spacing w:before="60" w:after="60"/>
        <w:ind w:left="0"/>
        <w:rPr>
          <w:sz w:val="22"/>
          <w:szCs w:val="22"/>
        </w:rPr>
      </w:pPr>
      <w:r w:rsidRPr="008A3ACB">
        <w:rPr>
          <w:sz w:val="22"/>
          <w:szCs w:val="22"/>
        </w:rPr>
        <w:t>Aplica-se a Lei 8.666/1993 nas licitações realizadas com recursos oriundos de empréstimos internacionais, no que não for incompatível com normas eventualmente editadas pelo concedente</w:t>
      </w:r>
      <w:r w:rsidR="001158D1" w:rsidRPr="008A3ACB">
        <w:rPr>
          <w:sz w:val="22"/>
          <w:szCs w:val="22"/>
        </w:rPr>
        <w:t>.</w:t>
      </w:r>
    </w:p>
    <w:p w:rsidR="001158D1" w:rsidRPr="008A3ACB" w:rsidRDefault="008A3ACB" w:rsidP="008A3ACB">
      <w:pPr>
        <w:pStyle w:val="Pargrafo"/>
        <w:spacing w:before="60" w:after="60"/>
        <w:jc w:val="both"/>
        <w:rPr>
          <w:sz w:val="22"/>
          <w:szCs w:val="22"/>
        </w:rPr>
      </w:pPr>
      <w:r w:rsidRPr="008A3ACB">
        <w:rPr>
          <w:sz w:val="22"/>
          <w:szCs w:val="22"/>
        </w:rPr>
        <w:t>Somente a empresa controladora pode se utilizar do art. 24, inc. XXIII, da Lei 8.666/1993, para contratar com sua subsidiária</w:t>
      </w:r>
      <w:r w:rsidR="001158D1" w:rsidRPr="008A3ACB">
        <w:rPr>
          <w:sz w:val="22"/>
          <w:szCs w:val="22"/>
        </w:rPr>
        <w:t xml:space="preserve">. </w:t>
      </w:r>
    </w:p>
    <w:p w:rsidR="008A3ACB" w:rsidRPr="008A3ACB" w:rsidRDefault="008A3ACB" w:rsidP="008A3ACB">
      <w:pPr>
        <w:pStyle w:val="indice"/>
        <w:tabs>
          <w:tab w:val="left" w:pos="567"/>
        </w:tabs>
        <w:spacing w:before="60" w:after="60" w:line="240" w:lineRule="auto"/>
        <w:rPr>
          <w:color w:val="auto"/>
        </w:rPr>
      </w:pPr>
      <w:r w:rsidRPr="008A3ACB">
        <w:rPr>
          <w:color w:val="auto"/>
        </w:rPr>
        <w:t>O pagamento de “taxa de sucesso” não encontra amparo na Lei 8.666/1993.</w:t>
      </w:r>
    </w:p>
    <w:p w:rsidR="00512628" w:rsidRPr="008A3ACB" w:rsidRDefault="00512628" w:rsidP="008A3ACB">
      <w:pPr>
        <w:pStyle w:val="tita"/>
        <w:spacing w:before="60" w:after="60" w:line="240" w:lineRule="auto"/>
        <w:jc w:val="both"/>
        <w:rPr>
          <w:i w:val="0"/>
          <w:iCs w:val="0"/>
          <w:sz w:val="22"/>
          <w:szCs w:val="22"/>
        </w:rPr>
      </w:pPr>
      <w:r w:rsidRPr="008A3ACB">
        <w:rPr>
          <w:i w:val="0"/>
          <w:iCs w:val="0"/>
          <w:sz w:val="22"/>
          <w:szCs w:val="22"/>
        </w:rPr>
        <w:t>Nova</w:t>
      </w:r>
      <w:r w:rsidR="00E27B8F" w:rsidRPr="008A3ACB">
        <w:rPr>
          <w:i w:val="0"/>
          <w:iCs w:val="0"/>
          <w:sz w:val="22"/>
          <w:szCs w:val="22"/>
        </w:rPr>
        <w:t xml:space="preserve"> Súmula</w:t>
      </w:r>
    </w:p>
    <w:p w:rsidR="00512628" w:rsidRPr="008A3ACB" w:rsidRDefault="00512628" w:rsidP="008A3ACB">
      <w:pPr>
        <w:pStyle w:val="enter-3pt"/>
        <w:spacing w:before="60" w:after="60" w:line="240" w:lineRule="auto"/>
        <w:rPr>
          <w:sz w:val="22"/>
          <w:szCs w:val="22"/>
        </w:rPr>
      </w:pPr>
      <w:r w:rsidRPr="008A3ACB">
        <w:rPr>
          <w:sz w:val="22"/>
          <w:szCs w:val="22"/>
        </w:rPr>
        <w:t>Súmula n.º 262</w:t>
      </w:r>
    </w:p>
    <w:p w:rsidR="001158D1" w:rsidRPr="001158D1" w:rsidRDefault="001158D1" w:rsidP="001158D1">
      <w:pPr>
        <w:pStyle w:val="indice"/>
        <w:spacing w:before="60" w:after="60" w:line="240" w:lineRule="auto"/>
        <w:rPr>
          <w:color w:val="auto"/>
        </w:rPr>
      </w:pPr>
    </w:p>
    <w:p w:rsidR="003C6DEB" w:rsidRPr="000F518B" w:rsidRDefault="003C6DEB" w:rsidP="000F518B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 w:rsidRPr="000F518B">
        <w:rPr>
          <w:rFonts w:ascii="Cambria" w:hAnsi="Cambria"/>
          <w:b/>
          <w:bCs/>
          <w:smallCaps/>
          <w:sz w:val="22"/>
          <w:szCs w:val="22"/>
        </w:rPr>
        <w:t>PLENÁRIO</w:t>
      </w:r>
    </w:p>
    <w:p w:rsidR="003C6DEB" w:rsidRPr="000F518B" w:rsidRDefault="003C6DEB" w:rsidP="000F518B">
      <w:pPr>
        <w:pStyle w:val="tita"/>
        <w:spacing w:before="0" w:after="0" w:line="240" w:lineRule="auto"/>
        <w:jc w:val="both"/>
        <w:rPr>
          <w:i w:val="0"/>
          <w:iCs w:val="0"/>
          <w:sz w:val="22"/>
          <w:szCs w:val="22"/>
        </w:rPr>
      </w:pPr>
    </w:p>
    <w:p w:rsidR="002E3028" w:rsidRPr="008A3ACB" w:rsidRDefault="004432BC" w:rsidP="008A3ACB">
      <w:pPr>
        <w:spacing w:after="0"/>
        <w:ind w:left="0"/>
        <w:rPr>
          <w:sz w:val="22"/>
          <w:szCs w:val="22"/>
        </w:rPr>
      </w:pPr>
      <w:r w:rsidRPr="008A3ACB">
        <w:rPr>
          <w:b/>
          <w:sz w:val="22"/>
          <w:szCs w:val="22"/>
        </w:rPr>
        <w:t>A declaração de inidoneidade aplicada pelo TCU independe do enquadramento da conduta em um dos tipos penais contidos na Lei 8.666/1993</w:t>
      </w:r>
    </w:p>
    <w:p w:rsidR="001922E8" w:rsidRPr="008A3ACB" w:rsidRDefault="00030F33" w:rsidP="008A3ACB">
      <w:pPr>
        <w:pStyle w:val="TCU-RelVoto-demais"/>
        <w:spacing w:after="0"/>
        <w:rPr>
          <w:snapToGrid w:val="0"/>
          <w:sz w:val="22"/>
        </w:rPr>
      </w:pPr>
      <w:r w:rsidRPr="008A3ACB">
        <w:rPr>
          <w:sz w:val="22"/>
        </w:rPr>
        <w:t>Representação ao TCU informou a ocorrência de supostas irregularidades no Pregão Eletrônico GECOP N</w:t>
      </w:r>
      <w:r w:rsidRPr="008A3ACB">
        <w:rPr>
          <w:sz w:val="22"/>
          <w:vertAlign w:val="superscript"/>
        </w:rPr>
        <w:t>o</w:t>
      </w:r>
      <w:r w:rsidRPr="008A3ACB">
        <w:rPr>
          <w:sz w:val="22"/>
        </w:rPr>
        <w:t xml:space="preserve"> 2005/0155, realizado pelo Banco do Brasil e cujo objeto era a prestação de serviços de vigilância armada nas dependências do </w:t>
      </w:r>
      <w:r w:rsidR="007232A6">
        <w:rPr>
          <w:sz w:val="22"/>
        </w:rPr>
        <w:t>B</w:t>
      </w:r>
      <w:r w:rsidRPr="008A3ACB">
        <w:rPr>
          <w:sz w:val="22"/>
        </w:rPr>
        <w:t>anco no Estado do Pará. Em função de tal processo, o TCU decidiu declarar a inidoneidade da empresa Falcon Vigilância e Segurança Ltda., para participar, por três anos,</w:t>
      </w:r>
      <w:r w:rsidR="004432BC" w:rsidRPr="008A3ACB">
        <w:rPr>
          <w:sz w:val="22"/>
        </w:rPr>
        <w:t xml:space="preserve"> de licitações</w:t>
      </w:r>
      <w:r w:rsidRPr="008A3ACB">
        <w:rPr>
          <w:sz w:val="22"/>
        </w:rPr>
        <w:t xml:space="preserve"> na Administração Pública Federal, nos termos do art. 46 da Lei n.º 8.443/92</w:t>
      </w:r>
      <w:r w:rsidR="007232A6">
        <w:rPr>
          <w:sz w:val="22"/>
        </w:rPr>
        <w:t xml:space="preserve"> (Lei Orgânica do TCU)</w:t>
      </w:r>
      <w:r w:rsidRPr="008A3ACB">
        <w:rPr>
          <w:sz w:val="22"/>
        </w:rPr>
        <w:t xml:space="preserve">. Inconformada, a empresa intentou </w:t>
      </w:r>
      <w:r w:rsidR="007232A6">
        <w:rPr>
          <w:sz w:val="22"/>
        </w:rPr>
        <w:t>pedido</w:t>
      </w:r>
      <w:r w:rsidRPr="008A3ACB">
        <w:rPr>
          <w:sz w:val="22"/>
        </w:rPr>
        <w:t xml:space="preserve"> de reexame, </w:t>
      </w:r>
      <w:r w:rsidR="000C47DE" w:rsidRPr="008A3ACB">
        <w:rPr>
          <w:sz w:val="22"/>
        </w:rPr>
        <w:t>sendo que a</w:t>
      </w:r>
      <w:r w:rsidRPr="008A3ACB">
        <w:rPr>
          <w:sz w:val="22"/>
          <w:lang w:eastAsia="pt-BR"/>
        </w:rPr>
        <w:t xml:space="preserve"> unidade técnica responsável pel</w:t>
      </w:r>
      <w:r w:rsidR="007232A6">
        <w:rPr>
          <w:sz w:val="22"/>
          <w:lang w:eastAsia="pt-BR"/>
        </w:rPr>
        <w:t>a análise da matéria</w:t>
      </w:r>
      <w:r w:rsidRPr="008A3ACB">
        <w:rPr>
          <w:sz w:val="22"/>
          <w:lang w:eastAsia="pt-BR"/>
        </w:rPr>
        <w:t>, rebatendo as alegações da recorrente em sua peça inicial, propôs que fosse negado provimento ao recurso</w:t>
      </w:r>
      <w:r w:rsidR="00E27B8F" w:rsidRPr="008A3ACB">
        <w:rPr>
          <w:sz w:val="22"/>
          <w:lang w:eastAsia="pt-BR"/>
        </w:rPr>
        <w:t>,</w:t>
      </w:r>
      <w:r w:rsidRPr="008A3ACB">
        <w:rPr>
          <w:sz w:val="22"/>
          <w:lang w:eastAsia="pt-BR"/>
        </w:rPr>
        <w:t xml:space="preserve"> para manter inalterado o acórdão recorrido.</w:t>
      </w:r>
      <w:r w:rsidR="000C47DE" w:rsidRPr="008A3ACB">
        <w:rPr>
          <w:sz w:val="22"/>
          <w:lang w:eastAsia="pt-BR"/>
        </w:rPr>
        <w:t xml:space="preserve"> O Ministério Público junto ao Tribunal – MP/TCU, todavia, divergiu da unidade instrutiva e propôs a insubsistência da decisão anterior, uma vez que a conduta que levara à declaração de inidoneidade da empresa não se amoldaria aos </w:t>
      </w:r>
      <w:r w:rsidR="000C47DE" w:rsidRPr="008A3ACB">
        <w:rPr>
          <w:sz w:val="22"/>
        </w:rPr>
        <w:t>tipos penais especificados nos artigos 90, 93, 95 e 96 da Lei 8.666/</w:t>
      </w:r>
      <w:r w:rsidR="004432BC" w:rsidRPr="008A3ACB">
        <w:rPr>
          <w:sz w:val="22"/>
        </w:rPr>
        <w:t>19</w:t>
      </w:r>
      <w:r w:rsidR="000C47DE" w:rsidRPr="008A3ACB">
        <w:rPr>
          <w:sz w:val="22"/>
        </w:rPr>
        <w:t>93, o que contou com a concordância do relator originário do feito</w:t>
      </w:r>
      <w:r w:rsidR="00146EC1">
        <w:rPr>
          <w:sz w:val="22"/>
        </w:rPr>
        <w:t>, Ministro Valmir Campelo, quando da primeira vez em que citado recurso foi à apreciação do Plenário, mas teve o seu julgamento suspenso em face de pedido de vista formulado pelo Ministro Benjamin Zymler</w:t>
      </w:r>
      <w:r w:rsidR="000C47DE" w:rsidRPr="008A3ACB">
        <w:rPr>
          <w:sz w:val="22"/>
        </w:rPr>
        <w:t xml:space="preserve">. </w:t>
      </w:r>
      <w:r w:rsidR="00146EC1">
        <w:rPr>
          <w:sz w:val="22"/>
        </w:rPr>
        <w:t>Desta feita</w:t>
      </w:r>
      <w:r w:rsidR="000C47DE" w:rsidRPr="008A3ACB">
        <w:rPr>
          <w:sz w:val="22"/>
        </w:rPr>
        <w:t>, o ministro Benjamin Zymler, em voto-revisor, entendeu assistir razão às análises procedidas pela unidade técnica. Depois de expor os fatos que levaram o TCU</w:t>
      </w:r>
      <w:r w:rsidR="001F09B2" w:rsidRPr="008A3ACB">
        <w:rPr>
          <w:sz w:val="22"/>
        </w:rPr>
        <w:t>, anteriormente, a</w:t>
      </w:r>
      <w:r w:rsidR="000C47DE" w:rsidRPr="008A3ACB">
        <w:rPr>
          <w:sz w:val="22"/>
        </w:rPr>
        <w:t xml:space="preserve"> decl</w:t>
      </w:r>
      <w:r w:rsidR="001F09B2" w:rsidRPr="008A3ACB">
        <w:rPr>
          <w:sz w:val="22"/>
        </w:rPr>
        <w:t>arar a inidoneidade da empresa recorrente, o relator, a respeito do fato de a conduta impugnada estar, ou não, enquadrada nos tipos penais estabelecidos na Lei 8.666/93, observou ser outro</w:t>
      </w:r>
      <w:r w:rsidR="007232A6">
        <w:rPr>
          <w:sz w:val="22"/>
        </w:rPr>
        <w:t xml:space="preserve"> o</w:t>
      </w:r>
      <w:r w:rsidR="001F09B2" w:rsidRPr="008A3ACB">
        <w:rPr>
          <w:sz w:val="22"/>
        </w:rPr>
        <w:t xml:space="preserve"> fundamento para a apenação da recorrente: o art. 46 da Lei 8.443/1992. O dispositivo, na visão do relator, estabelece “</w:t>
      </w:r>
      <w:r w:rsidR="001F09B2" w:rsidRPr="008A3ACB">
        <w:rPr>
          <w:i/>
          <w:sz w:val="22"/>
        </w:rPr>
        <w:t>sanção administrativa, o que não se confunde com os tipos penais do estatuto de licitações</w:t>
      </w:r>
      <w:r w:rsidR="001F09B2" w:rsidRPr="008A3ACB">
        <w:rPr>
          <w:sz w:val="22"/>
        </w:rPr>
        <w:t>”. Para ele, tendo em conta “</w:t>
      </w:r>
      <w:r w:rsidR="001F09B2" w:rsidRPr="008A3ACB">
        <w:rPr>
          <w:i/>
          <w:sz w:val="22"/>
        </w:rPr>
        <w:t xml:space="preserve">o princípio da independência entre as instâncias, as sanções penais e administrativas podem ser aplicadas independentemente e estão sujeitas </w:t>
      </w:r>
      <w:r w:rsidR="007232A6">
        <w:rPr>
          <w:i/>
          <w:sz w:val="22"/>
        </w:rPr>
        <w:t>a</w:t>
      </w:r>
      <w:r w:rsidR="001F09B2" w:rsidRPr="008A3ACB">
        <w:rPr>
          <w:i/>
          <w:sz w:val="22"/>
        </w:rPr>
        <w:t xml:space="preserve"> diferentes formas de valoração</w:t>
      </w:r>
      <w:r w:rsidR="001F09B2" w:rsidRPr="008A3ACB">
        <w:rPr>
          <w:sz w:val="22"/>
        </w:rPr>
        <w:t>”. Não vislumbrou, em consequência, fundamento para que</w:t>
      </w:r>
      <w:r w:rsidR="004432BC" w:rsidRPr="008A3ACB">
        <w:rPr>
          <w:sz w:val="22"/>
        </w:rPr>
        <w:t xml:space="preserve"> se afirmasse, “</w:t>
      </w:r>
      <w:r w:rsidR="004432BC" w:rsidRPr="008A3ACB">
        <w:rPr>
          <w:i/>
          <w:sz w:val="22"/>
        </w:rPr>
        <w:t>que o conceito de fraude previsto no art. 46 da Lei 8.443/92 estivesse circunscrito aos ditames previstos nos tipos penais da Lei 8.666/93</w:t>
      </w:r>
      <w:r w:rsidR="004432BC" w:rsidRPr="008A3ACB">
        <w:rPr>
          <w:sz w:val="22"/>
        </w:rPr>
        <w:t xml:space="preserve">”, pois, </w:t>
      </w:r>
      <w:r w:rsidR="004432BC" w:rsidRPr="008A3ACB">
        <w:rPr>
          <w:i/>
          <w:sz w:val="22"/>
        </w:rPr>
        <w:t>“caso assim fosse, esta Corte apenas poderia aplicar a referida pena administrativa quando o assunto estivesse resolvido na esfera penal, pois enquanto houvesse dúvidas acerca da subsunção dos fatos aos referidos tipos penais, não poderia a pena ser aplicada. Tal entendimento, como visto, vai contra o princípio de independência entre as instâncias</w:t>
      </w:r>
      <w:r w:rsidR="004432BC" w:rsidRPr="008A3ACB">
        <w:rPr>
          <w:sz w:val="22"/>
        </w:rPr>
        <w:t>”</w:t>
      </w:r>
      <w:r w:rsidR="004432BC" w:rsidRPr="008A3ACB">
        <w:rPr>
          <w:i/>
          <w:sz w:val="22"/>
        </w:rPr>
        <w:t xml:space="preserve">. </w:t>
      </w:r>
      <w:r w:rsidR="004432BC" w:rsidRPr="008A3ACB">
        <w:rPr>
          <w:sz w:val="22"/>
        </w:rPr>
        <w:t>Assim, votou por que se negasse provimento ao recurso de reexame intentado, mantendo-se, em consequência, os exatos termos da decisão anterior</w:t>
      </w:r>
      <w:r w:rsidR="00146EC1">
        <w:rPr>
          <w:sz w:val="22"/>
        </w:rPr>
        <w:t xml:space="preserve">. O relator, Ministro Valmir Campelo, reajustou o seu voto para acompanhar o revisor, tendo a matéria sido aprovada por unanimidade </w:t>
      </w:r>
      <w:r w:rsidR="004432BC" w:rsidRPr="008A3ACB">
        <w:rPr>
          <w:sz w:val="22"/>
        </w:rPr>
        <w:t xml:space="preserve">pelo Plenário. </w:t>
      </w:r>
      <w:r w:rsidR="001922E8" w:rsidRPr="008A3ACB">
        <w:rPr>
          <w:b/>
          <w:i/>
          <w:sz w:val="22"/>
        </w:rPr>
        <w:t xml:space="preserve">Acórdão n.º </w:t>
      </w:r>
      <w:r w:rsidRPr="008A3ACB">
        <w:rPr>
          <w:b/>
          <w:i/>
          <w:sz w:val="22"/>
        </w:rPr>
        <w:t>3222</w:t>
      </w:r>
      <w:r w:rsidR="001922E8" w:rsidRPr="008A3ACB">
        <w:rPr>
          <w:b/>
          <w:i/>
          <w:sz w:val="22"/>
        </w:rPr>
        <w:t>/2010-Plenário, TC-</w:t>
      </w:r>
      <w:r w:rsidR="004F5666" w:rsidRPr="008A3ACB">
        <w:rPr>
          <w:b/>
          <w:i/>
          <w:sz w:val="22"/>
        </w:rPr>
        <w:t>00</w:t>
      </w:r>
      <w:r w:rsidRPr="008A3ACB">
        <w:rPr>
          <w:b/>
          <w:i/>
          <w:sz w:val="22"/>
        </w:rPr>
        <w:t>3</w:t>
      </w:r>
      <w:r w:rsidR="001922E8" w:rsidRPr="008A3ACB">
        <w:rPr>
          <w:b/>
          <w:i/>
          <w:sz w:val="22"/>
        </w:rPr>
        <w:t>.</w:t>
      </w:r>
      <w:r w:rsidRPr="008A3ACB">
        <w:rPr>
          <w:b/>
          <w:i/>
          <w:sz w:val="22"/>
        </w:rPr>
        <w:t>533</w:t>
      </w:r>
      <w:r w:rsidR="00377522" w:rsidRPr="008A3ACB">
        <w:rPr>
          <w:b/>
          <w:i/>
          <w:sz w:val="22"/>
        </w:rPr>
        <w:t>/200</w:t>
      </w:r>
      <w:r w:rsidRPr="008A3ACB">
        <w:rPr>
          <w:b/>
          <w:i/>
          <w:sz w:val="22"/>
        </w:rPr>
        <w:t>6</w:t>
      </w:r>
      <w:r w:rsidR="00377522" w:rsidRPr="008A3ACB">
        <w:rPr>
          <w:b/>
          <w:i/>
          <w:sz w:val="22"/>
        </w:rPr>
        <w:t>-</w:t>
      </w:r>
      <w:r w:rsidRPr="008A3ACB">
        <w:rPr>
          <w:b/>
          <w:i/>
          <w:sz w:val="22"/>
        </w:rPr>
        <w:t>1</w:t>
      </w:r>
      <w:r w:rsidR="001922E8" w:rsidRPr="008A3ACB">
        <w:rPr>
          <w:b/>
          <w:i/>
          <w:sz w:val="22"/>
        </w:rPr>
        <w:t xml:space="preserve">, rel. Min. </w:t>
      </w:r>
      <w:r w:rsidRPr="008A3ACB">
        <w:rPr>
          <w:b/>
          <w:i/>
          <w:sz w:val="22"/>
        </w:rPr>
        <w:t>Valmir Campelo</w:t>
      </w:r>
      <w:r w:rsidR="00146EC1">
        <w:rPr>
          <w:b/>
          <w:i/>
          <w:sz w:val="22"/>
        </w:rPr>
        <w:t>,</w:t>
      </w:r>
      <w:r w:rsidRPr="008A3ACB">
        <w:rPr>
          <w:b/>
          <w:i/>
          <w:sz w:val="22"/>
        </w:rPr>
        <w:t xml:space="preserve"> revisor Min. Benjamin Zymler</w:t>
      </w:r>
      <w:r w:rsidR="001922E8" w:rsidRPr="008A3ACB">
        <w:rPr>
          <w:b/>
          <w:i/>
          <w:sz w:val="22"/>
        </w:rPr>
        <w:t xml:space="preserve">, </w:t>
      </w:r>
      <w:r w:rsidRPr="008A3ACB">
        <w:rPr>
          <w:b/>
          <w:i/>
          <w:sz w:val="22"/>
        </w:rPr>
        <w:t>01</w:t>
      </w:r>
      <w:r w:rsidR="001922E8" w:rsidRPr="008A3ACB">
        <w:rPr>
          <w:b/>
          <w:i/>
          <w:sz w:val="22"/>
        </w:rPr>
        <w:t>.1</w:t>
      </w:r>
      <w:r w:rsidRPr="008A3ACB">
        <w:rPr>
          <w:b/>
          <w:i/>
          <w:sz w:val="22"/>
        </w:rPr>
        <w:t>2</w:t>
      </w:r>
      <w:r w:rsidR="001922E8" w:rsidRPr="008A3ACB">
        <w:rPr>
          <w:b/>
          <w:i/>
          <w:sz w:val="22"/>
        </w:rPr>
        <w:t>.2010</w:t>
      </w:r>
      <w:r w:rsidR="001922E8" w:rsidRPr="008A3ACB">
        <w:rPr>
          <w:sz w:val="22"/>
        </w:rPr>
        <w:t>.</w:t>
      </w:r>
    </w:p>
    <w:p w:rsidR="00EF70DA" w:rsidRPr="008A3ACB" w:rsidRDefault="00EF70DA" w:rsidP="008A3ACB">
      <w:pPr>
        <w:spacing w:after="0"/>
        <w:ind w:left="0"/>
        <w:rPr>
          <w:b/>
          <w:color w:val="FF0000"/>
          <w:sz w:val="22"/>
          <w:szCs w:val="22"/>
        </w:rPr>
      </w:pPr>
    </w:p>
    <w:p w:rsidR="00A71325" w:rsidRPr="008A3ACB" w:rsidRDefault="00EF70DA" w:rsidP="008A3ACB">
      <w:pPr>
        <w:spacing w:after="0"/>
        <w:ind w:left="0"/>
        <w:rPr>
          <w:sz w:val="22"/>
          <w:szCs w:val="22"/>
        </w:rPr>
      </w:pPr>
      <w:r w:rsidRPr="008A3ACB">
        <w:rPr>
          <w:b/>
          <w:sz w:val="22"/>
          <w:szCs w:val="22"/>
        </w:rPr>
        <w:t>As contratações diretas amparadas no art. 24, inc. IV, da Lei 8.666/1993 – emergência ou calamidade pública-, podem, excepcionalmente e atendidas determinadas condições, ultrapassar 180 dias</w:t>
      </w:r>
    </w:p>
    <w:p w:rsidR="00A71325" w:rsidRPr="008A3ACB" w:rsidRDefault="00E51180" w:rsidP="008A3ACB">
      <w:pPr>
        <w:spacing w:after="0"/>
        <w:ind w:left="0"/>
        <w:rPr>
          <w:snapToGrid w:val="0"/>
          <w:color w:val="FF0000"/>
          <w:sz w:val="22"/>
          <w:szCs w:val="22"/>
        </w:rPr>
      </w:pPr>
      <w:r w:rsidRPr="008A3ACB">
        <w:rPr>
          <w:sz w:val="22"/>
          <w:szCs w:val="22"/>
        </w:rPr>
        <w:t xml:space="preserve">Auditoria </w:t>
      </w:r>
      <w:r w:rsidR="00EF70DA" w:rsidRPr="008A3ACB">
        <w:rPr>
          <w:sz w:val="22"/>
          <w:szCs w:val="22"/>
        </w:rPr>
        <w:t xml:space="preserve">foi realizada </w:t>
      </w:r>
      <w:r w:rsidRPr="008A3ACB">
        <w:rPr>
          <w:sz w:val="22"/>
          <w:szCs w:val="22"/>
        </w:rPr>
        <w:t xml:space="preserve">pelo TCU, com o objetivo de acompanhar as ações governamentais </w:t>
      </w:r>
      <w:r w:rsidR="00EF70DA" w:rsidRPr="008A3ACB">
        <w:rPr>
          <w:sz w:val="22"/>
          <w:szCs w:val="22"/>
        </w:rPr>
        <w:t>conduzidas</w:t>
      </w:r>
      <w:r w:rsidRPr="008A3ACB">
        <w:rPr>
          <w:sz w:val="22"/>
          <w:szCs w:val="22"/>
        </w:rPr>
        <w:t xml:space="preserve"> pelo Governo do Estado de Pernambuco</w:t>
      </w:r>
      <w:r w:rsidR="00EF70DA" w:rsidRPr="008A3ACB">
        <w:rPr>
          <w:sz w:val="22"/>
          <w:szCs w:val="22"/>
        </w:rPr>
        <w:t xml:space="preserve">, </w:t>
      </w:r>
      <w:r w:rsidRPr="008A3ACB">
        <w:rPr>
          <w:sz w:val="22"/>
          <w:szCs w:val="22"/>
        </w:rPr>
        <w:t xml:space="preserve">para auxiliar a parte do Estado fronteiriça com o Estado de Alagoas </w:t>
      </w:r>
      <w:r w:rsidR="00EF70DA" w:rsidRPr="008A3ACB">
        <w:rPr>
          <w:sz w:val="22"/>
          <w:szCs w:val="22"/>
        </w:rPr>
        <w:t>n</w:t>
      </w:r>
      <w:r w:rsidRPr="008A3ACB">
        <w:rPr>
          <w:sz w:val="22"/>
          <w:szCs w:val="22"/>
        </w:rPr>
        <w:t xml:space="preserve">o retorno à normalidade, após a ocorrência de intensas e extraordinárias precipitações pluviométricas no final de junho de 2010, as quais levaram o governo </w:t>
      </w:r>
      <w:r w:rsidR="00EF70DA" w:rsidRPr="008A3ACB">
        <w:rPr>
          <w:sz w:val="22"/>
          <w:szCs w:val="22"/>
        </w:rPr>
        <w:t>pernambucano</w:t>
      </w:r>
      <w:r w:rsidRPr="008A3ACB">
        <w:rPr>
          <w:sz w:val="22"/>
          <w:szCs w:val="22"/>
        </w:rPr>
        <w:t xml:space="preserve"> à decretação de “Situação de Emergência” e “Estado de Calamidade Pública”, nos municípios mais afetados, sendo efetuadas diversas contratações emergenciais, com fulcro no inciso IV do art. 24 da Lei 8.666/93, no bojo da denominada “Operação Reconstrução</w:t>
      </w:r>
      <w:r w:rsidR="00F4558B">
        <w:rPr>
          <w:sz w:val="22"/>
          <w:szCs w:val="22"/>
        </w:rPr>
        <w:t>”</w:t>
      </w:r>
      <w:r w:rsidRPr="008A3ACB">
        <w:rPr>
          <w:sz w:val="22"/>
          <w:szCs w:val="22"/>
        </w:rPr>
        <w:t>. Nesse quadro, o Procurador</w:t>
      </w:r>
      <w:r w:rsidR="00F4558B">
        <w:rPr>
          <w:sz w:val="22"/>
          <w:szCs w:val="22"/>
        </w:rPr>
        <w:t>-</w:t>
      </w:r>
      <w:r w:rsidRPr="008A3ACB">
        <w:rPr>
          <w:sz w:val="22"/>
          <w:szCs w:val="22"/>
        </w:rPr>
        <w:t>Geral daquele Estado encaminhou ofício</w:t>
      </w:r>
      <w:r w:rsidR="00EF70DA" w:rsidRPr="008A3ACB">
        <w:rPr>
          <w:sz w:val="22"/>
          <w:szCs w:val="22"/>
        </w:rPr>
        <w:t xml:space="preserve"> ao TCU</w:t>
      </w:r>
      <w:r w:rsidRPr="008A3ACB">
        <w:rPr>
          <w:sz w:val="22"/>
          <w:szCs w:val="22"/>
        </w:rPr>
        <w:t xml:space="preserve">, acompanhado de relatórios de diversas áreas do governo estadual, dando conta </w:t>
      </w:r>
      <w:r w:rsidR="00F4558B">
        <w:rPr>
          <w:sz w:val="22"/>
          <w:szCs w:val="22"/>
        </w:rPr>
        <w:t xml:space="preserve">de </w:t>
      </w:r>
      <w:r w:rsidRPr="008A3ACB">
        <w:rPr>
          <w:sz w:val="22"/>
          <w:szCs w:val="22"/>
        </w:rPr>
        <w:t>que, “</w:t>
      </w:r>
      <w:r w:rsidRPr="008A3ACB">
        <w:rPr>
          <w:i/>
          <w:sz w:val="22"/>
          <w:szCs w:val="22"/>
        </w:rPr>
        <w:t>em relação à situação de emergência verificada em Pernambuco, por ocasião das chuvas, diversos fatores implicaram a impossibilidade de conclusão de todas as obras necessárias à restauração da normalidade dentro do prazo legal de 180 dias</w:t>
      </w:r>
      <w:r w:rsidRPr="008A3ACB">
        <w:rPr>
          <w:sz w:val="22"/>
          <w:szCs w:val="22"/>
        </w:rPr>
        <w:t>.”. Foi</w:t>
      </w:r>
      <w:r w:rsidR="00EF70DA" w:rsidRPr="008A3ACB">
        <w:rPr>
          <w:sz w:val="22"/>
          <w:szCs w:val="22"/>
        </w:rPr>
        <w:t>,</w:t>
      </w:r>
      <w:r w:rsidRPr="008A3ACB">
        <w:rPr>
          <w:sz w:val="22"/>
          <w:szCs w:val="22"/>
        </w:rPr>
        <w:t xml:space="preserve"> então</w:t>
      </w:r>
      <w:r w:rsidR="00EF70DA" w:rsidRPr="008A3ACB">
        <w:rPr>
          <w:sz w:val="22"/>
          <w:szCs w:val="22"/>
        </w:rPr>
        <w:t>,</w:t>
      </w:r>
      <w:r w:rsidRPr="008A3ACB">
        <w:rPr>
          <w:sz w:val="22"/>
          <w:szCs w:val="22"/>
        </w:rPr>
        <w:t xml:space="preserve"> requerid</w:t>
      </w:r>
      <w:r w:rsidR="00F4558B">
        <w:rPr>
          <w:sz w:val="22"/>
          <w:szCs w:val="22"/>
        </w:rPr>
        <w:t>a</w:t>
      </w:r>
      <w:r w:rsidRPr="008A3ACB">
        <w:rPr>
          <w:sz w:val="22"/>
          <w:szCs w:val="22"/>
        </w:rPr>
        <w:t xml:space="preserve"> pelo representante estadual a autorização excepcional para que as contratações emergenciais perdurassem por prazo superior ao limite de 180 dias estabelecido no art. 24, IV, da Lei 8.666/93, bem como a prorrogação dos contratos em vigor pelo prazo necessário à finalização das obras em andamento</w:t>
      </w:r>
      <w:r w:rsidR="00F4558B">
        <w:rPr>
          <w:sz w:val="22"/>
          <w:szCs w:val="22"/>
        </w:rPr>
        <w:t>,</w:t>
      </w:r>
      <w:r w:rsidRPr="008A3ACB">
        <w:rPr>
          <w:sz w:val="22"/>
          <w:szCs w:val="22"/>
        </w:rPr>
        <w:t xml:space="preserve"> </w:t>
      </w:r>
      <w:r w:rsidR="00F4558B">
        <w:rPr>
          <w:sz w:val="22"/>
          <w:szCs w:val="22"/>
        </w:rPr>
        <w:t>à</w:t>
      </w:r>
      <w:r w:rsidRPr="008A3ACB">
        <w:rPr>
          <w:sz w:val="22"/>
          <w:szCs w:val="22"/>
        </w:rPr>
        <w:t xml:space="preserve"> contratação e</w:t>
      </w:r>
      <w:r w:rsidR="00F4558B">
        <w:rPr>
          <w:sz w:val="22"/>
          <w:szCs w:val="22"/>
        </w:rPr>
        <w:t xml:space="preserve"> ao</w:t>
      </w:r>
      <w:r w:rsidRPr="008A3ACB">
        <w:rPr>
          <w:sz w:val="22"/>
          <w:szCs w:val="22"/>
        </w:rPr>
        <w:t xml:space="preserve"> início das demais obras tidas como essenciais.</w:t>
      </w:r>
      <w:r w:rsidR="00716497" w:rsidRPr="008A3ACB">
        <w:rPr>
          <w:sz w:val="22"/>
          <w:szCs w:val="22"/>
        </w:rPr>
        <w:t xml:space="preserve"> Ao examinar os fatos, o relator destacou, inicialmente, que, “</w:t>
      </w:r>
      <w:r w:rsidR="00716497" w:rsidRPr="008A3ACB">
        <w:rPr>
          <w:i/>
          <w:sz w:val="22"/>
          <w:szCs w:val="22"/>
        </w:rPr>
        <w:t>não se insere dentre as atribuições constitucionais desta Corte autorizar os entes e/ou gestores jurisdicionados a efetuar contratações ou realizar aditivos contratuais, pois essa é prerrogativa dos gestores. Assim, tais atos administrativos se aperfeiçoam independentemente da atuação do TCU</w:t>
      </w:r>
      <w:r w:rsidR="00716497" w:rsidRPr="008A3ACB">
        <w:rPr>
          <w:sz w:val="22"/>
          <w:szCs w:val="22"/>
        </w:rPr>
        <w:t>”. Todavia, enaltecendo a preocupação do governo de Pernambuco em prover, com brevidade, as necessidades da região assolada pela</w:t>
      </w:r>
      <w:r w:rsidR="00EF70DA" w:rsidRPr="008A3ACB">
        <w:rPr>
          <w:sz w:val="22"/>
          <w:szCs w:val="22"/>
        </w:rPr>
        <w:t>s</w:t>
      </w:r>
      <w:r w:rsidR="00716497" w:rsidRPr="008A3ACB">
        <w:rPr>
          <w:sz w:val="22"/>
          <w:szCs w:val="22"/>
        </w:rPr>
        <w:t xml:space="preserve"> </w:t>
      </w:r>
      <w:r w:rsidR="00EF70DA" w:rsidRPr="008A3ACB">
        <w:rPr>
          <w:sz w:val="22"/>
          <w:szCs w:val="22"/>
        </w:rPr>
        <w:t>chuvas</w:t>
      </w:r>
      <w:r w:rsidR="00716497" w:rsidRPr="008A3ACB">
        <w:rPr>
          <w:sz w:val="22"/>
          <w:szCs w:val="22"/>
        </w:rPr>
        <w:t>, o relator enfatizou se estar diante de situação excepcional</w:t>
      </w:r>
      <w:r w:rsidR="00F93E7F" w:rsidRPr="008A3ACB">
        <w:rPr>
          <w:sz w:val="22"/>
          <w:szCs w:val="22"/>
        </w:rPr>
        <w:t>. Assim, citando jurisprudência do TCU, destacou que, “</w:t>
      </w:r>
      <w:r w:rsidR="00F93E7F" w:rsidRPr="008A3ACB">
        <w:rPr>
          <w:i/>
          <w:sz w:val="22"/>
          <w:szCs w:val="22"/>
        </w:rPr>
        <w:t>o limite de 180 dias para execução de serviços emergenciais, referido no inciso IV do art. 24 da Lei nº 8.666/1993, pode ser ultrapassado se isso for indispensável para a preservação do bem protegido</w:t>
      </w:r>
      <w:r w:rsidR="00F93E7F" w:rsidRPr="008A3ACB">
        <w:rPr>
          <w:sz w:val="22"/>
          <w:szCs w:val="22"/>
        </w:rPr>
        <w:t>”. No mesmo sentido, quanto à prorrogação dos contratos firmados diretamente com base no mesmo dispositivo, registrou o relator, amparado em jurisprudência do TCU,</w:t>
      </w:r>
      <w:r w:rsidR="0040201F">
        <w:rPr>
          <w:sz w:val="22"/>
          <w:szCs w:val="22"/>
        </w:rPr>
        <w:t xml:space="preserve"> que</w:t>
      </w:r>
      <w:r w:rsidR="00F93E7F" w:rsidRPr="008A3ACB">
        <w:rPr>
          <w:sz w:val="22"/>
          <w:szCs w:val="22"/>
        </w:rPr>
        <w:t xml:space="preserve"> “é</w:t>
      </w:r>
      <w:r w:rsidR="00F93E7F" w:rsidRPr="008A3ACB">
        <w:rPr>
          <w:i/>
          <w:sz w:val="22"/>
          <w:szCs w:val="22"/>
        </w:rPr>
        <w:t xml:space="preserve"> possível, em casos excepcionais, firmar termo aditivo para prorrogar contrato oriundo da dispensa de licitação prevista no art. 24, inciso IV, da Lei nº 8.666/1993, por período adicional estritamente necessário à conclusão da obra ou serviço, além do prazo máximo fixado nesse dispositivo legal, desde que essa medida esteja fundamentada na ocorrência de fato excepcional ou imprevisível, estranho à vontade das partes, que impossibilite a execução contratual no tempo inicialmente previsto</w:t>
      </w:r>
      <w:r w:rsidR="00F93E7F" w:rsidRPr="008A3ACB">
        <w:rPr>
          <w:sz w:val="22"/>
          <w:szCs w:val="22"/>
        </w:rPr>
        <w:t>.” Por conseguinte, votou por que se expedisse comunicação ao Governo de Estado de Pernambuco quanto à possibilidade de os contratos firmados com base no art. 24, inc. IV,</w:t>
      </w:r>
      <w:r w:rsidR="0040201F">
        <w:rPr>
          <w:sz w:val="22"/>
          <w:szCs w:val="22"/>
        </w:rPr>
        <w:t xml:space="preserve"> da</w:t>
      </w:r>
      <w:r w:rsidR="00F93E7F" w:rsidRPr="008A3ACB">
        <w:rPr>
          <w:sz w:val="22"/>
          <w:szCs w:val="22"/>
        </w:rPr>
        <w:t xml:space="preserve"> Lei 8.666/1993 ultrapassarem o limite de 180 dias contido no dispositivo, desde que cumpridas as condicionantes apontadas, no que contou com a anuência do Plenário. Precedentes citados: </w:t>
      </w:r>
      <w:r w:rsidR="0040201F">
        <w:rPr>
          <w:sz w:val="22"/>
          <w:szCs w:val="22"/>
        </w:rPr>
        <w:t>A</w:t>
      </w:r>
      <w:r w:rsidR="00F93E7F" w:rsidRPr="008A3ACB">
        <w:rPr>
          <w:sz w:val="22"/>
          <w:szCs w:val="22"/>
        </w:rPr>
        <w:t>córdão</w:t>
      </w:r>
      <w:r w:rsidR="0040201F">
        <w:rPr>
          <w:sz w:val="22"/>
          <w:szCs w:val="22"/>
        </w:rPr>
        <w:t>s</w:t>
      </w:r>
      <w:r w:rsidR="00F93E7F" w:rsidRPr="008A3ACB">
        <w:rPr>
          <w:sz w:val="22"/>
          <w:szCs w:val="22"/>
        </w:rPr>
        <w:t xml:space="preserve"> n</w:t>
      </w:r>
      <w:r w:rsidR="00F93E7F" w:rsidRPr="008A3ACB">
        <w:rPr>
          <w:sz w:val="22"/>
          <w:szCs w:val="22"/>
          <w:u w:val="single"/>
          <w:vertAlign w:val="superscript"/>
        </w:rPr>
        <w:t>os</w:t>
      </w:r>
      <w:r w:rsidR="00F93E7F" w:rsidRPr="008A3ACB">
        <w:rPr>
          <w:sz w:val="22"/>
          <w:szCs w:val="22"/>
        </w:rPr>
        <w:t xml:space="preserve"> 845/2004 e 1941/2007, ambos do Plenário. </w:t>
      </w:r>
      <w:r w:rsidR="00A71325" w:rsidRPr="008A3ACB">
        <w:rPr>
          <w:b/>
          <w:i/>
          <w:sz w:val="22"/>
          <w:szCs w:val="22"/>
        </w:rPr>
        <w:t>Acórdão n.º 3</w:t>
      </w:r>
      <w:r w:rsidRPr="008A3ACB">
        <w:rPr>
          <w:b/>
          <w:i/>
          <w:sz w:val="22"/>
          <w:szCs w:val="22"/>
        </w:rPr>
        <w:t>238</w:t>
      </w:r>
      <w:r w:rsidR="00A71325" w:rsidRPr="008A3ACB">
        <w:rPr>
          <w:b/>
          <w:i/>
          <w:sz w:val="22"/>
          <w:szCs w:val="22"/>
        </w:rPr>
        <w:t>/2010-Plenário, TC-01</w:t>
      </w:r>
      <w:r w:rsidRPr="008A3ACB">
        <w:rPr>
          <w:b/>
          <w:i/>
          <w:sz w:val="22"/>
          <w:szCs w:val="22"/>
        </w:rPr>
        <w:t>9</w:t>
      </w:r>
      <w:r w:rsidR="00A71325" w:rsidRPr="008A3ACB">
        <w:rPr>
          <w:b/>
          <w:i/>
          <w:sz w:val="22"/>
          <w:szCs w:val="22"/>
        </w:rPr>
        <w:t>.</w:t>
      </w:r>
      <w:r w:rsidRPr="008A3ACB">
        <w:rPr>
          <w:b/>
          <w:i/>
          <w:sz w:val="22"/>
          <w:szCs w:val="22"/>
        </w:rPr>
        <w:t>362</w:t>
      </w:r>
      <w:r w:rsidR="00A71325" w:rsidRPr="008A3ACB">
        <w:rPr>
          <w:b/>
          <w:i/>
          <w:sz w:val="22"/>
          <w:szCs w:val="22"/>
        </w:rPr>
        <w:t>/20</w:t>
      </w:r>
      <w:r w:rsidRPr="008A3ACB">
        <w:rPr>
          <w:b/>
          <w:i/>
          <w:sz w:val="22"/>
          <w:szCs w:val="22"/>
        </w:rPr>
        <w:t>1</w:t>
      </w:r>
      <w:r w:rsidR="00A71325" w:rsidRPr="008A3ACB">
        <w:rPr>
          <w:b/>
          <w:i/>
          <w:sz w:val="22"/>
          <w:szCs w:val="22"/>
        </w:rPr>
        <w:t>0</w:t>
      </w:r>
      <w:r w:rsidRPr="008A3ACB">
        <w:rPr>
          <w:b/>
          <w:i/>
          <w:sz w:val="22"/>
          <w:szCs w:val="22"/>
        </w:rPr>
        <w:t>-2</w:t>
      </w:r>
      <w:r w:rsidR="00A71325" w:rsidRPr="008A3ACB">
        <w:rPr>
          <w:b/>
          <w:i/>
          <w:sz w:val="22"/>
          <w:szCs w:val="22"/>
        </w:rPr>
        <w:t xml:space="preserve">, rel. Min. </w:t>
      </w:r>
      <w:r w:rsidR="00EA06F3" w:rsidRPr="008A3ACB">
        <w:rPr>
          <w:b/>
          <w:i/>
          <w:sz w:val="22"/>
          <w:szCs w:val="22"/>
        </w:rPr>
        <w:t>Benjamin Zymler</w:t>
      </w:r>
      <w:r w:rsidR="00A71325" w:rsidRPr="008A3ACB">
        <w:rPr>
          <w:b/>
          <w:i/>
          <w:sz w:val="22"/>
          <w:szCs w:val="22"/>
        </w:rPr>
        <w:t xml:space="preserve">, </w:t>
      </w:r>
      <w:r w:rsidRPr="008A3ACB">
        <w:rPr>
          <w:b/>
          <w:i/>
          <w:sz w:val="22"/>
          <w:szCs w:val="22"/>
        </w:rPr>
        <w:t>01</w:t>
      </w:r>
      <w:r w:rsidR="00A71325" w:rsidRPr="008A3ACB">
        <w:rPr>
          <w:b/>
          <w:i/>
          <w:sz w:val="22"/>
          <w:szCs w:val="22"/>
        </w:rPr>
        <w:t>.1</w:t>
      </w:r>
      <w:r w:rsidRPr="008A3ACB">
        <w:rPr>
          <w:b/>
          <w:i/>
          <w:sz w:val="22"/>
          <w:szCs w:val="22"/>
        </w:rPr>
        <w:t>2</w:t>
      </w:r>
      <w:r w:rsidR="00A71325" w:rsidRPr="008A3ACB">
        <w:rPr>
          <w:b/>
          <w:i/>
          <w:sz w:val="22"/>
          <w:szCs w:val="22"/>
        </w:rPr>
        <w:t>.2010</w:t>
      </w:r>
      <w:r w:rsidR="00A71325" w:rsidRPr="008A3ACB">
        <w:rPr>
          <w:sz w:val="22"/>
          <w:szCs w:val="22"/>
        </w:rPr>
        <w:t>.</w:t>
      </w:r>
    </w:p>
    <w:p w:rsidR="00A71325" w:rsidRPr="008A3ACB" w:rsidRDefault="00A71325" w:rsidP="008A3ACB">
      <w:pPr>
        <w:spacing w:after="0"/>
        <w:ind w:left="0"/>
        <w:rPr>
          <w:b/>
          <w:color w:val="FF0000"/>
          <w:sz w:val="22"/>
          <w:szCs w:val="22"/>
        </w:rPr>
      </w:pPr>
    </w:p>
    <w:p w:rsidR="006C6CB1" w:rsidRPr="008A3ACB" w:rsidRDefault="00EF70DA" w:rsidP="008A3ACB">
      <w:pPr>
        <w:spacing w:after="0"/>
        <w:ind w:left="0"/>
        <w:rPr>
          <w:b/>
          <w:sz w:val="22"/>
          <w:szCs w:val="22"/>
        </w:rPr>
      </w:pPr>
      <w:r w:rsidRPr="008A3ACB">
        <w:rPr>
          <w:b/>
          <w:sz w:val="22"/>
          <w:szCs w:val="22"/>
        </w:rPr>
        <w:t xml:space="preserve">Aplica-se a Lei 8.666/1993 nas licitações realizadas com recursos oriundos de empréstimos internacionais, no que não for incompatível com normas eventualmente editadas pelo concedente </w:t>
      </w:r>
    </w:p>
    <w:p w:rsidR="006C6CB1" w:rsidRPr="008A3ACB" w:rsidRDefault="0004237B" w:rsidP="008A3ACB">
      <w:pPr>
        <w:pStyle w:val="TCU-Epgrafe"/>
        <w:ind w:left="0"/>
        <w:rPr>
          <w:snapToGrid w:val="0"/>
          <w:color w:val="FF0000"/>
          <w:sz w:val="22"/>
          <w:szCs w:val="22"/>
        </w:rPr>
      </w:pPr>
      <w:r w:rsidRPr="008A3ACB">
        <w:rPr>
          <w:sz w:val="22"/>
          <w:szCs w:val="22"/>
        </w:rPr>
        <w:t>Mediante pedidos de reexame</w:t>
      </w:r>
      <w:r w:rsidR="00EF70DA" w:rsidRPr="008A3ACB">
        <w:rPr>
          <w:sz w:val="22"/>
          <w:szCs w:val="22"/>
        </w:rPr>
        <w:t>,</w:t>
      </w:r>
      <w:r w:rsidRPr="008A3ACB">
        <w:rPr>
          <w:sz w:val="22"/>
          <w:szCs w:val="22"/>
        </w:rPr>
        <w:t xml:space="preserve"> diversos responsáveis manifestaram seu inconformismo com relação à decisão proferida anteriormente pelo TCU, em razão de auditoria realizada na licitação e no contrato para a construção da adutora Alto Oeste/RN. Na oportunidade anterior, o TCU, por meio do Acórdão 1347/2010-Plenário, da relatoria</w:t>
      </w:r>
      <w:r w:rsidR="00CF7983">
        <w:rPr>
          <w:sz w:val="22"/>
          <w:szCs w:val="22"/>
        </w:rPr>
        <w:t xml:space="preserve"> do Ministro-Substituto Marcos Bemquerer Costa</w:t>
      </w:r>
      <w:r w:rsidRPr="008A3ACB">
        <w:rPr>
          <w:sz w:val="22"/>
          <w:szCs w:val="22"/>
        </w:rPr>
        <w:t>, calculou um sobrepreço de R$ 4,9 milhões no contrato firmado, e, em consequência, determinou a retenção de valores por parte do Ministério da Integração Nacional, bem como aplicou multa a diversos gestores por não terem, dentre outras irregularidades, observado os critérios de julgamento da Lei n.° 8.666/1993. A par disso, foram feitas determinações a serem seguidas em todas as licitações de obras</w:t>
      </w:r>
      <w:r w:rsidR="00CF7983">
        <w:rPr>
          <w:sz w:val="22"/>
          <w:szCs w:val="22"/>
        </w:rPr>
        <w:t xml:space="preserve"> custeadas</w:t>
      </w:r>
      <w:r w:rsidRPr="008A3ACB">
        <w:rPr>
          <w:sz w:val="22"/>
          <w:szCs w:val="22"/>
        </w:rPr>
        <w:t xml:space="preserve"> com recursos federais decorrentes de financiamento obtido junto a organismos financeiros multilaterais, assim </w:t>
      </w:r>
      <w:r w:rsidR="00917BE5">
        <w:rPr>
          <w:sz w:val="22"/>
          <w:szCs w:val="22"/>
        </w:rPr>
        <w:t>como em todas as</w:t>
      </w:r>
      <w:r w:rsidRPr="008A3ACB">
        <w:rPr>
          <w:sz w:val="22"/>
          <w:szCs w:val="22"/>
        </w:rPr>
        <w:t xml:space="preserve"> licitações de obras cujo financiamento </w:t>
      </w:r>
      <w:r w:rsidR="00917BE5">
        <w:rPr>
          <w:sz w:val="22"/>
          <w:szCs w:val="22"/>
        </w:rPr>
        <w:t>tenha sido</w:t>
      </w:r>
      <w:r w:rsidRPr="008A3ACB">
        <w:rPr>
          <w:sz w:val="22"/>
          <w:szCs w:val="22"/>
        </w:rPr>
        <w:t xml:space="preserve"> objeto de garantia da União. Nesta etapa processual, um dos recorrentes defendeu </w:t>
      </w:r>
      <w:r w:rsidR="000B2971" w:rsidRPr="008A3ACB">
        <w:rPr>
          <w:color w:val="000000"/>
          <w:sz w:val="22"/>
          <w:szCs w:val="22"/>
        </w:rPr>
        <w:t>a exclusão ou alteração das</w:t>
      </w:r>
      <w:r w:rsidRPr="008A3ACB">
        <w:rPr>
          <w:color w:val="000000"/>
          <w:sz w:val="22"/>
          <w:szCs w:val="22"/>
        </w:rPr>
        <w:t xml:space="preserve"> determinações</w:t>
      </w:r>
      <w:r w:rsidR="000B2971" w:rsidRPr="008A3ACB">
        <w:rPr>
          <w:color w:val="000000"/>
          <w:sz w:val="22"/>
          <w:szCs w:val="22"/>
        </w:rPr>
        <w:t xml:space="preserve"> anteriores que, a seu sentir, impuseram</w:t>
      </w:r>
      <w:r w:rsidRPr="008A3ACB">
        <w:rPr>
          <w:color w:val="000000"/>
          <w:sz w:val="22"/>
          <w:szCs w:val="22"/>
        </w:rPr>
        <w:t xml:space="preserve"> a adoção de regras incompatíveis com aquelas adotadas pelo Banco Mundial</w:t>
      </w:r>
      <w:r w:rsidR="000B2971" w:rsidRPr="008A3ACB">
        <w:rPr>
          <w:color w:val="000000"/>
          <w:sz w:val="22"/>
          <w:szCs w:val="22"/>
        </w:rPr>
        <w:t>,</w:t>
      </w:r>
      <w:r w:rsidRPr="008A3ACB">
        <w:rPr>
          <w:color w:val="000000"/>
          <w:sz w:val="22"/>
          <w:szCs w:val="22"/>
        </w:rPr>
        <w:t xml:space="preserve"> </w:t>
      </w:r>
      <w:r w:rsidR="000B2971" w:rsidRPr="008A3ACB">
        <w:rPr>
          <w:color w:val="000000"/>
          <w:sz w:val="22"/>
          <w:szCs w:val="22"/>
        </w:rPr>
        <w:t>nos</w:t>
      </w:r>
      <w:r w:rsidRPr="008A3ACB">
        <w:rPr>
          <w:color w:val="000000"/>
          <w:sz w:val="22"/>
          <w:szCs w:val="22"/>
        </w:rPr>
        <w:t xml:space="preserve"> contratos </w:t>
      </w:r>
      <w:r w:rsidR="000B2971" w:rsidRPr="008A3ACB">
        <w:rPr>
          <w:color w:val="000000"/>
          <w:sz w:val="22"/>
          <w:szCs w:val="22"/>
        </w:rPr>
        <w:t>em que tal instituição conste como financiadora. A unidade técnica, ao examinar a matéria, concordou em parte com os argumentos recursais. Para ela, “</w:t>
      </w:r>
      <w:r w:rsidR="000B2971" w:rsidRPr="008A3ACB">
        <w:rPr>
          <w:i/>
          <w:sz w:val="22"/>
          <w:szCs w:val="22"/>
        </w:rPr>
        <w:t>as licitações com recursos oriundos de empréstimo internacional, aprovado pelo Congresso Nacional, regem-se pelas regras estipuladas pelo organismo multilateral, em tudo aquilo que não contrarie a Constituição Federal</w:t>
      </w:r>
      <w:r w:rsidR="000C667F" w:rsidRPr="008A3ACB">
        <w:rPr>
          <w:sz w:val="22"/>
          <w:szCs w:val="22"/>
        </w:rPr>
        <w:t>”</w:t>
      </w:r>
      <w:r w:rsidR="000B2971" w:rsidRPr="008A3ACB">
        <w:rPr>
          <w:i/>
          <w:sz w:val="22"/>
          <w:szCs w:val="22"/>
        </w:rPr>
        <w:t xml:space="preserve">. </w:t>
      </w:r>
      <w:r w:rsidR="000B2971" w:rsidRPr="008A3ACB">
        <w:rPr>
          <w:sz w:val="22"/>
          <w:szCs w:val="22"/>
        </w:rPr>
        <w:t>De outro lado</w:t>
      </w:r>
      <w:r w:rsidR="000B2971" w:rsidRPr="008A3ACB">
        <w:rPr>
          <w:i/>
          <w:sz w:val="22"/>
          <w:szCs w:val="22"/>
        </w:rPr>
        <w:t xml:space="preserve">, </w:t>
      </w:r>
      <w:r w:rsidR="000C667F" w:rsidRPr="008A3ACB">
        <w:rPr>
          <w:sz w:val="22"/>
          <w:szCs w:val="22"/>
        </w:rPr>
        <w:t>ainda para a unidade técnica, “</w:t>
      </w:r>
      <w:r w:rsidR="000B2971" w:rsidRPr="008A3ACB">
        <w:rPr>
          <w:i/>
          <w:sz w:val="22"/>
          <w:szCs w:val="22"/>
        </w:rPr>
        <w:t>as regras federais que regem o procedimento licitatório também teriam plena aplicabilidade se não houver incompatibilidade com as normas editadas pelos organismos multilaterais que regem as licitações decorrentes de seus empréstimos concedidos</w:t>
      </w:r>
      <w:r w:rsidR="000B2971" w:rsidRPr="008A3ACB">
        <w:rPr>
          <w:sz w:val="22"/>
          <w:szCs w:val="22"/>
        </w:rPr>
        <w:t xml:space="preserve">”. </w:t>
      </w:r>
      <w:r w:rsidR="000C667F" w:rsidRPr="008A3ACB">
        <w:rPr>
          <w:sz w:val="22"/>
          <w:szCs w:val="22"/>
        </w:rPr>
        <w:t xml:space="preserve">Na espécie, o relator concordou parcialmente com as análises da unidade técnica. </w:t>
      </w:r>
      <w:r w:rsidR="00CA2835" w:rsidRPr="008A3ACB">
        <w:rPr>
          <w:sz w:val="22"/>
          <w:szCs w:val="22"/>
        </w:rPr>
        <w:t>Dissentiu, todavia, de determinados encaminhamentos dados, no caso concreto</w:t>
      </w:r>
      <w:r w:rsidR="006000F4" w:rsidRPr="008A3ACB">
        <w:rPr>
          <w:sz w:val="22"/>
          <w:szCs w:val="22"/>
        </w:rPr>
        <w:t>, ajustando-os, conforme seu entendimento. Votou, então, pel</w:t>
      </w:r>
      <w:r w:rsidR="00CA2835" w:rsidRPr="008A3ACB">
        <w:rPr>
          <w:sz w:val="22"/>
          <w:szCs w:val="22"/>
        </w:rPr>
        <w:t>a insubsistência de alguns itens constantes da deliberação anterior</w:t>
      </w:r>
      <w:r w:rsidR="006000F4" w:rsidRPr="008A3ACB">
        <w:rPr>
          <w:sz w:val="22"/>
          <w:szCs w:val="22"/>
        </w:rPr>
        <w:t xml:space="preserve">, bem como pelo ajuste na redação de outros, de maneira a adequá-los às conclusões </w:t>
      </w:r>
      <w:r w:rsidR="00EF70DA" w:rsidRPr="008A3ACB">
        <w:rPr>
          <w:sz w:val="22"/>
          <w:szCs w:val="22"/>
        </w:rPr>
        <w:t>obtidas n</w:t>
      </w:r>
      <w:r w:rsidR="006000F4" w:rsidRPr="008A3ACB">
        <w:rPr>
          <w:sz w:val="22"/>
          <w:szCs w:val="22"/>
        </w:rPr>
        <w:t>esta etapa processual</w:t>
      </w:r>
      <w:r w:rsidR="00CA2835" w:rsidRPr="008A3ACB">
        <w:rPr>
          <w:sz w:val="22"/>
          <w:szCs w:val="22"/>
        </w:rPr>
        <w:t xml:space="preserve">. </w:t>
      </w:r>
      <w:r w:rsidR="006000F4" w:rsidRPr="008A3ACB">
        <w:rPr>
          <w:sz w:val="22"/>
          <w:szCs w:val="22"/>
        </w:rPr>
        <w:t xml:space="preserve">O Plenário aprovou o voto do relator. </w:t>
      </w:r>
      <w:r w:rsidR="006C6CB1" w:rsidRPr="008A3ACB">
        <w:rPr>
          <w:b/>
          <w:i/>
          <w:sz w:val="22"/>
          <w:szCs w:val="22"/>
        </w:rPr>
        <w:t>Acórdão n.º 3239/2010-Plenário, TC-01</w:t>
      </w:r>
      <w:r w:rsidRPr="008A3ACB">
        <w:rPr>
          <w:b/>
          <w:i/>
          <w:sz w:val="22"/>
          <w:szCs w:val="22"/>
        </w:rPr>
        <w:t>0</w:t>
      </w:r>
      <w:r w:rsidR="006C6CB1" w:rsidRPr="008A3ACB">
        <w:rPr>
          <w:b/>
          <w:i/>
          <w:sz w:val="22"/>
          <w:szCs w:val="22"/>
        </w:rPr>
        <w:t>.</w:t>
      </w:r>
      <w:r w:rsidRPr="008A3ACB">
        <w:rPr>
          <w:b/>
          <w:i/>
          <w:sz w:val="22"/>
          <w:szCs w:val="22"/>
        </w:rPr>
        <w:t>801</w:t>
      </w:r>
      <w:r w:rsidR="006C6CB1" w:rsidRPr="008A3ACB">
        <w:rPr>
          <w:b/>
          <w:i/>
          <w:sz w:val="22"/>
          <w:szCs w:val="22"/>
        </w:rPr>
        <w:t>/200</w:t>
      </w:r>
      <w:r w:rsidRPr="008A3ACB">
        <w:rPr>
          <w:b/>
          <w:i/>
          <w:sz w:val="22"/>
          <w:szCs w:val="22"/>
        </w:rPr>
        <w:t>9</w:t>
      </w:r>
      <w:r w:rsidR="006C6CB1" w:rsidRPr="008A3ACB">
        <w:rPr>
          <w:b/>
          <w:i/>
          <w:sz w:val="22"/>
          <w:szCs w:val="22"/>
        </w:rPr>
        <w:t>-</w:t>
      </w:r>
      <w:r w:rsidRPr="008A3ACB">
        <w:rPr>
          <w:b/>
          <w:i/>
          <w:sz w:val="22"/>
          <w:szCs w:val="22"/>
        </w:rPr>
        <w:t>9</w:t>
      </w:r>
      <w:r w:rsidR="006C6CB1" w:rsidRPr="008A3ACB">
        <w:rPr>
          <w:b/>
          <w:i/>
          <w:sz w:val="22"/>
          <w:szCs w:val="22"/>
        </w:rPr>
        <w:t>, rel. Min. Benjamin Zymler, 01.12.2010</w:t>
      </w:r>
      <w:r w:rsidR="006C6CB1" w:rsidRPr="008A3ACB">
        <w:rPr>
          <w:sz w:val="22"/>
          <w:szCs w:val="22"/>
        </w:rPr>
        <w:t>.</w:t>
      </w:r>
    </w:p>
    <w:p w:rsidR="006C6CB1" w:rsidRPr="008A3ACB" w:rsidRDefault="006C6CB1" w:rsidP="008A3ACB">
      <w:pPr>
        <w:spacing w:after="0"/>
        <w:ind w:left="0"/>
        <w:rPr>
          <w:b/>
          <w:color w:val="FF0000"/>
          <w:sz w:val="22"/>
          <w:szCs w:val="22"/>
        </w:rPr>
      </w:pPr>
    </w:p>
    <w:p w:rsidR="0048478C" w:rsidRPr="008A3ACB" w:rsidRDefault="008A3ACB" w:rsidP="008A3ACB">
      <w:pPr>
        <w:pStyle w:val="Pargrafo"/>
        <w:jc w:val="both"/>
        <w:rPr>
          <w:b/>
          <w:sz w:val="22"/>
          <w:szCs w:val="22"/>
        </w:rPr>
      </w:pPr>
      <w:r w:rsidRPr="008A3ACB">
        <w:rPr>
          <w:b/>
          <w:sz w:val="22"/>
          <w:szCs w:val="22"/>
        </w:rPr>
        <w:t>Somente a empresa controladora pode se utilizar do art. 24, inc. XXIII, da Lei 8.666/1993, para contratar com sua subsidiária</w:t>
      </w:r>
    </w:p>
    <w:p w:rsidR="0048478C" w:rsidRPr="008A3ACB" w:rsidRDefault="0048478C" w:rsidP="008A3ACB">
      <w:pPr>
        <w:pStyle w:val="Corpodetexto"/>
        <w:tabs>
          <w:tab w:val="left" w:pos="1134"/>
        </w:tabs>
        <w:spacing w:after="0"/>
        <w:ind w:left="0"/>
        <w:rPr>
          <w:sz w:val="22"/>
          <w:szCs w:val="22"/>
        </w:rPr>
      </w:pPr>
      <w:r w:rsidRPr="008A3ACB">
        <w:rPr>
          <w:sz w:val="22"/>
          <w:szCs w:val="22"/>
        </w:rPr>
        <w:t>Representação formulada pelo Ministério Público junto ao Tribunal – MP/TCU</w:t>
      </w:r>
      <w:r w:rsidR="00917BE5">
        <w:rPr>
          <w:sz w:val="22"/>
          <w:szCs w:val="22"/>
        </w:rPr>
        <w:t xml:space="preserve"> -</w:t>
      </w:r>
      <w:r w:rsidRPr="008A3ACB">
        <w:rPr>
          <w:sz w:val="22"/>
          <w:szCs w:val="22"/>
        </w:rPr>
        <w:t xml:space="preserve"> trouxe notícias acerca de possíveis irregularidades na aquisição, pelo Banco do Brasil S/A, de 30.945 microcomputadores da empresa Cobra Tecnologia S/A por dispensa de licitação, ao preço unitário de R$ 3.374,72. Em instrução inicial, a unidade técnica responsável pelo feito concluiu que os preços estavam dentro de uma média praticada pelo mercado para equipamentos similares, inexistindo, portanto, impedimento para a contratação da Cobra Tecnologia S/A na forma procedida. No entanto, em nova instrução, por conta de determinação do relator originário do feito, a unidade técnica, após a promoção de várias audiências, propôs a rejeição das razões de justificativa apresentadas por diversos responsáveis, com aplicação de multa, por entender irregular a contratação da Cobra Tecnologia pelo Banco do Brasil, tendo como fundamento o art. 24, inc. XIII, da Lei 8.666/1993. Ao examinar a matéria, o relator consignou que, “</w:t>
      </w:r>
      <w:r w:rsidRPr="008A3ACB">
        <w:rPr>
          <w:i/>
          <w:sz w:val="22"/>
          <w:szCs w:val="22"/>
        </w:rPr>
        <w:t>a contratação da Cobra Tecnologia S/A mediante dispensa de licitação já foi objeto de diversos processos neste Tribunal, tendo sido verificada a utilização dos incisos VIII, XVI e XXIII do art. 24 da Lei nº 8.666/93 como fundamento legal</w:t>
      </w:r>
      <w:r w:rsidRPr="008A3ACB">
        <w:rPr>
          <w:sz w:val="22"/>
          <w:szCs w:val="22"/>
        </w:rPr>
        <w:t>”. Enfatizou, todavia, que a jurisprudência do Tribunal é no sentido de que, “</w:t>
      </w:r>
      <w:r w:rsidRPr="008A3ACB">
        <w:rPr>
          <w:i/>
          <w:sz w:val="22"/>
          <w:szCs w:val="22"/>
        </w:rPr>
        <w:t>as empresas integrantes da Administração Pública que possam prestar serviços também a particulares (caso em que se submetem a regime jurídico semelhante ao das empresas privadas, conforme disposto no art. 173, § 1º, inciso II, da Constituição Federal), como é o caso da Cobra Tecnologia S/A, não podem ser beneficiadas com a dispensa de licitação prevista nos incisos VIII e XVI do art. 24 da Lei nº 8.666/93</w:t>
      </w:r>
      <w:r w:rsidRPr="008A3ACB">
        <w:rPr>
          <w:sz w:val="22"/>
          <w:szCs w:val="22"/>
        </w:rPr>
        <w:t>”. Assim, para ele, “</w:t>
      </w:r>
      <w:r w:rsidRPr="008A3ACB">
        <w:rPr>
          <w:i/>
          <w:sz w:val="22"/>
          <w:szCs w:val="22"/>
        </w:rPr>
        <w:t>somente o Banco do Brasil S/A, empresa controladora da Cobra Tecnologia S/A, pode contratá-la por dispensa de licitação, com fundamento no inciso XXIII do art. 24 da Lei nº 8.666/93</w:t>
      </w:r>
      <w:r w:rsidRPr="008A3ACB">
        <w:rPr>
          <w:sz w:val="22"/>
          <w:szCs w:val="22"/>
        </w:rPr>
        <w:t>”. Para isso, ainda de acordo com o relator, “</w:t>
      </w:r>
      <w:r w:rsidRPr="008A3ACB">
        <w:rPr>
          <w:i/>
          <w:sz w:val="22"/>
          <w:szCs w:val="22"/>
        </w:rPr>
        <w:t>o preço deve ser compatível com o praticado no mercado, consoante expressamente fixado na referida lei</w:t>
      </w:r>
      <w:r w:rsidRPr="008A3ACB">
        <w:rPr>
          <w:sz w:val="22"/>
          <w:szCs w:val="22"/>
        </w:rPr>
        <w:t xml:space="preserve">”. Aduziu, também, requisito consagrado na jurisprudência deste Tribunal, de que haja relação de pertinência entre o serviço a ser prestado ou os bens a serem adquiridos e o objetivo institucional ou social da entidade subsidiária e controlada, bem como a regra geral de não ser possível a subcontratação por parte de tal entidade, a partir do fundamento utilizado para sustentar a dispensa de licitação analisada. Assim, votou pelo acolhimento das justificativas apresentadas, com a expedição de determinações ao Banco do Brasil, </w:t>
      </w:r>
      <w:r w:rsidR="006A570C">
        <w:rPr>
          <w:sz w:val="22"/>
          <w:szCs w:val="22"/>
        </w:rPr>
        <w:t xml:space="preserve">no sentido </w:t>
      </w:r>
      <w:r w:rsidRPr="008A3ACB">
        <w:rPr>
          <w:sz w:val="22"/>
          <w:szCs w:val="22"/>
        </w:rPr>
        <w:t xml:space="preserve">de que contemplasse, em seus normativos, regras quanto à contratação da Cobra Tecnologia S/A, no que foi acompanhado pelo Plenário. Precedente citado: Acórdãos nº 496/99, 314/2001, 869/2006, 2.399/2006 e 1.705/2007, todos do Plenário). </w:t>
      </w:r>
      <w:r w:rsidRPr="008A3ACB">
        <w:rPr>
          <w:i/>
          <w:color w:val="FF0000"/>
          <w:sz w:val="22"/>
          <w:szCs w:val="22"/>
        </w:rPr>
        <w:t xml:space="preserve"> </w:t>
      </w:r>
      <w:r w:rsidRPr="008A3ACB">
        <w:rPr>
          <w:b/>
          <w:i/>
          <w:sz w:val="22"/>
          <w:szCs w:val="22"/>
        </w:rPr>
        <w:t>Acórdão n.º 3219/2010-Plenário, TC-007.049/2004-6, rel. Min. Raimundo Carreiro, 01.12.2010</w:t>
      </w:r>
      <w:r w:rsidRPr="008A3ACB">
        <w:rPr>
          <w:sz w:val="22"/>
          <w:szCs w:val="22"/>
        </w:rPr>
        <w:t>.</w:t>
      </w:r>
    </w:p>
    <w:p w:rsidR="001922E8" w:rsidRPr="008A3ACB" w:rsidRDefault="001922E8" w:rsidP="008A3ACB">
      <w:pPr>
        <w:pStyle w:val="Pargrafo"/>
        <w:jc w:val="both"/>
        <w:rPr>
          <w:color w:val="FF0000"/>
          <w:sz w:val="22"/>
          <w:szCs w:val="22"/>
        </w:rPr>
      </w:pPr>
    </w:p>
    <w:p w:rsidR="00191894" w:rsidRPr="008A3ACB" w:rsidRDefault="008A3ACB" w:rsidP="008A3ACB">
      <w:pPr>
        <w:pStyle w:val="indice"/>
        <w:tabs>
          <w:tab w:val="left" w:pos="567"/>
        </w:tabs>
        <w:spacing w:line="240" w:lineRule="auto"/>
        <w:rPr>
          <w:b/>
          <w:color w:val="auto"/>
        </w:rPr>
      </w:pPr>
      <w:r w:rsidRPr="008A3ACB">
        <w:rPr>
          <w:b/>
          <w:color w:val="auto"/>
        </w:rPr>
        <w:t>O pagamento de “taxa de sucesso” não encontra amparo na Lei 8.666/1993</w:t>
      </w:r>
    </w:p>
    <w:p w:rsidR="00072691" w:rsidRPr="008A3ACB" w:rsidRDefault="003A4945" w:rsidP="008A3ACB">
      <w:pPr>
        <w:tabs>
          <w:tab w:val="left" w:pos="1134"/>
        </w:tabs>
        <w:spacing w:after="0"/>
        <w:ind w:left="0"/>
        <w:rPr>
          <w:sz w:val="22"/>
          <w:szCs w:val="22"/>
        </w:rPr>
      </w:pPr>
      <w:r w:rsidRPr="008A3ACB">
        <w:rPr>
          <w:sz w:val="22"/>
          <w:szCs w:val="22"/>
        </w:rPr>
        <w:t>Auditoria realizada pelo Tribunal quanto ao uso de recursos federais alocados para o Sistema de Trens Urbanos de Salvador/BA - Trecho Lapa-Pirajá, identificou diversas possíveis irregularidades, dentre elas, a</w:t>
      </w:r>
      <w:r w:rsidR="0013712C" w:rsidRPr="008A3ACB">
        <w:rPr>
          <w:sz w:val="22"/>
          <w:szCs w:val="22"/>
        </w:rPr>
        <w:t xml:space="preserve"> </w:t>
      </w:r>
      <w:r w:rsidRPr="008A3ACB">
        <w:rPr>
          <w:color w:val="000000"/>
          <w:sz w:val="22"/>
          <w:szCs w:val="22"/>
          <w:lang w:eastAsia="pt-BR"/>
        </w:rPr>
        <w:t xml:space="preserve">previsão de pagamento à Trends Engenharia e Tecnologia Ltda. de taxa de Sucesso no valor de 1% (um por cento) </w:t>
      </w:r>
      <w:r w:rsidR="0013712C" w:rsidRPr="008A3ACB">
        <w:rPr>
          <w:color w:val="000000"/>
          <w:sz w:val="22"/>
          <w:szCs w:val="22"/>
          <w:lang w:eastAsia="pt-BR"/>
        </w:rPr>
        <w:t>dos investimentos a serem realizados pela futura c</w:t>
      </w:r>
      <w:r w:rsidR="008A3ACB">
        <w:rPr>
          <w:color w:val="000000"/>
          <w:sz w:val="22"/>
          <w:szCs w:val="22"/>
          <w:lang w:eastAsia="pt-BR"/>
        </w:rPr>
        <w:t>oncessionária na exploração de</w:t>
      </w:r>
      <w:r w:rsidR="0013712C" w:rsidRPr="008A3ACB">
        <w:rPr>
          <w:color w:val="000000"/>
          <w:sz w:val="22"/>
          <w:szCs w:val="22"/>
          <w:lang w:eastAsia="pt-BR"/>
        </w:rPr>
        <w:t xml:space="preserve"> l</w:t>
      </w:r>
      <w:r w:rsidRPr="008A3ACB">
        <w:rPr>
          <w:color w:val="000000"/>
          <w:sz w:val="22"/>
          <w:szCs w:val="22"/>
          <w:lang w:eastAsia="pt-BR"/>
        </w:rPr>
        <w:t>inha do Metrô de Salvador</w:t>
      </w:r>
      <w:r w:rsidR="0013712C" w:rsidRPr="008A3ACB">
        <w:rPr>
          <w:color w:val="000000"/>
          <w:sz w:val="22"/>
          <w:szCs w:val="22"/>
          <w:lang w:eastAsia="pt-BR"/>
        </w:rPr>
        <w:t>. Tal prática</w:t>
      </w:r>
      <w:r w:rsidRPr="008A3ACB">
        <w:rPr>
          <w:color w:val="000000"/>
          <w:sz w:val="22"/>
          <w:szCs w:val="22"/>
          <w:lang w:eastAsia="pt-BR"/>
        </w:rPr>
        <w:t>, sem amparo legal</w:t>
      </w:r>
      <w:r w:rsidR="0013712C" w:rsidRPr="008A3ACB">
        <w:rPr>
          <w:color w:val="000000"/>
          <w:sz w:val="22"/>
          <w:szCs w:val="22"/>
          <w:lang w:eastAsia="pt-BR"/>
        </w:rPr>
        <w:t xml:space="preserve">, implicaria pagamentos </w:t>
      </w:r>
      <w:r w:rsidRPr="008A3ACB">
        <w:rPr>
          <w:color w:val="000000"/>
          <w:sz w:val="22"/>
          <w:szCs w:val="22"/>
          <w:lang w:eastAsia="pt-BR"/>
        </w:rPr>
        <w:t xml:space="preserve">sem contraprestação de serviços por parte da </w:t>
      </w:r>
      <w:r w:rsidR="0013712C" w:rsidRPr="008A3ACB">
        <w:rPr>
          <w:color w:val="000000"/>
          <w:sz w:val="22"/>
          <w:szCs w:val="22"/>
          <w:lang w:eastAsia="pt-BR"/>
        </w:rPr>
        <w:t xml:space="preserve">empresa, que atuaria como </w:t>
      </w:r>
      <w:r w:rsidRPr="008A3ACB">
        <w:rPr>
          <w:color w:val="000000"/>
          <w:sz w:val="22"/>
          <w:szCs w:val="22"/>
          <w:lang w:eastAsia="pt-BR"/>
        </w:rPr>
        <w:t xml:space="preserve">consultora, </w:t>
      </w:r>
      <w:r w:rsidR="0013712C" w:rsidRPr="008A3ACB">
        <w:rPr>
          <w:color w:val="000000"/>
          <w:sz w:val="22"/>
          <w:szCs w:val="22"/>
          <w:lang w:eastAsia="pt-BR"/>
        </w:rPr>
        <w:t>pois já teriam sido pagos</w:t>
      </w:r>
      <w:r w:rsidRPr="008A3ACB">
        <w:rPr>
          <w:color w:val="000000"/>
          <w:sz w:val="22"/>
          <w:szCs w:val="22"/>
          <w:lang w:eastAsia="pt-BR"/>
        </w:rPr>
        <w:t xml:space="preserve"> </w:t>
      </w:r>
      <w:r w:rsidR="0013712C" w:rsidRPr="008A3ACB">
        <w:rPr>
          <w:color w:val="000000"/>
          <w:sz w:val="22"/>
          <w:szCs w:val="22"/>
          <w:lang w:eastAsia="pt-BR"/>
        </w:rPr>
        <w:t xml:space="preserve">os valores correspondentes </w:t>
      </w:r>
      <w:r w:rsidRPr="008A3ACB">
        <w:rPr>
          <w:color w:val="000000"/>
          <w:sz w:val="22"/>
          <w:szCs w:val="22"/>
          <w:lang w:eastAsia="pt-BR"/>
        </w:rPr>
        <w:t>a toda a elaboração dos produtos que comp</w:t>
      </w:r>
      <w:r w:rsidR="0013712C" w:rsidRPr="008A3ACB">
        <w:rPr>
          <w:color w:val="000000"/>
          <w:sz w:val="22"/>
          <w:szCs w:val="22"/>
          <w:lang w:eastAsia="pt-BR"/>
        </w:rPr>
        <w:t>useram o objeto do c</w:t>
      </w:r>
      <w:r w:rsidRPr="008A3ACB">
        <w:rPr>
          <w:color w:val="000000"/>
          <w:sz w:val="22"/>
          <w:szCs w:val="22"/>
          <w:lang w:eastAsia="pt-BR"/>
        </w:rPr>
        <w:t xml:space="preserve">ontrato </w:t>
      </w:r>
      <w:r w:rsidR="0013712C" w:rsidRPr="008A3ACB">
        <w:rPr>
          <w:color w:val="000000"/>
          <w:sz w:val="22"/>
          <w:szCs w:val="22"/>
          <w:lang w:eastAsia="pt-BR"/>
        </w:rPr>
        <w:t>firmado. Ao abordar a questão, a unidade técnica</w:t>
      </w:r>
      <w:r w:rsidR="00BD5FA2" w:rsidRPr="008A3ACB">
        <w:rPr>
          <w:color w:val="000000"/>
          <w:sz w:val="22"/>
          <w:szCs w:val="22"/>
          <w:lang w:eastAsia="pt-BR"/>
        </w:rPr>
        <w:t xml:space="preserve"> </w:t>
      </w:r>
      <w:r w:rsidR="0013712C" w:rsidRPr="008A3ACB">
        <w:rPr>
          <w:color w:val="000000"/>
          <w:sz w:val="22"/>
          <w:szCs w:val="22"/>
          <w:lang w:eastAsia="pt-BR"/>
        </w:rPr>
        <w:t>considerou “</w:t>
      </w:r>
      <w:r w:rsidR="00BD5FA2" w:rsidRPr="008A3ACB">
        <w:rPr>
          <w:i/>
          <w:color w:val="000000"/>
          <w:sz w:val="22"/>
          <w:szCs w:val="22"/>
          <w:lang w:eastAsia="pt-BR"/>
        </w:rPr>
        <w:t>esclarecida a irregularidade, uma vez que a Companhia de Transporte de Salvador decidiu excluir a referida cláusula contratual</w:t>
      </w:r>
      <w:r w:rsidR="00BD5FA2" w:rsidRPr="008A3ACB">
        <w:rPr>
          <w:color w:val="000000"/>
          <w:sz w:val="22"/>
          <w:szCs w:val="22"/>
          <w:lang w:eastAsia="pt-BR"/>
        </w:rPr>
        <w:t>”, por conta de reunião promovida em 2008. Contudo, o relator divergiu do encaminhamento dado. Para ele, “</w:t>
      </w:r>
      <w:r w:rsidR="00BD5FA2" w:rsidRPr="008A3ACB">
        <w:rPr>
          <w:i/>
          <w:color w:val="000000"/>
          <w:sz w:val="22"/>
          <w:szCs w:val="22"/>
          <w:lang w:eastAsia="pt-BR"/>
        </w:rPr>
        <w:t>o saneamento da falha atenua a reprovabilidade da conduta, por evitar seus efeitos concretos, mas não retira do mundo jurídico a inclusão indevida, no edital e no contrato, de cláusula destituída de amparo na Lei de Licitações (8.666/1993), na Lei de Concessões (8.987/1995) ou, até mesmo, na Lei de Parceria Público-Privada (11.079/2004)”.</w:t>
      </w:r>
      <w:r w:rsidR="00BD5FA2" w:rsidRPr="008A3ACB">
        <w:rPr>
          <w:color w:val="000000"/>
          <w:sz w:val="22"/>
          <w:szCs w:val="22"/>
          <w:lang w:eastAsia="pt-BR"/>
        </w:rPr>
        <w:t xml:space="preserve"> Na espécie, considerou que a</w:t>
      </w:r>
      <w:r w:rsidR="00BD5FA2" w:rsidRPr="008A3ACB">
        <w:rPr>
          <w:i/>
          <w:color w:val="000000"/>
          <w:sz w:val="22"/>
          <w:szCs w:val="22"/>
          <w:lang w:eastAsia="pt-BR"/>
        </w:rPr>
        <w:t xml:space="preserve"> </w:t>
      </w:r>
      <w:r w:rsidR="00BD5FA2" w:rsidRPr="008A3ACB">
        <w:rPr>
          <w:color w:val="000000"/>
          <w:sz w:val="22"/>
          <w:szCs w:val="22"/>
          <w:lang w:eastAsia="pt-BR"/>
        </w:rPr>
        <w:t xml:space="preserve">remuneração pela elaboração dos produtos que compuseram o objeto do Contrato n. 11/2007, havia ocorrido pelo pagamento da quantia acordada. Ainda para o relator, não eximiria os gestores de responsabilização o argumento de que, </w:t>
      </w:r>
      <w:r w:rsidR="008A3ACB">
        <w:rPr>
          <w:color w:val="000000"/>
          <w:sz w:val="22"/>
          <w:szCs w:val="22"/>
          <w:lang w:eastAsia="pt-BR"/>
        </w:rPr>
        <w:t>“</w:t>
      </w:r>
      <w:r w:rsidR="00BD5FA2" w:rsidRPr="008A3ACB">
        <w:rPr>
          <w:i/>
          <w:color w:val="000000"/>
          <w:sz w:val="22"/>
          <w:szCs w:val="22"/>
          <w:lang w:eastAsia="pt-BR"/>
        </w:rPr>
        <w:t>o referido modelo de remuneração da empresa de Consultoria, com participação sobre o valor dos investimentos da concessionária na exploração da linha, teria recebido a aprovação do Banco Mundial</w:t>
      </w:r>
      <w:r w:rsidR="008A3ACB">
        <w:rPr>
          <w:color w:val="000000"/>
          <w:sz w:val="22"/>
          <w:szCs w:val="22"/>
          <w:lang w:eastAsia="pt-BR"/>
        </w:rPr>
        <w:t>”</w:t>
      </w:r>
      <w:r w:rsidR="00BD5FA2" w:rsidRPr="008A3ACB">
        <w:rPr>
          <w:color w:val="000000"/>
          <w:sz w:val="22"/>
          <w:szCs w:val="22"/>
          <w:lang w:eastAsia="pt-BR"/>
        </w:rPr>
        <w:t>. Para ele, “</w:t>
      </w:r>
      <w:r w:rsidR="00BD5FA2" w:rsidRPr="008A3ACB">
        <w:rPr>
          <w:i/>
          <w:color w:val="000000"/>
          <w:sz w:val="22"/>
          <w:szCs w:val="22"/>
          <w:lang w:eastAsia="pt-BR"/>
        </w:rPr>
        <w:t>não foi apontada qualquer regra do organismo internacional que impusesse a referida forma de remuneração</w:t>
      </w:r>
      <w:r w:rsidR="00BD5FA2" w:rsidRPr="008A3ACB">
        <w:rPr>
          <w:color w:val="000000"/>
          <w:sz w:val="22"/>
          <w:szCs w:val="22"/>
          <w:lang w:eastAsia="pt-BR"/>
        </w:rPr>
        <w:t xml:space="preserve">”. Desse modo, </w:t>
      </w:r>
      <w:r w:rsidR="00E27B8F" w:rsidRPr="008A3ACB">
        <w:rPr>
          <w:color w:val="000000"/>
          <w:sz w:val="22"/>
          <w:szCs w:val="22"/>
          <w:lang w:eastAsia="pt-BR"/>
        </w:rPr>
        <w:t xml:space="preserve">manteve o entendimento de que, em linha com a jurisprudência do Tribunal, </w:t>
      </w:r>
      <w:r w:rsidR="00BD5FA2" w:rsidRPr="008A3ACB">
        <w:rPr>
          <w:color w:val="000000"/>
          <w:sz w:val="22"/>
          <w:szCs w:val="22"/>
          <w:lang w:eastAsia="pt-BR"/>
        </w:rPr>
        <w:t xml:space="preserve">deveria ser aplicada a Lei 8.666/1993, </w:t>
      </w:r>
      <w:r w:rsidR="00E27B8F" w:rsidRPr="008A3ACB">
        <w:rPr>
          <w:color w:val="000000"/>
          <w:sz w:val="22"/>
          <w:szCs w:val="22"/>
          <w:lang w:eastAsia="pt-BR"/>
        </w:rPr>
        <w:t>uma vez</w:t>
      </w:r>
      <w:r w:rsidR="008A3ACB">
        <w:rPr>
          <w:color w:val="000000"/>
          <w:sz w:val="22"/>
          <w:szCs w:val="22"/>
          <w:lang w:eastAsia="pt-BR"/>
        </w:rPr>
        <w:t xml:space="preserve"> que</w:t>
      </w:r>
      <w:r w:rsidR="00E27B8F" w:rsidRPr="008A3ACB">
        <w:rPr>
          <w:color w:val="000000"/>
          <w:sz w:val="22"/>
          <w:szCs w:val="22"/>
          <w:lang w:eastAsia="pt-BR"/>
        </w:rPr>
        <w:t xml:space="preserve">, não havendo disposições específicas </w:t>
      </w:r>
      <w:r w:rsidR="00E27B8F" w:rsidRPr="008A3ACB">
        <w:rPr>
          <w:sz w:val="22"/>
          <w:szCs w:val="22"/>
          <w:lang w:eastAsia="pt-BR"/>
        </w:rPr>
        <w:t xml:space="preserve">em normas do Banco Mundial, ou conflitos com estas, caberia o uso das disposições do regulamento pátrio. </w:t>
      </w:r>
      <w:r w:rsidR="00800700" w:rsidRPr="008A3ACB">
        <w:rPr>
          <w:sz w:val="22"/>
          <w:szCs w:val="22"/>
        </w:rPr>
        <w:t>Precedentes citados: Acórdão</w:t>
      </w:r>
      <w:r w:rsidR="00E27B8F" w:rsidRPr="008A3ACB">
        <w:rPr>
          <w:sz w:val="22"/>
          <w:szCs w:val="22"/>
        </w:rPr>
        <w:t>s</w:t>
      </w:r>
      <w:r w:rsidR="00800700" w:rsidRPr="008A3ACB">
        <w:rPr>
          <w:sz w:val="22"/>
          <w:szCs w:val="22"/>
        </w:rPr>
        <w:t xml:space="preserve"> </w:t>
      </w:r>
      <w:r w:rsidR="008A3ACB" w:rsidRPr="008A3ACB">
        <w:rPr>
          <w:sz w:val="22"/>
          <w:szCs w:val="22"/>
        </w:rPr>
        <w:t>n</w:t>
      </w:r>
      <w:r w:rsidR="008A3ACB" w:rsidRPr="008A3ACB">
        <w:rPr>
          <w:sz w:val="22"/>
          <w:szCs w:val="22"/>
          <w:u w:val="single"/>
          <w:vertAlign w:val="superscript"/>
        </w:rPr>
        <w:t>os</w:t>
      </w:r>
      <w:r w:rsidR="008A3ACB" w:rsidRPr="008A3ACB">
        <w:rPr>
          <w:sz w:val="22"/>
          <w:szCs w:val="22"/>
        </w:rPr>
        <w:t xml:space="preserve"> 715/2004 e 1347</w:t>
      </w:r>
      <w:r w:rsidR="00800700" w:rsidRPr="008A3ACB">
        <w:rPr>
          <w:sz w:val="22"/>
          <w:szCs w:val="22"/>
        </w:rPr>
        <w:t>/20</w:t>
      </w:r>
      <w:r w:rsidR="008A3ACB" w:rsidRPr="008A3ACB">
        <w:rPr>
          <w:sz w:val="22"/>
          <w:szCs w:val="22"/>
        </w:rPr>
        <w:t>1</w:t>
      </w:r>
      <w:r w:rsidR="00800700" w:rsidRPr="008A3ACB">
        <w:rPr>
          <w:sz w:val="22"/>
          <w:szCs w:val="22"/>
        </w:rPr>
        <w:t xml:space="preserve">0, </w:t>
      </w:r>
      <w:r w:rsidR="008A3ACB" w:rsidRPr="008A3ACB">
        <w:rPr>
          <w:sz w:val="22"/>
          <w:szCs w:val="22"/>
        </w:rPr>
        <w:t>ambos do Plenário</w:t>
      </w:r>
      <w:r w:rsidR="00800700" w:rsidRPr="008A3ACB">
        <w:rPr>
          <w:sz w:val="22"/>
          <w:szCs w:val="22"/>
        </w:rPr>
        <w:t xml:space="preserve">. </w:t>
      </w:r>
      <w:r w:rsidR="00072691" w:rsidRPr="008A3ACB">
        <w:rPr>
          <w:b/>
          <w:i/>
          <w:sz w:val="22"/>
          <w:szCs w:val="22"/>
        </w:rPr>
        <w:t>Acórdão n.º 3264/2010-Plenário, TC-010.535/2008-2, rel. Min-Subst. Marcos Bemquerer, 01.12.2010</w:t>
      </w:r>
      <w:r w:rsidR="00072691" w:rsidRPr="008A3ACB">
        <w:rPr>
          <w:sz w:val="22"/>
          <w:szCs w:val="22"/>
        </w:rPr>
        <w:t>.</w:t>
      </w:r>
    </w:p>
    <w:p w:rsidR="00191894" w:rsidRPr="0048478C" w:rsidRDefault="00191894" w:rsidP="000F518B">
      <w:pPr>
        <w:pStyle w:val="TCU-RelVoto-demais"/>
        <w:spacing w:after="0"/>
        <w:rPr>
          <w:color w:val="FF0000"/>
          <w:sz w:val="22"/>
        </w:rPr>
      </w:pPr>
    </w:p>
    <w:p w:rsidR="00512628" w:rsidRDefault="00E27B8F" w:rsidP="00512628">
      <w:pPr>
        <w:pBdr>
          <w:top w:val="threeDEmboss" w:sz="24" w:space="0" w:color="auto"/>
        </w:pBdr>
        <w:tabs>
          <w:tab w:val="left" w:pos="284"/>
        </w:tabs>
        <w:spacing w:after="0"/>
        <w:ind w:left="0"/>
        <w:jc w:val="center"/>
        <w:rPr>
          <w:rFonts w:ascii="Cambria" w:hAnsi="Cambria"/>
          <w:b/>
          <w:bCs/>
          <w:smallCaps/>
          <w:sz w:val="22"/>
          <w:szCs w:val="22"/>
        </w:rPr>
      </w:pPr>
      <w:r>
        <w:rPr>
          <w:rFonts w:ascii="Cambria" w:hAnsi="Cambria"/>
          <w:b/>
          <w:bCs/>
          <w:smallCaps/>
          <w:sz w:val="22"/>
          <w:szCs w:val="22"/>
        </w:rPr>
        <w:t>NOVA SÚMULA</w:t>
      </w:r>
    </w:p>
    <w:p w:rsidR="00512628" w:rsidRDefault="00512628" w:rsidP="00512628">
      <w:pPr>
        <w:pStyle w:val="enter-3pt"/>
        <w:spacing w:line="240" w:lineRule="auto"/>
        <w:rPr>
          <w:b/>
          <w:sz w:val="22"/>
          <w:szCs w:val="22"/>
        </w:rPr>
      </w:pPr>
    </w:p>
    <w:p w:rsidR="00512628" w:rsidRPr="00512628" w:rsidRDefault="00512628" w:rsidP="00512628">
      <w:pPr>
        <w:pStyle w:val="Pargrafo"/>
        <w:jc w:val="both"/>
        <w:rPr>
          <w:b/>
          <w:sz w:val="22"/>
          <w:szCs w:val="22"/>
        </w:rPr>
      </w:pPr>
      <w:r w:rsidRPr="00512628">
        <w:rPr>
          <w:b/>
          <w:sz w:val="22"/>
          <w:szCs w:val="22"/>
        </w:rPr>
        <w:t>Súmula n.º 262</w:t>
      </w:r>
    </w:p>
    <w:p w:rsidR="00512628" w:rsidRPr="00512628" w:rsidRDefault="00512628" w:rsidP="00512628">
      <w:pPr>
        <w:ind w:left="0"/>
        <w:rPr>
          <w:sz w:val="22"/>
          <w:szCs w:val="22"/>
        </w:rPr>
      </w:pPr>
      <w:r w:rsidRPr="00512628">
        <w:rPr>
          <w:sz w:val="22"/>
          <w:szCs w:val="22"/>
        </w:rPr>
        <w:t>O critério definido no art. 48, inciso II, § 1º, alíneas “a” e “b”, da Lei nº 8.666/93 conduz a uma presunção relativa de inexequibilidade de preços, devendo a Administração dar à licitante a oportunidade de demonstrar a exequibilidade da sua proposta.</w:t>
      </w:r>
    </w:p>
    <w:p w:rsidR="0055716D" w:rsidRPr="007615E7" w:rsidRDefault="0055716D" w:rsidP="0055716D">
      <w:pPr>
        <w:pStyle w:val="enter-3pt"/>
        <w:spacing w:line="240" w:lineRule="auto"/>
        <w:rPr>
          <w:color w:val="FF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11"/>
      </w:tblGrid>
      <w:tr w:rsidR="00BE6A12" w:rsidRPr="00337E16" w:rsidTr="007E60D5">
        <w:trPr>
          <w:trHeight w:val="779"/>
          <w:jc w:val="center"/>
        </w:trPr>
        <w:tc>
          <w:tcPr>
            <w:tcW w:w="0" w:type="auto"/>
            <w:vAlign w:val="center"/>
          </w:tcPr>
          <w:p w:rsidR="00BE6A12" w:rsidRPr="00337E16" w:rsidRDefault="00BE6A12" w:rsidP="007E60D5">
            <w:pPr>
              <w:pStyle w:val="enter-3pt"/>
              <w:spacing w:line="240" w:lineRule="auto"/>
              <w:jc w:val="center"/>
              <w:rPr>
                <w:b/>
                <w:i/>
                <w:sz w:val="18"/>
                <w:szCs w:val="18"/>
              </w:rPr>
            </w:pPr>
            <w:r w:rsidRPr="00337E16">
              <w:rPr>
                <w:b/>
                <w:i/>
                <w:sz w:val="18"/>
                <w:szCs w:val="18"/>
              </w:rPr>
              <w:t>Responsáveis pelo Informativo:</w:t>
            </w:r>
          </w:p>
          <w:p w:rsidR="00BE6A12" w:rsidRPr="00337E16" w:rsidRDefault="00BE6A12" w:rsidP="007E60D5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337E16">
              <w:rPr>
                <w:b/>
                <w:i/>
                <w:sz w:val="18"/>
                <w:szCs w:val="18"/>
              </w:rPr>
              <w:t>Elaboração:</w:t>
            </w:r>
            <w:r w:rsidRPr="00337E16">
              <w:rPr>
                <w:i/>
                <w:sz w:val="18"/>
                <w:szCs w:val="18"/>
              </w:rPr>
              <w:t xml:space="preserve"> </w:t>
            </w:r>
            <w:r w:rsidRPr="00BF5733">
              <w:rPr>
                <w:i/>
                <w:sz w:val="18"/>
                <w:szCs w:val="18"/>
              </w:rPr>
              <w:t>Sandro Henrique Maciel Bernardes, Assessor em substit</w:t>
            </w:r>
            <w:r>
              <w:rPr>
                <w:i/>
                <w:sz w:val="18"/>
                <w:szCs w:val="18"/>
              </w:rPr>
              <w:t>uição da Secretaria das Sessões</w:t>
            </w:r>
            <w:r w:rsidR="001158D1">
              <w:rPr>
                <w:i/>
                <w:sz w:val="18"/>
                <w:szCs w:val="18"/>
              </w:rPr>
              <w:t>.</w:t>
            </w:r>
          </w:p>
          <w:p w:rsidR="001158D1" w:rsidRPr="00B267F5" w:rsidRDefault="001158D1" w:rsidP="001158D1">
            <w:pPr>
              <w:pStyle w:val="enter-3pt"/>
              <w:spacing w:line="240" w:lineRule="auto"/>
              <w:jc w:val="center"/>
              <w:rPr>
                <w:i/>
                <w:sz w:val="18"/>
                <w:szCs w:val="18"/>
              </w:rPr>
            </w:pPr>
            <w:r w:rsidRPr="00B267F5">
              <w:rPr>
                <w:b/>
                <w:i/>
                <w:sz w:val="18"/>
                <w:szCs w:val="18"/>
              </w:rPr>
              <w:t>Revisão:</w:t>
            </w:r>
            <w:r w:rsidRPr="00B267F5">
              <w:rPr>
                <w:i/>
                <w:sz w:val="18"/>
                <w:szCs w:val="18"/>
              </w:rPr>
              <w:t xml:space="preserve"> Odilon Cavallari de Oliveira, Secretário das Sessões.</w:t>
            </w:r>
          </w:p>
          <w:p w:rsidR="00BE6A12" w:rsidRPr="00337E16" w:rsidRDefault="00BE6A12" w:rsidP="007E60D5">
            <w:pPr>
              <w:pStyle w:val="enter-3pt"/>
              <w:spacing w:line="240" w:lineRule="auto"/>
              <w:jc w:val="center"/>
              <w:rPr>
                <w:b/>
                <w:i/>
                <w:sz w:val="22"/>
                <w:szCs w:val="22"/>
              </w:rPr>
            </w:pPr>
            <w:r w:rsidRPr="00337E16">
              <w:rPr>
                <w:b/>
                <w:i/>
                <w:sz w:val="18"/>
                <w:szCs w:val="18"/>
              </w:rPr>
              <w:t xml:space="preserve">Contato: </w:t>
            </w:r>
            <w:hyperlink r:id="rId7" w:history="1">
              <w:r w:rsidRPr="00337E16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BE6A12" w:rsidRPr="00337E16" w:rsidRDefault="00BE6A12" w:rsidP="00BE6A12">
      <w:pPr>
        <w:pStyle w:val="enter-3pt"/>
        <w:spacing w:line="240" w:lineRule="auto"/>
        <w:jc w:val="center"/>
        <w:rPr>
          <w:b/>
          <w:sz w:val="22"/>
          <w:szCs w:val="22"/>
        </w:rPr>
      </w:pPr>
    </w:p>
    <w:p w:rsidR="00785CF8" w:rsidRPr="007615E7" w:rsidRDefault="00785CF8" w:rsidP="00337E16">
      <w:pPr>
        <w:pStyle w:val="enter-3pt"/>
        <w:spacing w:line="240" w:lineRule="auto"/>
        <w:jc w:val="center"/>
        <w:rPr>
          <w:b/>
          <w:color w:val="FF0000"/>
          <w:sz w:val="22"/>
          <w:szCs w:val="22"/>
          <w:bdr w:val="single" w:sz="4" w:space="0" w:color="auto"/>
        </w:rPr>
      </w:pPr>
    </w:p>
    <w:p w:rsidR="00D2041E" w:rsidRPr="007615E7" w:rsidRDefault="00D2041E" w:rsidP="00337E16">
      <w:pPr>
        <w:pStyle w:val="enter-3pt"/>
        <w:spacing w:line="240" w:lineRule="auto"/>
        <w:jc w:val="center"/>
        <w:rPr>
          <w:b/>
          <w:color w:val="FF0000"/>
          <w:sz w:val="22"/>
          <w:szCs w:val="22"/>
        </w:rPr>
      </w:pPr>
    </w:p>
    <w:sectPr w:rsidR="00D2041E" w:rsidRPr="007615E7" w:rsidSect="00337E16">
      <w:headerReference w:type="default" r:id="rId8"/>
      <w:footerReference w:type="default" r:id="rId9"/>
      <w:pgSz w:w="11906" w:h="16838" w:code="9"/>
      <w:pgMar w:top="1134" w:right="851" w:bottom="851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64A" w:rsidRDefault="00B5564A" w:rsidP="008B0547">
      <w:pPr>
        <w:spacing w:after="0"/>
      </w:pPr>
      <w:r>
        <w:separator/>
      </w:r>
    </w:p>
  </w:endnote>
  <w:endnote w:type="continuationSeparator" w:id="0">
    <w:p w:rsidR="00B5564A" w:rsidRDefault="00B5564A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Pr="00C906CD" w:rsidRDefault="00C906CD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EF3A2B">
      <w:rPr>
        <w:noProof/>
        <w:sz w:val="20"/>
        <w:szCs w:val="20"/>
      </w:rPr>
      <w:t>1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64A" w:rsidRDefault="00B5564A" w:rsidP="008B0547">
      <w:pPr>
        <w:spacing w:after="0"/>
      </w:pPr>
      <w:r>
        <w:separator/>
      </w:r>
    </w:p>
  </w:footnote>
  <w:footnote w:type="continuationSeparator" w:id="0">
    <w:p w:rsidR="00B5564A" w:rsidRDefault="00B5564A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547" w:rsidRDefault="00B933C8" w:rsidP="00080148">
    <w:pPr>
      <w:spacing w:after="0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-37465</wp:posOffset>
          </wp:positionH>
          <wp:positionV relativeFrom="paragraph">
            <wp:posOffset>-71120</wp:posOffset>
          </wp:positionV>
          <wp:extent cx="551815" cy="436880"/>
          <wp:effectExtent l="0" t="0" r="635" b="1270"/>
          <wp:wrapNone/>
          <wp:docPr id="2" name="Imagem 1" descr="LogoT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Tc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815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547">
      <w:rPr>
        <w:rFonts w:ascii="Arial" w:hAnsi="Arial" w:cs="Arial"/>
        <w:b/>
      </w:rPr>
      <w:t>TRIBUNAL DE CONTAS DA UNIÃO</w:t>
    </w:r>
  </w:p>
  <w:p w:rsidR="008B0547" w:rsidRPr="00515E7B" w:rsidRDefault="00B933C8" w:rsidP="00080148">
    <w:pPr>
      <w:spacing w:after="0"/>
      <w:rPr>
        <w:rFonts w:ascii="Arial" w:hAnsi="Arial" w:cs="Arial"/>
        <w:b/>
      </w:rPr>
    </w:pPr>
    <w:r w:rsidRPr="00515E7B">
      <w:rPr>
        <w:rFonts w:ascii="Arial" w:hAnsi="Arial" w:cs="Arial"/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37465</wp:posOffset>
              </wp:positionH>
              <wp:positionV relativeFrom="paragraph">
                <wp:posOffset>243840</wp:posOffset>
              </wp:positionV>
              <wp:extent cx="6120130" cy="0"/>
              <wp:effectExtent l="8890" t="5715" r="5080" b="1333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DA53B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95pt,19.2pt" to="484.8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nRa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">
              <w10:wrap anchorx="margin"/>
            </v:line>
          </w:pict>
        </mc:Fallback>
      </mc:AlternateContent>
    </w:r>
    <w:r w:rsidR="00515E7B" w:rsidRPr="00515E7B">
      <w:rPr>
        <w:rFonts w:ascii="Arial" w:hAnsi="Arial" w:cs="Arial"/>
        <w:noProof/>
        <w:lang w:eastAsia="pt-BR"/>
      </w:rPr>
      <w:t>Info</w:t>
    </w:r>
    <w:r w:rsidR="006F4DE0">
      <w:rPr>
        <w:rFonts w:ascii="Arial" w:hAnsi="Arial" w:cs="Arial"/>
        <w:noProof/>
        <w:lang w:eastAsia="pt-BR"/>
      </w:rPr>
      <w:t>rmativo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de Jurisprudência sobre</w:t>
    </w:r>
    <w:r w:rsidR="00515E7B">
      <w:rPr>
        <w:rFonts w:ascii="Arial" w:hAnsi="Arial" w:cs="Arial"/>
        <w:noProof/>
        <w:lang w:eastAsia="pt-BR"/>
      </w:rPr>
      <w:t xml:space="preserve"> </w:t>
    </w:r>
    <w:r w:rsidR="002810D9">
      <w:rPr>
        <w:rFonts w:ascii="Arial" w:hAnsi="Arial" w:cs="Arial"/>
        <w:noProof/>
        <w:lang w:eastAsia="pt-BR"/>
      </w:rPr>
      <w:t>L</w:t>
    </w:r>
    <w:r w:rsidR="00515E7B" w:rsidRPr="00515E7B">
      <w:rPr>
        <w:rFonts w:ascii="Arial" w:hAnsi="Arial" w:cs="Arial"/>
        <w:noProof/>
        <w:lang w:eastAsia="pt-BR"/>
      </w:rPr>
      <w:t xml:space="preserve">icitações e </w:t>
    </w:r>
    <w:r w:rsidR="002810D9">
      <w:rPr>
        <w:rFonts w:ascii="Arial" w:hAnsi="Arial" w:cs="Arial"/>
        <w:noProof/>
        <w:lang w:eastAsia="pt-BR"/>
      </w:rPr>
      <w:t>C</w:t>
    </w:r>
    <w:r w:rsidR="00515E7B" w:rsidRPr="00515E7B">
      <w:rPr>
        <w:rFonts w:ascii="Arial" w:hAnsi="Arial" w:cs="Arial"/>
        <w:noProof/>
        <w:lang w:eastAsia="pt-BR"/>
      </w:rPr>
      <w:t>ontratos</w:t>
    </w:r>
    <w:r w:rsidR="00FF7C62">
      <w:rPr>
        <w:rFonts w:ascii="Arial" w:hAnsi="Arial" w:cs="Arial"/>
        <w:noProof/>
        <w:lang w:eastAsia="pt-BR"/>
      </w:rPr>
      <w:t xml:space="preserve"> nº </w:t>
    </w:r>
    <w:r w:rsidR="004B6B81">
      <w:rPr>
        <w:rFonts w:ascii="Arial" w:hAnsi="Arial" w:cs="Arial"/>
        <w:noProof/>
        <w:lang w:eastAsia="pt-BR"/>
      </w:rPr>
      <w:t>4</w:t>
    </w:r>
    <w:r w:rsidR="00DD4BC8">
      <w:rPr>
        <w:rFonts w:ascii="Arial" w:hAnsi="Arial" w:cs="Arial"/>
        <w:noProof/>
        <w:lang w:eastAsia="pt-BR"/>
      </w:rPr>
      <w:t>5</w:t>
    </w:r>
  </w:p>
  <w:p w:rsidR="008B0547" w:rsidRDefault="008B054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81BB1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028010A"/>
    <w:multiLevelType w:val="hybridMultilevel"/>
    <w:tmpl w:val="087E3884"/>
    <w:lvl w:ilvl="0" w:tplc="D81EB728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3">
    <w:nsid w:val="11202DB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85F349C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1A66630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14212D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>
    <w:nsid w:val="239C54D4"/>
    <w:multiLevelType w:val="hybridMultilevel"/>
    <w:tmpl w:val="EFBED870"/>
    <w:lvl w:ilvl="0" w:tplc="04160017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9">
    <w:nsid w:val="39384A0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B0318E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25027A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4C576ABE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3">
    <w:nsid w:val="561A6E63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59282D4B"/>
    <w:multiLevelType w:val="hybridMultilevel"/>
    <w:tmpl w:val="FA9E460C"/>
    <w:lvl w:ilvl="0" w:tplc="8C3C7376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5">
    <w:nsid w:val="5CFC6DCD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671316A9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6E4770F8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7E7641FF"/>
    <w:multiLevelType w:val="multilevel"/>
    <w:tmpl w:val="4C0E4D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5"/>
  </w:num>
  <w:num w:numId="4">
    <w:abstractNumId w:val="0"/>
  </w:num>
  <w:num w:numId="5">
    <w:abstractNumId w:val="6"/>
  </w:num>
  <w:num w:numId="6">
    <w:abstractNumId w:val="10"/>
  </w:num>
  <w:num w:numId="7">
    <w:abstractNumId w:val="17"/>
  </w:num>
  <w:num w:numId="8">
    <w:abstractNumId w:val="15"/>
  </w:num>
  <w:num w:numId="9">
    <w:abstractNumId w:val="12"/>
  </w:num>
  <w:num w:numId="10">
    <w:abstractNumId w:val="4"/>
  </w:num>
  <w:num w:numId="11">
    <w:abstractNumId w:val="18"/>
  </w:num>
  <w:num w:numId="12">
    <w:abstractNumId w:val="3"/>
  </w:num>
  <w:num w:numId="13">
    <w:abstractNumId w:val="9"/>
  </w:num>
  <w:num w:numId="14">
    <w:abstractNumId w:val="16"/>
  </w:num>
  <w:num w:numId="15">
    <w:abstractNumId w:val="8"/>
  </w:num>
  <w:num w:numId="16">
    <w:abstractNumId w:val="1"/>
  </w:num>
  <w:num w:numId="17">
    <w:abstractNumId w:val="7"/>
  </w:num>
  <w:num w:numId="18">
    <w:abstractNumId w:val="1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605"/>
    <w:rsid w:val="00000865"/>
    <w:rsid w:val="00003CEA"/>
    <w:rsid w:val="00004614"/>
    <w:rsid w:val="00004ED4"/>
    <w:rsid w:val="00005435"/>
    <w:rsid w:val="00005E1E"/>
    <w:rsid w:val="00012468"/>
    <w:rsid w:val="0001636D"/>
    <w:rsid w:val="00023D72"/>
    <w:rsid w:val="00026EA5"/>
    <w:rsid w:val="000271FA"/>
    <w:rsid w:val="00030F33"/>
    <w:rsid w:val="00032198"/>
    <w:rsid w:val="000411E4"/>
    <w:rsid w:val="00041450"/>
    <w:rsid w:val="0004237B"/>
    <w:rsid w:val="0004660A"/>
    <w:rsid w:val="0005011C"/>
    <w:rsid w:val="00051442"/>
    <w:rsid w:val="00052B15"/>
    <w:rsid w:val="00054432"/>
    <w:rsid w:val="000562CD"/>
    <w:rsid w:val="00056D51"/>
    <w:rsid w:val="0006028E"/>
    <w:rsid w:val="000607C4"/>
    <w:rsid w:val="00061C2E"/>
    <w:rsid w:val="0006274B"/>
    <w:rsid w:val="00065E95"/>
    <w:rsid w:val="00066F28"/>
    <w:rsid w:val="000673A2"/>
    <w:rsid w:val="00072691"/>
    <w:rsid w:val="00073D80"/>
    <w:rsid w:val="00080148"/>
    <w:rsid w:val="00084727"/>
    <w:rsid w:val="0009133A"/>
    <w:rsid w:val="00092C2E"/>
    <w:rsid w:val="000A2C56"/>
    <w:rsid w:val="000B0ECB"/>
    <w:rsid w:val="000B0FEA"/>
    <w:rsid w:val="000B2971"/>
    <w:rsid w:val="000B2AFA"/>
    <w:rsid w:val="000C3861"/>
    <w:rsid w:val="000C47DE"/>
    <w:rsid w:val="000C667F"/>
    <w:rsid w:val="000D1FD7"/>
    <w:rsid w:val="000D6418"/>
    <w:rsid w:val="000D7DB6"/>
    <w:rsid w:val="000D7DED"/>
    <w:rsid w:val="000E29D6"/>
    <w:rsid w:val="000E3B31"/>
    <w:rsid w:val="000E63B7"/>
    <w:rsid w:val="000F518B"/>
    <w:rsid w:val="000F6D85"/>
    <w:rsid w:val="000F7CEE"/>
    <w:rsid w:val="00105847"/>
    <w:rsid w:val="001104BA"/>
    <w:rsid w:val="00112676"/>
    <w:rsid w:val="0011373A"/>
    <w:rsid w:val="00113987"/>
    <w:rsid w:val="00114511"/>
    <w:rsid w:val="001149CE"/>
    <w:rsid w:val="001158D1"/>
    <w:rsid w:val="00124350"/>
    <w:rsid w:val="00125BF0"/>
    <w:rsid w:val="00126026"/>
    <w:rsid w:val="00133EA9"/>
    <w:rsid w:val="0013712C"/>
    <w:rsid w:val="00141D7A"/>
    <w:rsid w:val="001420D1"/>
    <w:rsid w:val="001444A2"/>
    <w:rsid w:val="00146EC1"/>
    <w:rsid w:val="00151F92"/>
    <w:rsid w:val="0015258E"/>
    <w:rsid w:val="00152ECC"/>
    <w:rsid w:val="001532E4"/>
    <w:rsid w:val="00156995"/>
    <w:rsid w:val="00156A48"/>
    <w:rsid w:val="00157AFE"/>
    <w:rsid w:val="00157C0F"/>
    <w:rsid w:val="00172915"/>
    <w:rsid w:val="001744E7"/>
    <w:rsid w:val="00176375"/>
    <w:rsid w:val="00177900"/>
    <w:rsid w:val="00191894"/>
    <w:rsid w:val="001922E8"/>
    <w:rsid w:val="001A330B"/>
    <w:rsid w:val="001A60A2"/>
    <w:rsid w:val="001B0889"/>
    <w:rsid w:val="001B3E8E"/>
    <w:rsid w:val="001B452D"/>
    <w:rsid w:val="001B4F90"/>
    <w:rsid w:val="001C0575"/>
    <w:rsid w:val="001C437E"/>
    <w:rsid w:val="001D03C7"/>
    <w:rsid w:val="001D1478"/>
    <w:rsid w:val="001D74CE"/>
    <w:rsid w:val="001E0BF1"/>
    <w:rsid w:val="001E1E28"/>
    <w:rsid w:val="001E2620"/>
    <w:rsid w:val="001E4147"/>
    <w:rsid w:val="001E6F03"/>
    <w:rsid w:val="001E7C3D"/>
    <w:rsid w:val="001F00DF"/>
    <w:rsid w:val="001F09B2"/>
    <w:rsid w:val="001F30A9"/>
    <w:rsid w:val="002002CE"/>
    <w:rsid w:val="0020066F"/>
    <w:rsid w:val="00200E0B"/>
    <w:rsid w:val="00203A6F"/>
    <w:rsid w:val="00207B22"/>
    <w:rsid w:val="00211816"/>
    <w:rsid w:val="00211E33"/>
    <w:rsid w:val="00226D9D"/>
    <w:rsid w:val="00232158"/>
    <w:rsid w:val="002328F9"/>
    <w:rsid w:val="00233CE3"/>
    <w:rsid w:val="0024146C"/>
    <w:rsid w:val="0024593F"/>
    <w:rsid w:val="002476B6"/>
    <w:rsid w:val="002522F9"/>
    <w:rsid w:val="00252623"/>
    <w:rsid w:val="00253470"/>
    <w:rsid w:val="00254590"/>
    <w:rsid w:val="0026362E"/>
    <w:rsid w:val="002649A7"/>
    <w:rsid w:val="00265B6F"/>
    <w:rsid w:val="002663B7"/>
    <w:rsid w:val="00271D81"/>
    <w:rsid w:val="00273E72"/>
    <w:rsid w:val="00276448"/>
    <w:rsid w:val="00276DC0"/>
    <w:rsid w:val="00277EF9"/>
    <w:rsid w:val="002810D9"/>
    <w:rsid w:val="00281830"/>
    <w:rsid w:val="0029043B"/>
    <w:rsid w:val="00290A06"/>
    <w:rsid w:val="0029211E"/>
    <w:rsid w:val="0029450E"/>
    <w:rsid w:val="002A190F"/>
    <w:rsid w:val="002A3B3F"/>
    <w:rsid w:val="002A6B4B"/>
    <w:rsid w:val="002B52E8"/>
    <w:rsid w:val="002B71BA"/>
    <w:rsid w:val="002C7B61"/>
    <w:rsid w:val="002C7B6D"/>
    <w:rsid w:val="002C7EF7"/>
    <w:rsid w:val="002D0768"/>
    <w:rsid w:val="002D314E"/>
    <w:rsid w:val="002D35F5"/>
    <w:rsid w:val="002D47FE"/>
    <w:rsid w:val="002D739A"/>
    <w:rsid w:val="002D76AB"/>
    <w:rsid w:val="002E3028"/>
    <w:rsid w:val="002E361C"/>
    <w:rsid w:val="002E3943"/>
    <w:rsid w:val="002E4254"/>
    <w:rsid w:val="002F2FE7"/>
    <w:rsid w:val="002F5F3B"/>
    <w:rsid w:val="002F693C"/>
    <w:rsid w:val="003020F4"/>
    <w:rsid w:val="00304A73"/>
    <w:rsid w:val="003069F9"/>
    <w:rsid w:val="003077BE"/>
    <w:rsid w:val="00310208"/>
    <w:rsid w:val="0031058F"/>
    <w:rsid w:val="0031089E"/>
    <w:rsid w:val="00310D69"/>
    <w:rsid w:val="003147B7"/>
    <w:rsid w:val="003173AA"/>
    <w:rsid w:val="00317CF4"/>
    <w:rsid w:val="00317E59"/>
    <w:rsid w:val="00322AE7"/>
    <w:rsid w:val="003275E4"/>
    <w:rsid w:val="00337E16"/>
    <w:rsid w:val="00340E66"/>
    <w:rsid w:val="00340F10"/>
    <w:rsid w:val="0034486B"/>
    <w:rsid w:val="00344D92"/>
    <w:rsid w:val="003455A2"/>
    <w:rsid w:val="00350394"/>
    <w:rsid w:val="00350E87"/>
    <w:rsid w:val="00353B7C"/>
    <w:rsid w:val="0035438E"/>
    <w:rsid w:val="003549D1"/>
    <w:rsid w:val="00355373"/>
    <w:rsid w:val="00355828"/>
    <w:rsid w:val="00357CBE"/>
    <w:rsid w:val="00361661"/>
    <w:rsid w:val="00377522"/>
    <w:rsid w:val="003824E4"/>
    <w:rsid w:val="00385DAB"/>
    <w:rsid w:val="0038696B"/>
    <w:rsid w:val="00392509"/>
    <w:rsid w:val="003943E5"/>
    <w:rsid w:val="0039686C"/>
    <w:rsid w:val="00397D8E"/>
    <w:rsid w:val="003A2222"/>
    <w:rsid w:val="003A4945"/>
    <w:rsid w:val="003A5479"/>
    <w:rsid w:val="003A5C1B"/>
    <w:rsid w:val="003A7C7F"/>
    <w:rsid w:val="003B0304"/>
    <w:rsid w:val="003B043F"/>
    <w:rsid w:val="003B1BE7"/>
    <w:rsid w:val="003B1C89"/>
    <w:rsid w:val="003B2E10"/>
    <w:rsid w:val="003B33CE"/>
    <w:rsid w:val="003B343D"/>
    <w:rsid w:val="003B56D7"/>
    <w:rsid w:val="003C1B4F"/>
    <w:rsid w:val="003C2288"/>
    <w:rsid w:val="003C2D50"/>
    <w:rsid w:val="003C6DEB"/>
    <w:rsid w:val="003C7A5C"/>
    <w:rsid w:val="003C7F58"/>
    <w:rsid w:val="003D3B68"/>
    <w:rsid w:val="003D73BD"/>
    <w:rsid w:val="003D7CCE"/>
    <w:rsid w:val="003E1B68"/>
    <w:rsid w:val="003E65D7"/>
    <w:rsid w:val="003F413A"/>
    <w:rsid w:val="003F54FB"/>
    <w:rsid w:val="003F6D1F"/>
    <w:rsid w:val="00401539"/>
    <w:rsid w:val="0040201F"/>
    <w:rsid w:val="00411094"/>
    <w:rsid w:val="0041493F"/>
    <w:rsid w:val="004169D8"/>
    <w:rsid w:val="00417586"/>
    <w:rsid w:val="004201AF"/>
    <w:rsid w:val="00425FF9"/>
    <w:rsid w:val="00427105"/>
    <w:rsid w:val="0042756B"/>
    <w:rsid w:val="00427B3B"/>
    <w:rsid w:val="00427EBF"/>
    <w:rsid w:val="00432585"/>
    <w:rsid w:val="004362AB"/>
    <w:rsid w:val="004362F5"/>
    <w:rsid w:val="004415FB"/>
    <w:rsid w:val="00441CE3"/>
    <w:rsid w:val="004432BC"/>
    <w:rsid w:val="0044434A"/>
    <w:rsid w:val="00445E76"/>
    <w:rsid w:val="00452C60"/>
    <w:rsid w:val="0046384E"/>
    <w:rsid w:val="00463F17"/>
    <w:rsid w:val="0046706B"/>
    <w:rsid w:val="0046754E"/>
    <w:rsid w:val="00471284"/>
    <w:rsid w:val="00473696"/>
    <w:rsid w:val="0047491E"/>
    <w:rsid w:val="004837C6"/>
    <w:rsid w:val="00483998"/>
    <w:rsid w:val="0048478C"/>
    <w:rsid w:val="00484E4C"/>
    <w:rsid w:val="004906BD"/>
    <w:rsid w:val="00491438"/>
    <w:rsid w:val="00492D23"/>
    <w:rsid w:val="00492E3F"/>
    <w:rsid w:val="00493F5C"/>
    <w:rsid w:val="004A171B"/>
    <w:rsid w:val="004B1DC3"/>
    <w:rsid w:val="004B6B81"/>
    <w:rsid w:val="004C2755"/>
    <w:rsid w:val="004C51D4"/>
    <w:rsid w:val="004C5FF6"/>
    <w:rsid w:val="004C780C"/>
    <w:rsid w:val="004D5460"/>
    <w:rsid w:val="004D708E"/>
    <w:rsid w:val="004E254C"/>
    <w:rsid w:val="004E357A"/>
    <w:rsid w:val="004E500E"/>
    <w:rsid w:val="004E65EB"/>
    <w:rsid w:val="004F5666"/>
    <w:rsid w:val="004F7174"/>
    <w:rsid w:val="0050355D"/>
    <w:rsid w:val="005055B5"/>
    <w:rsid w:val="00511BBF"/>
    <w:rsid w:val="00512628"/>
    <w:rsid w:val="00515E7B"/>
    <w:rsid w:val="005217F8"/>
    <w:rsid w:val="0052267A"/>
    <w:rsid w:val="00526260"/>
    <w:rsid w:val="00526441"/>
    <w:rsid w:val="00531143"/>
    <w:rsid w:val="00533E30"/>
    <w:rsid w:val="00536332"/>
    <w:rsid w:val="00543EB8"/>
    <w:rsid w:val="00554A33"/>
    <w:rsid w:val="0055716D"/>
    <w:rsid w:val="00557953"/>
    <w:rsid w:val="00560E55"/>
    <w:rsid w:val="0056301A"/>
    <w:rsid w:val="005640E1"/>
    <w:rsid w:val="00564EA1"/>
    <w:rsid w:val="0056534C"/>
    <w:rsid w:val="00567CEE"/>
    <w:rsid w:val="005713F4"/>
    <w:rsid w:val="00571E64"/>
    <w:rsid w:val="00580F26"/>
    <w:rsid w:val="0058427E"/>
    <w:rsid w:val="005876B5"/>
    <w:rsid w:val="00590907"/>
    <w:rsid w:val="005A0C15"/>
    <w:rsid w:val="005A570F"/>
    <w:rsid w:val="005A5F4A"/>
    <w:rsid w:val="005A72F2"/>
    <w:rsid w:val="005B2194"/>
    <w:rsid w:val="005B2BC3"/>
    <w:rsid w:val="005B4CFA"/>
    <w:rsid w:val="005B6CB5"/>
    <w:rsid w:val="005C1A79"/>
    <w:rsid w:val="005E269C"/>
    <w:rsid w:val="005E3586"/>
    <w:rsid w:val="005E4DEE"/>
    <w:rsid w:val="005E5FF1"/>
    <w:rsid w:val="005F01CE"/>
    <w:rsid w:val="005F70B6"/>
    <w:rsid w:val="006000F4"/>
    <w:rsid w:val="0060427D"/>
    <w:rsid w:val="00604DBE"/>
    <w:rsid w:val="006063E1"/>
    <w:rsid w:val="006065E4"/>
    <w:rsid w:val="0061011F"/>
    <w:rsid w:val="0061032A"/>
    <w:rsid w:val="00612045"/>
    <w:rsid w:val="00613AC9"/>
    <w:rsid w:val="00620E86"/>
    <w:rsid w:val="006219DD"/>
    <w:rsid w:val="006254B9"/>
    <w:rsid w:val="00632ACC"/>
    <w:rsid w:val="0063461C"/>
    <w:rsid w:val="0064312A"/>
    <w:rsid w:val="0064475B"/>
    <w:rsid w:val="00650463"/>
    <w:rsid w:val="00651660"/>
    <w:rsid w:val="00652171"/>
    <w:rsid w:val="006530D9"/>
    <w:rsid w:val="00664980"/>
    <w:rsid w:val="00667848"/>
    <w:rsid w:val="00670FEA"/>
    <w:rsid w:val="0067353C"/>
    <w:rsid w:val="00676163"/>
    <w:rsid w:val="00677C22"/>
    <w:rsid w:val="006808CC"/>
    <w:rsid w:val="006825D6"/>
    <w:rsid w:val="00685899"/>
    <w:rsid w:val="00692D30"/>
    <w:rsid w:val="00697477"/>
    <w:rsid w:val="006A037E"/>
    <w:rsid w:val="006A420B"/>
    <w:rsid w:val="006A45B2"/>
    <w:rsid w:val="006A570C"/>
    <w:rsid w:val="006A7796"/>
    <w:rsid w:val="006B0495"/>
    <w:rsid w:val="006B07E3"/>
    <w:rsid w:val="006B0DCB"/>
    <w:rsid w:val="006B2408"/>
    <w:rsid w:val="006B3AF9"/>
    <w:rsid w:val="006B414C"/>
    <w:rsid w:val="006B4B0F"/>
    <w:rsid w:val="006B633B"/>
    <w:rsid w:val="006C351F"/>
    <w:rsid w:val="006C6767"/>
    <w:rsid w:val="006C6CB1"/>
    <w:rsid w:val="006D3784"/>
    <w:rsid w:val="006F4DE0"/>
    <w:rsid w:val="006F7332"/>
    <w:rsid w:val="006F7B80"/>
    <w:rsid w:val="0070385B"/>
    <w:rsid w:val="0070494F"/>
    <w:rsid w:val="00705758"/>
    <w:rsid w:val="0070717A"/>
    <w:rsid w:val="00713DE5"/>
    <w:rsid w:val="00716497"/>
    <w:rsid w:val="007174DA"/>
    <w:rsid w:val="00720910"/>
    <w:rsid w:val="00720F29"/>
    <w:rsid w:val="007224C2"/>
    <w:rsid w:val="007232A6"/>
    <w:rsid w:val="00737FEC"/>
    <w:rsid w:val="00740BAE"/>
    <w:rsid w:val="00742835"/>
    <w:rsid w:val="007438D0"/>
    <w:rsid w:val="00744814"/>
    <w:rsid w:val="00756AA0"/>
    <w:rsid w:val="00757CE6"/>
    <w:rsid w:val="007615E7"/>
    <w:rsid w:val="007671B6"/>
    <w:rsid w:val="007671DA"/>
    <w:rsid w:val="007719A8"/>
    <w:rsid w:val="00771F88"/>
    <w:rsid w:val="00774593"/>
    <w:rsid w:val="00774801"/>
    <w:rsid w:val="00777599"/>
    <w:rsid w:val="00785CF8"/>
    <w:rsid w:val="0079510F"/>
    <w:rsid w:val="00796CC0"/>
    <w:rsid w:val="007A0B3F"/>
    <w:rsid w:val="007A1A35"/>
    <w:rsid w:val="007A3939"/>
    <w:rsid w:val="007A5922"/>
    <w:rsid w:val="007B0329"/>
    <w:rsid w:val="007B259B"/>
    <w:rsid w:val="007B5018"/>
    <w:rsid w:val="007C670D"/>
    <w:rsid w:val="007D09C6"/>
    <w:rsid w:val="007D0ED0"/>
    <w:rsid w:val="007D4A4A"/>
    <w:rsid w:val="007D4CB9"/>
    <w:rsid w:val="007E0E05"/>
    <w:rsid w:val="007E1DD3"/>
    <w:rsid w:val="007E209F"/>
    <w:rsid w:val="007E359F"/>
    <w:rsid w:val="007E4655"/>
    <w:rsid w:val="007E55E0"/>
    <w:rsid w:val="007E5C50"/>
    <w:rsid w:val="007E60D5"/>
    <w:rsid w:val="007F22A5"/>
    <w:rsid w:val="00800700"/>
    <w:rsid w:val="00810CC2"/>
    <w:rsid w:val="0081324B"/>
    <w:rsid w:val="00815738"/>
    <w:rsid w:val="00816193"/>
    <w:rsid w:val="008165E4"/>
    <w:rsid w:val="00824725"/>
    <w:rsid w:val="00825155"/>
    <w:rsid w:val="00825EB9"/>
    <w:rsid w:val="008303E2"/>
    <w:rsid w:val="008341F8"/>
    <w:rsid w:val="008359F3"/>
    <w:rsid w:val="00835DB6"/>
    <w:rsid w:val="00836356"/>
    <w:rsid w:val="00836AC2"/>
    <w:rsid w:val="00844C5B"/>
    <w:rsid w:val="008501A4"/>
    <w:rsid w:val="008505A1"/>
    <w:rsid w:val="00850817"/>
    <w:rsid w:val="008530C8"/>
    <w:rsid w:val="0086124E"/>
    <w:rsid w:val="008652C9"/>
    <w:rsid w:val="00866992"/>
    <w:rsid w:val="00870986"/>
    <w:rsid w:val="00875991"/>
    <w:rsid w:val="00877FDD"/>
    <w:rsid w:val="00880FED"/>
    <w:rsid w:val="008841C8"/>
    <w:rsid w:val="00892BB8"/>
    <w:rsid w:val="00893014"/>
    <w:rsid w:val="00896755"/>
    <w:rsid w:val="008A2417"/>
    <w:rsid w:val="008A3ACB"/>
    <w:rsid w:val="008A5D49"/>
    <w:rsid w:val="008A751E"/>
    <w:rsid w:val="008B0547"/>
    <w:rsid w:val="008B11A3"/>
    <w:rsid w:val="008B1FE5"/>
    <w:rsid w:val="008B434A"/>
    <w:rsid w:val="008B7B55"/>
    <w:rsid w:val="008C3A5B"/>
    <w:rsid w:val="008D6F5D"/>
    <w:rsid w:val="008E003A"/>
    <w:rsid w:val="008E15E3"/>
    <w:rsid w:val="008E4C62"/>
    <w:rsid w:val="008E621D"/>
    <w:rsid w:val="008E727E"/>
    <w:rsid w:val="008F2902"/>
    <w:rsid w:val="008F660B"/>
    <w:rsid w:val="009005CE"/>
    <w:rsid w:val="00901376"/>
    <w:rsid w:val="009021A4"/>
    <w:rsid w:val="00907EC0"/>
    <w:rsid w:val="0091511B"/>
    <w:rsid w:val="00917BE5"/>
    <w:rsid w:val="009239AA"/>
    <w:rsid w:val="009245B5"/>
    <w:rsid w:val="00925974"/>
    <w:rsid w:val="009339B0"/>
    <w:rsid w:val="00935D76"/>
    <w:rsid w:val="0093795C"/>
    <w:rsid w:val="009444E6"/>
    <w:rsid w:val="00944A8E"/>
    <w:rsid w:val="009455E6"/>
    <w:rsid w:val="00947F98"/>
    <w:rsid w:val="00952B4A"/>
    <w:rsid w:val="00956BA7"/>
    <w:rsid w:val="00956FD8"/>
    <w:rsid w:val="009575F7"/>
    <w:rsid w:val="0096021A"/>
    <w:rsid w:val="00960F73"/>
    <w:rsid w:val="00962244"/>
    <w:rsid w:val="00971139"/>
    <w:rsid w:val="0097401F"/>
    <w:rsid w:val="00981FA0"/>
    <w:rsid w:val="00984366"/>
    <w:rsid w:val="00984E80"/>
    <w:rsid w:val="0098690F"/>
    <w:rsid w:val="00987EE5"/>
    <w:rsid w:val="009923C2"/>
    <w:rsid w:val="00997C8A"/>
    <w:rsid w:val="009A1339"/>
    <w:rsid w:val="009A3006"/>
    <w:rsid w:val="009A3994"/>
    <w:rsid w:val="009B1616"/>
    <w:rsid w:val="009B3200"/>
    <w:rsid w:val="009B62AF"/>
    <w:rsid w:val="009D1B99"/>
    <w:rsid w:val="009D5445"/>
    <w:rsid w:val="009D565F"/>
    <w:rsid w:val="009D65B9"/>
    <w:rsid w:val="009E04DC"/>
    <w:rsid w:val="009E0FB3"/>
    <w:rsid w:val="009E5105"/>
    <w:rsid w:val="009F1E67"/>
    <w:rsid w:val="00A0244C"/>
    <w:rsid w:val="00A033FF"/>
    <w:rsid w:val="00A1329C"/>
    <w:rsid w:val="00A14E25"/>
    <w:rsid w:val="00A16A60"/>
    <w:rsid w:val="00A17A3D"/>
    <w:rsid w:val="00A205B5"/>
    <w:rsid w:val="00A2062A"/>
    <w:rsid w:val="00A21E19"/>
    <w:rsid w:val="00A30683"/>
    <w:rsid w:val="00A3115F"/>
    <w:rsid w:val="00A33030"/>
    <w:rsid w:val="00A378A2"/>
    <w:rsid w:val="00A60F52"/>
    <w:rsid w:val="00A63B4C"/>
    <w:rsid w:val="00A664E7"/>
    <w:rsid w:val="00A66E7F"/>
    <w:rsid w:val="00A71325"/>
    <w:rsid w:val="00A75C52"/>
    <w:rsid w:val="00A76182"/>
    <w:rsid w:val="00A7619D"/>
    <w:rsid w:val="00A767B2"/>
    <w:rsid w:val="00A774C5"/>
    <w:rsid w:val="00A82B9E"/>
    <w:rsid w:val="00A84186"/>
    <w:rsid w:val="00A85B14"/>
    <w:rsid w:val="00A9375D"/>
    <w:rsid w:val="00A944D7"/>
    <w:rsid w:val="00A9704A"/>
    <w:rsid w:val="00A97AD0"/>
    <w:rsid w:val="00AA1244"/>
    <w:rsid w:val="00AA1377"/>
    <w:rsid w:val="00AA49AF"/>
    <w:rsid w:val="00AA57CE"/>
    <w:rsid w:val="00AA7540"/>
    <w:rsid w:val="00AB30C8"/>
    <w:rsid w:val="00AC0BAE"/>
    <w:rsid w:val="00AC126F"/>
    <w:rsid w:val="00AE1128"/>
    <w:rsid w:val="00AE1AB0"/>
    <w:rsid w:val="00AE2609"/>
    <w:rsid w:val="00AE439A"/>
    <w:rsid w:val="00AF09C7"/>
    <w:rsid w:val="00B03D35"/>
    <w:rsid w:val="00B05065"/>
    <w:rsid w:val="00B05194"/>
    <w:rsid w:val="00B17303"/>
    <w:rsid w:val="00B2328D"/>
    <w:rsid w:val="00B25143"/>
    <w:rsid w:val="00B2585D"/>
    <w:rsid w:val="00B27359"/>
    <w:rsid w:val="00B321B3"/>
    <w:rsid w:val="00B33FC2"/>
    <w:rsid w:val="00B347F1"/>
    <w:rsid w:val="00B3502B"/>
    <w:rsid w:val="00B35C3E"/>
    <w:rsid w:val="00B36473"/>
    <w:rsid w:val="00B44029"/>
    <w:rsid w:val="00B45FD8"/>
    <w:rsid w:val="00B47943"/>
    <w:rsid w:val="00B50446"/>
    <w:rsid w:val="00B530FD"/>
    <w:rsid w:val="00B54650"/>
    <w:rsid w:val="00B5564A"/>
    <w:rsid w:val="00B5639B"/>
    <w:rsid w:val="00B57CB0"/>
    <w:rsid w:val="00B60C3E"/>
    <w:rsid w:val="00B64775"/>
    <w:rsid w:val="00B67B4F"/>
    <w:rsid w:val="00B75D52"/>
    <w:rsid w:val="00B81718"/>
    <w:rsid w:val="00B86AF6"/>
    <w:rsid w:val="00B86E2A"/>
    <w:rsid w:val="00B933C8"/>
    <w:rsid w:val="00B951C1"/>
    <w:rsid w:val="00B96EA4"/>
    <w:rsid w:val="00B97198"/>
    <w:rsid w:val="00B97A3E"/>
    <w:rsid w:val="00BA2FFD"/>
    <w:rsid w:val="00BB227D"/>
    <w:rsid w:val="00BB37AF"/>
    <w:rsid w:val="00BB4C08"/>
    <w:rsid w:val="00BC5737"/>
    <w:rsid w:val="00BD0BA7"/>
    <w:rsid w:val="00BD3C68"/>
    <w:rsid w:val="00BD421D"/>
    <w:rsid w:val="00BD5FA2"/>
    <w:rsid w:val="00BE0777"/>
    <w:rsid w:val="00BE1B8E"/>
    <w:rsid w:val="00BE4614"/>
    <w:rsid w:val="00BE4E6F"/>
    <w:rsid w:val="00BE529D"/>
    <w:rsid w:val="00BE6637"/>
    <w:rsid w:val="00BE6A12"/>
    <w:rsid w:val="00BF0EB2"/>
    <w:rsid w:val="00BF10E8"/>
    <w:rsid w:val="00BF3158"/>
    <w:rsid w:val="00BF79D3"/>
    <w:rsid w:val="00C028E2"/>
    <w:rsid w:val="00C03A04"/>
    <w:rsid w:val="00C046F7"/>
    <w:rsid w:val="00C10C0B"/>
    <w:rsid w:val="00C1776A"/>
    <w:rsid w:val="00C22519"/>
    <w:rsid w:val="00C2305C"/>
    <w:rsid w:val="00C233D0"/>
    <w:rsid w:val="00C24162"/>
    <w:rsid w:val="00C2509D"/>
    <w:rsid w:val="00C34ABD"/>
    <w:rsid w:val="00C35F43"/>
    <w:rsid w:val="00C42CFB"/>
    <w:rsid w:val="00C44A07"/>
    <w:rsid w:val="00C44BDC"/>
    <w:rsid w:val="00C45BFB"/>
    <w:rsid w:val="00C54B14"/>
    <w:rsid w:val="00C6352A"/>
    <w:rsid w:val="00C65B2D"/>
    <w:rsid w:val="00C65C5D"/>
    <w:rsid w:val="00C66878"/>
    <w:rsid w:val="00C70657"/>
    <w:rsid w:val="00C711E5"/>
    <w:rsid w:val="00C733F0"/>
    <w:rsid w:val="00C83AEE"/>
    <w:rsid w:val="00C85AC7"/>
    <w:rsid w:val="00C906CD"/>
    <w:rsid w:val="00C913DC"/>
    <w:rsid w:val="00CA2835"/>
    <w:rsid w:val="00CA6716"/>
    <w:rsid w:val="00CC14B7"/>
    <w:rsid w:val="00CC42D4"/>
    <w:rsid w:val="00CC47AE"/>
    <w:rsid w:val="00CC7E96"/>
    <w:rsid w:val="00CD2536"/>
    <w:rsid w:val="00CF230D"/>
    <w:rsid w:val="00CF5489"/>
    <w:rsid w:val="00CF7615"/>
    <w:rsid w:val="00CF7983"/>
    <w:rsid w:val="00D003F8"/>
    <w:rsid w:val="00D024B0"/>
    <w:rsid w:val="00D10769"/>
    <w:rsid w:val="00D116C7"/>
    <w:rsid w:val="00D13AC5"/>
    <w:rsid w:val="00D14E5F"/>
    <w:rsid w:val="00D2041E"/>
    <w:rsid w:val="00D22A8F"/>
    <w:rsid w:val="00D32EAB"/>
    <w:rsid w:val="00D341C9"/>
    <w:rsid w:val="00D3447D"/>
    <w:rsid w:val="00D3488B"/>
    <w:rsid w:val="00D361DE"/>
    <w:rsid w:val="00D3771F"/>
    <w:rsid w:val="00D46C12"/>
    <w:rsid w:val="00D46C4C"/>
    <w:rsid w:val="00D51F18"/>
    <w:rsid w:val="00D55020"/>
    <w:rsid w:val="00D564BB"/>
    <w:rsid w:val="00D565FA"/>
    <w:rsid w:val="00D568ED"/>
    <w:rsid w:val="00D6014E"/>
    <w:rsid w:val="00D630E7"/>
    <w:rsid w:val="00D700E5"/>
    <w:rsid w:val="00D7048E"/>
    <w:rsid w:val="00D75469"/>
    <w:rsid w:val="00D76186"/>
    <w:rsid w:val="00D8231F"/>
    <w:rsid w:val="00D86DD4"/>
    <w:rsid w:val="00D9032A"/>
    <w:rsid w:val="00D90984"/>
    <w:rsid w:val="00D92529"/>
    <w:rsid w:val="00DA5AAB"/>
    <w:rsid w:val="00DA6858"/>
    <w:rsid w:val="00DB1CD7"/>
    <w:rsid w:val="00DB2651"/>
    <w:rsid w:val="00DB4717"/>
    <w:rsid w:val="00DC6F31"/>
    <w:rsid w:val="00DD4BC8"/>
    <w:rsid w:val="00DD6D17"/>
    <w:rsid w:val="00DD6D82"/>
    <w:rsid w:val="00DE045E"/>
    <w:rsid w:val="00DE23D6"/>
    <w:rsid w:val="00DE2CB6"/>
    <w:rsid w:val="00DE2DDE"/>
    <w:rsid w:val="00DE5344"/>
    <w:rsid w:val="00DE5414"/>
    <w:rsid w:val="00DF0C37"/>
    <w:rsid w:val="00DF2506"/>
    <w:rsid w:val="00DF301A"/>
    <w:rsid w:val="00DF31D7"/>
    <w:rsid w:val="00DF3469"/>
    <w:rsid w:val="00DF3BE2"/>
    <w:rsid w:val="00DF4E2C"/>
    <w:rsid w:val="00DF75EC"/>
    <w:rsid w:val="00DF7CB1"/>
    <w:rsid w:val="00E0733C"/>
    <w:rsid w:val="00E079C6"/>
    <w:rsid w:val="00E13BB4"/>
    <w:rsid w:val="00E146CF"/>
    <w:rsid w:val="00E167B5"/>
    <w:rsid w:val="00E23C05"/>
    <w:rsid w:val="00E247E2"/>
    <w:rsid w:val="00E25764"/>
    <w:rsid w:val="00E27B8F"/>
    <w:rsid w:val="00E304EB"/>
    <w:rsid w:val="00E329D0"/>
    <w:rsid w:val="00E33746"/>
    <w:rsid w:val="00E36B53"/>
    <w:rsid w:val="00E37585"/>
    <w:rsid w:val="00E45EE9"/>
    <w:rsid w:val="00E469D5"/>
    <w:rsid w:val="00E46CD5"/>
    <w:rsid w:val="00E47F90"/>
    <w:rsid w:val="00E500D9"/>
    <w:rsid w:val="00E51180"/>
    <w:rsid w:val="00E51AB5"/>
    <w:rsid w:val="00E52345"/>
    <w:rsid w:val="00E52694"/>
    <w:rsid w:val="00E52763"/>
    <w:rsid w:val="00E563AE"/>
    <w:rsid w:val="00E607C0"/>
    <w:rsid w:val="00E63136"/>
    <w:rsid w:val="00E662CD"/>
    <w:rsid w:val="00E67B62"/>
    <w:rsid w:val="00E73271"/>
    <w:rsid w:val="00E74214"/>
    <w:rsid w:val="00E74D52"/>
    <w:rsid w:val="00E75855"/>
    <w:rsid w:val="00E86458"/>
    <w:rsid w:val="00E86566"/>
    <w:rsid w:val="00E875F5"/>
    <w:rsid w:val="00E87C16"/>
    <w:rsid w:val="00E906B5"/>
    <w:rsid w:val="00E92527"/>
    <w:rsid w:val="00E97045"/>
    <w:rsid w:val="00EA06F3"/>
    <w:rsid w:val="00EA270C"/>
    <w:rsid w:val="00EA445E"/>
    <w:rsid w:val="00EA5CF4"/>
    <w:rsid w:val="00EB09B9"/>
    <w:rsid w:val="00EB7CB1"/>
    <w:rsid w:val="00EC0445"/>
    <w:rsid w:val="00EC1C35"/>
    <w:rsid w:val="00ED0557"/>
    <w:rsid w:val="00ED34D4"/>
    <w:rsid w:val="00ED70D1"/>
    <w:rsid w:val="00EE30EE"/>
    <w:rsid w:val="00EE4BD9"/>
    <w:rsid w:val="00EE5656"/>
    <w:rsid w:val="00EE6DE6"/>
    <w:rsid w:val="00EF057C"/>
    <w:rsid w:val="00EF1D14"/>
    <w:rsid w:val="00EF25FB"/>
    <w:rsid w:val="00EF3A2B"/>
    <w:rsid w:val="00EF70DA"/>
    <w:rsid w:val="00F01B31"/>
    <w:rsid w:val="00F03AB9"/>
    <w:rsid w:val="00F0466F"/>
    <w:rsid w:val="00F06479"/>
    <w:rsid w:val="00F076C5"/>
    <w:rsid w:val="00F10BFF"/>
    <w:rsid w:val="00F120D9"/>
    <w:rsid w:val="00F124BE"/>
    <w:rsid w:val="00F127D2"/>
    <w:rsid w:val="00F24C67"/>
    <w:rsid w:val="00F25FC9"/>
    <w:rsid w:val="00F26AE3"/>
    <w:rsid w:val="00F27170"/>
    <w:rsid w:val="00F30016"/>
    <w:rsid w:val="00F31C75"/>
    <w:rsid w:val="00F341CC"/>
    <w:rsid w:val="00F40CAB"/>
    <w:rsid w:val="00F4558B"/>
    <w:rsid w:val="00F47C5C"/>
    <w:rsid w:val="00F53E20"/>
    <w:rsid w:val="00F54856"/>
    <w:rsid w:val="00F64F51"/>
    <w:rsid w:val="00F765E8"/>
    <w:rsid w:val="00F86D88"/>
    <w:rsid w:val="00F8741B"/>
    <w:rsid w:val="00F87FA7"/>
    <w:rsid w:val="00F93E7F"/>
    <w:rsid w:val="00F9473C"/>
    <w:rsid w:val="00FA0BEB"/>
    <w:rsid w:val="00FA1F86"/>
    <w:rsid w:val="00FA40A3"/>
    <w:rsid w:val="00FB3BA6"/>
    <w:rsid w:val="00FB40F7"/>
    <w:rsid w:val="00FB4D65"/>
    <w:rsid w:val="00FB5954"/>
    <w:rsid w:val="00FB5A53"/>
    <w:rsid w:val="00FB76EE"/>
    <w:rsid w:val="00FB7C09"/>
    <w:rsid w:val="00FC0CDF"/>
    <w:rsid w:val="00FC183A"/>
    <w:rsid w:val="00FC1C7C"/>
    <w:rsid w:val="00FC1D17"/>
    <w:rsid w:val="00FC3D1C"/>
    <w:rsid w:val="00FC5D80"/>
    <w:rsid w:val="00FD08A7"/>
    <w:rsid w:val="00FD2E55"/>
    <w:rsid w:val="00FD2FA9"/>
    <w:rsid w:val="00FE1894"/>
    <w:rsid w:val="00FE4B60"/>
    <w:rsid w:val="00FF025A"/>
    <w:rsid w:val="00FF088B"/>
    <w:rsid w:val="00FF10AF"/>
    <w:rsid w:val="00FF334E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E195289-066A-4700-88EB-C5B30E236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35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semiHidden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semiHidden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basedOn w:val="Fontepargpadro"/>
    <w:link w:val="Ttulo2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iPriority w:val="99"/>
    <w:unhideWhenUsed/>
    <w:rsid w:val="00E75855"/>
  </w:style>
  <w:style w:type="character" w:customStyle="1" w:styleId="CorpodetextoChar">
    <w:name w:val="Corpo de texto Char"/>
    <w:basedOn w:val="Fontepargpadro"/>
    <w:link w:val="Corpodetexto"/>
    <w:uiPriority w:val="99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E75855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E75855"/>
    <w:rPr>
      <w:sz w:val="24"/>
      <w:szCs w:val="24"/>
      <w:lang w:eastAsia="en-US"/>
    </w:rPr>
  </w:style>
  <w:style w:type="character" w:styleId="Hyperlink">
    <w:name w:val="Hyperlink"/>
    <w:basedOn w:val="Fontepargpadro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basedOn w:val="Fontepargpadro"/>
    <w:uiPriority w:val="22"/>
    <w:qFormat/>
    <w:rsid w:val="00E75855"/>
    <w:rPr>
      <w:b/>
      <w:bCs/>
    </w:rPr>
  </w:style>
  <w:style w:type="character" w:customStyle="1" w:styleId="Ttulo8Char">
    <w:name w:val="Título 8 Char"/>
    <w:basedOn w:val="Fontepargpadro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5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16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36356"/>
    <w:pPr>
      <w:ind w:left="720"/>
      <w:contextualSpacing/>
    </w:pPr>
    <w:rPr>
      <w:rFonts w:eastAsia="Times New Roman"/>
    </w:rPr>
  </w:style>
  <w:style w:type="paragraph" w:customStyle="1" w:styleId="TCU-Ac-item9-">
    <w:name w:val="TCU - Ac - item 9 - §§"/>
    <w:basedOn w:val="TCU-RelVoto-1"/>
    <w:qFormat/>
    <w:rsid w:val="00FC5D80"/>
    <w:pPr>
      <w:spacing w:after="0"/>
    </w:pPr>
  </w:style>
  <w:style w:type="paragraph" w:customStyle="1" w:styleId="TCU-SemRecuo">
    <w:name w:val="TCU - Sem Recuo"/>
    <w:basedOn w:val="Normal"/>
    <w:rsid w:val="00AB30C8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Corpo">
    <w:name w:val="Corpo"/>
    <w:basedOn w:val="Normal"/>
    <w:rsid w:val="00AB30C8"/>
    <w:pPr>
      <w:tabs>
        <w:tab w:val="left" w:pos="2268"/>
      </w:tabs>
      <w:spacing w:before="284" w:after="0"/>
      <w:ind w:left="0" w:firstLine="1418"/>
    </w:pPr>
    <w:rPr>
      <w:rFonts w:eastAsia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juris@tcu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2656</Words>
  <Characters>14346</Characters>
  <Application>Microsoft Office Word</Application>
  <DocSecurity>4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16969</CharactersWithSpaces>
  <SharedDoc>false</SharedDoc>
  <HLinks>
    <vt:vector size="6" baseType="variant">
      <vt:variant>
        <vt:i4>7602203</vt:i4>
      </vt:variant>
      <vt:variant>
        <vt:i4>0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Porto</dc:creator>
  <cp:keywords/>
  <dc:description/>
  <cp:lastModifiedBy>LUIZ FELYPE TABOSA PORTO</cp:lastModifiedBy>
  <cp:revision>2</cp:revision>
  <cp:lastPrinted>2010-05-26T15:17:00Z</cp:lastPrinted>
  <dcterms:created xsi:type="dcterms:W3CDTF">2015-05-07T12:34:00Z</dcterms:created>
  <dcterms:modified xsi:type="dcterms:W3CDTF">2015-05-07T12:34:00Z</dcterms:modified>
</cp:coreProperties>
</file>