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337E16" w:rsidRDefault="009444E6" w:rsidP="00337E16">
      <w:pPr>
        <w:pStyle w:val="Ttulo8"/>
        <w:tabs>
          <w:tab w:val="right" w:pos="4423"/>
        </w:tabs>
        <w:spacing w:before="0" w:after="0"/>
        <w:ind w:left="0"/>
        <w:rPr>
          <w:rFonts w:ascii="Times New Roman" w:hAnsi="Times New Roman"/>
          <w:b/>
          <w:i w:val="0"/>
          <w:sz w:val="22"/>
          <w:szCs w:val="22"/>
        </w:rPr>
      </w:pPr>
      <w:bookmarkStart w:id="0" w:name="_GoBack"/>
      <w:bookmarkEnd w:id="0"/>
      <w:r w:rsidRPr="00337E16">
        <w:rPr>
          <w:rFonts w:ascii="Times New Roman" w:hAnsi="Times New Roman"/>
          <w:b/>
          <w:i w:val="0"/>
          <w:sz w:val="22"/>
          <w:szCs w:val="22"/>
        </w:rPr>
        <w:t xml:space="preserve">Sessões: </w:t>
      </w:r>
      <w:r w:rsidR="001D56C3">
        <w:rPr>
          <w:rFonts w:ascii="Times New Roman" w:hAnsi="Times New Roman"/>
          <w:b/>
          <w:i w:val="0"/>
          <w:sz w:val="22"/>
          <w:szCs w:val="22"/>
        </w:rPr>
        <w:t>23</w:t>
      </w:r>
      <w:r w:rsidR="00F01B31" w:rsidRPr="00337E16">
        <w:rPr>
          <w:rFonts w:ascii="Times New Roman" w:hAnsi="Times New Roman"/>
          <w:b/>
          <w:i w:val="0"/>
          <w:sz w:val="22"/>
          <w:szCs w:val="22"/>
        </w:rPr>
        <w:t xml:space="preserve"> e </w:t>
      </w:r>
      <w:r w:rsidR="001D56C3">
        <w:rPr>
          <w:rFonts w:ascii="Times New Roman" w:hAnsi="Times New Roman"/>
          <w:b/>
          <w:i w:val="0"/>
          <w:sz w:val="22"/>
          <w:szCs w:val="22"/>
        </w:rPr>
        <w:t>24</w:t>
      </w:r>
      <w:r w:rsidRPr="00337E16">
        <w:rPr>
          <w:rFonts w:ascii="Times New Roman" w:hAnsi="Times New Roman"/>
          <w:b/>
          <w:i w:val="0"/>
          <w:sz w:val="22"/>
          <w:szCs w:val="22"/>
        </w:rPr>
        <w:t xml:space="preserve"> de </w:t>
      </w:r>
      <w:r w:rsidR="001D56C3">
        <w:rPr>
          <w:rFonts w:ascii="Times New Roman" w:hAnsi="Times New Roman"/>
          <w:b/>
          <w:i w:val="0"/>
          <w:sz w:val="22"/>
          <w:szCs w:val="22"/>
        </w:rPr>
        <w:t>novembro</w:t>
      </w:r>
      <w:r w:rsidRPr="00337E16">
        <w:rPr>
          <w:rFonts w:ascii="Times New Roman" w:hAnsi="Times New Roman"/>
          <w:b/>
          <w:i w:val="0"/>
          <w:sz w:val="22"/>
          <w:szCs w:val="22"/>
        </w:rPr>
        <w:t xml:space="preserve"> de 2010</w:t>
      </w:r>
    </w:p>
    <w:p w:rsidR="002D35F5" w:rsidRPr="00337E16" w:rsidRDefault="002D35F5" w:rsidP="00337E16">
      <w:pPr>
        <w:pStyle w:val="Corpodetexto2"/>
        <w:spacing w:after="0" w:line="240" w:lineRule="auto"/>
        <w:ind w:left="0"/>
        <w:rPr>
          <w:sz w:val="22"/>
          <w:szCs w:val="22"/>
        </w:rPr>
      </w:pPr>
      <w:r w:rsidRPr="00337E16">
        <w:rPr>
          <w:sz w:val="22"/>
          <w:szCs w:val="22"/>
        </w:rPr>
        <w:t>Este Informativo, elaborado a partir das deliberações tomadas pelo Tribunal nas sessões de julgamento das Câmaras e do Plenário, contém resumos de algumas decisões proferidas na</w:t>
      </w:r>
      <w:r w:rsidR="000562CD" w:rsidRPr="00337E16">
        <w:rPr>
          <w:sz w:val="22"/>
          <w:szCs w:val="22"/>
        </w:rPr>
        <w:t>(</w:t>
      </w:r>
      <w:r w:rsidRPr="00337E16">
        <w:rPr>
          <w:sz w:val="22"/>
          <w:szCs w:val="22"/>
        </w:rPr>
        <w:t>s</w:t>
      </w:r>
      <w:r w:rsidR="000562CD" w:rsidRPr="00337E16">
        <w:rPr>
          <w:sz w:val="22"/>
          <w:szCs w:val="22"/>
        </w:rPr>
        <w:t>)</w:t>
      </w:r>
      <w:r w:rsidRPr="00337E16">
        <w:rPr>
          <w:sz w:val="22"/>
          <w:szCs w:val="22"/>
        </w:rPr>
        <w:t xml:space="preserve"> data</w:t>
      </w:r>
      <w:r w:rsidR="000562CD" w:rsidRPr="00337E16">
        <w:rPr>
          <w:sz w:val="22"/>
          <w:szCs w:val="22"/>
        </w:rPr>
        <w:t>(</w:t>
      </w:r>
      <w:r w:rsidRPr="00337E16">
        <w:rPr>
          <w:sz w:val="22"/>
          <w:szCs w:val="22"/>
        </w:rPr>
        <w:t>s</w:t>
      </w:r>
      <w:r w:rsidR="000562CD" w:rsidRPr="00337E16">
        <w:rPr>
          <w:sz w:val="22"/>
          <w:szCs w:val="22"/>
        </w:rPr>
        <w:t>)</w:t>
      </w:r>
      <w:r w:rsidRPr="00337E16">
        <w:rPr>
          <w:sz w:val="22"/>
          <w:szCs w:val="22"/>
        </w:rPr>
        <w:t xml:space="preserve"> acima indicada</w:t>
      </w:r>
      <w:r w:rsidR="000562CD" w:rsidRPr="00337E16">
        <w:rPr>
          <w:sz w:val="22"/>
          <w:szCs w:val="22"/>
        </w:rPr>
        <w:t>(</w:t>
      </w:r>
      <w:r w:rsidRPr="00337E16">
        <w:rPr>
          <w:sz w:val="22"/>
          <w:szCs w:val="22"/>
        </w:rPr>
        <w:t>s</w:t>
      </w:r>
      <w:r w:rsidR="000562CD" w:rsidRPr="00337E16">
        <w:rPr>
          <w:sz w:val="22"/>
          <w:szCs w:val="22"/>
        </w:rPr>
        <w:t>)</w:t>
      </w:r>
      <w:r w:rsidRPr="00337E16">
        <w:rPr>
          <w:sz w:val="22"/>
          <w:szCs w:val="22"/>
        </w:rPr>
        <w:t>,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337E16" w:rsidRDefault="00FF7C62" w:rsidP="00337E16">
      <w:pPr>
        <w:pStyle w:val="Corpodetexto2"/>
        <w:spacing w:after="0" w:line="240" w:lineRule="auto"/>
        <w:ind w:left="0"/>
        <w:rPr>
          <w:sz w:val="22"/>
          <w:szCs w:val="22"/>
        </w:rPr>
      </w:pPr>
    </w:p>
    <w:p w:rsidR="002D35F5" w:rsidRPr="00337E16" w:rsidRDefault="002D35F5" w:rsidP="00337E16">
      <w:pPr>
        <w:pBdr>
          <w:top w:val="threeDEmboss" w:sz="24" w:space="0" w:color="auto"/>
        </w:pBdr>
        <w:tabs>
          <w:tab w:val="left" w:pos="284"/>
        </w:tabs>
        <w:spacing w:after="0"/>
        <w:ind w:left="0"/>
        <w:jc w:val="center"/>
        <w:rPr>
          <w:rFonts w:ascii="Cambria" w:hAnsi="Cambria"/>
          <w:b/>
          <w:bCs/>
          <w:smallCaps/>
          <w:sz w:val="22"/>
          <w:szCs w:val="22"/>
        </w:rPr>
      </w:pPr>
      <w:r w:rsidRPr="00337E16">
        <w:rPr>
          <w:rFonts w:ascii="Cambria" w:hAnsi="Cambria"/>
          <w:b/>
          <w:bCs/>
          <w:smallCaps/>
          <w:sz w:val="22"/>
          <w:szCs w:val="22"/>
        </w:rPr>
        <w:t>S</w:t>
      </w:r>
      <w:r w:rsidR="00FF7C62" w:rsidRPr="00337E16">
        <w:rPr>
          <w:rFonts w:ascii="Cambria" w:hAnsi="Cambria"/>
          <w:b/>
          <w:bCs/>
          <w:smallCaps/>
          <w:sz w:val="22"/>
          <w:szCs w:val="22"/>
        </w:rPr>
        <w:t>UMÁRIO</w:t>
      </w:r>
    </w:p>
    <w:p w:rsidR="009444E6" w:rsidRPr="00337E16" w:rsidRDefault="009444E6" w:rsidP="00337E16">
      <w:pPr>
        <w:pStyle w:val="tita"/>
        <w:spacing w:before="45" w:after="0" w:line="240" w:lineRule="auto"/>
        <w:jc w:val="both"/>
        <w:rPr>
          <w:i w:val="0"/>
          <w:iCs w:val="0"/>
          <w:sz w:val="22"/>
          <w:szCs w:val="22"/>
        </w:rPr>
      </w:pPr>
      <w:r w:rsidRPr="00337E16">
        <w:rPr>
          <w:i w:val="0"/>
          <w:iCs w:val="0"/>
          <w:sz w:val="22"/>
          <w:szCs w:val="22"/>
        </w:rPr>
        <w:t>Plenário</w:t>
      </w:r>
    </w:p>
    <w:p w:rsidR="00C50FB5" w:rsidRPr="00F02A2A" w:rsidRDefault="00F02A2A" w:rsidP="0058427E">
      <w:pPr>
        <w:pStyle w:val="indice"/>
        <w:spacing w:before="60" w:line="240" w:lineRule="auto"/>
      </w:pPr>
      <w:r w:rsidRPr="00F02A2A">
        <w:t>Celebração de aditivo a contrato extinto e com vigência retroativa</w:t>
      </w:r>
      <w:r w:rsidR="00C50FB5" w:rsidRPr="00F02A2A">
        <w:t>.</w:t>
      </w:r>
    </w:p>
    <w:p w:rsidR="00C50FB5" w:rsidRDefault="00E20830" w:rsidP="0058427E">
      <w:pPr>
        <w:pStyle w:val="indice"/>
        <w:spacing w:before="60" w:line="240" w:lineRule="auto"/>
      </w:pPr>
      <w:r>
        <w:t>Exigência de índices de qualificação econômico-financeira destoantes da realidade do mercado.</w:t>
      </w:r>
    </w:p>
    <w:p w:rsidR="00DA1860" w:rsidRPr="00DA1860" w:rsidRDefault="00DA1860" w:rsidP="00DA1860">
      <w:pPr>
        <w:pStyle w:val="indice"/>
        <w:spacing w:before="60" w:line="240" w:lineRule="auto"/>
      </w:pPr>
      <w:r w:rsidRPr="00DA1860">
        <w:t>Itens novos em contratação de obra pública: adoção dos preços unitários dos sistemas de referência</w:t>
      </w:r>
      <w:r>
        <w:t>.</w:t>
      </w:r>
    </w:p>
    <w:p w:rsidR="00D8314B" w:rsidRPr="004C59FE" w:rsidRDefault="004C59FE" w:rsidP="0058427E">
      <w:pPr>
        <w:pStyle w:val="indice"/>
        <w:spacing w:before="60" w:line="240" w:lineRule="auto"/>
      </w:pPr>
      <w:r w:rsidRPr="004C59FE">
        <w:t>Exigência de comprovação de rede credenciada apenas na fase de contratação e não para fim de habilitação no certame</w:t>
      </w:r>
      <w:r w:rsidR="00150B44" w:rsidRPr="004C59FE">
        <w:t>.</w:t>
      </w:r>
    </w:p>
    <w:p w:rsidR="00150B44" w:rsidRDefault="00233101" w:rsidP="0058427E">
      <w:pPr>
        <w:pStyle w:val="indice"/>
        <w:spacing w:before="60" w:line="240" w:lineRule="auto"/>
      </w:pPr>
      <w:r>
        <w:t>Realização de concurso de projetos para seleção de O</w:t>
      </w:r>
      <w:r w:rsidR="00000CEE">
        <w:t>SCIP</w:t>
      </w:r>
      <w:r>
        <w:t>.</w:t>
      </w:r>
    </w:p>
    <w:p w:rsidR="00C033CF" w:rsidRDefault="00C033CF" w:rsidP="0058427E">
      <w:pPr>
        <w:pStyle w:val="indice"/>
        <w:spacing w:before="60" w:line="240" w:lineRule="auto"/>
      </w:pPr>
      <w:r>
        <w:t xml:space="preserve">Necessidade da redução do montante contratado em decorrência </w:t>
      </w:r>
      <w:r w:rsidR="003616DD">
        <w:t>d</w:t>
      </w:r>
      <w:r>
        <w:t>a indevida inclusão do IRPJ e da CSLL na planilha contratual.</w:t>
      </w:r>
    </w:p>
    <w:p w:rsidR="0055716D" w:rsidRPr="00337E16" w:rsidRDefault="0055716D" w:rsidP="0055716D">
      <w:pPr>
        <w:pStyle w:val="tita"/>
        <w:spacing w:before="60" w:after="0" w:line="240" w:lineRule="auto"/>
        <w:jc w:val="both"/>
        <w:rPr>
          <w:i w:val="0"/>
          <w:iCs w:val="0"/>
          <w:sz w:val="22"/>
          <w:szCs w:val="22"/>
        </w:rPr>
      </w:pPr>
      <w:r>
        <w:rPr>
          <w:i w:val="0"/>
          <w:iCs w:val="0"/>
          <w:sz w:val="22"/>
          <w:szCs w:val="22"/>
        </w:rPr>
        <w:t>Primeira</w:t>
      </w:r>
      <w:r w:rsidRPr="00337E16">
        <w:rPr>
          <w:i w:val="0"/>
          <w:iCs w:val="0"/>
          <w:sz w:val="22"/>
          <w:szCs w:val="22"/>
        </w:rPr>
        <w:t xml:space="preserve"> Câmara</w:t>
      </w:r>
    </w:p>
    <w:p w:rsidR="0055716D" w:rsidRDefault="00123921" w:rsidP="0055716D">
      <w:pPr>
        <w:pStyle w:val="enter-3pt"/>
        <w:spacing w:before="60" w:line="240" w:lineRule="auto"/>
        <w:rPr>
          <w:sz w:val="22"/>
          <w:szCs w:val="22"/>
        </w:rPr>
      </w:pPr>
      <w:r>
        <w:rPr>
          <w:sz w:val="22"/>
          <w:szCs w:val="22"/>
        </w:rPr>
        <w:t>Obrigatoriedade da c</w:t>
      </w:r>
      <w:r w:rsidR="00C44049">
        <w:rPr>
          <w:sz w:val="22"/>
          <w:szCs w:val="22"/>
        </w:rPr>
        <w:t>onsulta</w:t>
      </w:r>
      <w:r w:rsidR="00963DA4">
        <w:rPr>
          <w:sz w:val="22"/>
          <w:szCs w:val="22"/>
        </w:rPr>
        <w:t xml:space="preserve"> ao </w:t>
      </w:r>
      <w:r w:rsidR="00000CEE">
        <w:rPr>
          <w:sz w:val="22"/>
          <w:szCs w:val="22"/>
        </w:rPr>
        <w:t>CADIN</w:t>
      </w:r>
      <w:r w:rsidR="00963DA4">
        <w:rPr>
          <w:sz w:val="22"/>
          <w:szCs w:val="22"/>
        </w:rPr>
        <w:t xml:space="preserve"> antes da formalização do contrato.</w:t>
      </w:r>
    </w:p>
    <w:p w:rsidR="003616DD" w:rsidRPr="00337E16" w:rsidRDefault="002A6B43" w:rsidP="003616DD">
      <w:pPr>
        <w:pStyle w:val="indice"/>
        <w:spacing w:before="60" w:line="240" w:lineRule="auto"/>
      </w:pPr>
      <w:r>
        <w:t>Contratações sem prévi</w:t>
      </w:r>
      <w:r w:rsidR="0083555B">
        <w:t>o</w:t>
      </w:r>
      <w:r>
        <w:t xml:space="preserve"> </w:t>
      </w:r>
      <w:r w:rsidR="0083555B">
        <w:t>processo licitatório</w:t>
      </w:r>
      <w:r w:rsidR="003616DD" w:rsidRPr="00337E16">
        <w:t>:</w:t>
      </w:r>
    </w:p>
    <w:p w:rsidR="003616DD" w:rsidRPr="00337E16" w:rsidRDefault="003616DD" w:rsidP="003616DD">
      <w:pPr>
        <w:pStyle w:val="indice"/>
        <w:tabs>
          <w:tab w:val="left" w:pos="567"/>
        </w:tabs>
        <w:spacing w:before="60" w:line="240" w:lineRule="auto"/>
      </w:pPr>
      <w:r w:rsidRPr="00337E16">
        <w:tab/>
        <w:t xml:space="preserve">1 </w:t>
      </w:r>
      <w:r>
        <w:t>-</w:t>
      </w:r>
      <w:r w:rsidRPr="00337E16">
        <w:t xml:space="preserve"> </w:t>
      </w:r>
      <w:r w:rsidR="002A6B43">
        <w:t>Realização</w:t>
      </w:r>
      <w:r>
        <w:t xml:space="preserve"> </w:t>
      </w:r>
      <w:r w:rsidR="002A6B43">
        <w:t>de dispensas de licitação em detrimento do mero aditamento do contrato</w:t>
      </w:r>
      <w:r w:rsidRPr="00337E16">
        <w:t>;</w:t>
      </w:r>
    </w:p>
    <w:p w:rsidR="003616DD" w:rsidRDefault="003616DD" w:rsidP="003616DD">
      <w:pPr>
        <w:pStyle w:val="indice"/>
        <w:tabs>
          <w:tab w:val="left" w:pos="567"/>
        </w:tabs>
        <w:spacing w:before="60" w:line="240" w:lineRule="auto"/>
      </w:pPr>
      <w:r>
        <w:tab/>
        <w:t xml:space="preserve">2 - Necessidade </w:t>
      </w:r>
      <w:r w:rsidR="002A6B43">
        <w:t>da comprovação da pesquisa de preços de mercado a, pelo menos, três potenciais fornecedores</w:t>
      </w:r>
      <w:r>
        <w:t>.</w:t>
      </w:r>
    </w:p>
    <w:p w:rsidR="00BC5737" w:rsidRPr="00337E16" w:rsidRDefault="00BC5737" w:rsidP="00BC5737">
      <w:pPr>
        <w:pStyle w:val="tita"/>
        <w:spacing w:before="60" w:after="0" w:line="240" w:lineRule="auto"/>
        <w:jc w:val="both"/>
        <w:rPr>
          <w:i w:val="0"/>
          <w:iCs w:val="0"/>
          <w:sz w:val="22"/>
          <w:szCs w:val="22"/>
        </w:rPr>
      </w:pPr>
      <w:r>
        <w:rPr>
          <w:i w:val="0"/>
          <w:iCs w:val="0"/>
          <w:sz w:val="22"/>
          <w:szCs w:val="22"/>
        </w:rPr>
        <w:t>Segunda</w:t>
      </w:r>
      <w:r w:rsidRPr="00337E16">
        <w:rPr>
          <w:i w:val="0"/>
          <w:iCs w:val="0"/>
          <w:sz w:val="22"/>
          <w:szCs w:val="22"/>
        </w:rPr>
        <w:t xml:space="preserve"> Câmara</w:t>
      </w:r>
    </w:p>
    <w:p w:rsidR="00BC5737" w:rsidRDefault="00CE13D5" w:rsidP="00BC5737">
      <w:pPr>
        <w:pStyle w:val="enter-3pt"/>
        <w:spacing w:before="60" w:line="240" w:lineRule="auto"/>
        <w:rPr>
          <w:sz w:val="22"/>
          <w:szCs w:val="22"/>
        </w:rPr>
      </w:pPr>
      <w:r>
        <w:rPr>
          <w:sz w:val="22"/>
          <w:szCs w:val="22"/>
        </w:rPr>
        <w:t>Contratação, por inexigibilidade de licitação, para elaboração de projeto de esgotamento sanitário</w:t>
      </w:r>
      <w:r w:rsidR="00BC5737">
        <w:rPr>
          <w:sz w:val="22"/>
          <w:szCs w:val="22"/>
        </w:rPr>
        <w:t>.</w:t>
      </w:r>
    </w:p>
    <w:p w:rsidR="00C10341" w:rsidRPr="00CD502C" w:rsidRDefault="00CD502C" w:rsidP="00C10341">
      <w:pPr>
        <w:pStyle w:val="indice"/>
        <w:spacing w:before="60" w:line="240" w:lineRule="auto"/>
      </w:pPr>
      <w:r w:rsidRPr="00CD502C">
        <w:t>Pregão para fornecimento anual de Vale Alimentação, na forma de cartão magnético</w:t>
      </w:r>
      <w:r w:rsidR="00C10341" w:rsidRPr="00CD502C">
        <w:t>:</w:t>
      </w:r>
    </w:p>
    <w:p w:rsidR="00C10341" w:rsidRPr="00CD502C" w:rsidRDefault="00C10341" w:rsidP="00C10341">
      <w:pPr>
        <w:pStyle w:val="indice"/>
        <w:tabs>
          <w:tab w:val="left" w:pos="567"/>
        </w:tabs>
        <w:spacing w:before="60" w:line="240" w:lineRule="auto"/>
      </w:pPr>
      <w:r w:rsidRPr="00CD502C">
        <w:tab/>
        <w:t xml:space="preserve">1 - </w:t>
      </w:r>
      <w:r w:rsidR="00CD502C" w:rsidRPr="00CD502C">
        <w:t>Exigência, para fim de habilitação, da apresentação de relação de estabelecimentos credenciados</w:t>
      </w:r>
      <w:r w:rsidRPr="00CD502C">
        <w:t>;</w:t>
      </w:r>
    </w:p>
    <w:p w:rsidR="00C10341" w:rsidRDefault="00C10341" w:rsidP="00C10341">
      <w:pPr>
        <w:pStyle w:val="indice"/>
        <w:tabs>
          <w:tab w:val="left" w:pos="567"/>
        </w:tabs>
        <w:spacing w:before="60" w:line="240" w:lineRule="auto"/>
      </w:pPr>
      <w:r>
        <w:tab/>
        <w:t xml:space="preserve">2 - </w:t>
      </w:r>
      <w:r w:rsidR="004A4CE0">
        <w:t>Necessidade</w:t>
      </w:r>
      <w:r>
        <w:t xml:space="preserve"> de prévio credenciamento em todo o Estado de São Paulo.</w:t>
      </w:r>
    </w:p>
    <w:p w:rsidR="003C6DEB" w:rsidRPr="00337E16" w:rsidRDefault="003C6DEB" w:rsidP="00337E16">
      <w:pPr>
        <w:pStyle w:val="indice"/>
        <w:spacing w:line="240" w:lineRule="auto"/>
      </w:pPr>
    </w:p>
    <w:p w:rsidR="003C6DEB" w:rsidRPr="00337E16" w:rsidRDefault="003C6DEB" w:rsidP="00337E16">
      <w:pPr>
        <w:pBdr>
          <w:top w:val="threeDEmboss" w:sz="24" w:space="0" w:color="auto"/>
        </w:pBdr>
        <w:tabs>
          <w:tab w:val="left" w:pos="284"/>
        </w:tabs>
        <w:spacing w:after="0"/>
        <w:ind w:left="0"/>
        <w:jc w:val="center"/>
        <w:rPr>
          <w:rFonts w:ascii="Cambria" w:hAnsi="Cambria"/>
          <w:b/>
          <w:bCs/>
          <w:smallCaps/>
          <w:sz w:val="22"/>
          <w:szCs w:val="22"/>
        </w:rPr>
      </w:pPr>
      <w:r w:rsidRPr="00337E16">
        <w:rPr>
          <w:rFonts w:ascii="Cambria" w:hAnsi="Cambria"/>
          <w:b/>
          <w:bCs/>
          <w:smallCaps/>
          <w:sz w:val="22"/>
          <w:szCs w:val="22"/>
        </w:rPr>
        <w:t>PLENÁRIO</w:t>
      </w:r>
    </w:p>
    <w:p w:rsidR="003C6DEB" w:rsidRDefault="003C6DEB" w:rsidP="00337E16">
      <w:pPr>
        <w:pStyle w:val="tita"/>
        <w:spacing w:before="0" w:after="0" w:line="240" w:lineRule="auto"/>
        <w:jc w:val="both"/>
        <w:rPr>
          <w:i w:val="0"/>
          <w:iCs w:val="0"/>
          <w:sz w:val="22"/>
          <w:szCs w:val="22"/>
        </w:rPr>
      </w:pPr>
    </w:p>
    <w:p w:rsidR="00C50FB5" w:rsidRPr="00DC499B" w:rsidRDefault="00DC499B" w:rsidP="00C50FB5">
      <w:pPr>
        <w:pStyle w:val="indice"/>
        <w:tabs>
          <w:tab w:val="left" w:pos="567"/>
        </w:tabs>
        <w:spacing w:before="60" w:line="240" w:lineRule="auto"/>
        <w:rPr>
          <w:b/>
        </w:rPr>
      </w:pPr>
      <w:r w:rsidRPr="00DC499B">
        <w:rPr>
          <w:b/>
        </w:rPr>
        <w:t>Celebração de aditivo</w:t>
      </w:r>
      <w:r w:rsidR="00F02A2A">
        <w:rPr>
          <w:b/>
        </w:rPr>
        <w:t xml:space="preserve"> </w:t>
      </w:r>
      <w:r w:rsidR="00F02A2A" w:rsidRPr="00DC499B">
        <w:rPr>
          <w:b/>
        </w:rPr>
        <w:t>a contrato extinto</w:t>
      </w:r>
      <w:r w:rsidR="00F02A2A">
        <w:rPr>
          <w:b/>
        </w:rPr>
        <w:t xml:space="preserve"> e com vigência retroativa</w:t>
      </w:r>
    </w:p>
    <w:p w:rsidR="00C50FB5" w:rsidRPr="00337E16" w:rsidRDefault="00DC499B" w:rsidP="00C50FB5">
      <w:pPr>
        <w:pStyle w:val="Pargrafo"/>
        <w:jc w:val="both"/>
        <w:rPr>
          <w:sz w:val="22"/>
          <w:szCs w:val="22"/>
        </w:rPr>
      </w:pPr>
      <w:r>
        <w:rPr>
          <w:sz w:val="22"/>
          <w:szCs w:val="22"/>
        </w:rPr>
        <w:t>A</w:t>
      </w:r>
      <w:r w:rsidR="00767696">
        <w:rPr>
          <w:sz w:val="22"/>
          <w:szCs w:val="22"/>
        </w:rPr>
        <w:t xml:space="preserve">o apreciar </w:t>
      </w:r>
      <w:r w:rsidR="00C50FB5" w:rsidRPr="00C50FB5">
        <w:rPr>
          <w:sz w:val="22"/>
          <w:szCs w:val="22"/>
        </w:rPr>
        <w:t xml:space="preserve">pedido de reexame interposto </w:t>
      </w:r>
      <w:r w:rsidR="00767696">
        <w:rPr>
          <w:sz w:val="22"/>
          <w:szCs w:val="22"/>
        </w:rPr>
        <w:t>por</w:t>
      </w:r>
      <w:r w:rsidR="00C50FB5" w:rsidRPr="00C50FB5">
        <w:rPr>
          <w:sz w:val="22"/>
          <w:szCs w:val="22"/>
        </w:rPr>
        <w:t xml:space="preserve"> dirigente da </w:t>
      </w:r>
      <w:r w:rsidR="00767696">
        <w:rPr>
          <w:sz w:val="22"/>
          <w:szCs w:val="22"/>
        </w:rPr>
        <w:t xml:space="preserve">Empresa Brasileira de </w:t>
      </w:r>
      <w:r w:rsidR="00C50FB5" w:rsidRPr="00C50FB5">
        <w:rPr>
          <w:sz w:val="22"/>
          <w:szCs w:val="22"/>
        </w:rPr>
        <w:t>Infrae</w:t>
      </w:r>
      <w:r w:rsidR="00767696">
        <w:rPr>
          <w:sz w:val="22"/>
          <w:szCs w:val="22"/>
        </w:rPr>
        <w:t>strutura Aeroportuária – Infraero</w:t>
      </w:r>
      <w:r w:rsidR="00C50FB5" w:rsidRPr="00C50FB5">
        <w:rPr>
          <w:sz w:val="22"/>
          <w:szCs w:val="22"/>
        </w:rPr>
        <w:t xml:space="preserve"> contra o Acórdão </w:t>
      </w:r>
      <w:r w:rsidR="00767696">
        <w:rPr>
          <w:sz w:val="22"/>
          <w:szCs w:val="22"/>
        </w:rPr>
        <w:t xml:space="preserve">n.º </w:t>
      </w:r>
      <w:r w:rsidR="00336A19">
        <w:rPr>
          <w:sz w:val="22"/>
          <w:szCs w:val="22"/>
        </w:rPr>
        <w:t>2.</w:t>
      </w:r>
      <w:r w:rsidR="00C50FB5" w:rsidRPr="00C50FB5">
        <w:rPr>
          <w:sz w:val="22"/>
          <w:szCs w:val="22"/>
        </w:rPr>
        <w:t>538/2007-Plenário</w:t>
      </w:r>
      <w:r w:rsidR="00767696">
        <w:rPr>
          <w:sz w:val="22"/>
          <w:szCs w:val="22"/>
        </w:rPr>
        <w:t>, por meio do qual o</w:t>
      </w:r>
      <w:r w:rsidR="00C50FB5" w:rsidRPr="00C50FB5">
        <w:rPr>
          <w:sz w:val="22"/>
          <w:szCs w:val="22"/>
        </w:rPr>
        <w:t xml:space="preserve"> recorrente </w:t>
      </w:r>
      <w:r w:rsidR="003D37BA">
        <w:rPr>
          <w:sz w:val="22"/>
          <w:szCs w:val="22"/>
        </w:rPr>
        <w:t xml:space="preserve">fora </w:t>
      </w:r>
      <w:r w:rsidR="00C50FB5" w:rsidRPr="00C50FB5">
        <w:rPr>
          <w:sz w:val="22"/>
          <w:szCs w:val="22"/>
        </w:rPr>
        <w:t xml:space="preserve">multado em </w:t>
      </w:r>
      <w:r w:rsidR="00767696">
        <w:rPr>
          <w:sz w:val="22"/>
          <w:szCs w:val="22"/>
        </w:rPr>
        <w:t>razão</w:t>
      </w:r>
      <w:r w:rsidR="00C50FB5" w:rsidRPr="00C50FB5">
        <w:rPr>
          <w:sz w:val="22"/>
          <w:szCs w:val="22"/>
        </w:rPr>
        <w:t xml:space="preserve"> da </w:t>
      </w:r>
      <w:r w:rsidR="00767696" w:rsidRPr="00767696">
        <w:rPr>
          <w:i/>
          <w:sz w:val="22"/>
          <w:szCs w:val="22"/>
        </w:rPr>
        <w:t>“</w:t>
      </w:r>
      <w:r w:rsidR="00C50FB5" w:rsidRPr="00767696">
        <w:rPr>
          <w:i/>
          <w:sz w:val="22"/>
          <w:szCs w:val="22"/>
        </w:rPr>
        <w:t>celebração de termos aditivos a contratos expirados e com vigência retroativa, sem previsão legal</w:t>
      </w:r>
      <w:r w:rsidR="00767696" w:rsidRPr="00767696">
        <w:rPr>
          <w:i/>
          <w:sz w:val="22"/>
          <w:szCs w:val="22"/>
        </w:rPr>
        <w:t>”</w:t>
      </w:r>
      <w:r>
        <w:rPr>
          <w:sz w:val="22"/>
          <w:szCs w:val="22"/>
        </w:rPr>
        <w:t>, a unidade técnica</w:t>
      </w:r>
      <w:r w:rsidRPr="00DC499B">
        <w:rPr>
          <w:sz w:val="22"/>
          <w:szCs w:val="22"/>
        </w:rPr>
        <w:t xml:space="preserve"> </w:t>
      </w:r>
      <w:r>
        <w:rPr>
          <w:sz w:val="22"/>
          <w:szCs w:val="22"/>
        </w:rPr>
        <w:t xml:space="preserve">propôs </w:t>
      </w:r>
      <w:r w:rsidRPr="00C50FB5">
        <w:rPr>
          <w:sz w:val="22"/>
          <w:szCs w:val="22"/>
        </w:rPr>
        <w:t>a manutenção da penalidade</w:t>
      </w:r>
      <w:r>
        <w:rPr>
          <w:sz w:val="22"/>
          <w:szCs w:val="22"/>
        </w:rPr>
        <w:t>, s</w:t>
      </w:r>
      <w:r w:rsidR="003D37BA">
        <w:rPr>
          <w:sz w:val="22"/>
          <w:szCs w:val="22"/>
        </w:rPr>
        <w:t xml:space="preserve">ob o argumento de que a prática </w:t>
      </w:r>
      <w:r w:rsidR="003D37BA" w:rsidRPr="00C50FB5">
        <w:rPr>
          <w:sz w:val="22"/>
          <w:szCs w:val="22"/>
        </w:rPr>
        <w:t>era generalizada na</w:t>
      </w:r>
      <w:r>
        <w:rPr>
          <w:sz w:val="22"/>
          <w:szCs w:val="22"/>
        </w:rPr>
        <w:t>quela entidade</w:t>
      </w:r>
      <w:r w:rsidR="003D37BA">
        <w:rPr>
          <w:sz w:val="22"/>
          <w:szCs w:val="22"/>
        </w:rPr>
        <w:t xml:space="preserve">. Para o relator, no entanto, </w:t>
      </w:r>
      <w:r w:rsidR="00C50FB5" w:rsidRPr="00C50FB5">
        <w:rPr>
          <w:sz w:val="22"/>
          <w:szCs w:val="22"/>
        </w:rPr>
        <w:t xml:space="preserve">a irregularidade </w:t>
      </w:r>
      <w:r w:rsidR="003D37BA">
        <w:rPr>
          <w:sz w:val="22"/>
          <w:szCs w:val="22"/>
        </w:rPr>
        <w:t>revestia-se</w:t>
      </w:r>
      <w:r w:rsidR="00C50FB5" w:rsidRPr="00C50FB5">
        <w:rPr>
          <w:sz w:val="22"/>
          <w:szCs w:val="22"/>
        </w:rPr>
        <w:t xml:space="preserve"> de caráter formal e, </w:t>
      </w:r>
      <w:r w:rsidR="00085790">
        <w:rPr>
          <w:sz w:val="22"/>
          <w:szCs w:val="22"/>
        </w:rPr>
        <w:t>além disso</w:t>
      </w:r>
      <w:r w:rsidR="00C50FB5" w:rsidRPr="00C50FB5">
        <w:rPr>
          <w:sz w:val="22"/>
          <w:szCs w:val="22"/>
        </w:rPr>
        <w:t>, a inferência de que a prática era comum na entidade pode</w:t>
      </w:r>
      <w:r w:rsidR="003D37BA">
        <w:rPr>
          <w:sz w:val="22"/>
          <w:szCs w:val="22"/>
        </w:rPr>
        <w:t>ria</w:t>
      </w:r>
      <w:r w:rsidR="00C50FB5" w:rsidRPr="00C50FB5">
        <w:rPr>
          <w:sz w:val="22"/>
          <w:szCs w:val="22"/>
        </w:rPr>
        <w:t xml:space="preserve"> ser questionada</w:t>
      </w:r>
      <w:r w:rsidR="003D37BA">
        <w:rPr>
          <w:sz w:val="22"/>
          <w:szCs w:val="22"/>
        </w:rPr>
        <w:t xml:space="preserve">, isso porque </w:t>
      </w:r>
      <w:r w:rsidR="00C50FB5" w:rsidRPr="00C50FB5">
        <w:rPr>
          <w:sz w:val="22"/>
          <w:szCs w:val="22"/>
        </w:rPr>
        <w:t xml:space="preserve">os dois aditivos assinados após o final do prazo contratual </w:t>
      </w:r>
      <w:r w:rsidR="00085790">
        <w:rPr>
          <w:sz w:val="22"/>
          <w:szCs w:val="22"/>
        </w:rPr>
        <w:t>envolveram</w:t>
      </w:r>
      <w:r w:rsidR="00C50FB5" w:rsidRPr="00C50FB5">
        <w:rPr>
          <w:sz w:val="22"/>
          <w:szCs w:val="22"/>
        </w:rPr>
        <w:t xml:space="preserve"> apenas um contrato, de baixíssimo valor, sem qualquer consequência mais grave para quaisquer das partes. A principal tese da defesa </w:t>
      </w:r>
      <w:r w:rsidR="003D37BA">
        <w:rPr>
          <w:sz w:val="22"/>
          <w:szCs w:val="22"/>
        </w:rPr>
        <w:t>foi no sentido de que</w:t>
      </w:r>
      <w:r w:rsidR="00C50FB5" w:rsidRPr="00C50FB5">
        <w:rPr>
          <w:sz w:val="22"/>
          <w:szCs w:val="22"/>
        </w:rPr>
        <w:t xml:space="preserve"> o aditamento de prazo não é necessário nos chamados contratos de escopo, em que o objeto é a aquisição de determinado bem ou benfeitoria, a exemplo de uma obra, como no caso</w:t>
      </w:r>
      <w:r w:rsidR="00F02A2A">
        <w:rPr>
          <w:sz w:val="22"/>
          <w:szCs w:val="22"/>
        </w:rPr>
        <w:t xml:space="preserve"> concreto</w:t>
      </w:r>
      <w:r w:rsidR="00C50FB5" w:rsidRPr="00C50FB5">
        <w:rPr>
          <w:sz w:val="22"/>
          <w:szCs w:val="22"/>
        </w:rPr>
        <w:t xml:space="preserve">. </w:t>
      </w:r>
      <w:r w:rsidR="00A86120">
        <w:rPr>
          <w:sz w:val="22"/>
          <w:szCs w:val="22"/>
        </w:rPr>
        <w:t xml:space="preserve">Ainda que </w:t>
      </w:r>
      <w:r w:rsidR="00A86120" w:rsidRPr="00A86120">
        <w:rPr>
          <w:i/>
          <w:sz w:val="22"/>
          <w:szCs w:val="22"/>
        </w:rPr>
        <w:t>“chancelada pela doutrina”</w:t>
      </w:r>
      <w:r w:rsidR="00A86120">
        <w:rPr>
          <w:sz w:val="22"/>
          <w:szCs w:val="22"/>
        </w:rPr>
        <w:t>, o relator não concordou com a</w:t>
      </w:r>
      <w:r w:rsidR="00C50FB5" w:rsidRPr="00C50FB5">
        <w:rPr>
          <w:sz w:val="22"/>
          <w:szCs w:val="22"/>
        </w:rPr>
        <w:t xml:space="preserve"> tese, não só por contradiz</w:t>
      </w:r>
      <w:r w:rsidR="00A86120">
        <w:rPr>
          <w:sz w:val="22"/>
          <w:szCs w:val="22"/>
        </w:rPr>
        <w:t>er</w:t>
      </w:r>
      <w:r w:rsidR="00C50FB5" w:rsidRPr="00C50FB5">
        <w:rPr>
          <w:sz w:val="22"/>
          <w:szCs w:val="22"/>
        </w:rPr>
        <w:t xml:space="preserve"> a jurisprudência </w:t>
      </w:r>
      <w:r w:rsidR="00A86120">
        <w:rPr>
          <w:sz w:val="22"/>
          <w:szCs w:val="22"/>
        </w:rPr>
        <w:t>do TCU</w:t>
      </w:r>
      <w:r w:rsidR="00C50FB5" w:rsidRPr="00C50FB5">
        <w:rPr>
          <w:sz w:val="22"/>
          <w:szCs w:val="22"/>
        </w:rPr>
        <w:t xml:space="preserve">, mas também por </w:t>
      </w:r>
      <w:r w:rsidR="00A86120">
        <w:rPr>
          <w:sz w:val="22"/>
          <w:szCs w:val="22"/>
        </w:rPr>
        <w:t>ser</w:t>
      </w:r>
      <w:r w:rsidR="00C50FB5" w:rsidRPr="00C50FB5">
        <w:rPr>
          <w:sz w:val="22"/>
          <w:szCs w:val="22"/>
        </w:rPr>
        <w:t xml:space="preserve"> contrária à Lei </w:t>
      </w:r>
      <w:r w:rsidR="00F02A2A">
        <w:rPr>
          <w:sz w:val="22"/>
          <w:szCs w:val="22"/>
        </w:rPr>
        <w:t xml:space="preserve">n.º </w:t>
      </w:r>
      <w:r w:rsidR="00C50FB5" w:rsidRPr="00C50FB5">
        <w:rPr>
          <w:sz w:val="22"/>
          <w:szCs w:val="22"/>
        </w:rPr>
        <w:t xml:space="preserve">8.666/93, cuja disciplina acerca do assunto, </w:t>
      </w:r>
      <w:r w:rsidR="00F02A2A">
        <w:rPr>
          <w:sz w:val="22"/>
          <w:szCs w:val="22"/>
        </w:rPr>
        <w:t>prevista</w:t>
      </w:r>
      <w:r w:rsidR="00C50FB5" w:rsidRPr="00C50FB5">
        <w:rPr>
          <w:sz w:val="22"/>
          <w:szCs w:val="22"/>
        </w:rPr>
        <w:t xml:space="preserve"> no art. 57, veda a duração indeterminada do contrato administrativo</w:t>
      </w:r>
      <w:r w:rsidR="00F02A2A">
        <w:rPr>
          <w:sz w:val="22"/>
          <w:szCs w:val="22"/>
        </w:rPr>
        <w:t>, permitindo</w:t>
      </w:r>
      <w:r w:rsidR="00C50FB5" w:rsidRPr="00C50FB5">
        <w:rPr>
          <w:sz w:val="22"/>
          <w:szCs w:val="22"/>
        </w:rPr>
        <w:t xml:space="preserve"> prorrogação apenas nos casos ali relacionados. </w:t>
      </w:r>
      <w:r w:rsidR="00F02A2A">
        <w:rPr>
          <w:sz w:val="22"/>
          <w:szCs w:val="22"/>
        </w:rPr>
        <w:t>Nesse sentido</w:t>
      </w:r>
      <w:r w:rsidR="00A86120">
        <w:rPr>
          <w:sz w:val="22"/>
          <w:szCs w:val="22"/>
        </w:rPr>
        <w:t>,</w:t>
      </w:r>
      <w:r w:rsidR="00C50FB5" w:rsidRPr="00C50FB5">
        <w:rPr>
          <w:sz w:val="22"/>
          <w:szCs w:val="22"/>
        </w:rPr>
        <w:t xml:space="preserve"> </w:t>
      </w:r>
      <w:r w:rsidR="00A86120" w:rsidRPr="00A86120">
        <w:rPr>
          <w:i/>
          <w:sz w:val="22"/>
          <w:szCs w:val="22"/>
        </w:rPr>
        <w:t>“</w:t>
      </w:r>
      <w:r w:rsidR="00C50FB5" w:rsidRPr="00A86120">
        <w:rPr>
          <w:i/>
          <w:sz w:val="22"/>
          <w:szCs w:val="22"/>
        </w:rPr>
        <w:t>considera-se extinto o contrato que atingiu o termo final do prazo de duração nele fixado. Daí a necessidade de prorrogá-lo, por um dos motivos previstos em lei, ainda durante sua vigência</w:t>
      </w:r>
      <w:r w:rsidR="00A86120" w:rsidRPr="00A86120">
        <w:rPr>
          <w:i/>
          <w:sz w:val="22"/>
          <w:szCs w:val="22"/>
        </w:rPr>
        <w:t>”</w:t>
      </w:r>
      <w:r w:rsidR="00C50FB5" w:rsidRPr="00C50FB5">
        <w:rPr>
          <w:sz w:val="22"/>
          <w:szCs w:val="22"/>
        </w:rPr>
        <w:t xml:space="preserve">. </w:t>
      </w:r>
      <w:r w:rsidR="00085790">
        <w:rPr>
          <w:sz w:val="22"/>
          <w:szCs w:val="22"/>
        </w:rPr>
        <w:t>No entanto,</w:t>
      </w:r>
      <w:r w:rsidR="00A86120">
        <w:rPr>
          <w:sz w:val="22"/>
          <w:szCs w:val="22"/>
        </w:rPr>
        <w:t xml:space="preserve"> </w:t>
      </w:r>
      <w:r w:rsidR="00085790">
        <w:rPr>
          <w:sz w:val="22"/>
          <w:szCs w:val="22"/>
        </w:rPr>
        <w:t>consoante</w:t>
      </w:r>
      <w:r w:rsidR="00A86120">
        <w:rPr>
          <w:sz w:val="22"/>
          <w:szCs w:val="22"/>
        </w:rPr>
        <w:t xml:space="preserve"> o relator, </w:t>
      </w:r>
      <w:r w:rsidR="00C50FB5" w:rsidRPr="00C50FB5">
        <w:rPr>
          <w:sz w:val="22"/>
          <w:szCs w:val="22"/>
        </w:rPr>
        <w:t>não se pode</w:t>
      </w:r>
      <w:r w:rsidR="00F02A2A">
        <w:rPr>
          <w:sz w:val="22"/>
          <w:szCs w:val="22"/>
        </w:rPr>
        <w:t>ria</w:t>
      </w:r>
      <w:r w:rsidR="00C50FB5" w:rsidRPr="00C50FB5">
        <w:rPr>
          <w:sz w:val="22"/>
          <w:szCs w:val="22"/>
        </w:rPr>
        <w:t xml:space="preserve"> deixar de admitir que, de fato, </w:t>
      </w:r>
      <w:r w:rsidR="00A86120" w:rsidRPr="00A86120">
        <w:rPr>
          <w:i/>
          <w:sz w:val="22"/>
          <w:szCs w:val="22"/>
        </w:rPr>
        <w:t>“</w:t>
      </w:r>
      <w:r w:rsidR="00C50FB5" w:rsidRPr="00A86120">
        <w:rPr>
          <w:i/>
          <w:sz w:val="22"/>
          <w:szCs w:val="22"/>
        </w:rPr>
        <w:t>para os contratos visando obra certa, essas exigências legais têm apenas o objetivo de evitar a prorrogação indefinida ou abusiva dos contratos, sem responsabilização de alguma das partes</w:t>
      </w:r>
      <w:r w:rsidR="00A86120" w:rsidRPr="00A86120">
        <w:rPr>
          <w:i/>
          <w:sz w:val="22"/>
          <w:szCs w:val="22"/>
        </w:rPr>
        <w:t>”</w:t>
      </w:r>
      <w:r w:rsidR="00C50FB5" w:rsidRPr="00C50FB5">
        <w:rPr>
          <w:sz w:val="22"/>
          <w:szCs w:val="22"/>
        </w:rPr>
        <w:t xml:space="preserve">. </w:t>
      </w:r>
      <w:r w:rsidR="00A86120">
        <w:rPr>
          <w:sz w:val="22"/>
          <w:szCs w:val="22"/>
        </w:rPr>
        <w:t>Para ele, o</w:t>
      </w:r>
      <w:r w:rsidR="00C50FB5" w:rsidRPr="00C50FB5">
        <w:rPr>
          <w:sz w:val="22"/>
          <w:szCs w:val="22"/>
        </w:rPr>
        <w:t xml:space="preserve"> episódio poderia ser atribuído à negligência administrativa na gestão de contratos se realmente ocorresse de forma generalizada em todos os ajustes</w:t>
      </w:r>
      <w:r w:rsidR="00A86120">
        <w:rPr>
          <w:sz w:val="22"/>
          <w:szCs w:val="22"/>
        </w:rPr>
        <w:t>, mas esse</w:t>
      </w:r>
      <w:r w:rsidR="00C50FB5" w:rsidRPr="00C50FB5">
        <w:rPr>
          <w:sz w:val="22"/>
          <w:szCs w:val="22"/>
        </w:rPr>
        <w:t xml:space="preserve"> </w:t>
      </w:r>
      <w:r w:rsidR="00A86120" w:rsidRPr="00A86120">
        <w:rPr>
          <w:i/>
          <w:sz w:val="22"/>
          <w:szCs w:val="22"/>
        </w:rPr>
        <w:t>“</w:t>
      </w:r>
      <w:r w:rsidR="00C50FB5" w:rsidRPr="00A86120">
        <w:rPr>
          <w:i/>
          <w:sz w:val="22"/>
          <w:szCs w:val="22"/>
        </w:rPr>
        <w:t>não é o caso em pauta, sem dúvida</w:t>
      </w:r>
      <w:r w:rsidR="00A86120" w:rsidRPr="00A86120">
        <w:rPr>
          <w:i/>
          <w:sz w:val="22"/>
          <w:szCs w:val="22"/>
        </w:rPr>
        <w:t>”</w:t>
      </w:r>
      <w:r w:rsidR="00C50FB5" w:rsidRPr="00C50FB5">
        <w:rPr>
          <w:sz w:val="22"/>
          <w:szCs w:val="22"/>
        </w:rPr>
        <w:t xml:space="preserve">. </w:t>
      </w:r>
      <w:r w:rsidR="00A86120">
        <w:rPr>
          <w:sz w:val="22"/>
          <w:szCs w:val="22"/>
        </w:rPr>
        <w:t xml:space="preserve">Acolhendo o voto do relator, </w:t>
      </w:r>
      <w:r w:rsidR="00085790">
        <w:rPr>
          <w:sz w:val="22"/>
          <w:szCs w:val="22"/>
        </w:rPr>
        <w:t xml:space="preserve">o Plenário </w:t>
      </w:r>
      <w:r w:rsidR="00A86120">
        <w:rPr>
          <w:sz w:val="22"/>
          <w:szCs w:val="22"/>
        </w:rPr>
        <w:t>decidiu dar provimento ao recurso</w:t>
      </w:r>
      <w:r w:rsidR="00F27ADB">
        <w:rPr>
          <w:sz w:val="22"/>
          <w:szCs w:val="22"/>
        </w:rPr>
        <w:t xml:space="preserve">. </w:t>
      </w:r>
      <w:r w:rsidR="00C50FB5" w:rsidRPr="00337E16">
        <w:rPr>
          <w:b/>
          <w:i/>
          <w:sz w:val="22"/>
          <w:szCs w:val="22"/>
        </w:rPr>
        <w:t xml:space="preserve">Acórdão n.º </w:t>
      </w:r>
      <w:r w:rsidR="00C50FB5">
        <w:rPr>
          <w:b/>
          <w:i/>
          <w:sz w:val="22"/>
          <w:szCs w:val="22"/>
        </w:rPr>
        <w:t>3131</w:t>
      </w:r>
      <w:r w:rsidR="00C50FB5" w:rsidRPr="00337E16">
        <w:rPr>
          <w:b/>
          <w:i/>
          <w:sz w:val="22"/>
          <w:szCs w:val="22"/>
        </w:rPr>
        <w:t>/2010</w:t>
      </w:r>
      <w:r w:rsidR="00C50FB5">
        <w:rPr>
          <w:b/>
          <w:i/>
          <w:sz w:val="22"/>
          <w:szCs w:val="22"/>
        </w:rPr>
        <w:t>-Plenário</w:t>
      </w:r>
      <w:r w:rsidR="00C50FB5" w:rsidRPr="00337E16">
        <w:rPr>
          <w:b/>
          <w:i/>
          <w:sz w:val="22"/>
          <w:szCs w:val="22"/>
        </w:rPr>
        <w:t>, TC-0</w:t>
      </w:r>
      <w:r w:rsidR="00C50FB5">
        <w:rPr>
          <w:b/>
          <w:i/>
          <w:sz w:val="22"/>
          <w:szCs w:val="22"/>
        </w:rPr>
        <w:t>08</w:t>
      </w:r>
      <w:r w:rsidR="00C50FB5" w:rsidRPr="00337E16">
        <w:rPr>
          <w:b/>
          <w:i/>
          <w:sz w:val="22"/>
          <w:szCs w:val="22"/>
        </w:rPr>
        <w:t>.</w:t>
      </w:r>
      <w:r w:rsidR="00C50FB5">
        <w:rPr>
          <w:b/>
          <w:i/>
          <w:sz w:val="22"/>
          <w:szCs w:val="22"/>
        </w:rPr>
        <w:t>3</w:t>
      </w:r>
      <w:r w:rsidR="00251368">
        <w:rPr>
          <w:b/>
          <w:i/>
          <w:sz w:val="22"/>
          <w:szCs w:val="22"/>
        </w:rPr>
        <w:t>18</w:t>
      </w:r>
      <w:r w:rsidR="00C50FB5" w:rsidRPr="00337E16">
        <w:rPr>
          <w:b/>
          <w:i/>
          <w:sz w:val="22"/>
          <w:szCs w:val="22"/>
        </w:rPr>
        <w:t>/20</w:t>
      </w:r>
      <w:r w:rsidR="00C50FB5">
        <w:rPr>
          <w:b/>
          <w:i/>
          <w:sz w:val="22"/>
          <w:szCs w:val="22"/>
        </w:rPr>
        <w:t>05</w:t>
      </w:r>
      <w:r w:rsidR="00C50FB5" w:rsidRPr="00337E16">
        <w:rPr>
          <w:b/>
          <w:i/>
          <w:sz w:val="22"/>
          <w:szCs w:val="22"/>
        </w:rPr>
        <w:t>-</w:t>
      </w:r>
      <w:r w:rsidR="00C50FB5">
        <w:rPr>
          <w:b/>
          <w:i/>
          <w:sz w:val="22"/>
          <w:szCs w:val="22"/>
        </w:rPr>
        <w:t>9</w:t>
      </w:r>
      <w:r w:rsidR="00C50FB5" w:rsidRPr="00337E16">
        <w:rPr>
          <w:b/>
          <w:i/>
          <w:sz w:val="22"/>
          <w:szCs w:val="22"/>
        </w:rPr>
        <w:t>, rel. Min</w:t>
      </w:r>
      <w:r w:rsidR="00C50FB5">
        <w:rPr>
          <w:b/>
          <w:i/>
          <w:sz w:val="22"/>
          <w:szCs w:val="22"/>
        </w:rPr>
        <w:t>. Augusto Nardes</w:t>
      </w:r>
      <w:r w:rsidR="00C50FB5" w:rsidRPr="00337E16">
        <w:rPr>
          <w:b/>
          <w:i/>
          <w:sz w:val="22"/>
          <w:szCs w:val="22"/>
        </w:rPr>
        <w:t xml:space="preserve">, </w:t>
      </w:r>
      <w:r w:rsidR="00C50FB5">
        <w:rPr>
          <w:b/>
          <w:i/>
          <w:sz w:val="22"/>
          <w:szCs w:val="22"/>
        </w:rPr>
        <w:t>24</w:t>
      </w:r>
      <w:r w:rsidR="00C50FB5" w:rsidRPr="00337E16">
        <w:rPr>
          <w:b/>
          <w:i/>
          <w:sz w:val="22"/>
          <w:szCs w:val="22"/>
        </w:rPr>
        <w:t>.</w:t>
      </w:r>
      <w:r w:rsidR="00C50FB5">
        <w:rPr>
          <w:b/>
          <w:i/>
          <w:sz w:val="22"/>
          <w:szCs w:val="22"/>
        </w:rPr>
        <w:t>11</w:t>
      </w:r>
      <w:r w:rsidR="00C50FB5" w:rsidRPr="00337E16">
        <w:rPr>
          <w:b/>
          <w:i/>
          <w:sz w:val="22"/>
          <w:szCs w:val="22"/>
        </w:rPr>
        <w:t>.2010</w:t>
      </w:r>
      <w:r w:rsidR="00C50FB5" w:rsidRPr="00337E16">
        <w:rPr>
          <w:sz w:val="22"/>
          <w:szCs w:val="22"/>
        </w:rPr>
        <w:t>.</w:t>
      </w:r>
    </w:p>
    <w:p w:rsidR="00C50FB5" w:rsidRPr="00E20830" w:rsidRDefault="00C50FB5" w:rsidP="00E20830">
      <w:pPr>
        <w:pStyle w:val="Pargrafo"/>
        <w:jc w:val="both"/>
        <w:rPr>
          <w:sz w:val="22"/>
          <w:szCs w:val="22"/>
        </w:rPr>
      </w:pPr>
    </w:p>
    <w:p w:rsidR="00C50FB5" w:rsidRPr="00BC3A0A" w:rsidRDefault="00E20830" w:rsidP="00E20830">
      <w:pPr>
        <w:pStyle w:val="Pargrafo"/>
        <w:jc w:val="both"/>
        <w:rPr>
          <w:b/>
          <w:sz w:val="22"/>
          <w:szCs w:val="22"/>
        </w:rPr>
      </w:pPr>
      <w:r w:rsidRPr="00BC3A0A">
        <w:rPr>
          <w:b/>
          <w:sz w:val="22"/>
          <w:szCs w:val="22"/>
        </w:rPr>
        <w:t>Exigência de índices de qualificação econômico-financeira destoantes da realidade do mercado</w:t>
      </w:r>
    </w:p>
    <w:p w:rsidR="00E20830" w:rsidRPr="00BC3A0A" w:rsidRDefault="00773969" w:rsidP="00E20830">
      <w:pPr>
        <w:pStyle w:val="Pargrafo"/>
        <w:jc w:val="both"/>
        <w:rPr>
          <w:sz w:val="22"/>
          <w:szCs w:val="22"/>
        </w:rPr>
      </w:pPr>
      <w:r>
        <w:rPr>
          <w:sz w:val="22"/>
          <w:szCs w:val="22"/>
        </w:rPr>
        <w:t>R</w:t>
      </w:r>
      <w:r w:rsidR="00E20830" w:rsidRPr="00BC3A0A">
        <w:rPr>
          <w:sz w:val="22"/>
          <w:szCs w:val="22"/>
        </w:rPr>
        <w:t xml:space="preserve">elatório de levantamento de auditoria nas obras de </w:t>
      </w:r>
      <w:r w:rsidR="005A1B63" w:rsidRPr="00BC3A0A">
        <w:rPr>
          <w:sz w:val="22"/>
          <w:szCs w:val="22"/>
        </w:rPr>
        <w:t>c</w:t>
      </w:r>
      <w:r w:rsidR="00E20830" w:rsidRPr="00BC3A0A">
        <w:rPr>
          <w:sz w:val="22"/>
          <w:szCs w:val="22"/>
        </w:rPr>
        <w:t xml:space="preserve">onstrução de </w:t>
      </w:r>
      <w:r w:rsidR="005A1B63" w:rsidRPr="00BC3A0A">
        <w:rPr>
          <w:sz w:val="22"/>
          <w:szCs w:val="22"/>
        </w:rPr>
        <w:t>p</w:t>
      </w:r>
      <w:r w:rsidR="00E20830" w:rsidRPr="00BC3A0A">
        <w:rPr>
          <w:sz w:val="22"/>
          <w:szCs w:val="22"/>
        </w:rPr>
        <w:t>onte sobre o Rio Acre</w:t>
      </w:r>
      <w:r w:rsidR="005A1B63" w:rsidRPr="00BC3A0A">
        <w:rPr>
          <w:sz w:val="22"/>
          <w:szCs w:val="22"/>
        </w:rPr>
        <w:t>,</w:t>
      </w:r>
      <w:r w:rsidR="00E20830" w:rsidRPr="00BC3A0A">
        <w:rPr>
          <w:sz w:val="22"/>
          <w:szCs w:val="22"/>
        </w:rPr>
        <w:t xml:space="preserve"> na BR-317</w:t>
      </w:r>
      <w:r>
        <w:rPr>
          <w:sz w:val="22"/>
          <w:szCs w:val="22"/>
        </w:rPr>
        <w:t>, apontou</w:t>
      </w:r>
      <w:r w:rsidR="005A1B63" w:rsidRPr="00BC3A0A">
        <w:rPr>
          <w:sz w:val="22"/>
          <w:szCs w:val="22"/>
        </w:rPr>
        <w:t xml:space="preserve"> diversas irregularidades, entre elas a </w:t>
      </w:r>
      <w:r w:rsidR="0013421C" w:rsidRPr="00BC3A0A">
        <w:rPr>
          <w:sz w:val="22"/>
          <w:szCs w:val="22"/>
        </w:rPr>
        <w:t xml:space="preserve">exigência, no edital da Concorrência n.º 15/2004, de </w:t>
      </w:r>
      <w:r w:rsidR="0094729D" w:rsidRPr="00BC3A0A">
        <w:rPr>
          <w:sz w:val="22"/>
          <w:szCs w:val="22"/>
        </w:rPr>
        <w:t>ILG</w:t>
      </w:r>
      <w:r w:rsidR="0013421C" w:rsidRPr="00BC3A0A">
        <w:rPr>
          <w:sz w:val="22"/>
          <w:szCs w:val="22"/>
        </w:rPr>
        <w:t xml:space="preserve"> igual ou superior a 2. </w:t>
      </w:r>
      <w:r>
        <w:rPr>
          <w:sz w:val="22"/>
          <w:szCs w:val="22"/>
        </w:rPr>
        <w:t>O</w:t>
      </w:r>
      <w:r w:rsidR="00051886" w:rsidRPr="00BC3A0A">
        <w:rPr>
          <w:sz w:val="22"/>
          <w:szCs w:val="22"/>
        </w:rPr>
        <w:t xml:space="preserve">s responsáveis pelo Departamento de Estradas de Rodagem do Estado do Acre – Deracre </w:t>
      </w:r>
      <w:r w:rsidR="007651D9">
        <w:rPr>
          <w:sz w:val="22"/>
          <w:szCs w:val="22"/>
        </w:rPr>
        <w:t xml:space="preserve">defenderam </w:t>
      </w:r>
      <w:r w:rsidR="00051886" w:rsidRPr="00BC3A0A">
        <w:rPr>
          <w:sz w:val="22"/>
          <w:szCs w:val="22"/>
        </w:rPr>
        <w:t xml:space="preserve">a relevância e </w:t>
      </w:r>
      <w:r w:rsidR="007651D9">
        <w:rPr>
          <w:sz w:val="22"/>
          <w:szCs w:val="22"/>
        </w:rPr>
        <w:t xml:space="preserve">a </w:t>
      </w:r>
      <w:r w:rsidR="00051886" w:rsidRPr="00BC3A0A">
        <w:rPr>
          <w:sz w:val="22"/>
          <w:szCs w:val="22"/>
        </w:rPr>
        <w:t>complexidade da obra</w:t>
      </w:r>
      <w:r w:rsidR="0094729D" w:rsidRPr="00BC3A0A">
        <w:rPr>
          <w:sz w:val="22"/>
          <w:szCs w:val="22"/>
        </w:rPr>
        <w:t>, bem como</w:t>
      </w:r>
      <w:r w:rsidR="00051886" w:rsidRPr="00BC3A0A">
        <w:rPr>
          <w:sz w:val="22"/>
          <w:szCs w:val="22"/>
        </w:rPr>
        <w:t xml:space="preserve"> que os índices adotados </w:t>
      </w:r>
      <w:r w:rsidR="0094729D" w:rsidRPr="00BC3A0A">
        <w:rPr>
          <w:sz w:val="22"/>
          <w:szCs w:val="22"/>
        </w:rPr>
        <w:t>teriam sido</w:t>
      </w:r>
      <w:r w:rsidR="00051886" w:rsidRPr="00BC3A0A">
        <w:rPr>
          <w:sz w:val="22"/>
          <w:szCs w:val="22"/>
        </w:rPr>
        <w:t xml:space="preserve"> devidamente </w:t>
      </w:r>
      <w:r w:rsidR="0094729D" w:rsidRPr="00BC3A0A">
        <w:rPr>
          <w:sz w:val="22"/>
          <w:szCs w:val="22"/>
        </w:rPr>
        <w:t>motivados</w:t>
      </w:r>
      <w:r w:rsidR="00051886" w:rsidRPr="00BC3A0A">
        <w:rPr>
          <w:sz w:val="22"/>
          <w:szCs w:val="22"/>
        </w:rPr>
        <w:t xml:space="preserve"> no processo. </w:t>
      </w:r>
      <w:r w:rsidR="00E20830" w:rsidRPr="00BC3A0A">
        <w:rPr>
          <w:sz w:val="22"/>
          <w:szCs w:val="22"/>
        </w:rPr>
        <w:t xml:space="preserve">A </w:t>
      </w:r>
      <w:r w:rsidR="00051886" w:rsidRPr="00BC3A0A">
        <w:rPr>
          <w:sz w:val="22"/>
          <w:szCs w:val="22"/>
        </w:rPr>
        <w:t>unidade técnica</w:t>
      </w:r>
      <w:r w:rsidR="00E20830" w:rsidRPr="00BC3A0A">
        <w:rPr>
          <w:sz w:val="22"/>
          <w:szCs w:val="22"/>
        </w:rPr>
        <w:t xml:space="preserve"> propôs a rejeição d</w:t>
      </w:r>
      <w:r w:rsidR="00BC3A0A" w:rsidRPr="00BC3A0A">
        <w:rPr>
          <w:sz w:val="22"/>
          <w:szCs w:val="22"/>
        </w:rPr>
        <w:t>o</w:t>
      </w:r>
      <w:r w:rsidR="00E20830" w:rsidRPr="00BC3A0A">
        <w:rPr>
          <w:sz w:val="22"/>
          <w:szCs w:val="22"/>
        </w:rPr>
        <w:t>s argumentos</w:t>
      </w:r>
      <w:r w:rsidR="00051886" w:rsidRPr="00BC3A0A">
        <w:rPr>
          <w:sz w:val="22"/>
          <w:szCs w:val="22"/>
        </w:rPr>
        <w:t>,</w:t>
      </w:r>
      <w:r w:rsidR="00E20830" w:rsidRPr="00BC3A0A">
        <w:rPr>
          <w:sz w:val="22"/>
          <w:szCs w:val="22"/>
        </w:rPr>
        <w:t xml:space="preserve"> pontuando que as especificidades da obra, situada em local de fácil acesso, viabilizado por rodovias asfaltadas, não requer</w:t>
      </w:r>
      <w:r w:rsidR="00BC3A0A" w:rsidRPr="00BC3A0A">
        <w:rPr>
          <w:sz w:val="22"/>
          <w:szCs w:val="22"/>
        </w:rPr>
        <w:t>iam</w:t>
      </w:r>
      <w:r w:rsidR="00E20830" w:rsidRPr="00BC3A0A">
        <w:rPr>
          <w:sz w:val="22"/>
          <w:szCs w:val="22"/>
        </w:rPr>
        <w:t xml:space="preserve"> exigência tão estrita. </w:t>
      </w:r>
      <w:r w:rsidR="00051886" w:rsidRPr="00BC3A0A">
        <w:rPr>
          <w:sz w:val="22"/>
          <w:szCs w:val="22"/>
        </w:rPr>
        <w:t>Em seu voto, o relator r</w:t>
      </w:r>
      <w:r w:rsidR="00E20830" w:rsidRPr="00BC3A0A">
        <w:rPr>
          <w:sz w:val="22"/>
          <w:szCs w:val="22"/>
        </w:rPr>
        <w:t>econhece</w:t>
      </w:r>
      <w:r w:rsidR="00051886" w:rsidRPr="00BC3A0A">
        <w:rPr>
          <w:sz w:val="22"/>
          <w:szCs w:val="22"/>
        </w:rPr>
        <w:t>u</w:t>
      </w:r>
      <w:r w:rsidR="00E20830" w:rsidRPr="00BC3A0A">
        <w:rPr>
          <w:sz w:val="22"/>
          <w:szCs w:val="22"/>
        </w:rPr>
        <w:t xml:space="preserve"> que a exigência de </w:t>
      </w:r>
      <w:r w:rsidR="00BC3A0A" w:rsidRPr="00BC3A0A">
        <w:rPr>
          <w:sz w:val="22"/>
          <w:szCs w:val="22"/>
        </w:rPr>
        <w:t>ILG</w:t>
      </w:r>
      <w:r w:rsidR="00E20830" w:rsidRPr="00BC3A0A">
        <w:rPr>
          <w:sz w:val="22"/>
          <w:szCs w:val="22"/>
        </w:rPr>
        <w:t xml:space="preserve"> igual ou superior a dois </w:t>
      </w:r>
      <w:r w:rsidR="00051886" w:rsidRPr="00BC3A0A">
        <w:rPr>
          <w:i/>
          <w:sz w:val="22"/>
          <w:szCs w:val="22"/>
        </w:rPr>
        <w:t>“</w:t>
      </w:r>
      <w:r w:rsidR="00E20830" w:rsidRPr="00BC3A0A">
        <w:rPr>
          <w:i/>
          <w:sz w:val="22"/>
          <w:szCs w:val="22"/>
        </w:rPr>
        <w:t>soa realmente como bastante excessiva. Recorrendo apenas à intuição, é difícil imaginar que parte relevante de um universo de potenciais empresas interessadas em uma licitação possua créditos de curto e longo prazo mais de duas vezes superiores às suas dívidas.</w:t>
      </w:r>
      <w:r w:rsidR="00051886" w:rsidRPr="00BC3A0A">
        <w:rPr>
          <w:i/>
          <w:sz w:val="22"/>
          <w:szCs w:val="22"/>
        </w:rPr>
        <w:t>”</w:t>
      </w:r>
      <w:r w:rsidR="00E20830" w:rsidRPr="00BC3A0A">
        <w:rPr>
          <w:sz w:val="22"/>
          <w:szCs w:val="22"/>
        </w:rPr>
        <w:t xml:space="preserve">. Por isso, o índice utilizado pelo Deracre </w:t>
      </w:r>
      <w:r w:rsidR="00051886" w:rsidRPr="00BC3A0A">
        <w:rPr>
          <w:i/>
          <w:sz w:val="22"/>
          <w:szCs w:val="22"/>
        </w:rPr>
        <w:t>“</w:t>
      </w:r>
      <w:r w:rsidR="00E20830" w:rsidRPr="00BC3A0A">
        <w:rPr>
          <w:i/>
          <w:sz w:val="22"/>
          <w:szCs w:val="22"/>
        </w:rPr>
        <w:t>pode ser considerado não</w:t>
      </w:r>
      <w:r w:rsidR="00051886" w:rsidRPr="00BC3A0A">
        <w:rPr>
          <w:i/>
          <w:sz w:val="22"/>
          <w:szCs w:val="22"/>
        </w:rPr>
        <w:t xml:space="preserve"> </w:t>
      </w:r>
      <w:r w:rsidR="00E20830" w:rsidRPr="00BC3A0A">
        <w:rPr>
          <w:i/>
          <w:sz w:val="22"/>
          <w:szCs w:val="22"/>
        </w:rPr>
        <w:t>usual</w:t>
      </w:r>
      <w:r w:rsidR="00051886" w:rsidRPr="00BC3A0A">
        <w:rPr>
          <w:i/>
          <w:sz w:val="22"/>
          <w:szCs w:val="22"/>
        </w:rPr>
        <w:t>”</w:t>
      </w:r>
      <w:r w:rsidR="00E20830" w:rsidRPr="00BC3A0A">
        <w:rPr>
          <w:sz w:val="22"/>
          <w:szCs w:val="22"/>
        </w:rPr>
        <w:t>.</w:t>
      </w:r>
      <w:r w:rsidR="00BC3A0A" w:rsidRPr="00BC3A0A">
        <w:rPr>
          <w:sz w:val="22"/>
          <w:szCs w:val="22"/>
        </w:rPr>
        <w:t xml:space="preserve"> No entanto, p</w:t>
      </w:r>
      <w:r w:rsidR="0036490D" w:rsidRPr="00BC3A0A">
        <w:rPr>
          <w:sz w:val="22"/>
          <w:szCs w:val="22"/>
        </w:rPr>
        <w:t xml:space="preserve">ara o relator, no </w:t>
      </w:r>
      <w:r w:rsidR="00E20830" w:rsidRPr="00BC3A0A">
        <w:rPr>
          <w:sz w:val="22"/>
          <w:szCs w:val="22"/>
        </w:rPr>
        <w:t xml:space="preserve">presente caso, não </w:t>
      </w:r>
      <w:r w:rsidR="00BC3A0A" w:rsidRPr="00BC3A0A">
        <w:rPr>
          <w:sz w:val="22"/>
          <w:szCs w:val="22"/>
        </w:rPr>
        <w:t>teria sido apontado</w:t>
      </w:r>
      <w:r w:rsidR="00E20830" w:rsidRPr="00BC3A0A">
        <w:rPr>
          <w:sz w:val="22"/>
          <w:szCs w:val="22"/>
        </w:rPr>
        <w:t xml:space="preserve"> o dano efetivo causado à competição pela exigência em questão, em termos de número de participantes do certame, embora </w:t>
      </w:r>
      <w:r w:rsidR="0036490D" w:rsidRPr="00BC3A0A">
        <w:rPr>
          <w:i/>
          <w:sz w:val="22"/>
          <w:szCs w:val="22"/>
        </w:rPr>
        <w:t>“</w:t>
      </w:r>
      <w:r w:rsidR="00E20830" w:rsidRPr="00BC3A0A">
        <w:rPr>
          <w:i/>
          <w:sz w:val="22"/>
          <w:szCs w:val="22"/>
        </w:rPr>
        <w:t>seja válida a observação de que o dano se reflete principalmente na desistência de prováveis interessados, que é um dado não</w:t>
      </w:r>
      <w:r w:rsidR="0036490D" w:rsidRPr="00BC3A0A">
        <w:rPr>
          <w:i/>
          <w:sz w:val="22"/>
          <w:szCs w:val="22"/>
        </w:rPr>
        <w:t xml:space="preserve"> </w:t>
      </w:r>
      <w:r w:rsidR="00E20830" w:rsidRPr="00BC3A0A">
        <w:rPr>
          <w:i/>
          <w:sz w:val="22"/>
          <w:szCs w:val="22"/>
        </w:rPr>
        <w:t>mensurável</w:t>
      </w:r>
      <w:r w:rsidR="0036490D" w:rsidRPr="00BC3A0A">
        <w:rPr>
          <w:i/>
          <w:sz w:val="22"/>
          <w:szCs w:val="22"/>
        </w:rPr>
        <w:t>”</w:t>
      </w:r>
      <w:r w:rsidR="00E20830" w:rsidRPr="00BC3A0A">
        <w:rPr>
          <w:sz w:val="22"/>
          <w:szCs w:val="22"/>
        </w:rPr>
        <w:t>.</w:t>
      </w:r>
      <w:r w:rsidR="0036490D" w:rsidRPr="00BC3A0A">
        <w:rPr>
          <w:sz w:val="22"/>
          <w:szCs w:val="22"/>
        </w:rPr>
        <w:t xml:space="preserve"> </w:t>
      </w:r>
      <w:r w:rsidR="0025640C">
        <w:rPr>
          <w:sz w:val="22"/>
          <w:szCs w:val="22"/>
        </w:rPr>
        <w:t>R</w:t>
      </w:r>
      <w:r w:rsidR="00E20830" w:rsidRPr="00BC3A0A">
        <w:rPr>
          <w:sz w:val="22"/>
          <w:szCs w:val="22"/>
        </w:rPr>
        <w:t xml:space="preserve">econhecendo que a obra, pela sua importância e complexidade técnica, demandava cuidados especiais na definição do universo de potenciais licitantes, </w:t>
      </w:r>
      <w:r w:rsidR="0036490D" w:rsidRPr="00BC3A0A">
        <w:rPr>
          <w:sz w:val="22"/>
          <w:szCs w:val="22"/>
        </w:rPr>
        <w:t xml:space="preserve">o relator </w:t>
      </w:r>
      <w:r w:rsidR="00BC3A0A" w:rsidRPr="00BC3A0A">
        <w:rPr>
          <w:sz w:val="22"/>
          <w:szCs w:val="22"/>
        </w:rPr>
        <w:t xml:space="preserve">votou por que fosse </w:t>
      </w:r>
      <w:r w:rsidR="0025640C">
        <w:rPr>
          <w:sz w:val="22"/>
          <w:szCs w:val="22"/>
        </w:rPr>
        <w:t xml:space="preserve">tão somente </w:t>
      </w:r>
      <w:r w:rsidR="00BC3A0A" w:rsidRPr="00BC3A0A">
        <w:rPr>
          <w:sz w:val="22"/>
          <w:szCs w:val="22"/>
        </w:rPr>
        <w:t>expedida</w:t>
      </w:r>
      <w:r w:rsidR="0036490D" w:rsidRPr="00BC3A0A">
        <w:rPr>
          <w:sz w:val="22"/>
          <w:szCs w:val="22"/>
        </w:rPr>
        <w:t xml:space="preserve"> determinação</w:t>
      </w:r>
      <w:r w:rsidR="00E20830" w:rsidRPr="00BC3A0A">
        <w:rPr>
          <w:sz w:val="22"/>
          <w:szCs w:val="22"/>
        </w:rPr>
        <w:t xml:space="preserve"> ao Deracre </w:t>
      </w:r>
      <w:r w:rsidR="0036490D" w:rsidRPr="00BC3A0A">
        <w:rPr>
          <w:sz w:val="22"/>
          <w:szCs w:val="22"/>
        </w:rPr>
        <w:t xml:space="preserve">no sentido de que, </w:t>
      </w:r>
      <w:r w:rsidR="0036490D" w:rsidRPr="00BC3A0A">
        <w:rPr>
          <w:i/>
          <w:sz w:val="22"/>
          <w:szCs w:val="22"/>
        </w:rPr>
        <w:t>“</w:t>
      </w:r>
      <w:r w:rsidR="00E20830" w:rsidRPr="00BC3A0A">
        <w:rPr>
          <w:i/>
          <w:sz w:val="22"/>
          <w:szCs w:val="22"/>
        </w:rPr>
        <w:t>ao adotar índices mínimos de liquidez que se afastam dos valores utilizados na administração pública, assim entendidos aqueles próximo</w:t>
      </w:r>
      <w:r w:rsidR="007651D9">
        <w:rPr>
          <w:i/>
          <w:sz w:val="22"/>
          <w:szCs w:val="22"/>
        </w:rPr>
        <w:t>s</w:t>
      </w:r>
      <w:r w:rsidR="00E20830" w:rsidRPr="00BC3A0A">
        <w:rPr>
          <w:i/>
          <w:sz w:val="22"/>
          <w:szCs w:val="22"/>
        </w:rPr>
        <w:t xml:space="preserve"> à unidade, no caso do Índice de Liquidez Geral, em seus editais de licitação para execução de objetos financiados com recursos federais, proceda a ampla demonstração do cabimento da escolha, inclusive mediante estudo da realidade das empresas potencialmente interessadas no objeto da licitação</w:t>
      </w:r>
      <w:r w:rsidR="0036490D" w:rsidRPr="00BC3A0A">
        <w:rPr>
          <w:i/>
          <w:sz w:val="22"/>
          <w:szCs w:val="22"/>
        </w:rPr>
        <w:t>”</w:t>
      </w:r>
      <w:r w:rsidR="0036490D" w:rsidRPr="00BC3A0A">
        <w:rPr>
          <w:sz w:val="22"/>
          <w:szCs w:val="22"/>
        </w:rPr>
        <w:t>.</w:t>
      </w:r>
      <w:r w:rsidR="00BC3A0A" w:rsidRPr="00BC3A0A">
        <w:rPr>
          <w:sz w:val="22"/>
          <w:szCs w:val="22"/>
        </w:rPr>
        <w:t xml:space="preserve"> O Plenário acolheu o voto do relator. Precedente citado: Acórdão n.º 170/2007-Plenário.</w:t>
      </w:r>
      <w:r w:rsidR="0036490D" w:rsidRPr="00BC3A0A">
        <w:rPr>
          <w:sz w:val="22"/>
          <w:szCs w:val="22"/>
        </w:rPr>
        <w:t xml:space="preserve"> </w:t>
      </w:r>
      <w:r w:rsidR="00E20830" w:rsidRPr="00BC3A0A">
        <w:rPr>
          <w:b/>
          <w:i/>
          <w:sz w:val="22"/>
          <w:szCs w:val="22"/>
        </w:rPr>
        <w:t>Acórdão n.º 3133/2010-Plenário, TC-006.861/2005-8, rel. Min. Augusto Nardes, 24.11.2010</w:t>
      </w:r>
      <w:r w:rsidR="00E20830" w:rsidRPr="00BC3A0A">
        <w:rPr>
          <w:sz w:val="22"/>
          <w:szCs w:val="22"/>
        </w:rPr>
        <w:t>.</w:t>
      </w:r>
    </w:p>
    <w:p w:rsidR="00E20830" w:rsidRDefault="00E20830" w:rsidP="00E20830">
      <w:pPr>
        <w:pStyle w:val="Pargrafo"/>
        <w:jc w:val="both"/>
        <w:rPr>
          <w:sz w:val="22"/>
          <w:szCs w:val="22"/>
        </w:rPr>
      </w:pPr>
    </w:p>
    <w:p w:rsidR="00E20830" w:rsidRPr="00235D28" w:rsidRDefault="00DA1860" w:rsidP="00E20830">
      <w:pPr>
        <w:pStyle w:val="Pargrafo"/>
        <w:jc w:val="both"/>
        <w:rPr>
          <w:b/>
          <w:sz w:val="22"/>
          <w:szCs w:val="22"/>
        </w:rPr>
      </w:pPr>
      <w:r>
        <w:rPr>
          <w:b/>
          <w:sz w:val="22"/>
          <w:szCs w:val="22"/>
        </w:rPr>
        <w:t>I</w:t>
      </w:r>
      <w:r w:rsidR="00235D28" w:rsidRPr="00235D28">
        <w:rPr>
          <w:b/>
          <w:sz w:val="22"/>
          <w:szCs w:val="22"/>
        </w:rPr>
        <w:t>tens novos em contratação de obra pública</w:t>
      </w:r>
      <w:r>
        <w:rPr>
          <w:b/>
          <w:sz w:val="22"/>
          <w:szCs w:val="22"/>
        </w:rPr>
        <w:t>:</w:t>
      </w:r>
      <w:r w:rsidR="00235D28" w:rsidRPr="00235D28">
        <w:rPr>
          <w:b/>
          <w:sz w:val="22"/>
          <w:szCs w:val="22"/>
        </w:rPr>
        <w:t xml:space="preserve"> </w:t>
      </w:r>
      <w:r>
        <w:rPr>
          <w:b/>
          <w:sz w:val="22"/>
          <w:szCs w:val="22"/>
        </w:rPr>
        <w:t>adoção dos</w:t>
      </w:r>
      <w:r w:rsidR="00235D28" w:rsidRPr="00235D28">
        <w:rPr>
          <w:b/>
          <w:sz w:val="22"/>
          <w:szCs w:val="22"/>
        </w:rPr>
        <w:t xml:space="preserve"> preços unitários dos sistemas de referência</w:t>
      </w:r>
    </w:p>
    <w:p w:rsidR="00D8314B" w:rsidRPr="00337E16" w:rsidRDefault="00323A9F" w:rsidP="00D8314B">
      <w:pPr>
        <w:pStyle w:val="Pargrafo"/>
        <w:jc w:val="both"/>
        <w:rPr>
          <w:sz w:val="22"/>
          <w:szCs w:val="22"/>
        </w:rPr>
      </w:pPr>
      <w:r>
        <w:rPr>
          <w:sz w:val="22"/>
          <w:szCs w:val="22"/>
        </w:rPr>
        <w:t>A</w:t>
      </w:r>
      <w:r w:rsidR="00D8314B" w:rsidRPr="00D8314B">
        <w:rPr>
          <w:sz w:val="22"/>
          <w:szCs w:val="22"/>
        </w:rPr>
        <w:t>o</w:t>
      </w:r>
      <w:r>
        <w:rPr>
          <w:sz w:val="22"/>
          <w:szCs w:val="22"/>
        </w:rPr>
        <w:t xml:space="preserve"> apreciar </w:t>
      </w:r>
      <w:r w:rsidR="00D8314B" w:rsidRPr="00D8314B">
        <w:rPr>
          <w:sz w:val="22"/>
          <w:szCs w:val="22"/>
        </w:rPr>
        <w:t xml:space="preserve">relatório de levantamento de auditoria </w:t>
      </w:r>
      <w:r>
        <w:rPr>
          <w:sz w:val="22"/>
          <w:szCs w:val="22"/>
        </w:rPr>
        <w:t>nas</w:t>
      </w:r>
      <w:r w:rsidR="00D8314B" w:rsidRPr="00D8314B">
        <w:rPr>
          <w:sz w:val="22"/>
          <w:szCs w:val="22"/>
        </w:rPr>
        <w:t xml:space="preserve"> obras de adequação/duplicação da BR-101/Sul, no trecho compreendido entre Palhoça/SC e a Divisa SC/RS, </w:t>
      </w:r>
      <w:r>
        <w:rPr>
          <w:sz w:val="22"/>
          <w:szCs w:val="22"/>
        </w:rPr>
        <w:t xml:space="preserve">o Tribunal, por </w:t>
      </w:r>
      <w:r w:rsidR="00D8314B" w:rsidRPr="00D8314B">
        <w:rPr>
          <w:sz w:val="22"/>
          <w:szCs w:val="22"/>
        </w:rPr>
        <w:t>meio do Acórdão n</w:t>
      </w:r>
      <w:r w:rsidR="008D6E87">
        <w:rPr>
          <w:sz w:val="22"/>
          <w:szCs w:val="22"/>
        </w:rPr>
        <w:t>.</w:t>
      </w:r>
      <w:r w:rsidR="00D8314B" w:rsidRPr="00D8314B">
        <w:rPr>
          <w:sz w:val="22"/>
          <w:szCs w:val="22"/>
        </w:rPr>
        <w:t>º 3.003/2009-Plenário, determinou ao Departamento Nacional de Infraestrutura de Transportes – Dnit a adoção das seguintes providências:</w:t>
      </w:r>
      <w:r>
        <w:rPr>
          <w:sz w:val="22"/>
          <w:szCs w:val="22"/>
        </w:rPr>
        <w:t xml:space="preserve"> </w:t>
      </w:r>
      <w:r w:rsidR="00D8314B" w:rsidRPr="00D8314B">
        <w:rPr>
          <w:i/>
          <w:sz w:val="22"/>
          <w:szCs w:val="22"/>
        </w:rPr>
        <w:t>“9.2.2. encaminhe a este Tribunal, no prazo de 15 (quinze) dias, demonstrativo da compatibilidade do preço unitário do serviço ‘espalhamento de solos moles’ - incluído no Contrato nº TT-189/2004-0 (Lote 27) em decorrência da 3ª revisão de projetos - aos parâmetros de mercado, promovendo os devidos ajustes na composição de custo unitário utilizada como referência</w:t>
      </w:r>
      <w:r w:rsidR="00DA1860">
        <w:rPr>
          <w:i/>
          <w:sz w:val="22"/>
          <w:szCs w:val="22"/>
        </w:rPr>
        <w:t xml:space="preserve"> [...]</w:t>
      </w:r>
      <w:r w:rsidR="00D8314B" w:rsidRPr="00D8314B">
        <w:rPr>
          <w:i/>
          <w:sz w:val="22"/>
          <w:szCs w:val="22"/>
        </w:rPr>
        <w:t>; ou adotando outra composição do Sicro, como referência, que eventualmente mais se adéque ao caso em questão</w:t>
      </w:r>
      <w:r w:rsidR="00812A2A">
        <w:rPr>
          <w:i/>
          <w:sz w:val="22"/>
          <w:szCs w:val="22"/>
        </w:rPr>
        <w:t xml:space="preserve"> [...]</w:t>
      </w:r>
      <w:r w:rsidR="00D8314B" w:rsidRPr="00D8314B">
        <w:rPr>
          <w:i/>
          <w:sz w:val="22"/>
          <w:szCs w:val="22"/>
        </w:rPr>
        <w:t>;</w:t>
      </w:r>
      <w:r>
        <w:rPr>
          <w:i/>
          <w:sz w:val="22"/>
          <w:szCs w:val="22"/>
        </w:rPr>
        <w:t xml:space="preserve"> </w:t>
      </w:r>
      <w:r w:rsidR="00D8314B" w:rsidRPr="00D8314B">
        <w:rPr>
          <w:i/>
          <w:sz w:val="22"/>
          <w:szCs w:val="22"/>
        </w:rPr>
        <w:t>9.2.3. após o cumprimento da medida indicada no subitem anterior, em se mantendo o indício de sobrepreço apontado nos autos, adote as providências cabíveis com vistas à recomposição do dano ao erário, em virtude dos pagamentos superfaturados referentes ao item ‘espalhamento de solos moles’, seja por meio de repactuação contratual, se houver saldo, ou da instauração da competente tomada de contas especial</w:t>
      </w:r>
      <w:r w:rsidR="00812A2A">
        <w:rPr>
          <w:i/>
          <w:sz w:val="22"/>
          <w:szCs w:val="22"/>
        </w:rPr>
        <w:t xml:space="preserve"> [...]</w:t>
      </w:r>
      <w:r w:rsidR="00D8314B" w:rsidRPr="00D8314B">
        <w:rPr>
          <w:i/>
          <w:sz w:val="22"/>
          <w:szCs w:val="22"/>
        </w:rPr>
        <w:t>.”</w:t>
      </w:r>
      <w:r>
        <w:rPr>
          <w:sz w:val="22"/>
          <w:szCs w:val="22"/>
        </w:rPr>
        <w:t xml:space="preserve"> </w:t>
      </w:r>
      <w:r w:rsidR="00D8314B" w:rsidRPr="00D8314B">
        <w:rPr>
          <w:sz w:val="22"/>
          <w:szCs w:val="22"/>
        </w:rPr>
        <w:t xml:space="preserve">Em resposta, </w:t>
      </w:r>
      <w:r>
        <w:rPr>
          <w:sz w:val="22"/>
          <w:szCs w:val="22"/>
        </w:rPr>
        <w:t>r</w:t>
      </w:r>
      <w:r w:rsidR="00D8314B" w:rsidRPr="00D8314B">
        <w:rPr>
          <w:sz w:val="22"/>
          <w:szCs w:val="22"/>
        </w:rPr>
        <w:t xml:space="preserve">econheceu o Dnit a necessidade de se reduzir o preço unitário do serviço, mediante substituição dos custos dos insumos da contratada pelos custos médios dos insumos ofertados pelos licitantes. A </w:t>
      </w:r>
      <w:r>
        <w:rPr>
          <w:sz w:val="22"/>
          <w:szCs w:val="22"/>
        </w:rPr>
        <w:t>unidade</w:t>
      </w:r>
      <w:r w:rsidR="00D8314B" w:rsidRPr="00D8314B">
        <w:rPr>
          <w:sz w:val="22"/>
          <w:szCs w:val="22"/>
        </w:rPr>
        <w:t xml:space="preserve"> técnica rejeit</w:t>
      </w:r>
      <w:r>
        <w:rPr>
          <w:sz w:val="22"/>
          <w:szCs w:val="22"/>
        </w:rPr>
        <w:t>ou</w:t>
      </w:r>
      <w:r w:rsidR="00D8314B" w:rsidRPr="00D8314B">
        <w:rPr>
          <w:sz w:val="22"/>
          <w:szCs w:val="22"/>
        </w:rPr>
        <w:t xml:space="preserve"> as contrarrazões oferecidas pelo Dnit e </w:t>
      </w:r>
      <w:r>
        <w:rPr>
          <w:sz w:val="22"/>
          <w:szCs w:val="22"/>
        </w:rPr>
        <w:t>propôs</w:t>
      </w:r>
      <w:r w:rsidR="00D8314B" w:rsidRPr="00D8314B">
        <w:rPr>
          <w:sz w:val="22"/>
          <w:szCs w:val="22"/>
        </w:rPr>
        <w:t xml:space="preserve"> novo preço de referência para o serviço</w:t>
      </w:r>
      <w:r w:rsidR="00812A2A">
        <w:rPr>
          <w:sz w:val="22"/>
          <w:szCs w:val="22"/>
        </w:rPr>
        <w:t xml:space="preserve">, </w:t>
      </w:r>
      <w:r w:rsidR="00DA1860">
        <w:rPr>
          <w:sz w:val="22"/>
          <w:szCs w:val="22"/>
        </w:rPr>
        <w:t>tomando-se</w:t>
      </w:r>
      <w:r>
        <w:rPr>
          <w:sz w:val="22"/>
          <w:szCs w:val="22"/>
        </w:rPr>
        <w:t xml:space="preserve"> </w:t>
      </w:r>
      <w:r w:rsidR="00D8314B" w:rsidRPr="00D8314B">
        <w:rPr>
          <w:sz w:val="22"/>
          <w:szCs w:val="22"/>
        </w:rPr>
        <w:t xml:space="preserve">como </w:t>
      </w:r>
      <w:r w:rsidR="00DA1860">
        <w:rPr>
          <w:sz w:val="22"/>
          <w:szCs w:val="22"/>
        </w:rPr>
        <w:t>parâmetro</w:t>
      </w:r>
      <w:r w:rsidR="00D8314B" w:rsidRPr="00D8314B">
        <w:rPr>
          <w:sz w:val="22"/>
          <w:szCs w:val="22"/>
        </w:rPr>
        <w:t xml:space="preserve"> o preço-base adotado pelo Dnit para o item </w:t>
      </w:r>
      <w:r w:rsidR="00D8314B" w:rsidRPr="00D8314B">
        <w:rPr>
          <w:i/>
          <w:sz w:val="22"/>
          <w:szCs w:val="22"/>
        </w:rPr>
        <w:t>“espalhamento de solos moles”</w:t>
      </w:r>
      <w:r w:rsidR="00D8314B" w:rsidRPr="00D8314B">
        <w:rPr>
          <w:sz w:val="22"/>
          <w:szCs w:val="22"/>
        </w:rPr>
        <w:t xml:space="preserve"> no Lote 28 da Concorrência n</w:t>
      </w:r>
      <w:r w:rsidR="00812A2A">
        <w:rPr>
          <w:sz w:val="22"/>
          <w:szCs w:val="22"/>
        </w:rPr>
        <w:t>.</w:t>
      </w:r>
      <w:r w:rsidR="00D8314B" w:rsidRPr="00D8314B">
        <w:rPr>
          <w:sz w:val="22"/>
          <w:szCs w:val="22"/>
        </w:rPr>
        <w:t>º 03/02-00, em R$ 0,86/m</w:t>
      </w:r>
      <w:r w:rsidR="00D8314B" w:rsidRPr="00323A9F">
        <w:rPr>
          <w:sz w:val="22"/>
          <w:szCs w:val="22"/>
          <w:vertAlign w:val="superscript"/>
        </w:rPr>
        <w:t>3</w:t>
      </w:r>
      <w:r w:rsidR="00D8314B" w:rsidRPr="00D8314B">
        <w:rPr>
          <w:sz w:val="22"/>
          <w:szCs w:val="22"/>
        </w:rPr>
        <w:t xml:space="preserve"> (data-base: agosto de 2003). Sobre esse valor, a unidade técnica aplicou o desconto global concedido pela contratada em relação ao valor orçado pela autarquia, o qual fo</w:t>
      </w:r>
      <w:r w:rsidR="00DA1860">
        <w:rPr>
          <w:sz w:val="22"/>
          <w:szCs w:val="22"/>
        </w:rPr>
        <w:t>ra</w:t>
      </w:r>
      <w:r w:rsidR="00D8314B" w:rsidRPr="00D8314B">
        <w:rPr>
          <w:sz w:val="22"/>
          <w:szCs w:val="22"/>
        </w:rPr>
        <w:t xml:space="preserve"> de 32%. Assim, o novo preço unitário a considerar-se como parâmetro de mercado seria de R$</w:t>
      </w:r>
      <w:r>
        <w:rPr>
          <w:sz w:val="22"/>
          <w:szCs w:val="22"/>
        </w:rPr>
        <w:t xml:space="preserve"> </w:t>
      </w:r>
      <w:r w:rsidR="00D8314B" w:rsidRPr="00D8314B">
        <w:rPr>
          <w:sz w:val="22"/>
          <w:szCs w:val="22"/>
        </w:rPr>
        <w:t>0,58/m</w:t>
      </w:r>
      <w:r w:rsidR="00D8314B" w:rsidRPr="00323A9F">
        <w:rPr>
          <w:sz w:val="22"/>
          <w:szCs w:val="22"/>
          <w:vertAlign w:val="superscript"/>
        </w:rPr>
        <w:t>3</w:t>
      </w:r>
      <w:r w:rsidR="00D8314B" w:rsidRPr="00D8314B">
        <w:rPr>
          <w:sz w:val="22"/>
          <w:szCs w:val="22"/>
        </w:rPr>
        <w:t xml:space="preserve"> (data-base: </w:t>
      </w:r>
      <w:r>
        <w:rPr>
          <w:sz w:val="22"/>
          <w:szCs w:val="22"/>
        </w:rPr>
        <w:t>agosto de 2003)</w:t>
      </w:r>
      <w:r w:rsidR="00D8314B" w:rsidRPr="00D8314B">
        <w:rPr>
          <w:sz w:val="22"/>
          <w:szCs w:val="22"/>
        </w:rPr>
        <w:t xml:space="preserve">. </w:t>
      </w:r>
      <w:r>
        <w:rPr>
          <w:sz w:val="22"/>
          <w:szCs w:val="22"/>
        </w:rPr>
        <w:t xml:space="preserve">Pretendia a unidade técnica, </w:t>
      </w:r>
      <w:r w:rsidR="00D8314B" w:rsidRPr="00D8314B">
        <w:rPr>
          <w:sz w:val="22"/>
          <w:szCs w:val="22"/>
        </w:rPr>
        <w:t xml:space="preserve">com a adoção desse procedimento, evitar a consumação de desequilíbrio econômico-financeiro do contrato, medida que estaria em conformidade com a orientação emanada das Leis de Diretrizes Orçamentárias (LDO’s) para os exercícios de 2009, 2010 e 2011. </w:t>
      </w:r>
      <w:r>
        <w:rPr>
          <w:sz w:val="22"/>
          <w:szCs w:val="22"/>
        </w:rPr>
        <w:t xml:space="preserve">De acordo com o relator, </w:t>
      </w:r>
      <w:r w:rsidR="00D8314B" w:rsidRPr="00D8314B">
        <w:rPr>
          <w:sz w:val="22"/>
          <w:szCs w:val="22"/>
        </w:rPr>
        <w:t xml:space="preserve">a regra estabelecida nas recentes </w:t>
      </w:r>
      <w:r w:rsidR="00812A2A" w:rsidRPr="00D8314B">
        <w:rPr>
          <w:sz w:val="22"/>
          <w:szCs w:val="22"/>
        </w:rPr>
        <w:t xml:space="preserve">LDO’s </w:t>
      </w:r>
      <w:r w:rsidR="00D8314B" w:rsidRPr="00D8314B">
        <w:rPr>
          <w:sz w:val="22"/>
          <w:szCs w:val="22"/>
        </w:rPr>
        <w:t>visa à manutenção do percentual de desconto global ofertado pela contratada sobre o preço orçado pela Administração com base nos custos dos sistemas de referência (Sinapi e Sicro), em decorrência de modificações introduzidas por termos de aditamento. Desse modo, a aplicação d</w:t>
      </w:r>
      <w:r w:rsidR="00DB2DA5">
        <w:rPr>
          <w:sz w:val="22"/>
          <w:szCs w:val="22"/>
        </w:rPr>
        <w:t>o aludido</w:t>
      </w:r>
      <w:r w:rsidR="00D8314B" w:rsidRPr="00D8314B">
        <w:rPr>
          <w:sz w:val="22"/>
          <w:szCs w:val="22"/>
        </w:rPr>
        <w:t xml:space="preserve"> regramento depende da verificação exata do balanço contratual após as alterações, </w:t>
      </w:r>
      <w:r w:rsidR="00F01E63" w:rsidRPr="00F01E63">
        <w:rPr>
          <w:i/>
          <w:sz w:val="22"/>
          <w:szCs w:val="22"/>
        </w:rPr>
        <w:t>“</w:t>
      </w:r>
      <w:r w:rsidR="00D8314B" w:rsidRPr="00F01E63">
        <w:rPr>
          <w:i/>
          <w:sz w:val="22"/>
          <w:szCs w:val="22"/>
        </w:rPr>
        <w:t>o que não é possível apenas pelo exame de um item da planilha, como é o caso</w:t>
      </w:r>
      <w:r w:rsidR="00F01E63" w:rsidRPr="00F01E63">
        <w:rPr>
          <w:i/>
          <w:sz w:val="22"/>
          <w:szCs w:val="22"/>
        </w:rPr>
        <w:t>”</w:t>
      </w:r>
      <w:r w:rsidR="00D8314B" w:rsidRPr="00D8314B">
        <w:rPr>
          <w:sz w:val="22"/>
          <w:szCs w:val="22"/>
        </w:rPr>
        <w:t xml:space="preserve">. </w:t>
      </w:r>
      <w:r w:rsidR="00F01E63">
        <w:rPr>
          <w:sz w:val="22"/>
          <w:szCs w:val="22"/>
        </w:rPr>
        <w:t xml:space="preserve">Segundo o relator, </w:t>
      </w:r>
      <w:r w:rsidR="00D8314B" w:rsidRPr="00D8314B">
        <w:rPr>
          <w:sz w:val="22"/>
          <w:szCs w:val="22"/>
        </w:rPr>
        <w:t xml:space="preserve">a jurisprudência </w:t>
      </w:r>
      <w:r w:rsidR="008C020C">
        <w:rPr>
          <w:sz w:val="22"/>
          <w:szCs w:val="22"/>
        </w:rPr>
        <w:t>do TCU</w:t>
      </w:r>
      <w:r w:rsidR="00D8314B" w:rsidRPr="00D8314B">
        <w:rPr>
          <w:sz w:val="22"/>
          <w:szCs w:val="22"/>
        </w:rPr>
        <w:t xml:space="preserve"> é pacífica no sentido de que itens novos em contratação de obra pública devem</w:t>
      </w:r>
      <w:r w:rsidR="00DB2DA5">
        <w:rPr>
          <w:sz w:val="22"/>
          <w:szCs w:val="22"/>
        </w:rPr>
        <w:t xml:space="preserve"> ter como limite</w:t>
      </w:r>
      <w:r w:rsidR="00D8314B" w:rsidRPr="00D8314B">
        <w:rPr>
          <w:sz w:val="22"/>
          <w:szCs w:val="22"/>
        </w:rPr>
        <w:t xml:space="preserve"> os preços unitários dos sistemas de referência, prioritariamente o Sinapi e o Sicro. Nesse contexto, a metodologia </w:t>
      </w:r>
      <w:r w:rsidR="00DB2DA5">
        <w:rPr>
          <w:sz w:val="22"/>
          <w:szCs w:val="22"/>
        </w:rPr>
        <w:t>apresentada</w:t>
      </w:r>
      <w:r w:rsidR="00D8314B" w:rsidRPr="00D8314B">
        <w:rPr>
          <w:sz w:val="22"/>
          <w:szCs w:val="22"/>
        </w:rPr>
        <w:t xml:space="preserve"> pela </w:t>
      </w:r>
      <w:r w:rsidR="00F01E63">
        <w:rPr>
          <w:sz w:val="22"/>
          <w:szCs w:val="22"/>
        </w:rPr>
        <w:t>unidade instrutiva</w:t>
      </w:r>
      <w:r w:rsidR="00D8314B" w:rsidRPr="00D8314B">
        <w:rPr>
          <w:sz w:val="22"/>
          <w:szCs w:val="22"/>
        </w:rPr>
        <w:t xml:space="preserve">, baseada em preço unitário constante do orçamento-base do Dnit, </w:t>
      </w:r>
      <w:r w:rsidR="00F01E63" w:rsidRPr="00F01E63">
        <w:rPr>
          <w:i/>
          <w:sz w:val="22"/>
          <w:szCs w:val="22"/>
        </w:rPr>
        <w:t>“</w:t>
      </w:r>
      <w:r w:rsidR="00D8314B" w:rsidRPr="00F01E63">
        <w:rPr>
          <w:i/>
          <w:sz w:val="22"/>
          <w:szCs w:val="22"/>
        </w:rPr>
        <w:t>amolda-se à jurisprudência deste Tribunal</w:t>
      </w:r>
      <w:r w:rsidR="00F01E63" w:rsidRPr="00F01E63">
        <w:rPr>
          <w:i/>
          <w:sz w:val="22"/>
          <w:szCs w:val="22"/>
        </w:rPr>
        <w:t>”</w:t>
      </w:r>
      <w:r w:rsidR="008C020C">
        <w:rPr>
          <w:sz w:val="22"/>
          <w:szCs w:val="22"/>
        </w:rPr>
        <w:t>,</w:t>
      </w:r>
      <w:r w:rsidR="00D8314B" w:rsidRPr="00D8314B">
        <w:rPr>
          <w:sz w:val="22"/>
          <w:szCs w:val="22"/>
        </w:rPr>
        <w:t xml:space="preserve"> à exceção da questão atinente ao desconto global ofertado pela contratada na licitação</w:t>
      </w:r>
      <w:r w:rsidR="008C020C">
        <w:rPr>
          <w:sz w:val="22"/>
          <w:szCs w:val="22"/>
        </w:rPr>
        <w:t>. Ao final</w:t>
      </w:r>
      <w:r w:rsidR="00D8314B" w:rsidRPr="00D8314B">
        <w:rPr>
          <w:sz w:val="22"/>
          <w:szCs w:val="22"/>
        </w:rPr>
        <w:t xml:space="preserve">, </w:t>
      </w:r>
      <w:r w:rsidR="00F01E63">
        <w:rPr>
          <w:sz w:val="22"/>
          <w:szCs w:val="22"/>
        </w:rPr>
        <w:t xml:space="preserve">o relator votou pela </w:t>
      </w:r>
      <w:r w:rsidR="00D8314B" w:rsidRPr="00D8314B">
        <w:rPr>
          <w:sz w:val="22"/>
          <w:szCs w:val="22"/>
        </w:rPr>
        <w:t>fixa</w:t>
      </w:r>
      <w:r w:rsidR="00F01E63">
        <w:rPr>
          <w:sz w:val="22"/>
          <w:szCs w:val="22"/>
        </w:rPr>
        <w:t>ção de</w:t>
      </w:r>
      <w:r w:rsidR="00D8314B" w:rsidRPr="00D8314B">
        <w:rPr>
          <w:sz w:val="22"/>
          <w:szCs w:val="22"/>
        </w:rPr>
        <w:t xml:space="preserve"> prazo ao Dnit para</w:t>
      </w:r>
      <w:r w:rsidR="00FA172F">
        <w:rPr>
          <w:sz w:val="22"/>
          <w:szCs w:val="22"/>
        </w:rPr>
        <w:t xml:space="preserve"> promover</w:t>
      </w:r>
      <w:r w:rsidR="00F01E63">
        <w:rPr>
          <w:sz w:val="22"/>
          <w:szCs w:val="22"/>
        </w:rPr>
        <w:t xml:space="preserve">, </w:t>
      </w:r>
      <w:r w:rsidR="00FA172F" w:rsidRPr="00D8314B">
        <w:rPr>
          <w:sz w:val="22"/>
          <w:szCs w:val="22"/>
        </w:rPr>
        <w:t>no que se refere ao Contrato n</w:t>
      </w:r>
      <w:r w:rsidR="00FA172F">
        <w:rPr>
          <w:sz w:val="22"/>
          <w:szCs w:val="22"/>
        </w:rPr>
        <w:t>.</w:t>
      </w:r>
      <w:r w:rsidR="00FA172F" w:rsidRPr="00D8314B">
        <w:rPr>
          <w:sz w:val="22"/>
          <w:szCs w:val="22"/>
        </w:rPr>
        <w:t>º TT-189/2004 (Lote 27)</w:t>
      </w:r>
      <w:r w:rsidR="00FA172F">
        <w:rPr>
          <w:sz w:val="22"/>
          <w:szCs w:val="22"/>
        </w:rPr>
        <w:t xml:space="preserve">, </w:t>
      </w:r>
      <w:r w:rsidR="00F01E63">
        <w:rPr>
          <w:sz w:val="22"/>
          <w:szCs w:val="22"/>
        </w:rPr>
        <w:t>previamente ouvida a contratada,</w:t>
      </w:r>
      <w:r w:rsidR="00D8314B" w:rsidRPr="00D8314B">
        <w:rPr>
          <w:sz w:val="22"/>
          <w:szCs w:val="22"/>
        </w:rPr>
        <w:t xml:space="preserve"> a repactuação do preço unitário do item </w:t>
      </w:r>
      <w:r w:rsidR="00D8314B" w:rsidRPr="00D8314B">
        <w:rPr>
          <w:i/>
          <w:sz w:val="22"/>
          <w:szCs w:val="22"/>
        </w:rPr>
        <w:t>“espalhamento de solos em bota-fora”</w:t>
      </w:r>
      <w:r w:rsidR="00D8314B" w:rsidRPr="00D8314B">
        <w:rPr>
          <w:sz w:val="22"/>
          <w:szCs w:val="22"/>
        </w:rPr>
        <w:t>, limitando-o a R$ 0,86/m</w:t>
      </w:r>
      <w:r w:rsidR="00D8314B" w:rsidRPr="001A05E7">
        <w:rPr>
          <w:sz w:val="22"/>
          <w:szCs w:val="22"/>
          <w:vertAlign w:val="superscript"/>
        </w:rPr>
        <w:t>3</w:t>
      </w:r>
      <w:r w:rsidR="00D8314B" w:rsidRPr="00D8314B">
        <w:rPr>
          <w:sz w:val="22"/>
          <w:szCs w:val="22"/>
        </w:rPr>
        <w:t xml:space="preserve"> (data-base: agosto de 2003), sem prejuízo de </w:t>
      </w:r>
      <w:r w:rsidR="008C020C">
        <w:rPr>
          <w:sz w:val="22"/>
          <w:szCs w:val="22"/>
        </w:rPr>
        <w:t xml:space="preserve">a entidade </w:t>
      </w:r>
      <w:r w:rsidR="00D8314B" w:rsidRPr="00D8314B">
        <w:rPr>
          <w:sz w:val="22"/>
          <w:szCs w:val="22"/>
        </w:rPr>
        <w:t>adotar as providências necessárias com vistas ao ressarcimento do débito, por meio de descontos em faturas vincendas, se houver saldo contratual, ou pela instauração de tomada de contas especial.</w:t>
      </w:r>
      <w:r w:rsidR="007B3F28">
        <w:rPr>
          <w:sz w:val="22"/>
          <w:szCs w:val="22"/>
        </w:rPr>
        <w:t xml:space="preserve"> O Plenário acolheu o voto do relator. </w:t>
      </w:r>
      <w:r w:rsidR="00F01E63">
        <w:rPr>
          <w:sz w:val="22"/>
          <w:szCs w:val="22"/>
        </w:rPr>
        <w:t>Precedentes citados: Acórdãos n.</w:t>
      </w:r>
      <w:r w:rsidR="00F01E63" w:rsidRPr="00F01E63">
        <w:rPr>
          <w:sz w:val="22"/>
          <w:szCs w:val="22"/>
          <w:vertAlign w:val="superscript"/>
        </w:rPr>
        <w:t>os</w:t>
      </w:r>
      <w:r w:rsidR="00F01E63">
        <w:rPr>
          <w:sz w:val="22"/>
          <w:szCs w:val="22"/>
        </w:rPr>
        <w:t xml:space="preserve"> </w:t>
      </w:r>
      <w:r w:rsidR="00F01E63" w:rsidRPr="00F01E63">
        <w:rPr>
          <w:sz w:val="22"/>
          <w:szCs w:val="22"/>
        </w:rPr>
        <w:t>394/2003, 172/2004, 1.755/2004, 468/2006, 554/2008</w:t>
      </w:r>
      <w:r w:rsidR="00F01E63">
        <w:rPr>
          <w:sz w:val="22"/>
          <w:szCs w:val="22"/>
        </w:rPr>
        <w:t>,</w:t>
      </w:r>
      <w:r w:rsidR="00F01E63" w:rsidRPr="00F01E63">
        <w:rPr>
          <w:sz w:val="22"/>
          <w:szCs w:val="22"/>
        </w:rPr>
        <w:t xml:space="preserve"> 1.663/2008</w:t>
      </w:r>
      <w:r w:rsidR="00F01E63">
        <w:rPr>
          <w:sz w:val="22"/>
          <w:szCs w:val="22"/>
        </w:rPr>
        <w:t xml:space="preserve"> e </w:t>
      </w:r>
      <w:r w:rsidR="00F01E63" w:rsidRPr="00D8314B">
        <w:rPr>
          <w:sz w:val="22"/>
          <w:szCs w:val="22"/>
        </w:rPr>
        <w:t>993/2009</w:t>
      </w:r>
      <w:r w:rsidR="00F01E63" w:rsidRPr="00F01E63">
        <w:rPr>
          <w:sz w:val="22"/>
          <w:szCs w:val="22"/>
        </w:rPr>
        <w:t xml:space="preserve">, </w:t>
      </w:r>
      <w:r w:rsidR="00F01E63">
        <w:rPr>
          <w:sz w:val="22"/>
          <w:szCs w:val="22"/>
        </w:rPr>
        <w:t xml:space="preserve">todos </w:t>
      </w:r>
      <w:r w:rsidR="00F01E63" w:rsidRPr="00F01E63">
        <w:rPr>
          <w:sz w:val="22"/>
          <w:szCs w:val="22"/>
        </w:rPr>
        <w:t>do Plenário</w:t>
      </w:r>
      <w:r w:rsidR="00F01E63">
        <w:rPr>
          <w:sz w:val="22"/>
          <w:szCs w:val="22"/>
        </w:rPr>
        <w:t xml:space="preserve">. </w:t>
      </w:r>
      <w:r w:rsidR="00D8314B" w:rsidRPr="00337E16">
        <w:rPr>
          <w:b/>
          <w:i/>
          <w:sz w:val="22"/>
          <w:szCs w:val="22"/>
        </w:rPr>
        <w:t xml:space="preserve">Acórdão n.º </w:t>
      </w:r>
      <w:r w:rsidR="00D8314B">
        <w:rPr>
          <w:b/>
          <w:i/>
          <w:sz w:val="22"/>
          <w:szCs w:val="22"/>
        </w:rPr>
        <w:t>3134</w:t>
      </w:r>
      <w:r w:rsidR="00D8314B" w:rsidRPr="00337E16">
        <w:rPr>
          <w:b/>
          <w:i/>
          <w:sz w:val="22"/>
          <w:szCs w:val="22"/>
        </w:rPr>
        <w:t>/2010</w:t>
      </w:r>
      <w:r w:rsidR="00D8314B">
        <w:rPr>
          <w:b/>
          <w:i/>
          <w:sz w:val="22"/>
          <w:szCs w:val="22"/>
        </w:rPr>
        <w:t>-Plenário</w:t>
      </w:r>
      <w:r w:rsidR="00D8314B" w:rsidRPr="00337E16">
        <w:rPr>
          <w:b/>
          <w:i/>
          <w:sz w:val="22"/>
          <w:szCs w:val="22"/>
        </w:rPr>
        <w:t>, TC-0</w:t>
      </w:r>
      <w:r w:rsidR="00D8314B">
        <w:rPr>
          <w:b/>
          <w:i/>
          <w:sz w:val="22"/>
          <w:szCs w:val="22"/>
        </w:rPr>
        <w:t>06</w:t>
      </w:r>
      <w:r w:rsidR="00D8314B" w:rsidRPr="00337E16">
        <w:rPr>
          <w:b/>
          <w:i/>
          <w:sz w:val="22"/>
          <w:szCs w:val="22"/>
        </w:rPr>
        <w:t>.</w:t>
      </w:r>
      <w:r w:rsidR="00D8314B">
        <w:rPr>
          <w:b/>
          <w:i/>
          <w:sz w:val="22"/>
          <w:szCs w:val="22"/>
        </w:rPr>
        <w:t>551</w:t>
      </w:r>
      <w:r w:rsidR="00D8314B" w:rsidRPr="00337E16">
        <w:rPr>
          <w:b/>
          <w:i/>
          <w:sz w:val="22"/>
          <w:szCs w:val="22"/>
        </w:rPr>
        <w:t>/20</w:t>
      </w:r>
      <w:r w:rsidR="00D8314B">
        <w:rPr>
          <w:b/>
          <w:i/>
          <w:sz w:val="22"/>
          <w:szCs w:val="22"/>
        </w:rPr>
        <w:t>08</w:t>
      </w:r>
      <w:r w:rsidR="00D8314B" w:rsidRPr="00337E16">
        <w:rPr>
          <w:b/>
          <w:i/>
          <w:sz w:val="22"/>
          <w:szCs w:val="22"/>
        </w:rPr>
        <w:t>-</w:t>
      </w:r>
      <w:r w:rsidR="00D8314B">
        <w:rPr>
          <w:b/>
          <w:i/>
          <w:sz w:val="22"/>
          <w:szCs w:val="22"/>
        </w:rPr>
        <w:t>0</w:t>
      </w:r>
      <w:r w:rsidR="00D8314B" w:rsidRPr="00337E16">
        <w:rPr>
          <w:b/>
          <w:i/>
          <w:sz w:val="22"/>
          <w:szCs w:val="22"/>
        </w:rPr>
        <w:t>, rel. Min</w:t>
      </w:r>
      <w:r w:rsidR="00D8314B">
        <w:rPr>
          <w:b/>
          <w:i/>
          <w:sz w:val="22"/>
          <w:szCs w:val="22"/>
        </w:rPr>
        <w:t>. Augusto Nardes</w:t>
      </w:r>
      <w:r w:rsidR="00D8314B" w:rsidRPr="00337E16">
        <w:rPr>
          <w:b/>
          <w:i/>
          <w:sz w:val="22"/>
          <w:szCs w:val="22"/>
        </w:rPr>
        <w:t xml:space="preserve">, </w:t>
      </w:r>
      <w:r w:rsidR="00D8314B">
        <w:rPr>
          <w:b/>
          <w:i/>
          <w:sz w:val="22"/>
          <w:szCs w:val="22"/>
        </w:rPr>
        <w:t>24</w:t>
      </w:r>
      <w:r w:rsidR="00D8314B" w:rsidRPr="00337E16">
        <w:rPr>
          <w:b/>
          <w:i/>
          <w:sz w:val="22"/>
          <w:szCs w:val="22"/>
        </w:rPr>
        <w:t>.</w:t>
      </w:r>
      <w:r w:rsidR="00D8314B">
        <w:rPr>
          <w:b/>
          <w:i/>
          <w:sz w:val="22"/>
          <w:szCs w:val="22"/>
        </w:rPr>
        <w:t>11</w:t>
      </w:r>
      <w:r w:rsidR="00D8314B" w:rsidRPr="00337E16">
        <w:rPr>
          <w:b/>
          <w:i/>
          <w:sz w:val="22"/>
          <w:szCs w:val="22"/>
        </w:rPr>
        <w:t>.2010</w:t>
      </w:r>
      <w:r w:rsidR="00D8314B" w:rsidRPr="00337E16">
        <w:rPr>
          <w:sz w:val="22"/>
          <w:szCs w:val="22"/>
        </w:rPr>
        <w:t>.</w:t>
      </w:r>
    </w:p>
    <w:p w:rsidR="00E20830" w:rsidRDefault="00E20830" w:rsidP="00E20830">
      <w:pPr>
        <w:pStyle w:val="Pargrafo"/>
        <w:jc w:val="both"/>
        <w:rPr>
          <w:sz w:val="22"/>
          <w:szCs w:val="22"/>
        </w:rPr>
      </w:pPr>
    </w:p>
    <w:p w:rsidR="00D8314B" w:rsidRPr="00CB061E" w:rsidRDefault="00CB061E" w:rsidP="00E20830">
      <w:pPr>
        <w:pStyle w:val="Pargrafo"/>
        <w:jc w:val="both"/>
        <w:rPr>
          <w:b/>
          <w:sz w:val="22"/>
          <w:szCs w:val="22"/>
        </w:rPr>
      </w:pPr>
      <w:r>
        <w:rPr>
          <w:b/>
          <w:sz w:val="22"/>
          <w:szCs w:val="22"/>
        </w:rPr>
        <w:t>E</w:t>
      </w:r>
      <w:r w:rsidRPr="00CB061E">
        <w:rPr>
          <w:b/>
          <w:sz w:val="22"/>
          <w:szCs w:val="22"/>
        </w:rPr>
        <w:t>xigência de comprovação de rede credenciada apenas na fase de contratação</w:t>
      </w:r>
      <w:r>
        <w:rPr>
          <w:b/>
          <w:sz w:val="22"/>
          <w:szCs w:val="22"/>
        </w:rPr>
        <w:t xml:space="preserve"> e não para fim de habilitação no certame</w:t>
      </w:r>
    </w:p>
    <w:p w:rsidR="00150B44" w:rsidRPr="00337E16" w:rsidRDefault="00093239" w:rsidP="00150B44">
      <w:pPr>
        <w:pStyle w:val="Pargrafo"/>
        <w:jc w:val="both"/>
        <w:rPr>
          <w:sz w:val="22"/>
          <w:szCs w:val="22"/>
        </w:rPr>
      </w:pPr>
      <w:r>
        <w:rPr>
          <w:sz w:val="22"/>
          <w:szCs w:val="22"/>
        </w:rPr>
        <w:t>Por meio de r</w:t>
      </w:r>
      <w:r w:rsidR="00150B44" w:rsidRPr="00150B44">
        <w:rPr>
          <w:sz w:val="22"/>
          <w:szCs w:val="22"/>
        </w:rPr>
        <w:t>epresentação</w:t>
      </w:r>
      <w:r>
        <w:rPr>
          <w:sz w:val="22"/>
          <w:szCs w:val="22"/>
        </w:rPr>
        <w:t>, foi solicitada</w:t>
      </w:r>
      <w:r w:rsidR="00150B44" w:rsidRPr="00150B44">
        <w:rPr>
          <w:sz w:val="22"/>
          <w:szCs w:val="22"/>
        </w:rPr>
        <w:t xml:space="preserve"> </w:t>
      </w:r>
      <w:r w:rsidR="00FD791A">
        <w:rPr>
          <w:sz w:val="22"/>
          <w:szCs w:val="22"/>
        </w:rPr>
        <w:t xml:space="preserve">ao TCU </w:t>
      </w:r>
      <w:r w:rsidR="00150B44" w:rsidRPr="00150B44">
        <w:rPr>
          <w:sz w:val="22"/>
          <w:szCs w:val="22"/>
        </w:rPr>
        <w:t>a suspensão cautelar do Pregão Eletrônico n</w:t>
      </w:r>
      <w:r>
        <w:rPr>
          <w:sz w:val="22"/>
          <w:szCs w:val="22"/>
        </w:rPr>
        <w:t>.</w:t>
      </w:r>
      <w:r w:rsidR="00150B44" w:rsidRPr="00150B44">
        <w:rPr>
          <w:sz w:val="22"/>
          <w:szCs w:val="22"/>
        </w:rPr>
        <w:t xml:space="preserve">º 387/2010, realizado pela Amazonas Distribuidora de Energia S.A. </w:t>
      </w:r>
      <w:r>
        <w:rPr>
          <w:sz w:val="22"/>
          <w:szCs w:val="22"/>
        </w:rPr>
        <w:t>com vistas à</w:t>
      </w:r>
      <w:r w:rsidR="00150B44" w:rsidRPr="00150B44">
        <w:rPr>
          <w:sz w:val="22"/>
          <w:szCs w:val="22"/>
        </w:rPr>
        <w:t xml:space="preserve"> contratação de empresa especializada para prestar </w:t>
      </w:r>
      <w:r w:rsidRPr="00093239">
        <w:rPr>
          <w:i/>
          <w:sz w:val="22"/>
          <w:szCs w:val="22"/>
        </w:rPr>
        <w:t>“</w:t>
      </w:r>
      <w:r w:rsidR="00150B44" w:rsidRPr="00093239">
        <w:rPr>
          <w:i/>
          <w:sz w:val="22"/>
          <w:szCs w:val="22"/>
        </w:rPr>
        <w:t>serviço de fornecimento de créditos através de Cartões Refeição, Alimentação e Refeição de Hora Extra, a serem utilizados pelos empregados da companhia energética, em rede credenciada, nos termos do Programa de Alimentação do Trabalhador – PAT</w:t>
      </w:r>
      <w:r w:rsidRPr="00093239">
        <w:rPr>
          <w:i/>
          <w:sz w:val="22"/>
          <w:szCs w:val="22"/>
        </w:rPr>
        <w:t>”</w:t>
      </w:r>
      <w:r w:rsidR="00150B44" w:rsidRPr="00150B44">
        <w:rPr>
          <w:sz w:val="22"/>
          <w:szCs w:val="22"/>
        </w:rPr>
        <w:t>.</w:t>
      </w:r>
      <w:r>
        <w:rPr>
          <w:sz w:val="22"/>
          <w:szCs w:val="22"/>
        </w:rPr>
        <w:t xml:space="preserve"> </w:t>
      </w:r>
      <w:r w:rsidR="00150B44" w:rsidRPr="00150B44">
        <w:rPr>
          <w:sz w:val="22"/>
          <w:szCs w:val="22"/>
        </w:rPr>
        <w:t>A representante alegou que a exigência de qualificação técnica contida no item</w:t>
      </w:r>
      <w:r>
        <w:rPr>
          <w:sz w:val="22"/>
          <w:szCs w:val="22"/>
        </w:rPr>
        <w:t xml:space="preserve"> </w:t>
      </w:r>
      <w:r w:rsidR="00150B44" w:rsidRPr="00150B44">
        <w:rPr>
          <w:sz w:val="22"/>
          <w:szCs w:val="22"/>
        </w:rPr>
        <w:t xml:space="preserve">4.1.1.5.1.1 do edital constitui restrição ao caráter competitivo do certame, na medida em que </w:t>
      </w:r>
      <w:r w:rsidR="00FD791A">
        <w:rPr>
          <w:sz w:val="22"/>
          <w:szCs w:val="22"/>
        </w:rPr>
        <w:t xml:space="preserve">deles </w:t>
      </w:r>
      <w:r w:rsidR="00150B44" w:rsidRPr="00150B44">
        <w:rPr>
          <w:sz w:val="22"/>
          <w:szCs w:val="22"/>
        </w:rPr>
        <w:t xml:space="preserve">exige </w:t>
      </w:r>
      <w:r w:rsidR="00FD791A">
        <w:rPr>
          <w:sz w:val="22"/>
          <w:szCs w:val="22"/>
        </w:rPr>
        <w:t xml:space="preserve">prévia </w:t>
      </w:r>
      <w:r w:rsidR="00150B44" w:rsidRPr="00150B44">
        <w:rPr>
          <w:sz w:val="22"/>
          <w:szCs w:val="22"/>
        </w:rPr>
        <w:t>comprovação de rede de estabelecimentos credenciados no Estado do Amazonas, mediante relação escrita, com indicação de razão social, CNPJ e endereço.</w:t>
      </w:r>
      <w:r>
        <w:rPr>
          <w:sz w:val="22"/>
          <w:szCs w:val="22"/>
        </w:rPr>
        <w:t xml:space="preserve"> Além de</w:t>
      </w:r>
      <w:r w:rsidR="00150B44" w:rsidRPr="00150B44">
        <w:rPr>
          <w:sz w:val="22"/>
          <w:szCs w:val="22"/>
        </w:rPr>
        <w:t xml:space="preserve"> contrária à jurisprudência </w:t>
      </w:r>
      <w:r>
        <w:rPr>
          <w:sz w:val="22"/>
          <w:szCs w:val="22"/>
        </w:rPr>
        <w:t xml:space="preserve">do TCU, a exigência </w:t>
      </w:r>
      <w:r w:rsidR="00150B44" w:rsidRPr="00150B44">
        <w:rPr>
          <w:sz w:val="22"/>
          <w:szCs w:val="22"/>
        </w:rPr>
        <w:t xml:space="preserve">afasta a participação de empresas que atuam em outras regiões do Brasil, pois </w:t>
      </w:r>
      <w:r w:rsidRPr="00093239">
        <w:rPr>
          <w:i/>
          <w:sz w:val="22"/>
          <w:szCs w:val="22"/>
        </w:rPr>
        <w:t>“</w:t>
      </w:r>
      <w:r w:rsidR="00150B44" w:rsidRPr="00093239">
        <w:rPr>
          <w:i/>
          <w:sz w:val="22"/>
          <w:szCs w:val="22"/>
        </w:rPr>
        <w:t>somente as da localidade têm como provar, até a data da sessão pública, que possuem rede de estabelecimentos credenciados nos locais indicados</w:t>
      </w:r>
      <w:r w:rsidRPr="00093239">
        <w:rPr>
          <w:i/>
          <w:sz w:val="22"/>
          <w:szCs w:val="22"/>
        </w:rPr>
        <w:t>”</w:t>
      </w:r>
      <w:r w:rsidR="00150B44" w:rsidRPr="00150B44">
        <w:rPr>
          <w:sz w:val="22"/>
          <w:szCs w:val="22"/>
        </w:rPr>
        <w:t>.</w:t>
      </w:r>
      <w:r w:rsidR="004A335B">
        <w:rPr>
          <w:sz w:val="22"/>
          <w:szCs w:val="22"/>
        </w:rPr>
        <w:t xml:space="preserve"> </w:t>
      </w:r>
      <w:r w:rsidR="00150B44" w:rsidRPr="00150B44">
        <w:rPr>
          <w:sz w:val="22"/>
          <w:szCs w:val="22"/>
        </w:rPr>
        <w:t>Por meio de</w:t>
      </w:r>
      <w:r w:rsidR="004A335B">
        <w:rPr>
          <w:sz w:val="22"/>
          <w:szCs w:val="22"/>
        </w:rPr>
        <w:t xml:space="preserve"> despacho, foi </w:t>
      </w:r>
      <w:r w:rsidR="00150B44" w:rsidRPr="00150B44">
        <w:rPr>
          <w:sz w:val="22"/>
          <w:szCs w:val="22"/>
        </w:rPr>
        <w:t>determin</w:t>
      </w:r>
      <w:r w:rsidR="004A335B">
        <w:rPr>
          <w:sz w:val="22"/>
          <w:szCs w:val="22"/>
        </w:rPr>
        <w:t>ada</w:t>
      </w:r>
      <w:r w:rsidR="00150B44" w:rsidRPr="00150B44">
        <w:rPr>
          <w:sz w:val="22"/>
          <w:szCs w:val="22"/>
        </w:rPr>
        <w:t xml:space="preserve"> a suspensão cautelar do Pregão Eletrônico n</w:t>
      </w:r>
      <w:r w:rsidR="004A335B">
        <w:rPr>
          <w:sz w:val="22"/>
          <w:szCs w:val="22"/>
        </w:rPr>
        <w:t xml:space="preserve">.º </w:t>
      </w:r>
      <w:r w:rsidR="00150B44" w:rsidRPr="00150B44">
        <w:rPr>
          <w:sz w:val="22"/>
          <w:szCs w:val="22"/>
        </w:rPr>
        <w:t>387/2010, com a abertura de prazo para que os gestores se pronunciassem a respeito d</w:t>
      </w:r>
      <w:r w:rsidR="004C59FE">
        <w:rPr>
          <w:sz w:val="22"/>
          <w:szCs w:val="22"/>
        </w:rPr>
        <w:t>o provimento</w:t>
      </w:r>
      <w:r w:rsidR="00150B44" w:rsidRPr="00150B44">
        <w:rPr>
          <w:sz w:val="22"/>
          <w:szCs w:val="22"/>
        </w:rPr>
        <w:t xml:space="preserve"> cautelar.</w:t>
      </w:r>
      <w:r w:rsidR="004A335B">
        <w:rPr>
          <w:sz w:val="22"/>
          <w:szCs w:val="22"/>
        </w:rPr>
        <w:t xml:space="preserve"> </w:t>
      </w:r>
      <w:r w:rsidR="00150B44" w:rsidRPr="00150B44">
        <w:rPr>
          <w:sz w:val="22"/>
          <w:szCs w:val="22"/>
        </w:rPr>
        <w:t xml:space="preserve">Em sua manifestação, </w:t>
      </w:r>
      <w:r w:rsidR="004A335B">
        <w:rPr>
          <w:sz w:val="22"/>
          <w:szCs w:val="22"/>
        </w:rPr>
        <w:t xml:space="preserve">o </w:t>
      </w:r>
      <w:r w:rsidR="00150B44" w:rsidRPr="00150B44">
        <w:rPr>
          <w:sz w:val="22"/>
          <w:szCs w:val="22"/>
        </w:rPr>
        <w:t xml:space="preserve">Diretor-Presidente da </w:t>
      </w:r>
      <w:r w:rsidR="009E3748">
        <w:rPr>
          <w:sz w:val="22"/>
          <w:szCs w:val="22"/>
        </w:rPr>
        <w:t>entidade</w:t>
      </w:r>
      <w:r w:rsidR="00150B44" w:rsidRPr="00150B44">
        <w:rPr>
          <w:sz w:val="22"/>
          <w:szCs w:val="22"/>
        </w:rPr>
        <w:t xml:space="preserve"> ponderou que se faz</w:t>
      </w:r>
      <w:r w:rsidR="004A335B">
        <w:rPr>
          <w:sz w:val="22"/>
          <w:szCs w:val="22"/>
        </w:rPr>
        <w:t>ia</w:t>
      </w:r>
      <w:r w:rsidR="00150B44" w:rsidRPr="00150B44">
        <w:rPr>
          <w:sz w:val="22"/>
          <w:szCs w:val="22"/>
        </w:rPr>
        <w:t xml:space="preserve"> necessária uma garantia de que a futura empresa contratada ser</w:t>
      </w:r>
      <w:r w:rsidR="004A335B">
        <w:rPr>
          <w:sz w:val="22"/>
          <w:szCs w:val="22"/>
        </w:rPr>
        <w:t>ia</w:t>
      </w:r>
      <w:r w:rsidR="00150B44" w:rsidRPr="00150B44">
        <w:rPr>
          <w:sz w:val="22"/>
          <w:szCs w:val="22"/>
        </w:rPr>
        <w:t xml:space="preserve"> capaz de cadastrar um número razoável de estabelecimentos, observando as peculiaridades da região.</w:t>
      </w:r>
      <w:r w:rsidR="004A335B">
        <w:rPr>
          <w:sz w:val="22"/>
          <w:szCs w:val="22"/>
        </w:rPr>
        <w:t xml:space="preserve"> </w:t>
      </w:r>
      <w:r w:rsidR="00150B44" w:rsidRPr="00150B44">
        <w:rPr>
          <w:sz w:val="22"/>
          <w:szCs w:val="22"/>
        </w:rPr>
        <w:t xml:space="preserve">Na sequência, </w:t>
      </w:r>
      <w:r w:rsidR="004C59FE">
        <w:rPr>
          <w:sz w:val="22"/>
          <w:szCs w:val="22"/>
        </w:rPr>
        <w:t xml:space="preserve">no entanto, </w:t>
      </w:r>
      <w:r w:rsidR="004A335B">
        <w:rPr>
          <w:sz w:val="22"/>
          <w:szCs w:val="22"/>
        </w:rPr>
        <w:t>disse</w:t>
      </w:r>
      <w:r w:rsidR="00150B44" w:rsidRPr="00150B44">
        <w:rPr>
          <w:sz w:val="22"/>
          <w:szCs w:val="22"/>
        </w:rPr>
        <w:t xml:space="preserve"> textualmente</w:t>
      </w:r>
      <w:r w:rsidR="009E3748">
        <w:rPr>
          <w:sz w:val="22"/>
          <w:szCs w:val="22"/>
        </w:rPr>
        <w:t xml:space="preserve"> concordar com a exclusão da referida exigência, </w:t>
      </w:r>
      <w:r w:rsidR="009E3748">
        <w:rPr>
          <w:i/>
          <w:sz w:val="22"/>
          <w:szCs w:val="22"/>
        </w:rPr>
        <w:t>“</w:t>
      </w:r>
      <w:r w:rsidR="00150B44" w:rsidRPr="00150B44">
        <w:rPr>
          <w:i/>
          <w:sz w:val="22"/>
          <w:szCs w:val="22"/>
        </w:rPr>
        <w:t>a fim de evitar qualquer dúvida em relação à competitividade do certame”</w:t>
      </w:r>
      <w:r w:rsidR="004A335B">
        <w:rPr>
          <w:sz w:val="22"/>
          <w:szCs w:val="22"/>
        </w:rPr>
        <w:t xml:space="preserve">. </w:t>
      </w:r>
      <w:r w:rsidR="00884EBB">
        <w:rPr>
          <w:sz w:val="22"/>
          <w:szCs w:val="22"/>
        </w:rPr>
        <w:t>Assim sendo, n</w:t>
      </w:r>
      <w:r w:rsidR="004A335B">
        <w:rPr>
          <w:sz w:val="22"/>
          <w:szCs w:val="22"/>
        </w:rPr>
        <w:t xml:space="preserve">os termos do voto do relator, decidiu o Plenário </w:t>
      </w:r>
      <w:r w:rsidR="00150B44" w:rsidRPr="00150B44">
        <w:rPr>
          <w:sz w:val="22"/>
          <w:szCs w:val="22"/>
        </w:rPr>
        <w:t xml:space="preserve">revogar </w:t>
      </w:r>
      <w:r w:rsidR="009E3748">
        <w:rPr>
          <w:sz w:val="22"/>
          <w:szCs w:val="22"/>
        </w:rPr>
        <w:t>a</w:t>
      </w:r>
      <w:r w:rsidR="00150B44" w:rsidRPr="00150B44">
        <w:rPr>
          <w:sz w:val="22"/>
          <w:szCs w:val="22"/>
        </w:rPr>
        <w:t xml:space="preserve"> </w:t>
      </w:r>
      <w:r w:rsidR="00C73DA6">
        <w:rPr>
          <w:sz w:val="22"/>
          <w:szCs w:val="22"/>
        </w:rPr>
        <w:t xml:space="preserve">medida </w:t>
      </w:r>
      <w:r w:rsidR="00150B44" w:rsidRPr="00150B44">
        <w:rPr>
          <w:sz w:val="22"/>
          <w:szCs w:val="22"/>
        </w:rPr>
        <w:t xml:space="preserve">cautelar </w:t>
      </w:r>
      <w:r w:rsidR="004A335B">
        <w:rPr>
          <w:sz w:val="22"/>
          <w:szCs w:val="22"/>
        </w:rPr>
        <w:t>e</w:t>
      </w:r>
      <w:r w:rsidR="005F1D63">
        <w:rPr>
          <w:sz w:val="22"/>
          <w:szCs w:val="22"/>
        </w:rPr>
        <w:t xml:space="preserve">, já com vistas ao novo certame, </w:t>
      </w:r>
      <w:r w:rsidR="00150B44" w:rsidRPr="00150B44">
        <w:rPr>
          <w:sz w:val="22"/>
          <w:szCs w:val="22"/>
        </w:rPr>
        <w:t xml:space="preserve">determinar à </w:t>
      </w:r>
      <w:r w:rsidR="009E3748">
        <w:rPr>
          <w:sz w:val="22"/>
          <w:szCs w:val="22"/>
        </w:rPr>
        <w:t>entidade</w:t>
      </w:r>
      <w:r w:rsidR="00150B44" w:rsidRPr="00150B44">
        <w:rPr>
          <w:sz w:val="22"/>
          <w:szCs w:val="22"/>
        </w:rPr>
        <w:t xml:space="preserve"> </w:t>
      </w:r>
      <w:r w:rsidR="004A335B">
        <w:rPr>
          <w:sz w:val="22"/>
          <w:szCs w:val="22"/>
        </w:rPr>
        <w:t xml:space="preserve">que faça </w:t>
      </w:r>
      <w:r w:rsidR="00150B44" w:rsidRPr="00150B44">
        <w:rPr>
          <w:sz w:val="22"/>
          <w:szCs w:val="22"/>
        </w:rPr>
        <w:t xml:space="preserve">constar a exigência de comprovação de rede credenciada apenas na fase de contratação, com estabelecimento de um prazo razoável para que a vencedora </w:t>
      </w:r>
      <w:r w:rsidR="005F1D63">
        <w:rPr>
          <w:sz w:val="22"/>
          <w:szCs w:val="22"/>
        </w:rPr>
        <w:t>da licitação</w:t>
      </w:r>
      <w:r w:rsidR="00150B44" w:rsidRPr="00150B44">
        <w:rPr>
          <w:sz w:val="22"/>
          <w:szCs w:val="22"/>
        </w:rPr>
        <w:t xml:space="preserve"> credencie os estabelecimentos comerciais das localidades onde os </w:t>
      </w:r>
      <w:r w:rsidR="00C73DA6">
        <w:rPr>
          <w:sz w:val="22"/>
          <w:szCs w:val="22"/>
        </w:rPr>
        <w:t>empregados</w:t>
      </w:r>
      <w:r w:rsidR="00150B44" w:rsidRPr="00150B44">
        <w:rPr>
          <w:sz w:val="22"/>
          <w:szCs w:val="22"/>
        </w:rPr>
        <w:t xml:space="preserve"> da estatal estejam lotados</w:t>
      </w:r>
      <w:r w:rsidR="004A335B">
        <w:rPr>
          <w:sz w:val="22"/>
          <w:szCs w:val="22"/>
        </w:rPr>
        <w:t xml:space="preserve">. </w:t>
      </w:r>
      <w:r w:rsidR="00150B44" w:rsidRPr="00337E16">
        <w:rPr>
          <w:b/>
          <w:i/>
          <w:sz w:val="22"/>
          <w:szCs w:val="22"/>
        </w:rPr>
        <w:t xml:space="preserve">Acórdão n.º </w:t>
      </w:r>
      <w:r w:rsidR="00150B44">
        <w:rPr>
          <w:b/>
          <w:i/>
          <w:sz w:val="22"/>
          <w:szCs w:val="22"/>
        </w:rPr>
        <w:t>3156</w:t>
      </w:r>
      <w:r w:rsidR="00150B44" w:rsidRPr="00337E16">
        <w:rPr>
          <w:b/>
          <w:i/>
          <w:sz w:val="22"/>
          <w:szCs w:val="22"/>
        </w:rPr>
        <w:t>/2010</w:t>
      </w:r>
      <w:r w:rsidR="00150B44">
        <w:rPr>
          <w:b/>
          <w:i/>
          <w:sz w:val="22"/>
          <w:szCs w:val="22"/>
        </w:rPr>
        <w:t>-Plenário</w:t>
      </w:r>
      <w:r w:rsidR="00150B44" w:rsidRPr="00337E16">
        <w:rPr>
          <w:b/>
          <w:i/>
          <w:sz w:val="22"/>
          <w:szCs w:val="22"/>
        </w:rPr>
        <w:t>, TC-0</w:t>
      </w:r>
      <w:r w:rsidR="00150B44">
        <w:rPr>
          <w:b/>
          <w:i/>
          <w:sz w:val="22"/>
          <w:szCs w:val="22"/>
        </w:rPr>
        <w:t>28</w:t>
      </w:r>
      <w:r w:rsidR="00150B44" w:rsidRPr="00337E16">
        <w:rPr>
          <w:b/>
          <w:i/>
          <w:sz w:val="22"/>
          <w:szCs w:val="22"/>
        </w:rPr>
        <w:t>.</w:t>
      </w:r>
      <w:r w:rsidR="00150B44">
        <w:rPr>
          <w:b/>
          <w:i/>
          <w:sz w:val="22"/>
          <w:szCs w:val="22"/>
        </w:rPr>
        <w:t>280</w:t>
      </w:r>
      <w:r w:rsidR="00150B44" w:rsidRPr="00337E16">
        <w:rPr>
          <w:b/>
          <w:i/>
          <w:sz w:val="22"/>
          <w:szCs w:val="22"/>
        </w:rPr>
        <w:t>/20</w:t>
      </w:r>
      <w:r w:rsidR="00150B44">
        <w:rPr>
          <w:b/>
          <w:i/>
          <w:sz w:val="22"/>
          <w:szCs w:val="22"/>
        </w:rPr>
        <w:t>10</w:t>
      </w:r>
      <w:r w:rsidR="00150B44" w:rsidRPr="00337E16">
        <w:rPr>
          <w:b/>
          <w:i/>
          <w:sz w:val="22"/>
          <w:szCs w:val="22"/>
        </w:rPr>
        <w:t>-</w:t>
      </w:r>
      <w:r w:rsidR="00150B44">
        <w:rPr>
          <w:b/>
          <w:i/>
          <w:sz w:val="22"/>
          <w:szCs w:val="22"/>
        </w:rPr>
        <w:t>5</w:t>
      </w:r>
      <w:r w:rsidR="00150B44" w:rsidRPr="00337E16">
        <w:rPr>
          <w:b/>
          <w:i/>
          <w:sz w:val="22"/>
          <w:szCs w:val="22"/>
        </w:rPr>
        <w:t>, rel. Min</w:t>
      </w:r>
      <w:r w:rsidR="00150B44">
        <w:rPr>
          <w:b/>
          <w:i/>
          <w:sz w:val="22"/>
          <w:szCs w:val="22"/>
        </w:rPr>
        <w:t>. José Múcio Monteiro</w:t>
      </w:r>
      <w:r w:rsidR="00150B44" w:rsidRPr="00337E16">
        <w:rPr>
          <w:b/>
          <w:i/>
          <w:sz w:val="22"/>
          <w:szCs w:val="22"/>
        </w:rPr>
        <w:t xml:space="preserve">, </w:t>
      </w:r>
      <w:r w:rsidR="00150B44">
        <w:rPr>
          <w:b/>
          <w:i/>
          <w:sz w:val="22"/>
          <w:szCs w:val="22"/>
        </w:rPr>
        <w:t>24</w:t>
      </w:r>
      <w:r w:rsidR="00150B44" w:rsidRPr="00337E16">
        <w:rPr>
          <w:b/>
          <w:i/>
          <w:sz w:val="22"/>
          <w:szCs w:val="22"/>
        </w:rPr>
        <w:t>.</w:t>
      </w:r>
      <w:r w:rsidR="00150B44">
        <w:rPr>
          <w:b/>
          <w:i/>
          <w:sz w:val="22"/>
          <w:szCs w:val="22"/>
        </w:rPr>
        <w:t>11</w:t>
      </w:r>
      <w:r w:rsidR="00150B44" w:rsidRPr="00337E16">
        <w:rPr>
          <w:b/>
          <w:i/>
          <w:sz w:val="22"/>
          <w:szCs w:val="22"/>
        </w:rPr>
        <w:t>.2010</w:t>
      </w:r>
      <w:r w:rsidR="00150B44" w:rsidRPr="00337E16">
        <w:rPr>
          <w:sz w:val="22"/>
          <w:szCs w:val="22"/>
        </w:rPr>
        <w:t>.</w:t>
      </w:r>
    </w:p>
    <w:p w:rsidR="00D8314B" w:rsidRDefault="00D8314B" w:rsidP="00E20830">
      <w:pPr>
        <w:pStyle w:val="Pargrafo"/>
        <w:jc w:val="both"/>
        <w:rPr>
          <w:sz w:val="22"/>
          <w:szCs w:val="22"/>
        </w:rPr>
      </w:pPr>
    </w:p>
    <w:p w:rsidR="00150B44" w:rsidRPr="00CA6AE7" w:rsidRDefault="00CA6AE7" w:rsidP="00E20830">
      <w:pPr>
        <w:pStyle w:val="Pargrafo"/>
        <w:jc w:val="both"/>
        <w:rPr>
          <w:b/>
          <w:sz w:val="22"/>
          <w:szCs w:val="22"/>
        </w:rPr>
      </w:pPr>
      <w:r w:rsidRPr="00CA6AE7">
        <w:rPr>
          <w:b/>
          <w:sz w:val="22"/>
          <w:szCs w:val="22"/>
        </w:rPr>
        <w:t xml:space="preserve">Realização de concurso de projetos para seleção de </w:t>
      </w:r>
      <w:r w:rsidR="00000CEE">
        <w:rPr>
          <w:b/>
          <w:sz w:val="22"/>
          <w:szCs w:val="22"/>
        </w:rPr>
        <w:t>OSCIP</w:t>
      </w:r>
    </w:p>
    <w:p w:rsidR="00CA6AE7" w:rsidRPr="00337E16" w:rsidRDefault="009F21F1" w:rsidP="00CA6AE7">
      <w:pPr>
        <w:pStyle w:val="Pargrafo"/>
        <w:jc w:val="both"/>
        <w:rPr>
          <w:sz w:val="22"/>
          <w:szCs w:val="22"/>
        </w:rPr>
      </w:pPr>
      <w:r>
        <w:rPr>
          <w:sz w:val="22"/>
          <w:szCs w:val="22"/>
        </w:rPr>
        <w:t>R</w:t>
      </w:r>
      <w:r w:rsidR="003A30F6" w:rsidRPr="003A30F6">
        <w:rPr>
          <w:sz w:val="22"/>
          <w:szCs w:val="22"/>
        </w:rPr>
        <w:t xml:space="preserve">epresentação </w:t>
      </w:r>
      <w:r>
        <w:rPr>
          <w:sz w:val="22"/>
          <w:szCs w:val="22"/>
        </w:rPr>
        <w:t>oferecida ao TCU apontou</w:t>
      </w:r>
      <w:r w:rsidR="003A30F6" w:rsidRPr="003A30F6">
        <w:rPr>
          <w:sz w:val="22"/>
          <w:szCs w:val="22"/>
        </w:rPr>
        <w:t xml:space="preserve"> </w:t>
      </w:r>
      <w:r w:rsidRPr="003A30F6">
        <w:rPr>
          <w:sz w:val="22"/>
          <w:szCs w:val="22"/>
        </w:rPr>
        <w:t xml:space="preserve">indícios </w:t>
      </w:r>
      <w:r w:rsidR="0038596C">
        <w:rPr>
          <w:sz w:val="22"/>
          <w:szCs w:val="22"/>
        </w:rPr>
        <w:t xml:space="preserve">de </w:t>
      </w:r>
      <w:r w:rsidR="003A30F6" w:rsidRPr="003A30F6">
        <w:rPr>
          <w:sz w:val="22"/>
          <w:szCs w:val="22"/>
        </w:rPr>
        <w:t xml:space="preserve">irregularidades </w:t>
      </w:r>
      <w:r w:rsidR="0038596C">
        <w:rPr>
          <w:sz w:val="22"/>
          <w:szCs w:val="22"/>
        </w:rPr>
        <w:t>no</w:t>
      </w:r>
      <w:r w:rsidRPr="003A30F6">
        <w:rPr>
          <w:sz w:val="22"/>
          <w:szCs w:val="22"/>
        </w:rPr>
        <w:t xml:space="preserve"> Termo de Parceria </w:t>
      </w:r>
      <w:r>
        <w:rPr>
          <w:sz w:val="22"/>
          <w:szCs w:val="22"/>
        </w:rPr>
        <w:t xml:space="preserve">n.º </w:t>
      </w:r>
      <w:r w:rsidRPr="003A30F6">
        <w:rPr>
          <w:sz w:val="22"/>
          <w:szCs w:val="22"/>
        </w:rPr>
        <w:t xml:space="preserve">06/2005, </w:t>
      </w:r>
      <w:r w:rsidR="0038596C">
        <w:rPr>
          <w:sz w:val="22"/>
          <w:szCs w:val="22"/>
        </w:rPr>
        <w:t xml:space="preserve">celebrado </w:t>
      </w:r>
      <w:r w:rsidRPr="003A30F6">
        <w:rPr>
          <w:sz w:val="22"/>
          <w:szCs w:val="22"/>
        </w:rPr>
        <w:t xml:space="preserve">entre a </w:t>
      </w:r>
      <w:r w:rsidR="00001F68" w:rsidRPr="003A30F6">
        <w:rPr>
          <w:sz w:val="22"/>
          <w:szCs w:val="22"/>
        </w:rPr>
        <w:t xml:space="preserve">Fundação Nacional do Índio </w:t>
      </w:r>
      <w:r w:rsidR="00001F68">
        <w:rPr>
          <w:sz w:val="22"/>
          <w:szCs w:val="22"/>
        </w:rPr>
        <w:t>(</w:t>
      </w:r>
      <w:r w:rsidRPr="003A30F6">
        <w:rPr>
          <w:sz w:val="22"/>
          <w:szCs w:val="22"/>
        </w:rPr>
        <w:t>Funai</w:t>
      </w:r>
      <w:r w:rsidR="00001F68">
        <w:rPr>
          <w:sz w:val="22"/>
          <w:szCs w:val="22"/>
        </w:rPr>
        <w:t>)</w:t>
      </w:r>
      <w:r w:rsidRPr="003A30F6">
        <w:rPr>
          <w:sz w:val="22"/>
          <w:szCs w:val="22"/>
        </w:rPr>
        <w:t xml:space="preserve"> e a </w:t>
      </w:r>
      <w:r w:rsidR="00000CEE">
        <w:rPr>
          <w:sz w:val="22"/>
          <w:szCs w:val="22"/>
        </w:rPr>
        <w:t>OSCIP</w:t>
      </w:r>
      <w:r w:rsidRPr="003A30F6">
        <w:rPr>
          <w:sz w:val="22"/>
          <w:szCs w:val="22"/>
        </w:rPr>
        <w:t xml:space="preserve"> Via Pública, cujo objetivo </w:t>
      </w:r>
      <w:r w:rsidR="0038596C">
        <w:rPr>
          <w:sz w:val="22"/>
          <w:szCs w:val="22"/>
        </w:rPr>
        <w:t>er</w:t>
      </w:r>
      <w:r w:rsidRPr="003A30F6">
        <w:rPr>
          <w:sz w:val="22"/>
          <w:szCs w:val="22"/>
        </w:rPr>
        <w:t xml:space="preserve">a </w:t>
      </w:r>
      <w:r w:rsidR="0038596C">
        <w:rPr>
          <w:sz w:val="22"/>
          <w:szCs w:val="22"/>
        </w:rPr>
        <w:t xml:space="preserve">a </w:t>
      </w:r>
      <w:r w:rsidRPr="003A30F6">
        <w:rPr>
          <w:i/>
          <w:sz w:val="22"/>
          <w:szCs w:val="22"/>
        </w:rPr>
        <w:t>“formação de vínculo de cooperação entre as partícipes, para fomento e execução de atividades de promoção da cultura, da ética e dos direitos fundamentais dos índios e das comunidades indígenas localizadas em território nacional, por meio da execução direta e do apoio de gestão institucional dos projetos delineados</w:t>
      </w:r>
      <w:r w:rsidR="0038596C">
        <w:rPr>
          <w:i/>
          <w:sz w:val="22"/>
          <w:szCs w:val="22"/>
        </w:rPr>
        <w:t xml:space="preserve"> [...]</w:t>
      </w:r>
      <w:r w:rsidRPr="003A30F6">
        <w:rPr>
          <w:i/>
          <w:sz w:val="22"/>
          <w:szCs w:val="22"/>
        </w:rPr>
        <w:t>”</w:t>
      </w:r>
      <w:r w:rsidRPr="003A30F6">
        <w:rPr>
          <w:sz w:val="22"/>
          <w:szCs w:val="22"/>
        </w:rPr>
        <w:t>.</w:t>
      </w:r>
      <w:r>
        <w:rPr>
          <w:sz w:val="22"/>
          <w:szCs w:val="22"/>
        </w:rPr>
        <w:t xml:space="preserve"> </w:t>
      </w:r>
      <w:r w:rsidR="003A30F6">
        <w:rPr>
          <w:sz w:val="22"/>
          <w:szCs w:val="22"/>
        </w:rPr>
        <w:t>N</w:t>
      </w:r>
      <w:r w:rsidR="003A30F6" w:rsidRPr="003A30F6">
        <w:rPr>
          <w:sz w:val="22"/>
          <w:szCs w:val="22"/>
        </w:rPr>
        <w:t xml:space="preserve">o que tange à </w:t>
      </w:r>
      <w:r w:rsidR="0038596C">
        <w:rPr>
          <w:i/>
          <w:sz w:val="22"/>
          <w:szCs w:val="22"/>
        </w:rPr>
        <w:t>“c</w:t>
      </w:r>
      <w:r w:rsidR="0038596C" w:rsidRPr="003A30F6">
        <w:rPr>
          <w:i/>
          <w:sz w:val="22"/>
          <w:szCs w:val="22"/>
        </w:rPr>
        <w:t>elebração do acordo sem que houvesse motivação para a escolha da OSCIP Via Pública</w:t>
      </w:r>
      <w:r w:rsidR="0038596C">
        <w:rPr>
          <w:i/>
          <w:sz w:val="22"/>
          <w:szCs w:val="22"/>
        </w:rPr>
        <w:t>”</w:t>
      </w:r>
      <w:r w:rsidR="0038596C">
        <w:rPr>
          <w:sz w:val="22"/>
          <w:szCs w:val="22"/>
        </w:rPr>
        <w:t xml:space="preserve">, </w:t>
      </w:r>
      <w:r w:rsidR="003A30F6" w:rsidRPr="003A30F6">
        <w:rPr>
          <w:sz w:val="22"/>
          <w:szCs w:val="22"/>
        </w:rPr>
        <w:t>foram ouvidos em audiência:</w:t>
      </w:r>
      <w:r>
        <w:rPr>
          <w:sz w:val="22"/>
          <w:szCs w:val="22"/>
        </w:rPr>
        <w:t xml:space="preserve"> a</w:t>
      </w:r>
      <w:r w:rsidR="003A30F6" w:rsidRPr="003A30F6">
        <w:rPr>
          <w:sz w:val="22"/>
          <w:szCs w:val="22"/>
        </w:rPr>
        <w:t>) Coordenador-Geral de Assuntos Externos, por ter proposto a formalização da avença;</w:t>
      </w:r>
      <w:r>
        <w:rPr>
          <w:sz w:val="22"/>
          <w:szCs w:val="22"/>
        </w:rPr>
        <w:t xml:space="preserve"> </w:t>
      </w:r>
      <w:r w:rsidR="003A30F6" w:rsidRPr="003A30F6">
        <w:rPr>
          <w:sz w:val="22"/>
          <w:szCs w:val="22"/>
        </w:rPr>
        <w:t xml:space="preserve">b) </w:t>
      </w:r>
      <w:r>
        <w:rPr>
          <w:sz w:val="22"/>
          <w:szCs w:val="22"/>
        </w:rPr>
        <w:t>O</w:t>
      </w:r>
      <w:r w:rsidR="003A30F6" w:rsidRPr="003A30F6">
        <w:rPr>
          <w:sz w:val="22"/>
          <w:szCs w:val="22"/>
        </w:rPr>
        <w:t>rdenador de despesa, por ter formalizado a parceria;</w:t>
      </w:r>
      <w:r>
        <w:rPr>
          <w:sz w:val="22"/>
          <w:szCs w:val="22"/>
        </w:rPr>
        <w:t xml:space="preserve"> c) </w:t>
      </w:r>
      <w:r w:rsidR="003A30F6" w:rsidRPr="003A30F6">
        <w:rPr>
          <w:sz w:val="22"/>
          <w:szCs w:val="22"/>
        </w:rPr>
        <w:t xml:space="preserve">Procurador-Geral da Funai, por ter </w:t>
      </w:r>
      <w:r w:rsidR="008940D2">
        <w:rPr>
          <w:sz w:val="22"/>
          <w:szCs w:val="22"/>
        </w:rPr>
        <w:t>exarado</w:t>
      </w:r>
      <w:r w:rsidR="003A30F6" w:rsidRPr="003A30F6">
        <w:rPr>
          <w:sz w:val="22"/>
          <w:szCs w:val="22"/>
        </w:rPr>
        <w:t xml:space="preserve"> parecer f</w:t>
      </w:r>
      <w:r>
        <w:rPr>
          <w:sz w:val="22"/>
          <w:szCs w:val="22"/>
        </w:rPr>
        <w:t xml:space="preserve">avorável à celebração do acordo. </w:t>
      </w:r>
      <w:r w:rsidR="008940D2">
        <w:rPr>
          <w:sz w:val="22"/>
          <w:szCs w:val="22"/>
        </w:rPr>
        <w:t xml:space="preserve">Este último </w:t>
      </w:r>
      <w:r w:rsidR="00DE550B">
        <w:rPr>
          <w:sz w:val="22"/>
          <w:szCs w:val="22"/>
        </w:rPr>
        <w:t>argumentou</w:t>
      </w:r>
      <w:r w:rsidR="003A30F6" w:rsidRPr="003A30F6">
        <w:rPr>
          <w:sz w:val="22"/>
          <w:szCs w:val="22"/>
        </w:rPr>
        <w:t xml:space="preserve"> que a realização de concurso de projetos para seleção da </w:t>
      </w:r>
      <w:r w:rsidR="00000CEE">
        <w:rPr>
          <w:sz w:val="22"/>
          <w:szCs w:val="22"/>
        </w:rPr>
        <w:t>OSCIP</w:t>
      </w:r>
      <w:r w:rsidR="003A30F6" w:rsidRPr="003A30F6">
        <w:rPr>
          <w:sz w:val="22"/>
          <w:szCs w:val="22"/>
        </w:rPr>
        <w:t xml:space="preserve"> seria facultativa, em </w:t>
      </w:r>
      <w:r w:rsidR="008940D2">
        <w:rPr>
          <w:sz w:val="22"/>
          <w:szCs w:val="22"/>
        </w:rPr>
        <w:t>razão</w:t>
      </w:r>
      <w:r w:rsidR="003A30F6" w:rsidRPr="003A30F6">
        <w:rPr>
          <w:sz w:val="22"/>
          <w:szCs w:val="22"/>
        </w:rPr>
        <w:t xml:space="preserve"> do que dispõe o art. 23 do Decreto </w:t>
      </w:r>
      <w:r>
        <w:rPr>
          <w:sz w:val="22"/>
          <w:szCs w:val="22"/>
        </w:rPr>
        <w:t xml:space="preserve">n.º </w:t>
      </w:r>
      <w:r w:rsidR="003A30F6" w:rsidRPr="003A30F6">
        <w:rPr>
          <w:sz w:val="22"/>
          <w:szCs w:val="22"/>
        </w:rPr>
        <w:t>3.100/1999.</w:t>
      </w:r>
      <w:r w:rsidR="00001F68">
        <w:rPr>
          <w:sz w:val="22"/>
          <w:szCs w:val="22"/>
        </w:rPr>
        <w:t xml:space="preserve"> O relator </w:t>
      </w:r>
      <w:r w:rsidR="00DE550B">
        <w:rPr>
          <w:sz w:val="22"/>
          <w:szCs w:val="22"/>
        </w:rPr>
        <w:t>entendeu</w:t>
      </w:r>
      <w:r w:rsidR="00001F68">
        <w:rPr>
          <w:sz w:val="22"/>
          <w:szCs w:val="22"/>
        </w:rPr>
        <w:t xml:space="preserve"> que </w:t>
      </w:r>
      <w:r w:rsidR="003A30F6" w:rsidRPr="003A30F6">
        <w:rPr>
          <w:sz w:val="22"/>
          <w:szCs w:val="22"/>
        </w:rPr>
        <w:t xml:space="preserve">o parecer jurídico exarado pelo Procurador-Geral da Funai não apresentou tese jurídica absurda, em desencontro com a jurisprudência </w:t>
      </w:r>
      <w:r w:rsidR="00001F68">
        <w:rPr>
          <w:sz w:val="22"/>
          <w:szCs w:val="22"/>
        </w:rPr>
        <w:t xml:space="preserve">do TCU </w:t>
      </w:r>
      <w:r w:rsidR="003A30F6" w:rsidRPr="003A30F6">
        <w:rPr>
          <w:sz w:val="22"/>
          <w:szCs w:val="22"/>
        </w:rPr>
        <w:t>e com o normativo tomado como parâmetro</w:t>
      </w:r>
      <w:r w:rsidR="00017D7B">
        <w:rPr>
          <w:sz w:val="22"/>
          <w:szCs w:val="22"/>
        </w:rPr>
        <w:t>, isso porque</w:t>
      </w:r>
      <w:r w:rsidR="003A30F6" w:rsidRPr="003A30F6">
        <w:rPr>
          <w:sz w:val="22"/>
          <w:szCs w:val="22"/>
        </w:rPr>
        <w:t xml:space="preserve">, </w:t>
      </w:r>
      <w:r w:rsidR="00001F68" w:rsidRPr="00001F68">
        <w:rPr>
          <w:i/>
          <w:sz w:val="22"/>
          <w:szCs w:val="22"/>
        </w:rPr>
        <w:t>“</w:t>
      </w:r>
      <w:r w:rsidR="003A30F6" w:rsidRPr="00001F68">
        <w:rPr>
          <w:i/>
          <w:sz w:val="22"/>
          <w:szCs w:val="22"/>
        </w:rPr>
        <w:t>enquanto não alterado o decreto regulamentador da parceria, são possíveis os dois caminhos, ou seja, o da seleção de projetos e o da contratação direta</w:t>
      </w:r>
      <w:r w:rsidR="00001F68" w:rsidRPr="00001F68">
        <w:rPr>
          <w:i/>
          <w:sz w:val="22"/>
          <w:szCs w:val="22"/>
        </w:rPr>
        <w:t>”</w:t>
      </w:r>
      <w:r w:rsidR="003A30F6" w:rsidRPr="003A30F6">
        <w:rPr>
          <w:sz w:val="22"/>
          <w:szCs w:val="22"/>
        </w:rPr>
        <w:t>.</w:t>
      </w:r>
      <w:r w:rsidR="00001F68">
        <w:rPr>
          <w:sz w:val="22"/>
          <w:szCs w:val="22"/>
        </w:rPr>
        <w:t xml:space="preserve"> Todavia, no caso concreto, </w:t>
      </w:r>
      <w:r w:rsidR="003A30F6" w:rsidRPr="003A30F6">
        <w:rPr>
          <w:sz w:val="22"/>
          <w:szCs w:val="22"/>
        </w:rPr>
        <w:t xml:space="preserve">em face da constatação da </w:t>
      </w:r>
      <w:r w:rsidR="00001F68">
        <w:rPr>
          <w:sz w:val="22"/>
          <w:szCs w:val="22"/>
        </w:rPr>
        <w:t>unidade técnica</w:t>
      </w:r>
      <w:r w:rsidR="003A30F6" w:rsidRPr="003A30F6">
        <w:rPr>
          <w:sz w:val="22"/>
          <w:szCs w:val="22"/>
        </w:rPr>
        <w:t xml:space="preserve"> de que </w:t>
      </w:r>
      <w:r w:rsidR="008940D2">
        <w:rPr>
          <w:sz w:val="22"/>
          <w:szCs w:val="22"/>
        </w:rPr>
        <w:t xml:space="preserve">não teriam sido </w:t>
      </w:r>
      <w:r w:rsidR="003A30F6" w:rsidRPr="00D463A0">
        <w:rPr>
          <w:sz w:val="22"/>
          <w:szCs w:val="22"/>
        </w:rPr>
        <w:t>indicadas as razões de</w:t>
      </w:r>
      <w:r w:rsidR="003A30F6" w:rsidRPr="003A30F6">
        <w:rPr>
          <w:i/>
          <w:sz w:val="22"/>
          <w:szCs w:val="22"/>
        </w:rPr>
        <w:t xml:space="preserve"> </w:t>
      </w:r>
      <w:r w:rsidR="00D463A0">
        <w:rPr>
          <w:i/>
          <w:sz w:val="22"/>
          <w:szCs w:val="22"/>
        </w:rPr>
        <w:t>“</w:t>
      </w:r>
      <w:r w:rsidR="003A30F6" w:rsidRPr="003A30F6">
        <w:rPr>
          <w:i/>
          <w:sz w:val="22"/>
          <w:szCs w:val="22"/>
        </w:rPr>
        <w:t>não se promover seleção pública nem as vantagens de se optar pela Via Pública”</w:t>
      </w:r>
      <w:r w:rsidR="003A30F6" w:rsidRPr="003A30F6">
        <w:rPr>
          <w:sz w:val="22"/>
          <w:szCs w:val="22"/>
        </w:rPr>
        <w:t xml:space="preserve">, </w:t>
      </w:r>
      <w:r w:rsidR="00001F68">
        <w:rPr>
          <w:sz w:val="22"/>
          <w:szCs w:val="22"/>
        </w:rPr>
        <w:t xml:space="preserve">o relator concluiu </w:t>
      </w:r>
      <w:r w:rsidR="00D463A0">
        <w:rPr>
          <w:sz w:val="22"/>
          <w:szCs w:val="22"/>
        </w:rPr>
        <w:t>que</w:t>
      </w:r>
      <w:r w:rsidR="003A30F6" w:rsidRPr="003A30F6">
        <w:rPr>
          <w:sz w:val="22"/>
          <w:szCs w:val="22"/>
        </w:rPr>
        <w:t xml:space="preserve">, embora não lhes fosse compelida a realização de concurso de projetos, a escolha direta da </w:t>
      </w:r>
      <w:r w:rsidR="00000CEE">
        <w:rPr>
          <w:sz w:val="22"/>
          <w:szCs w:val="22"/>
        </w:rPr>
        <w:t>OSCIP</w:t>
      </w:r>
      <w:r w:rsidR="003A30F6" w:rsidRPr="003A30F6">
        <w:rPr>
          <w:sz w:val="22"/>
          <w:szCs w:val="22"/>
        </w:rPr>
        <w:t xml:space="preserve"> para a celebração de parceria que compreende a realização de atividades de interesse público a serem alcançados com apoio do parceiro privado </w:t>
      </w:r>
      <w:r w:rsidR="00001F68">
        <w:rPr>
          <w:i/>
          <w:sz w:val="22"/>
          <w:szCs w:val="22"/>
        </w:rPr>
        <w:t>“</w:t>
      </w:r>
      <w:r w:rsidR="003A30F6" w:rsidRPr="00001F68">
        <w:rPr>
          <w:i/>
          <w:sz w:val="22"/>
          <w:szCs w:val="22"/>
        </w:rPr>
        <w:t>necessita de prévia justificativa</w:t>
      </w:r>
      <w:r w:rsidR="00001F68">
        <w:rPr>
          <w:i/>
          <w:sz w:val="22"/>
          <w:szCs w:val="22"/>
        </w:rPr>
        <w:t>”</w:t>
      </w:r>
      <w:r w:rsidR="003A30F6" w:rsidRPr="003A30F6">
        <w:rPr>
          <w:sz w:val="22"/>
          <w:szCs w:val="22"/>
        </w:rPr>
        <w:t>.</w:t>
      </w:r>
      <w:r w:rsidR="00001F68">
        <w:rPr>
          <w:sz w:val="22"/>
          <w:szCs w:val="22"/>
        </w:rPr>
        <w:t xml:space="preserve"> Com base nos fundamentos apresentados pelo relator, </w:t>
      </w:r>
      <w:r w:rsidR="00D463A0">
        <w:rPr>
          <w:sz w:val="22"/>
          <w:szCs w:val="22"/>
        </w:rPr>
        <w:t xml:space="preserve">o Plenário </w:t>
      </w:r>
      <w:r w:rsidR="00DE550B">
        <w:rPr>
          <w:sz w:val="22"/>
          <w:szCs w:val="22"/>
        </w:rPr>
        <w:t>decidiu</w:t>
      </w:r>
      <w:r w:rsidR="00001F68">
        <w:rPr>
          <w:sz w:val="22"/>
          <w:szCs w:val="22"/>
        </w:rPr>
        <w:t xml:space="preserve"> </w:t>
      </w:r>
      <w:r w:rsidR="003A30F6" w:rsidRPr="003A30F6">
        <w:rPr>
          <w:sz w:val="22"/>
          <w:szCs w:val="22"/>
        </w:rPr>
        <w:t xml:space="preserve">acolher parcialmente as razões de justificativa </w:t>
      </w:r>
      <w:r w:rsidR="00001F68">
        <w:rPr>
          <w:sz w:val="22"/>
          <w:szCs w:val="22"/>
        </w:rPr>
        <w:t xml:space="preserve">apresentadas pelos responsáveis, sem prejuízo de </w:t>
      </w:r>
      <w:r w:rsidR="003A30F6" w:rsidRPr="003A30F6">
        <w:rPr>
          <w:sz w:val="22"/>
          <w:szCs w:val="22"/>
        </w:rPr>
        <w:t>determinar à Funai que</w:t>
      </w:r>
      <w:r w:rsidR="00001F68">
        <w:rPr>
          <w:sz w:val="22"/>
          <w:szCs w:val="22"/>
        </w:rPr>
        <w:t xml:space="preserve">, </w:t>
      </w:r>
      <w:r w:rsidR="003A30F6" w:rsidRPr="003A30F6">
        <w:rPr>
          <w:sz w:val="22"/>
          <w:szCs w:val="22"/>
        </w:rPr>
        <w:t xml:space="preserve">enquanto não implementada a medida recomendada no subitem 9.4 do Acórdão </w:t>
      </w:r>
      <w:r w:rsidR="00001F68">
        <w:rPr>
          <w:sz w:val="22"/>
          <w:szCs w:val="22"/>
        </w:rPr>
        <w:t xml:space="preserve">n.º </w:t>
      </w:r>
      <w:r w:rsidR="003A30F6" w:rsidRPr="003A30F6">
        <w:rPr>
          <w:sz w:val="22"/>
          <w:szCs w:val="22"/>
        </w:rPr>
        <w:t>1.777/2005</w:t>
      </w:r>
      <w:r w:rsidR="00001F68">
        <w:rPr>
          <w:sz w:val="22"/>
          <w:szCs w:val="22"/>
        </w:rPr>
        <w:t>-</w:t>
      </w:r>
      <w:r w:rsidR="003A30F6" w:rsidRPr="003A30F6">
        <w:rPr>
          <w:sz w:val="22"/>
          <w:szCs w:val="22"/>
        </w:rPr>
        <w:t xml:space="preserve">Plenário </w:t>
      </w:r>
      <w:r w:rsidR="005B3115" w:rsidRPr="005B3115">
        <w:rPr>
          <w:i/>
          <w:sz w:val="22"/>
          <w:szCs w:val="22"/>
        </w:rPr>
        <w:t>(“determinar ao Ministério do Planejamento, Orçamento e Gestão e à Casa Civil da Presidência da República que avaliem a inclusão em normativo próprio de dispositivo que obrigue a aplicação do critério de seleção de Oscip previsto no art. 23 do Decreto n.º 3.100/99 em toda e qualquer situação”</w:t>
      </w:r>
      <w:r w:rsidR="005B3115">
        <w:rPr>
          <w:sz w:val="22"/>
          <w:szCs w:val="22"/>
        </w:rPr>
        <w:t xml:space="preserve">) </w:t>
      </w:r>
      <w:r w:rsidR="003A30F6" w:rsidRPr="003A30F6">
        <w:rPr>
          <w:sz w:val="22"/>
          <w:szCs w:val="22"/>
        </w:rPr>
        <w:t xml:space="preserve">e sempre que a escolha da </w:t>
      </w:r>
      <w:r w:rsidR="00000CEE">
        <w:rPr>
          <w:sz w:val="22"/>
          <w:szCs w:val="22"/>
        </w:rPr>
        <w:t>OSCIP</w:t>
      </w:r>
      <w:r w:rsidR="003A30F6" w:rsidRPr="003A30F6">
        <w:rPr>
          <w:sz w:val="22"/>
          <w:szCs w:val="22"/>
        </w:rPr>
        <w:t xml:space="preserve"> a celebrar termo de parceria não se dê na forma de concurso de projetos, observe, nas futuras celebrações desses termos:</w:t>
      </w:r>
      <w:r w:rsidR="00001F68">
        <w:rPr>
          <w:sz w:val="22"/>
          <w:szCs w:val="22"/>
        </w:rPr>
        <w:t xml:space="preserve"> a) </w:t>
      </w:r>
      <w:r w:rsidR="00001F68" w:rsidRPr="00001F68">
        <w:rPr>
          <w:i/>
          <w:sz w:val="22"/>
          <w:szCs w:val="22"/>
        </w:rPr>
        <w:t>“</w:t>
      </w:r>
      <w:r w:rsidR="003A30F6" w:rsidRPr="00001F68">
        <w:rPr>
          <w:i/>
          <w:sz w:val="22"/>
          <w:szCs w:val="22"/>
        </w:rPr>
        <w:t>a necessidade de justificar a decisão de não realização de concurso de projetos e de opção pela escolha e contratação direta de Oscip</w:t>
      </w:r>
      <w:r w:rsidR="00001F68" w:rsidRPr="00001F68">
        <w:rPr>
          <w:i/>
          <w:sz w:val="22"/>
          <w:szCs w:val="22"/>
        </w:rPr>
        <w:t>”</w:t>
      </w:r>
      <w:r w:rsidR="003A30F6" w:rsidRPr="003A30F6">
        <w:rPr>
          <w:sz w:val="22"/>
          <w:szCs w:val="22"/>
        </w:rPr>
        <w:t>;</w:t>
      </w:r>
      <w:r w:rsidR="00001F68">
        <w:rPr>
          <w:sz w:val="22"/>
          <w:szCs w:val="22"/>
        </w:rPr>
        <w:t xml:space="preserve"> b) </w:t>
      </w:r>
      <w:r w:rsidR="00001F68" w:rsidRPr="005B3115">
        <w:rPr>
          <w:i/>
          <w:sz w:val="22"/>
          <w:szCs w:val="22"/>
        </w:rPr>
        <w:t>“</w:t>
      </w:r>
      <w:r w:rsidR="003A30F6" w:rsidRPr="005B3115">
        <w:rPr>
          <w:i/>
          <w:sz w:val="22"/>
          <w:szCs w:val="22"/>
        </w:rPr>
        <w:t>a necessidade de fazer constar nos autos do processo administrativo as justificativas de ordem técnica e operacional que levem à conclusão de ser adequada a celebração do contrato de parceria com a entidade escolhida e que indiquem ser ela capacitada para a execução do objeto do ajuste</w:t>
      </w:r>
      <w:r w:rsidR="005B3115" w:rsidRPr="005B3115">
        <w:rPr>
          <w:i/>
          <w:sz w:val="22"/>
          <w:szCs w:val="22"/>
        </w:rPr>
        <w:t>”</w:t>
      </w:r>
      <w:r w:rsidR="005B3115">
        <w:rPr>
          <w:sz w:val="22"/>
          <w:szCs w:val="22"/>
        </w:rPr>
        <w:t xml:space="preserve">. Outrossim, deliberou o Pleno no sentido de alertar </w:t>
      </w:r>
      <w:r w:rsidR="003A30F6" w:rsidRPr="003A30F6">
        <w:rPr>
          <w:sz w:val="22"/>
          <w:szCs w:val="22"/>
        </w:rPr>
        <w:t>à Funai que:</w:t>
      </w:r>
      <w:r w:rsidR="005B3115">
        <w:rPr>
          <w:sz w:val="22"/>
          <w:szCs w:val="22"/>
        </w:rPr>
        <w:t xml:space="preserve"> I) </w:t>
      </w:r>
      <w:r w:rsidR="005B3115" w:rsidRPr="005B3115">
        <w:rPr>
          <w:i/>
          <w:sz w:val="22"/>
          <w:szCs w:val="22"/>
        </w:rPr>
        <w:t>“</w:t>
      </w:r>
      <w:r w:rsidR="003A30F6" w:rsidRPr="005B3115">
        <w:rPr>
          <w:i/>
          <w:sz w:val="22"/>
          <w:szCs w:val="22"/>
        </w:rPr>
        <w:t>certifique-se, antes da celebração de termos de parceria, da capacidade técnica e operacional da entidade para execução do objeto do ajuste, conforme artigo 27, inciso II, do Decreto 3.100/99</w:t>
      </w:r>
      <w:r w:rsidR="005B3115" w:rsidRPr="005B3115">
        <w:rPr>
          <w:i/>
          <w:sz w:val="22"/>
          <w:szCs w:val="22"/>
        </w:rPr>
        <w:t>”</w:t>
      </w:r>
      <w:r w:rsidR="003A30F6" w:rsidRPr="003A30F6">
        <w:rPr>
          <w:sz w:val="22"/>
          <w:szCs w:val="22"/>
        </w:rPr>
        <w:t>;</w:t>
      </w:r>
      <w:r w:rsidR="005B3115">
        <w:rPr>
          <w:sz w:val="22"/>
          <w:szCs w:val="22"/>
        </w:rPr>
        <w:t xml:space="preserve"> II) </w:t>
      </w:r>
      <w:r w:rsidR="005B3115" w:rsidRPr="005B3115">
        <w:rPr>
          <w:i/>
          <w:sz w:val="22"/>
          <w:szCs w:val="22"/>
        </w:rPr>
        <w:t>“</w:t>
      </w:r>
      <w:r w:rsidR="003A30F6" w:rsidRPr="005B3115">
        <w:rPr>
          <w:i/>
          <w:sz w:val="22"/>
          <w:szCs w:val="22"/>
        </w:rPr>
        <w:t xml:space="preserve">inclua, nos termos de parceria firmados, as cláusulas essenciais elencadas no art. 10, § 2º, inciso I, da Lei 9.790/99, a exemplo das que tratam do objeto, da estipulação de metas e resultados e dos critérios de avaliação de desempenho a serem utilizados, abstendo-se de permitir a entrega de </w:t>
      </w:r>
      <w:r w:rsidR="005B3115">
        <w:rPr>
          <w:i/>
          <w:sz w:val="22"/>
          <w:szCs w:val="22"/>
        </w:rPr>
        <w:t>‘</w:t>
      </w:r>
      <w:r w:rsidR="003A30F6" w:rsidRPr="005B3115">
        <w:rPr>
          <w:i/>
          <w:sz w:val="22"/>
          <w:szCs w:val="22"/>
        </w:rPr>
        <w:t>plano de trabalho detalhado</w:t>
      </w:r>
      <w:r w:rsidR="005B3115">
        <w:rPr>
          <w:i/>
          <w:sz w:val="22"/>
          <w:szCs w:val="22"/>
        </w:rPr>
        <w:t>’</w:t>
      </w:r>
      <w:r w:rsidR="003A30F6" w:rsidRPr="005B3115">
        <w:rPr>
          <w:i/>
          <w:sz w:val="22"/>
          <w:szCs w:val="22"/>
        </w:rPr>
        <w:t xml:space="preserve"> em momento posterior à assinatura da avença, como ocorrido no Termo de Parceria 6/2005</w:t>
      </w:r>
      <w:r w:rsidR="005B3115" w:rsidRPr="005B3115">
        <w:rPr>
          <w:i/>
          <w:sz w:val="22"/>
          <w:szCs w:val="22"/>
        </w:rPr>
        <w:t>”</w:t>
      </w:r>
      <w:r w:rsidR="003A30F6" w:rsidRPr="003A30F6">
        <w:rPr>
          <w:sz w:val="22"/>
          <w:szCs w:val="22"/>
        </w:rPr>
        <w:t>;</w:t>
      </w:r>
      <w:r w:rsidR="005B3115">
        <w:rPr>
          <w:sz w:val="22"/>
          <w:szCs w:val="22"/>
        </w:rPr>
        <w:t xml:space="preserve"> III) </w:t>
      </w:r>
      <w:r w:rsidR="005B3115" w:rsidRPr="005B3115">
        <w:rPr>
          <w:i/>
          <w:sz w:val="22"/>
          <w:szCs w:val="22"/>
        </w:rPr>
        <w:t>“</w:t>
      </w:r>
      <w:r w:rsidR="003A30F6" w:rsidRPr="005B3115">
        <w:rPr>
          <w:i/>
          <w:sz w:val="22"/>
          <w:szCs w:val="22"/>
        </w:rPr>
        <w:t>exija dos parceiros privados, ao firmar termos de parceria, a publicação do extrato de execução física e financeira prevista no art. 18 do Decreto 3.100/99</w:t>
      </w:r>
      <w:r w:rsidR="005B3115" w:rsidRPr="005B3115">
        <w:rPr>
          <w:i/>
          <w:sz w:val="22"/>
          <w:szCs w:val="22"/>
        </w:rPr>
        <w:t>”</w:t>
      </w:r>
      <w:r w:rsidR="003A30F6" w:rsidRPr="003A30F6">
        <w:rPr>
          <w:sz w:val="22"/>
          <w:szCs w:val="22"/>
        </w:rPr>
        <w:t>;</w:t>
      </w:r>
      <w:r w:rsidR="005B3115">
        <w:rPr>
          <w:sz w:val="22"/>
          <w:szCs w:val="22"/>
        </w:rPr>
        <w:t xml:space="preserve"> IV) </w:t>
      </w:r>
      <w:r w:rsidR="005B3115" w:rsidRPr="005B3115">
        <w:rPr>
          <w:i/>
          <w:sz w:val="22"/>
          <w:szCs w:val="22"/>
        </w:rPr>
        <w:t>“</w:t>
      </w:r>
      <w:r w:rsidR="003A30F6" w:rsidRPr="005B3115">
        <w:rPr>
          <w:i/>
          <w:sz w:val="22"/>
          <w:szCs w:val="22"/>
        </w:rPr>
        <w:t>atente para a exatidão dos dados constantes nas prestações de contas encaminhadas pelas entidades recebedoras de recursos repassados a título de transferência voluntária, abstendo-se de aprová-las caso estejam em desacordo com o disposto na Portaria Interministerial MF/MPOG/CGU 127/2008 e no Decreto 3.100/99, conforme o caso</w:t>
      </w:r>
      <w:r w:rsidR="005B3115" w:rsidRPr="005B3115">
        <w:rPr>
          <w:i/>
          <w:sz w:val="22"/>
          <w:szCs w:val="22"/>
        </w:rPr>
        <w:t>”</w:t>
      </w:r>
      <w:r w:rsidR="005B3115">
        <w:rPr>
          <w:sz w:val="22"/>
          <w:szCs w:val="22"/>
        </w:rPr>
        <w:t xml:space="preserve">. </w:t>
      </w:r>
      <w:r>
        <w:rPr>
          <w:sz w:val="22"/>
          <w:szCs w:val="22"/>
        </w:rPr>
        <w:t xml:space="preserve">Precedentes citados: </w:t>
      </w:r>
      <w:r w:rsidRPr="003A30F6">
        <w:rPr>
          <w:sz w:val="22"/>
          <w:szCs w:val="22"/>
        </w:rPr>
        <w:t>Acórdão</w:t>
      </w:r>
      <w:r w:rsidR="005B3115">
        <w:rPr>
          <w:sz w:val="22"/>
          <w:szCs w:val="22"/>
        </w:rPr>
        <w:t>s</w:t>
      </w:r>
      <w:r w:rsidRPr="003A30F6">
        <w:rPr>
          <w:sz w:val="22"/>
          <w:szCs w:val="22"/>
        </w:rPr>
        <w:t xml:space="preserve"> </w:t>
      </w:r>
      <w:r>
        <w:rPr>
          <w:sz w:val="22"/>
          <w:szCs w:val="22"/>
        </w:rPr>
        <w:t>n.</w:t>
      </w:r>
      <w:r w:rsidR="005B3115" w:rsidRPr="005B3115">
        <w:rPr>
          <w:sz w:val="22"/>
          <w:szCs w:val="22"/>
          <w:vertAlign w:val="superscript"/>
        </w:rPr>
        <w:t>os</w:t>
      </w:r>
      <w:r>
        <w:rPr>
          <w:sz w:val="22"/>
          <w:szCs w:val="22"/>
        </w:rPr>
        <w:t xml:space="preserve"> </w:t>
      </w:r>
      <w:r w:rsidRPr="003A30F6">
        <w:rPr>
          <w:sz w:val="22"/>
          <w:szCs w:val="22"/>
        </w:rPr>
        <w:t>1.777/2005-Plenário</w:t>
      </w:r>
      <w:r w:rsidR="005B3115">
        <w:rPr>
          <w:sz w:val="22"/>
          <w:szCs w:val="22"/>
        </w:rPr>
        <w:t xml:space="preserve"> e </w:t>
      </w:r>
      <w:r w:rsidRPr="003A30F6">
        <w:rPr>
          <w:sz w:val="22"/>
          <w:szCs w:val="22"/>
        </w:rPr>
        <w:t>440/2010-1ª C</w:t>
      </w:r>
      <w:r w:rsidR="005B3115">
        <w:rPr>
          <w:sz w:val="22"/>
          <w:szCs w:val="22"/>
        </w:rPr>
        <w:t>âmara</w:t>
      </w:r>
      <w:r>
        <w:rPr>
          <w:sz w:val="22"/>
          <w:szCs w:val="22"/>
        </w:rPr>
        <w:t>.</w:t>
      </w:r>
      <w:r w:rsidR="005B3115">
        <w:rPr>
          <w:sz w:val="22"/>
          <w:szCs w:val="22"/>
        </w:rPr>
        <w:t xml:space="preserve"> </w:t>
      </w:r>
      <w:r w:rsidR="00CA6AE7" w:rsidRPr="00337E16">
        <w:rPr>
          <w:b/>
          <w:i/>
          <w:sz w:val="22"/>
          <w:szCs w:val="22"/>
        </w:rPr>
        <w:t xml:space="preserve">Acórdão n.º </w:t>
      </w:r>
      <w:r w:rsidR="00CA6AE7">
        <w:rPr>
          <w:b/>
          <w:i/>
          <w:sz w:val="22"/>
          <w:szCs w:val="22"/>
        </w:rPr>
        <w:t>31</w:t>
      </w:r>
      <w:r w:rsidR="003A30F6">
        <w:rPr>
          <w:b/>
          <w:i/>
          <w:sz w:val="22"/>
          <w:szCs w:val="22"/>
        </w:rPr>
        <w:t>25</w:t>
      </w:r>
      <w:r w:rsidR="00CA6AE7" w:rsidRPr="00337E16">
        <w:rPr>
          <w:b/>
          <w:i/>
          <w:sz w:val="22"/>
          <w:szCs w:val="22"/>
        </w:rPr>
        <w:t>/2010</w:t>
      </w:r>
      <w:r w:rsidR="00CA6AE7">
        <w:rPr>
          <w:b/>
          <w:i/>
          <w:sz w:val="22"/>
          <w:szCs w:val="22"/>
        </w:rPr>
        <w:t>-Plenário</w:t>
      </w:r>
      <w:r w:rsidR="00CA6AE7" w:rsidRPr="00337E16">
        <w:rPr>
          <w:b/>
          <w:i/>
          <w:sz w:val="22"/>
          <w:szCs w:val="22"/>
        </w:rPr>
        <w:t>, TC-0</w:t>
      </w:r>
      <w:r w:rsidR="003A30F6">
        <w:rPr>
          <w:b/>
          <w:i/>
          <w:sz w:val="22"/>
          <w:szCs w:val="22"/>
        </w:rPr>
        <w:t>16</w:t>
      </w:r>
      <w:r w:rsidR="00CA6AE7" w:rsidRPr="00337E16">
        <w:rPr>
          <w:b/>
          <w:i/>
          <w:sz w:val="22"/>
          <w:szCs w:val="22"/>
        </w:rPr>
        <w:t>.</w:t>
      </w:r>
      <w:r w:rsidR="003A30F6">
        <w:rPr>
          <w:b/>
          <w:i/>
          <w:sz w:val="22"/>
          <w:szCs w:val="22"/>
        </w:rPr>
        <w:t>443</w:t>
      </w:r>
      <w:r w:rsidR="00CA6AE7" w:rsidRPr="00337E16">
        <w:rPr>
          <w:b/>
          <w:i/>
          <w:sz w:val="22"/>
          <w:szCs w:val="22"/>
        </w:rPr>
        <w:t>/20</w:t>
      </w:r>
      <w:r w:rsidR="003A30F6">
        <w:rPr>
          <w:b/>
          <w:i/>
          <w:sz w:val="22"/>
          <w:szCs w:val="22"/>
        </w:rPr>
        <w:t>06</w:t>
      </w:r>
      <w:r w:rsidR="00CA6AE7" w:rsidRPr="00337E16">
        <w:rPr>
          <w:b/>
          <w:i/>
          <w:sz w:val="22"/>
          <w:szCs w:val="22"/>
        </w:rPr>
        <w:t>-</w:t>
      </w:r>
      <w:r w:rsidR="003A30F6">
        <w:rPr>
          <w:b/>
          <w:i/>
          <w:sz w:val="22"/>
          <w:szCs w:val="22"/>
        </w:rPr>
        <w:t>0</w:t>
      </w:r>
      <w:r w:rsidR="00CA6AE7" w:rsidRPr="00337E16">
        <w:rPr>
          <w:b/>
          <w:i/>
          <w:sz w:val="22"/>
          <w:szCs w:val="22"/>
        </w:rPr>
        <w:t>, rel. Min</w:t>
      </w:r>
      <w:r w:rsidR="00CA6AE7">
        <w:rPr>
          <w:b/>
          <w:i/>
          <w:sz w:val="22"/>
          <w:szCs w:val="22"/>
        </w:rPr>
        <w:t xml:space="preserve">-Subst. </w:t>
      </w:r>
      <w:r w:rsidR="003A30F6">
        <w:rPr>
          <w:b/>
          <w:i/>
          <w:sz w:val="22"/>
          <w:szCs w:val="22"/>
        </w:rPr>
        <w:t>Augusto Sherman Cavalcanti</w:t>
      </w:r>
      <w:r w:rsidR="00CA6AE7" w:rsidRPr="00337E16">
        <w:rPr>
          <w:b/>
          <w:i/>
          <w:sz w:val="22"/>
          <w:szCs w:val="22"/>
        </w:rPr>
        <w:t xml:space="preserve">, </w:t>
      </w:r>
      <w:r w:rsidR="00CA6AE7">
        <w:rPr>
          <w:b/>
          <w:i/>
          <w:sz w:val="22"/>
          <w:szCs w:val="22"/>
        </w:rPr>
        <w:t>24</w:t>
      </w:r>
      <w:r w:rsidR="00CA6AE7" w:rsidRPr="00337E16">
        <w:rPr>
          <w:b/>
          <w:i/>
          <w:sz w:val="22"/>
          <w:szCs w:val="22"/>
        </w:rPr>
        <w:t>.</w:t>
      </w:r>
      <w:r w:rsidR="00CA6AE7">
        <w:rPr>
          <w:b/>
          <w:i/>
          <w:sz w:val="22"/>
          <w:szCs w:val="22"/>
        </w:rPr>
        <w:t>11</w:t>
      </w:r>
      <w:r w:rsidR="00CA6AE7" w:rsidRPr="00337E16">
        <w:rPr>
          <w:b/>
          <w:i/>
          <w:sz w:val="22"/>
          <w:szCs w:val="22"/>
        </w:rPr>
        <w:t>.2010</w:t>
      </w:r>
      <w:r w:rsidR="00CA6AE7" w:rsidRPr="00337E16">
        <w:rPr>
          <w:sz w:val="22"/>
          <w:szCs w:val="22"/>
        </w:rPr>
        <w:t>.</w:t>
      </w:r>
    </w:p>
    <w:p w:rsidR="00D8314B" w:rsidRDefault="00D8314B" w:rsidP="00E20830">
      <w:pPr>
        <w:pStyle w:val="Pargrafo"/>
        <w:jc w:val="both"/>
        <w:rPr>
          <w:sz w:val="22"/>
          <w:szCs w:val="22"/>
        </w:rPr>
      </w:pPr>
    </w:p>
    <w:p w:rsidR="00CA6AE7" w:rsidRPr="003616DD" w:rsidRDefault="003616DD" w:rsidP="00E20830">
      <w:pPr>
        <w:pStyle w:val="Pargrafo"/>
        <w:jc w:val="both"/>
        <w:rPr>
          <w:b/>
          <w:sz w:val="22"/>
          <w:szCs w:val="22"/>
        </w:rPr>
      </w:pPr>
      <w:r w:rsidRPr="003616DD">
        <w:rPr>
          <w:b/>
          <w:sz w:val="22"/>
          <w:szCs w:val="22"/>
        </w:rPr>
        <w:t>Necessidade da redução do montante contratado em decorrência da indevida inclusão do IRPJ e da CSLL na planilha contratual</w:t>
      </w:r>
    </w:p>
    <w:p w:rsidR="003616DD" w:rsidRPr="00963DA4" w:rsidRDefault="003616DD" w:rsidP="003616DD">
      <w:pPr>
        <w:pStyle w:val="Pargrafo"/>
        <w:jc w:val="both"/>
        <w:rPr>
          <w:sz w:val="22"/>
          <w:szCs w:val="22"/>
        </w:rPr>
      </w:pPr>
      <w:r w:rsidRPr="003616DD">
        <w:rPr>
          <w:sz w:val="22"/>
          <w:szCs w:val="22"/>
        </w:rPr>
        <w:t>Por meio do Acórdão n.</w:t>
      </w:r>
      <w:r w:rsidR="00C0101C">
        <w:rPr>
          <w:sz w:val="22"/>
          <w:szCs w:val="22"/>
        </w:rPr>
        <w:t>º</w:t>
      </w:r>
      <w:r w:rsidRPr="003616DD">
        <w:rPr>
          <w:sz w:val="22"/>
          <w:szCs w:val="22"/>
        </w:rPr>
        <w:t xml:space="preserve"> 1.119/2010</w:t>
      </w:r>
      <w:r w:rsidR="00C0101C">
        <w:rPr>
          <w:sz w:val="22"/>
          <w:szCs w:val="22"/>
        </w:rPr>
        <w:t>-</w:t>
      </w:r>
      <w:r w:rsidRPr="003616DD">
        <w:rPr>
          <w:sz w:val="22"/>
          <w:szCs w:val="22"/>
        </w:rPr>
        <w:t>Plenário, o Tribunal fixou prazo para que a Secretaria de Infraestrutura do Rio Grande do Norte e a Companhia Estadual de Habitação e Desenvolvimento Urbano – Cehab/RN adotassem providências relativas ao Contrato n.</w:t>
      </w:r>
      <w:r w:rsidR="00C0101C">
        <w:rPr>
          <w:sz w:val="22"/>
          <w:szCs w:val="22"/>
        </w:rPr>
        <w:t>º</w:t>
      </w:r>
      <w:r w:rsidRPr="003616DD">
        <w:rPr>
          <w:sz w:val="22"/>
          <w:szCs w:val="22"/>
        </w:rPr>
        <w:t xml:space="preserve"> 039/2008-SIN,</w:t>
      </w:r>
      <w:r w:rsidR="00D92A7A">
        <w:rPr>
          <w:sz w:val="22"/>
          <w:szCs w:val="22"/>
        </w:rPr>
        <w:t xml:space="preserve"> </w:t>
      </w:r>
      <w:r w:rsidR="00016762" w:rsidRPr="003616DD">
        <w:rPr>
          <w:sz w:val="22"/>
          <w:szCs w:val="22"/>
        </w:rPr>
        <w:t>firmado com a empresa Dois A Engenharia e Tecnologia Ltda.,</w:t>
      </w:r>
      <w:r w:rsidR="00016762">
        <w:rPr>
          <w:sz w:val="22"/>
          <w:szCs w:val="22"/>
        </w:rPr>
        <w:t xml:space="preserve"> destinado</w:t>
      </w:r>
      <w:r w:rsidR="00D92A7A">
        <w:rPr>
          <w:sz w:val="22"/>
          <w:szCs w:val="22"/>
        </w:rPr>
        <w:t xml:space="preserve"> à </w:t>
      </w:r>
      <w:r w:rsidR="00D92A7A" w:rsidRPr="003616DD">
        <w:rPr>
          <w:sz w:val="22"/>
          <w:szCs w:val="22"/>
        </w:rPr>
        <w:t>construção de unidades habitacionais em Natal/RN</w:t>
      </w:r>
      <w:r w:rsidR="00D92A7A">
        <w:rPr>
          <w:sz w:val="22"/>
          <w:szCs w:val="22"/>
        </w:rPr>
        <w:t>,</w:t>
      </w:r>
      <w:r w:rsidR="00D92A7A" w:rsidRPr="003616DD">
        <w:rPr>
          <w:sz w:val="22"/>
          <w:szCs w:val="22"/>
        </w:rPr>
        <w:t xml:space="preserve"> </w:t>
      </w:r>
      <w:r w:rsidR="00C0101C">
        <w:rPr>
          <w:i/>
          <w:sz w:val="22"/>
          <w:szCs w:val="22"/>
        </w:rPr>
        <w:t>“</w:t>
      </w:r>
      <w:r w:rsidRPr="004E2AAD">
        <w:rPr>
          <w:i/>
          <w:sz w:val="22"/>
          <w:szCs w:val="22"/>
        </w:rPr>
        <w:t>no tocante às parcelas pagas e a pagar, devendo ser encaminhados a este TCU, no mesmo prazo, documentos comprobatórios das medidas implementadas</w:t>
      </w:r>
      <w:r w:rsidR="00C0101C">
        <w:rPr>
          <w:i/>
          <w:sz w:val="22"/>
          <w:szCs w:val="22"/>
        </w:rPr>
        <w:t>”</w:t>
      </w:r>
      <w:r w:rsidR="00C0101C">
        <w:rPr>
          <w:sz w:val="22"/>
          <w:szCs w:val="22"/>
        </w:rPr>
        <w:t xml:space="preserve"> </w:t>
      </w:r>
      <w:r w:rsidR="00016762">
        <w:rPr>
          <w:sz w:val="22"/>
          <w:szCs w:val="22"/>
        </w:rPr>
        <w:t>pertinentes</w:t>
      </w:r>
      <w:r w:rsidR="00C0101C">
        <w:rPr>
          <w:sz w:val="22"/>
          <w:szCs w:val="22"/>
        </w:rPr>
        <w:t xml:space="preserve"> à </w:t>
      </w:r>
      <w:r w:rsidR="00C0101C">
        <w:rPr>
          <w:i/>
          <w:sz w:val="22"/>
          <w:szCs w:val="22"/>
        </w:rPr>
        <w:t>“</w:t>
      </w:r>
      <w:r w:rsidRPr="004E2AAD">
        <w:rPr>
          <w:i/>
          <w:sz w:val="22"/>
          <w:szCs w:val="22"/>
        </w:rPr>
        <w:t xml:space="preserve">regularização dos itens indevidamente considerados como BDI, a seguir discriminados: </w:t>
      </w:r>
      <w:r w:rsidR="00C0101C">
        <w:rPr>
          <w:i/>
          <w:sz w:val="22"/>
          <w:szCs w:val="22"/>
        </w:rPr>
        <w:t>[</w:t>
      </w:r>
      <w:r w:rsidRPr="004E2AAD">
        <w:rPr>
          <w:i/>
          <w:sz w:val="22"/>
          <w:szCs w:val="22"/>
        </w:rPr>
        <w:t>...</w:t>
      </w:r>
      <w:r w:rsidR="00C0101C">
        <w:rPr>
          <w:i/>
          <w:sz w:val="22"/>
          <w:szCs w:val="22"/>
        </w:rPr>
        <w:t xml:space="preserve">] </w:t>
      </w:r>
      <w:r w:rsidRPr="004E2AAD">
        <w:rPr>
          <w:i/>
          <w:sz w:val="22"/>
          <w:szCs w:val="22"/>
        </w:rPr>
        <w:t>os tributos IRPJ e CSLL, que devem deixar de integrar o cálculo do LDI e a planilha de custo direto, por se constituírem em tributos de natureza direta e personalística, que oneram pessoalmente o contratado, não devendo ser repassado</w:t>
      </w:r>
      <w:r w:rsidR="00AA2EA4">
        <w:rPr>
          <w:i/>
          <w:sz w:val="22"/>
          <w:szCs w:val="22"/>
        </w:rPr>
        <w:t>s</w:t>
      </w:r>
      <w:r w:rsidRPr="004E2AAD">
        <w:rPr>
          <w:i/>
          <w:sz w:val="22"/>
          <w:szCs w:val="22"/>
        </w:rPr>
        <w:t xml:space="preserve"> à contratante</w:t>
      </w:r>
      <w:r w:rsidR="004E2AAD" w:rsidRPr="004E2AAD">
        <w:rPr>
          <w:i/>
          <w:sz w:val="22"/>
          <w:szCs w:val="22"/>
        </w:rPr>
        <w:t>”</w:t>
      </w:r>
      <w:r w:rsidR="00D92A7A">
        <w:rPr>
          <w:sz w:val="22"/>
          <w:szCs w:val="22"/>
        </w:rPr>
        <w:t xml:space="preserve"> (subitem 9.1.2 do acórdão)</w:t>
      </w:r>
      <w:r w:rsidR="00C0101C">
        <w:rPr>
          <w:sz w:val="22"/>
          <w:szCs w:val="22"/>
        </w:rPr>
        <w:t xml:space="preserve">. </w:t>
      </w:r>
      <w:r w:rsidR="00635915">
        <w:rPr>
          <w:sz w:val="22"/>
          <w:szCs w:val="22"/>
        </w:rPr>
        <w:t>Além de</w:t>
      </w:r>
      <w:r w:rsidR="00AA2EA4">
        <w:rPr>
          <w:sz w:val="22"/>
          <w:szCs w:val="22"/>
        </w:rPr>
        <w:t xml:space="preserve"> constatar</w:t>
      </w:r>
      <w:r w:rsidRPr="003616DD">
        <w:rPr>
          <w:sz w:val="22"/>
          <w:szCs w:val="22"/>
        </w:rPr>
        <w:t xml:space="preserve"> que </w:t>
      </w:r>
      <w:r w:rsidR="00C0101C">
        <w:rPr>
          <w:sz w:val="22"/>
          <w:szCs w:val="22"/>
        </w:rPr>
        <w:t>o</w:t>
      </w:r>
      <w:r w:rsidR="004E2AAD" w:rsidRPr="004E2AAD">
        <w:rPr>
          <w:sz w:val="22"/>
          <w:szCs w:val="22"/>
        </w:rPr>
        <w:t xml:space="preserve"> IRPJ e a CSLL </w:t>
      </w:r>
      <w:r w:rsidR="00635915">
        <w:rPr>
          <w:sz w:val="22"/>
          <w:szCs w:val="22"/>
        </w:rPr>
        <w:t>teriam</w:t>
      </w:r>
      <w:r w:rsidR="000E3EDA">
        <w:rPr>
          <w:sz w:val="22"/>
          <w:szCs w:val="22"/>
        </w:rPr>
        <w:t xml:space="preserve"> sido</w:t>
      </w:r>
      <w:r w:rsidR="00635915">
        <w:rPr>
          <w:sz w:val="22"/>
          <w:szCs w:val="22"/>
        </w:rPr>
        <w:t xml:space="preserve">, ao final, </w:t>
      </w:r>
      <w:r w:rsidR="004E2AAD" w:rsidRPr="004E2AAD">
        <w:rPr>
          <w:sz w:val="22"/>
          <w:szCs w:val="22"/>
        </w:rPr>
        <w:t>excluídos do BDI</w:t>
      </w:r>
      <w:r w:rsidR="00AA2EA4">
        <w:rPr>
          <w:sz w:val="22"/>
          <w:szCs w:val="22"/>
        </w:rPr>
        <w:t>, a u</w:t>
      </w:r>
      <w:r w:rsidR="00AA2EA4" w:rsidRPr="003616DD">
        <w:rPr>
          <w:sz w:val="22"/>
          <w:szCs w:val="22"/>
        </w:rPr>
        <w:t xml:space="preserve">nidade </w:t>
      </w:r>
      <w:r w:rsidR="00AA2EA4">
        <w:rPr>
          <w:sz w:val="22"/>
          <w:szCs w:val="22"/>
        </w:rPr>
        <w:t>t</w:t>
      </w:r>
      <w:r w:rsidR="00AA2EA4" w:rsidRPr="003616DD">
        <w:rPr>
          <w:sz w:val="22"/>
          <w:szCs w:val="22"/>
        </w:rPr>
        <w:t>écnica</w:t>
      </w:r>
      <w:r w:rsidRPr="003616DD">
        <w:rPr>
          <w:sz w:val="22"/>
          <w:szCs w:val="22"/>
        </w:rPr>
        <w:t xml:space="preserve"> </w:t>
      </w:r>
      <w:r w:rsidR="00635915">
        <w:rPr>
          <w:sz w:val="22"/>
          <w:szCs w:val="22"/>
        </w:rPr>
        <w:t>acenou no sentido de</w:t>
      </w:r>
      <w:r w:rsidRPr="003616DD">
        <w:rPr>
          <w:sz w:val="22"/>
          <w:szCs w:val="22"/>
        </w:rPr>
        <w:t xml:space="preserve"> que a inclusão daqueles tributos no BDI orçado não </w:t>
      </w:r>
      <w:r w:rsidR="00635915">
        <w:rPr>
          <w:sz w:val="22"/>
          <w:szCs w:val="22"/>
        </w:rPr>
        <w:t>ocasionara</w:t>
      </w:r>
      <w:r w:rsidRPr="003616DD">
        <w:rPr>
          <w:sz w:val="22"/>
          <w:szCs w:val="22"/>
        </w:rPr>
        <w:t xml:space="preserve"> sobrepreço.</w:t>
      </w:r>
      <w:r w:rsidR="00C0101C">
        <w:rPr>
          <w:sz w:val="22"/>
          <w:szCs w:val="22"/>
        </w:rPr>
        <w:t xml:space="preserve"> </w:t>
      </w:r>
      <w:r w:rsidR="00681D9E">
        <w:rPr>
          <w:sz w:val="22"/>
          <w:szCs w:val="22"/>
        </w:rPr>
        <w:t>Reportando-se,</w:t>
      </w:r>
      <w:r w:rsidRPr="003616DD">
        <w:rPr>
          <w:sz w:val="22"/>
          <w:szCs w:val="22"/>
        </w:rPr>
        <w:t xml:space="preserve"> </w:t>
      </w:r>
      <w:r w:rsidR="00681D9E">
        <w:rPr>
          <w:sz w:val="22"/>
          <w:szCs w:val="22"/>
        </w:rPr>
        <w:t>ainda, ao</w:t>
      </w:r>
      <w:r w:rsidRPr="003616DD">
        <w:rPr>
          <w:sz w:val="22"/>
          <w:szCs w:val="22"/>
        </w:rPr>
        <w:t xml:space="preserve"> </w:t>
      </w:r>
      <w:r w:rsidR="00C0101C">
        <w:rPr>
          <w:sz w:val="22"/>
          <w:szCs w:val="22"/>
        </w:rPr>
        <w:t>voto condutor do</w:t>
      </w:r>
      <w:r w:rsidRPr="003616DD">
        <w:rPr>
          <w:sz w:val="22"/>
          <w:szCs w:val="22"/>
        </w:rPr>
        <w:t xml:space="preserve"> Acórdão n.</w:t>
      </w:r>
      <w:r w:rsidR="00C0101C">
        <w:rPr>
          <w:sz w:val="22"/>
          <w:szCs w:val="22"/>
        </w:rPr>
        <w:t>º</w:t>
      </w:r>
      <w:r w:rsidRPr="003616DD">
        <w:rPr>
          <w:sz w:val="22"/>
          <w:szCs w:val="22"/>
        </w:rPr>
        <w:t xml:space="preserve"> 1.034/2010</w:t>
      </w:r>
      <w:r w:rsidR="00C0101C">
        <w:rPr>
          <w:sz w:val="22"/>
          <w:szCs w:val="22"/>
        </w:rPr>
        <w:t>-</w:t>
      </w:r>
      <w:r w:rsidRPr="003616DD">
        <w:rPr>
          <w:sz w:val="22"/>
          <w:szCs w:val="22"/>
        </w:rPr>
        <w:t xml:space="preserve">Plenário, </w:t>
      </w:r>
      <w:r w:rsidR="00635915">
        <w:rPr>
          <w:sz w:val="22"/>
          <w:szCs w:val="22"/>
        </w:rPr>
        <w:t xml:space="preserve">a unidade </w:t>
      </w:r>
      <w:r w:rsidR="00681D9E">
        <w:rPr>
          <w:sz w:val="22"/>
          <w:szCs w:val="22"/>
        </w:rPr>
        <w:t>instrutiva</w:t>
      </w:r>
      <w:r w:rsidR="00635915">
        <w:rPr>
          <w:sz w:val="22"/>
          <w:szCs w:val="22"/>
        </w:rPr>
        <w:t xml:space="preserve"> asseverou que</w:t>
      </w:r>
      <w:r w:rsidR="00681D9E">
        <w:rPr>
          <w:sz w:val="22"/>
          <w:szCs w:val="22"/>
        </w:rPr>
        <w:t xml:space="preserve"> </w:t>
      </w:r>
      <w:r w:rsidR="00681D9E" w:rsidRPr="00C0101C">
        <w:rPr>
          <w:i/>
          <w:sz w:val="22"/>
          <w:szCs w:val="22"/>
        </w:rPr>
        <w:t>“não há motivo para se determinar a redução do montante contratado em decorrência da inclusão do IRPJ e da CSLL”</w:t>
      </w:r>
      <w:r w:rsidR="00635915">
        <w:rPr>
          <w:sz w:val="22"/>
          <w:szCs w:val="22"/>
        </w:rPr>
        <w:t xml:space="preserve"> </w:t>
      </w:r>
      <w:r w:rsidRPr="003616DD">
        <w:rPr>
          <w:sz w:val="22"/>
          <w:szCs w:val="22"/>
        </w:rPr>
        <w:t>quando presentes</w:t>
      </w:r>
      <w:r w:rsidR="00635915">
        <w:rPr>
          <w:sz w:val="22"/>
          <w:szCs w:val="22"/>
        </w:rPr>
        <w:t>,</w:t>
      </w:r>
      <w:r w:rsidRPr="003616DD">
        <w:rPr>
          <w:sz w:val="22"/>
          <w:szCs w:val="22"/>
        </w:rPr>
        <w:t xml:space="preserve"> simultaneamente, as três premissas relacionadas a seguir:</w:t>
      </w:r>
      <w:r w:rsidR="00C0101C">
        <w:rPr>
          <w:sz w:val="22"/>
          <w:szCs w:val="22"/>
        </w:rPr>
        <w:t xml:space="preserve"> I) </w:t>
      </w:r>
      <w:r w:rsidR="00C0101C" w:rsidRPr="00C0101C">
        <w:rPr>
          <w:i/>
          <w:sz w:val="22"/>
          <w:szCs w:val="22"/>
        </w:rPr>
        <w:t>“</w:t>
      </w:r>
      <w:r w:rsidRPr="00C0101C">
        <w:rPr>
          <w:i/>
          <w:sz w:val="22"/>
          <w:szCs w:val="22"/>
        </w:rPr>
        <w:t>não haver sobrepreço por excesso de valor nas cotações dos itens unitários</w:t>
      </w:r>
      <w:r w:rsidR="00C0101C" w:rsidRPr="00C0101C">
        <w:rPr>
          <w:i/>
          <w:sz w:val="22"/>
          <w:szCs w:val="22"/>
        </w:rPr>
        <w:t>”</w:t>
      </w:r>
      <w:r w:rsidRPr="003616DD">
        <w:rPr>
          <w:sz w:val="22"/>
          <w:szCs w:val="22"/>
        </w:rPr>
        <w:t>;</w:t>
      </w:r>
      <w:r w:rsidR="00C0101C">
        <w:rPr>
          <w:sz w:val="22"/>
          <w:szCs w:val="22"/>
        </w:rPr>
        <w:t xml:space="preserve"> II) </w:t>
      </w:r>
      <w:r w:rsidR="00C0101C" w:rsidRPr="00C0101C">
        <w:rPr>
          <w:i/>
          <w:sz w:val="22"/>
          <w:szCs w:val="22"/>
        </w:rPr>
        <w:t>“</w:t>
      </w:r>
      <w:r w:rsidRPr="00C0101C">
        <w:rPr>
          <w:i/>
          <w:sz w:val="22"/>
          <w:szCs w:val="22"/>
        </w:rPr>
        <w:t>o BDI estar dentro das margens de aceitabilidade definidas por esta Corte de Contas</w:t>
      </w:r>
      <w:r w:rsidR="00C0101C" w:rsidRPr="00C0101C">
        <w:rPr>
          <w:i/>
          <w:sz w:val="22"/>
          <w:szCs w:val="22"/>
        </w:rPr>
        <w:t>”</w:t>
      </w:r>
      <w:r w:rsidR="00C0101C">
        <w:rPr>
          <w:sz w:val="22"/>
          <w:szCs w:val="22"/>
        </w:rPr>
        <w:t>;</w:t>
      </w:r>
      <w:r w:rsidRPr="003616DD">
        <w:rPr>
          <w:sz w:val="22"/>
          <w:szCs w:val="22"/>
        </w:rPr>
        <w:t xml:space="preserve"> e</w:t>
      </w:r>
      <w:r w:rsidR="00C0101C">
        <w:rPr>
          <w:sz w:val="22"/>
          <w:szCs w:val="22"/>
        </w:rPr>
        <w:t xml:space="preserve"> III) </w:t>
      </w:r>
      <w:r w:rsidR="00C0101C" w:rsidRPr="00C0101C">
        <w:rPr>
          <w:i/>
          <w:sz w:val="22"/>
          <w:szCs w:val="22"/>
        </w:rPr>
        <w:t>“</w:t>
      </w:r>
      <w:r w:rsidRPr="00C0101C">
        <w:rPr>
          <w:i/>
          <w:sz w:val="22"/>
          <w:szCs w:val="22"/>
        </w:rPr>
        <w:t>a redução do BDI causar alteração do equilíbrio econômico-financeiro do contrato</w:t>
      </w:r>
      <w:r w:rsidR="00C0101C" w:rsidRPr="00C0101C">
        <w:rPr>
          <w:i/>
          <w:sz w:val="22"/>
          <w:szCs w:val="22"/>
        </w:rPr>
        <w:t>”</w:t>
      </w:r>
      <w:r w:rsidRPr="003616DD">
        <w:rPr>
          <w:sz w:val="22"/>
          <w:szCs w:val="22"/>
        </w:rPr>
        <w:t>.</w:t>
      </w:r>
      <w:r w:rsidR="00C0101C">
        <w:rPr>
          <w:sz w:val="22"/>
          <w:szCs w:val="22"/>
        </w:rPr>
        <w:t xml:space="preserve"> O relator </w:t>
      </w:r>
      <w:r w:rsidR="00681D9E">
        <w:rPr>
          <w:sz w:val="22"/>
          <w:szCs w:val="22"/>
        </w:rPr>
        <w:t>concordou com a</w:t>
      </w:r>
      <w:r w:rsidRPr="003616DD">
        <w:rPr>
          <w:sz w:val="22"/>
          <w:szCs w:val="22"/>
        </w:rPr>
        <w:t xml:space="preserve"> </w:t>
      </w:r>
      <w:r w:rsidR="00D92A7A">
        <w:rPr>
          <w:sz w:val="22"/>
          <w:szCs w:val="22"/>
        </w:rPr>
        <w:t>u</w:t>
      </w:r>
      <w:r w:rsidRPr="003616DD">
        <w:rPr>
          <w:sz w:val="22"/>
          <w:szCs w:val="22"/>
        </w:rPr>
        <w:t xml:space="preserve">nidade </w:t>
      </w:r>
      <w:r w:rsidR="00D92A7A">
        <w:rPr>
          <w:sz w:val="22"/>
          <w:szCs w:val="22"/>
        </w:rPr>
        <w:t>t</w:t>
      </w:r>
      <w:r w:rsidRPr="003616DD">
        <w:rPr>
          <w:sz w:val="22"/>
          <w:szCs w:val="22"/>
        </w:rPr>
        <w:t>écnica</w:t>
      </w:r>
      <w:r w:rsidR="00D92A7A">
        <w:rPr>
          <w:sz w:val="22"/>
          <w:szCs w:val="22"/>
        </w:rPr>
        <w:t xml:space="preserve">, uma vez que </w:t>
      </w:r>
      <w:r w:rsidR="00D92A7A" w:rsidRPr="00D92A7A">
        <w:rPr>
          <w:i/>
          <w:sz w:val="22"/>
          <w:szCs w:val="22"/>
        </w:rPr>
        <w:t>“</w:t>
      </w:r>
      <w:r w:rsidRPr="00D92A7A">
        <w:rPr>
          <w:i/>
          <w:sz w:val="22"/>
          <w:szCs w:val="22"/>
        </w:rPr>
        <w:t>o BDI, livre da ‘Administração Local’ e da ‘Mobilização e Desmobilização’, é igual a 16,5%, praticamente no limite inferior da faixa considerada adequada – 16,36% –, nos termos do Acórdão n. 325/2007 – Plenário. Por último, caso a empresa deixasse de declarar o IRPJ e a CSLL, mas, em relação ao lucro, o fizesse com percentual de 7,28%, em vez de 5%, não se poderia dizer que aquele percentual seria excessivo</w:t>
      </w:r>
      <w:r w:rsidR="00D92A7A" w:rsidRPr="00D92A7A">
        <w:rPr>
          <w:i/>
          <w:sz w:val="22"/>
          <w:szCs w:val="22"/>
        </w:rPr>
        <w:t>”</w:t>
      </w:r>
      <w:r w:rsidRPr="003616DD">
        <w:rPr>
          <w:sz w:val="22"/>
          <w:szCs w:val="22"/>
        </w:rPr>
        <w:t>.</w:t>
      </w:r>
      <w:r w:rsidR="00D92A7A">
        <w:rPr>
          <w:sz w:val="22"/>
          <w:szCs w:val="22"/>
        </w:rPr>
        <w:t xml:space="preserve"> </w:t>
      </w:r>
      <w:r w:rsidR="00180E2B">
        <w:rPr>
          <w:sz w:val="22"/>
          <w:szCs w:val="22"/>
        </w:rPr>
        <w:t>Assim sendo</w:t>
      </w:r>
      <w:r w:rsidR="00EE0518">
        <w:rPr>
          <w:sz w:val="22"/>
          <w:szCs w:val="22"/>
        </w:rPr>
        <w:t xml:space="preserve">, o relator propôs e o Plenário decidiu </w:t>
      </w:r>
      <w:r w:rsidRPr="003616DD">
        <w:rPr>
          <w:sz w:val="22"/>
          <w:szCs w:val="22"/>
        </w:rPr>
        <w:t>tornar insubsistente o subitem 9.1.2 do Acórdão n.</w:t>
      </w:r>
      <w:r w:rsidR="00EE0518">
        <w:rPr>
          <w:sz w:val="22"/>
          <w:szCs w:val="22"/>
        </w:rPr>
        <w:t>º</w:t>
      </w:r>
      <w:r w:rsidRPr="003616DD">
        <w:rPr>
          <w:sz w:val="22"/>
          <w:szCs w:val="22"/>
        </w:rPr>
        <w:t xml:space="preserve"> 1.119/2010</w:t>
      </w:r>
      <w:r w:rsidR="00EE0518">
        <w:rPr>
          <w:sz w:val="22"/>
          <w:szCs w:val="22"/>
        </w:rPr>
        <w:t>-</w:t>
      </w:r>
      <w:r w:rsidRPr="003616DD">
        <w:rPr>
          <w:sz w:val="22"/>
          <w:szCs w:val="22"/>
        </w:rPr>
        <w:t>Plenário</w:t>
      </w:r>
      <w:r w:rsidR="00EE0518">
        <w:rPr>
          <w:sz w:val="22"/>
          <w:szCs w:val="22"/>
        </w:rPr>
        <w:t xml:space="preserve">. </w:t>
      </w:r>
      <w:r w:rsidRPr="00337E16">
        <w:rPr>
          <w:b/>
          <w:i/>
          <w:sz w:val="22"/>
          <w:szCs w:val="22"/>
        </w:rPr>
        <w:t xml:space="preserve">Acórdão n.º </w:t>
      </w:r>
      <w:r>
        <w:rPr>
          <w:b/>
          <w:i/>
          <w:sz w:val="22"/>
          <w:szCs w:val="22"/>
        </w:rPr>
        <w:t>31</w:t>
      </w:r>
      <w:r w:rsidR="00C034F0">
        <w:rPr>
          <w:b/>
          <w:i/>
          <w:sz w:val="22"/>
          <w:szCs w:val="22"/>
        </w:rPr>
        <w:t>6</w:t>
      </w:r>
      <w:r>
        <w:rPr>
          <w:b/>
          <w:i/>
          <w:sz w:val="22"/>
          <w:szCs w:val="22"/>
        </w:rPr>
        <w:t>5</w:t>
      </w:r>
      <w:r w:rsidRPr="00337E16">
        <w:rPr>
          <w:b/>
          <w:i/>
          <w:sz w:val="22"/>
          <w:szCs w:val="22"/>
        </w:rPr>
        <w:t>/2010</w:t>
      </w:r>
      <w:r>
        <w:rPr>
          <w:b/>
          <w:i/>
          <w:sz w:val="22"/>
          <w:szCs w:val="22"/>
        </w:rPr>
        <w:t>-Plenário</w:t>
      </w:r>
      <w:r w:rsidRPr="00337E16">
        <w:rPr>
          <w:b/>
          <w:i/>
          <w:sz w:val="22"/>
          <w:szCs w:val="22"/>
        </w:rPr>
        <w:t>, TC-0</w:t>
      </w:r>
      <w:r w:rsidR="00C034F0">
        <w:rPr>
          <w:b/>
          <w:i/>
          <w:sz w:val="22"/>
          <w:szCs w:val="22"/>
        </w:rPr>
        <w:t>00</w:t>
      </w:r>
      <w:r w:rsidRPr="00337E16">
        <w:rPr>
          <w:b/>
          <w:i/>
          <w:sz w:val="22"/>
          <w:szCs w:val="22"/>
        </w:rPr>
        <w:t>.</w:t>
      </w:r>
      <w:r w:rsidR="00C034F0">
        <w:rPr>
          <w:b/>
          <w:i/>
          <w:sz w:val="22"/>
          <w:szCs w:val="22"/>
        </w:rPr>
        <w:t>275</w:t>
      </w:r>
      <w:r w:rsidRPr="00337E16">
        <w:rPr>
          <w:b/>
          <w:i/>
          <w:sz w:val="22"/>
          <w:szCs w:val="22"/>
        </w:rPr>
        <w:t>/20</w:t>
      </w:r>
      <w:r w:rsidR="00C034F0">
        <w:rPr>
          <w:b/>
          <w:i/>
          <w:sz w:val="22"/>
          <w:szCs w:val="22"/>
        </w:rPr>
        <w:t>10</w:t>
      </w:r>
      <w:r w:rsidRPr="00337E16">
        <w:rPr>
          <w:b/>
          <w:i/>
          <w:sz w:val="22"/>
          <w:szCs w:val="22"/>
        </w:rPr>
        <w:t>-</w:t>
      </w:r>
      <w:r w:rsidR="00C034F0">
        <w:rPr>
          <w:b/>
          <w:i/>
          <w:sz w:val="22"/>
          <w:szCs w:val="22"/>
        </w:rPr>
        <w:t>7</w:t>
      </w:r>
      <w:r w:rsidRPr="00337E16">
        <w:rPr>
          <w:b/>
          <w:i/>
          <w:sz w:val="22"/>
          <w:szCs w:val="22"/>
        </w:rPr>
        <w:t xml:space="preserve">, rel. </w:t>
      </w:r>
      <w:r w:rsidRPr="003616DD">
        <w:rPr>
          <w:b/>
          <w:i/>
          <w:sz w:val="22"/>
          <w:szCs w:val="22"/>
          <w:lang w:val="en-US"/>
        </w:rPr>
        <w:t xml:space="preserve">Min-Subst. </w:t>
      </w:r>
      <w:r w:rsidR="00C034F0" w:rsidRPr="00963DA4">
        <w:rPr>
          <w:b/>
          <w:i/>
          <w:sz w:val="22"/>
          <w:szCs w:val="22"/>
        </w:rPr>
        <w:t>Marcos Bemquerer Costa</w:t>
      </w:r>
      <w:r w:rsidRPr="00963DA4">
        <w:rPr>
          <w:b/>
          <w:i/>
          <w:sz w:val="22"/>
          <w:szCs w:val="22"/>
        </w:rPr>
        <w:t>, 24.11.2010</w:t>
      </w:r>
      <w:r w:rsidRPr="00963DA4">
        <w:rPr>
          <w:sz w:val="22"/>
          <w:szCs w:val="22"/>
        </w:rPr>
        <w:t>.</w:t>
      </w:r>
    </w:p>
    <w:p w:rsidR="0055716D" w:rsidRPr="00337E16" w:rsidRDefault="0055716D" w:rsidP="0055716D">
      <w:pPr>
        <w:pStyle w:val="enter-3pt"/>
        <w:spacing w:line="240" w:lineRule="auto"/>
        <w:rPr>
          <w:sz w:val="22"/>
          <w:szCs w:val="22"/>
        </w:rPr>
      </w:pPr>
    </w:p>
    <w:p w:rsidR="0055716D" w:rsidRPr="00337E16" w:rsidRDefault="0055716D" w:rsidP="0055716D">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PRIMEIRA</w:t>
      </w:r>
      <w:r w:rsidRPr="00337E16">
        <w:rPr>
          <w:rFonts w:ascii="Cambria" w:hAnsi="Cambria"/>
          <w:b/>
          <w:bCs/>
          <w:smallCaps/>
          <w:sz w:val="22"/>
          <w:szCs w:val="22"/>
        </w:rPr>
        <w:t xml:space="preserve"> CÂMARA</w:t>
      </w:r>
    </w:p>
    <w:p w:rsidR="0055716D" w:rsidRPr="00337E16" w:rsidRDefault="0055716D" w:rsidP="0055716D">
      <w:pPr>
        <w:pStyle w:val="Pargrafo"/>
        <w:jc w:val="both"/>
        <w:rPr>
          <w:b/>
          <w:sz w:val="22"/>
          <w:szCs w:val="22"/>
        </w:rPr>
      </w:pPr>
    </w:p>
    <w:p w:rsidR="0055716D" w:rsidRPr="00123921" w:rsidRDefault="00123921" w:rsidP="0055716D">
      <w:pPr>
        <w:pStyle w:val="Pargrafo"/>
        <w:jc w:val="both"/>
        <w:rPr>
          <w:b/>
          <w:sz w:val="22"/>
          <w:szCs w:val="22"/>
        </w:rPr>
      </w:pPr>
      <w:r w:rsidRPr="00123921">
        <w:rPr>
          <w:b/>
          <w:sz w:val="22"/>
          <w:szCs w:val="22"/>
        </w:rPr>
        <w:t>Obrigatoriedade da consulta ao CADIN antes da formalização do contrato</w:t>
      </w:r>
    </w:p>
    <w:p w:rsidR="0055716D" w:rsidRPr="00337E16" w:rsidRDefault="00A74C07" w:rsidP="0055716D">
      <w:pPr>
        <w:pStyle w:val="Pargrafo"/>
        <w:jc w:val="both"/>
        <w:rPr>
          <w:sz w:val="22"/>
          <w:szCs w:val="22"/>
        </w:rPr>
      </w:pPr>
      <w:r>
        <w:rPr>
          <w:sz w:val="22"/>
          <w:szCs w:val="22"/>
        </w:rPr>
        <w:t xml:space="preserve">Por intermédio do </w:t>
      </w:r>
      <w:r w:rsidRPr="00963DA4">
        <w:rPr>
          <w:sz w:val="22"/>
          <w:szCs w:val="22"/>
        </w:rPr>
        <w:t>Acórdão n</w:t>
      </w:r>
      <w:r>
        <w:rPr>
          <w:sz w:val="22"/>
          <w:szCs w:val="22"/>
        </w:rPr>
        <w:t>.</w:t>
      </w:r>
      <w:r w:rsidRPr="00963DA4">
        <w:rPr>
          <w:sz w:val="22"/>
          <w:szCs w:val="22"/>
        </w:rPr>
        <w:t>º 3695/2009-</w:t>
      </w:r>
      <w:r w:rsidR="00000CEE">
        <w:rPr>
          <w:sz w:val="22"/>
          <w:szCs w:val="22"/>
        </w:rPr>
        <w:t>1ª</w:t>
      </w:r>
      <w:r w:rsidRPr="00963DA4">
        <w:rPr>
          <w:sz w:val="22"/>
          <w:szCs w:val="22"/>
        </w:rPr>
        <w:t xml:space="preserve"> Câmara,</w:t>
      </w:r>
      <w:r>
        <w:rPr>
          <w:sz w:val="22"/>
          <w:szCs w:val="22"/>
        </w:rPr>
        <w:t xml:space="preserve"> o Tribunal </w:t>
      </w:r>
      <w:r w:rsidR="00123921">
        <w:rPr>
          <w:sz w:val="22"/>
          <w:szCs w:val="22"/>
        </w:rPr>
        <w:t>expediu a seguinte determinação</w:t>
      </w:r>
      <w:r>
        <w:rPr>
          <w:sz w:val="22"/>
          <w:szCs w:val="22"/>
        </w:rPr>
        <w:t xml:space="preserve"> ao </w:t>
      </w:r>
      <w:r w:rsidR="00123921">
        <w:rPr>
          <w:sz w:val="22"/>
          <w:szCs w:val="22"/>
        </w:rPr>
        <w:t xml:space="preserve">Banco Nacional de Desenvolvimento Econômico e Social – </w:t>
      </w:r>
      <w:r w:rsidRPr="00963DA4">
        <w:rPr>
          <w:sz w:val="22"/>
          <w:szCs w:val="22"/>
        </w:rPr>
        <w:t>BNDES</w:t>
      </w:r>
      <w:r>
        <w:rPr>
          <w:sz w:val="22"/>
          <w:szCs w:val="22"/>
        </w:rPr>
        <w:t xml:space="preserve">: </w:t>
      </w:r>
      <w:r w:rsidRPr="005C355B">
        <w:rPr>
          <w:i/>
          <w:sz w:val="22"/>
          <w:szCs w:val="22"/>
        </w:rPr>
        <w:t>“1.5.1.1. promova, quando da formalização dos processos licitatórios e contratos, as pesquisas prévias no Cadin, em respeito ao art. 6º, inciso III, da Lei n.</w:t>
      </w:r>
      <w:r w:rsidR="000A6292">
        <w:rPr>
          <w:i/>
          <w:sz w:val="22"/>
          <w:szCs w:val="22"/>
        </w:rPr>
        <w:t>º</w:t>
      </w:r>
      <w:r w:rsidRPr="005C355B">
        <w:rPr>
          <w:i/>
          <w:sz w:val="22"/>
          <w:szCs w:val="22"/>
        </w:rPr>
        <w:t xml:space="preserve"> 10.522/2002, devendo, ainda, serem anexadas as comprovações da pesquisa;”.</w:t>
      </w:r>
      <w:r>
        <w:rPr>
          <w:sz w:val="22"/>
          <w:szCs w:val="22"/>
        </w:rPr>
        <w:t xml:space="preserve"> Contra essa </w:t>
      </w:r>
      <w:r w:rsidR="00123921">
        <w:rPr>
          <w:sz w:val="22"/>
          <w:szCs w:val="22"/>
        </w:rPr>
        <w:t>decisão</w:t>
      </w:r>
      <w:r>
        <w:rPr>
          <w:sz w:val="22"/>
          <w:szCs w:val="22"/>
        </w:rPr>
        <w:t xml:space="preserve"> o aludido banco interpôs </w:t>
      </w:r>
      <w:r w:rsidRPr="00963DA4">
        <w:rPr>
          <w:sz w:val="22"/>
          <w:szCs w:val="22"/>
        </w:rPr>
        <w:t>recurso de reconsideração</w:t>
      </w:r>
      <w:r>
        <w:rPr>
          <w:sz w:val="22"/>
          <w:szCs w:val="22"/>
        </w:rPr>
        <w:t xml:space="preserve">, </w:t>
      </w:r>
      <w:r w:rsidR="00123921">
        <w:rPr>
          <w:sz w:val="22"/>
          <w:szCs w:val="22"/>
        </w:rPr>
        <w:t>sob o argumento de</w:t>
      </w:r>
      <w:r w:rsidR="00963DA4" w:rsidRPr="00963DA4">
        <w:rPr>
          <w:sz w:val="22"/>
          <w:szCs w:val="22"/>
        </w:rPr>
        <w:t xml:space="preserve"> que </w:t>
      </w:r>
      <w:r w:rsidR="00963DA4" w:rsidRPr="005C355B">
        <w:rPr>
          <w:i/>
          <w:sz w:val="22"/>
          <w:szCs w:val="22"/>
        </w:rPr>
        <w:t>“a consulta ao CADIN, em matéria de licitações e contratos administrativos, dada a inexistência de sanções ou impedimentos relacionais, não possui qualquer efeito prático”</w:t>
      </w:r>
      <w:r w:rsidR="00963DA4" w:rsidRPr="00963DA4">
        <w:rPr>
          <w:sz w:val="22"/>
          <w:szCs w:val="22"/>
        </w:rPr>
        <w:t>.</w:t>
      </w:r>
      <w:r>
        <w:rPr>
          <w:sz w:val="22"/>
          <w:szCs w:val="22"/>
        </w:rPr>
        <w:t xml:space="preserve"> </w:t>
      </w:r>
      <w:r w:rsidR="001F7C24">
        <w:rPr>
          <w:sz w:val="22"/>
          <w:szCs w:val="22"/>
        </w:rPr>
        <w:t>Ao examinar o recurso</w:t>
      </w:r>
      <w:r w:rsidR="00963DA4" w:rsidRPr="00963DA4">
        <w:rPr>
          <w:sz w:val="22"/>
          <w:szCs w:val="22"/>
        </w:rPr>
        <w:t xml:space="preserve">, o </w:t>
      </w:r>
      <w:r w:rsidR="007A54D9" w:rsidRPr="00963DA4">
        <w:rPr>
          <w:sz w:val="22"/>
          <w:szCs w:val="22"/>
        </w:rPr>
        <w:t>Ministério Público</w:t>
      </w:r>
      <w:r w:rsidR="007A54D9">
        <w:rPr>
          <w:sz w:val="22"/>
          <w:szCs w:val="22"/>
        </w:rPr>
        <w:t xml:space="preserve"> junto ao TCU </w:t>
      </w:r>
      <w:r w:rsidR="008F0FA8">
        <w:rPr>
          <w:sz w:val="22"/>
          <w:szCs w:val="22"/>
        </w:rPr>
        <w:t xml:space="preserve">aduziu </w:t>
      </w:r>
      <w:r w:rsidR="001F7C24">
        <w:rPr>
          <w:sz w:val="22"/>
          <w:szCs w:val="22"/>
        </w:rPr>
        <w:t xml:space="preserve">que, </w:t>
      </w:r>
      <w:r w:rsidR="001F7C24" w:rsidRPr="001F7C24">
        <w:rPr>
          <w:sz w:val="22"/>
          <w:szCs w:val="22"/>
        </w:rPr>
        <w:t xml:space="preserve">com a decisão do </w:t>
      </w:r>
      <w:r w:rsidR="00963DA4" w:rsidRPr="001F7C24">
        <w:rPr>
          <w:sz w:val="22"/>
          <w:szCs w:val="22"/>
        </w:rPr>
        <w:t xml:space="preserve">Supremo Tribunal Federal </w:t>
      </w:r>
      <w:r w:rsidR="001F7C24">
        <w:rPr>
          <w:sz w:val="22"/>
          <w:szCs w:val="22"/>
        </w:rPr>
        <w:t>n</w:t>
      </w:r>
      <w:r w:rsidR="001F7C24" w:rsidRPr="001F7C24">
        <w:rPr>
          <w:sz w:val="22"/>
          <w:szCs w:val="22"/>
        </w:rPr>
        <w:t xml:space="preserve">a </w:t>
      </w:r>
      <w:r w:rsidR="00963DA4" w:rsidRPr="001F7C24">
        <w:rPr>
          <w:sz w:val="22"/>
          <w:szCs w:val="22"/>
        </w:rPr>
        <w:t>ADI</w:t>
      </w:r>
      <w:r w:rsidR="001F7C24">
        <w:rPr>
          <w:sz w:val="22"/>
          <w:szCs w:val="22"/>
        </w:rPr>
        <w:t>n</w:t>
      </w:r>
      <w:r w:rsidR="00963DA4" w:rsidRPr="001F7C24">
        <w:rPr>
          <w:sz w:val="22"/>
          <w:szCs w:val="22"/>
        </w:rPr>
        <w:t xml:space="preserve"> </w:t>
      </w:r>
      <w:r w:rsidR="001F7C24">
        <w:rPr>
          <w:sz w:val="22"/>
          <w:szCs w:val="22"/>
        </w:rPr>
        <w:t xml:space="preserve">n.º </w:t>
      </w:r>
      <w:r w:rsidR="00963DA4" w:rsidRPr="001F7C24">
        <w:rPr>
          <w:sz w:val="22"/>
          <w:szCs w:val="22"/>
        </w:rPr>
        <w:t>1.454-4/DF</w:t>
      </w:r>
      <w:r w:rsidR="001F7C24" w:rsidRPr="000A6292">
        <w:rPr>
          <w:sz w:val="22"/>
          <w:szCs w:val="22"/>
        </w:rPr>
        <w:t xml:space="preserve">, </w:t>
      </w:r>
      <w:r w:rsidR="00963DA4" w:rsidRPr="000A6292">
        <w:rPr>
          <w:sz w:val="22"/>
          <w:szCs w:val="22"/>
        </w:rPr>
        <w:t>a discussão encontra-se superada, no sentido de que a obrigatoriedade da consulta não significa proibição de contratar com aqueles que constam do cadastro.</w:t>
      </w:r>
      <w:r w:rsidR="008F0FA8" w:rsidRPr="000A6292">
        <w:rPr>
          <w:sz w:val="22"/>
          <w:szCs w:val="22"/>
        </w:rPr>
        <w:t xml:space="preserve"> </w:t>
      </w:r>
      <w:r w:rsidR="000A6292">
        <w:rPr>
          <w:sz w:val="22"/>
          <w:szCs w:val="22"/>
        </w:rPr>
        <w:t>Além</w:t>
      </w:r>
      <w:r w:rsidR="00963DA4" w:rsidRPr="000A6292">
        <w:rPr>
          <w:sz w:val="22"/>
          <w:szCs w:val="22"/>
        </w:rPr>
        <w:t xml:space="preserve"> disso,</w:t>
      </w:r>
      <w:r w:rsidR="00963DA4" w:rsidRPr="005C355B">
        <w:rPr>
          <w:i/>
          <w:sz w:val="22"/>
          <w:szCs w:val="22"/>
        </w:rPr>
        <w:t xml:space="preserve"> </w:t>
      </w:r>
      <w:r w:rsidR="000A6292">
        <w:rPr>
          <w:i/>
          <w:sz w:val="22"/>
          <w:szCs w:val="22"/>
        </w:rPr>
        <w:t>“</w:t>
      </w:r>
      <w:r w:rsidR="00963DA4" w:rsidRPr="005C355B">
        <w:rPr>
          <w:i/>
          <w:sz w:val="22"/>
          <w:szCs w:val="22"/>
        </w:rPr>
        <w:t>a ausência ou não de consulta ao CADIN não necessariamente levará a contratações de empresas ou entidades que constem daquele cadastro, desde que, no mínimo, tais contratações avaliem previamente a regularidade fiscal dos interessados, nos termos do artigo 27 da Lei nº 8.666/93; do artigo 3º, § 2º, incisos III, alínea a, e V do Decreto nº 6.170/2007 e do artigo 18, inciso VI, da Portaria MP/MF/MCT 127/2008, dentre outros dispositivos.</w:t>
      </w:r>
      <w:r w:rsidR="008F0FA8">
        <w:rPr>
          <w:i/>
          <w:sz w:val="22"/>
          <w:szCs w:val="22"/>
        </w:rPr>
        <w:t xml:space="preserve"> </w:t>
      </w:r>
      <w:r w:rsidR="00963DA4" w:rsidRPr="005C355B">
        <w:rPr>
          <w:i/>
          <w:sz w:val="22"/>
          <w:szCs w:val="22"/>
        </w:rPr>
        <w:t>Nesse contexto, embora a consulta ao CADIN possa parecer inócua é obrigatória por Lei. E mesmo considerando que o simples fato de constar do cadastro não seja, isoladamente, um fator impeditivo para a celebração de contratos ou outros ajustes com a Administração Pública, a consulta poderá auxiliar na verificação das informações prestadas pelos administrados e pelos demais órgãos da Administração, em especial as constantes em certidões e declarações.</w:t>
      </w:r>
      <w:r w:rsidR="008F0FA8">
        <w:rPr>
          <w:i/>
          <w:sz w:val="22"/>
          <w:szCs w:val="22"/>
        </w:rPr>
        <w:t xml:space="preserve"> [...] </w:t>
      </w:r>
      <w:r w:rsidR="00963DA4" w:rsidRPr="005C355B">
        <w:rPr>
          <w:i/>
          <w:sz w:val="22"/>
          <w:szCs w:val="22"/>
        </w:rPr>
        <w:t>com base na literalidade do dispositivo legal que fundamentou a determinação atacada, diferentemente do entendimento manifestado pela unidade técnica, o MP/TCU entende que deve ser provido parcialmente o recurso apresentado, no sentido de reformar o Acórdão recorrido e excluir da determinação contida no subitem 1.5.1.1 a expressão ‘processos licitatórios’</w:t>
      </w:r>
      <w:r w:rsidR="008F0FA8">
        <w:rPr>
          <w:i/>
          <w:sz w:val="22"/>
          <w:szCs w:val="22"/>
        </w:rPr>
        <w:t xml:space="preserve"> [...]</w:t>
      </w:r>
      <w:r w:rsidR="00963DA4" w:rsidRPr="005C355B">
        <w:rPr>
          <w:i/>
          <w:sz w:val="22"/>
          <w:szCs w:val="22"/>
        </w:rPr>
        <w:t>”</w:t>
      </w:r>
      <w:r w:rsidR="00963DA4" w:rsidRPr="00963DA4">
        <w:rPr>
          <w:sz w:val="22"/>
          <w:szCs w:val="22"/>
        </w:rPr>
        <w:t>.</w:t>
      </w:r>
      <w:r w:rsidR="008F0FA8">
        <w:rPr>
          <w:sz w:val="22"/>
          <w:szCs w:val="22"/>
        </w:rPr>
        <w:t xml:space="preserve"> </w:t>
      </w:r>
      <w:r w:rsidR="007A54D9">
        <w:rPr>
          <w:sz w:val="22"/>
          <w:szCs w:val="22"/>
        </w:rPr>
        <w:t xml:space="preserve">O </w:t>
      </w:r>
      <w:r w:rsidR="008F0FA8">
        <w:rPr>
          <w:sz w:val="22"/>
          <w:szCs w:val="22"/>
        </w:rPr>
        <w:t xml:space="preserve">relator </w:t>
      </w:r>
      <w:r w:rsidR="007A54D9">
        <w:rPr>
          <w:sz w:val="22"/>
          <w:szCs w:val="22"/>
        </w:rPr>
        <w:t>anuiu às considerações d</w:t>
      </w:r>
      <w:r w:rsidR="00963DA4" w:rsidRPr="00963DA4">
        <w:rPr>
          <w:sz w:val="22"/>
          <w:szCs w:val="22"/>
        </w:rPr>
        <w:t xml:space="preserve">o </w:t>
      </w:r>
      <w:r w:rsidR="007A54D9" w:rsidRPr="005C355B">
        <w:rPr>
          <w:i/>
          <w:sz w:val="22"/>
          <w:szCs w:val="22"/>
        </w:rPr>
        <w:t>Parquet</w:t>
      </w:r>
      <w:r w:rsidR="007A54D9" w:rsidRPr="00963DA4">
        <w:rPr>
          <w:sz w:val="22"/>
          <w:szCs w:val="22"/>
        </w:rPr>
        <w:t xml:space="preserve"> especializado</w:t>
      </w:r>
      <w:r w:rsidR="007A54D9">
        <w:rPr>
          <w:sz w:val="22"/>
          <w:szCs w:val="22"/>
        </w:rPr>
        <w:t>, no que foi acompanhado pelos demais ministros</w:t>
      </w:r>
      <w:r w:rsidR="006A3AE2">
        <w:rPr>
          <w:sz w:val="22"/>
          <w:szCs w:val="22"/>
        </w:rPr>
        <w:t>.</w:t>
      </w:r>
      <w:r w:rsidR="007A54D9">
        <w:rPr>
          <w:sz w:val="22"/>
          <w:szCs w:val="22"/>
        </w:rPr>
        <w:t xml:space="preserve"> </w:t>
      </w:r>
      <w:r w:rsidR="0055716D" w:rsidRPr="00337E16">
        <w:rPr>
          <w:b/>
          <w:i/>
          <w:sz w:val="22"/>
          <w:szCs w:val="22"/>
        </w:rPr>
        <w:t xml:space="preserve">Acórdão n.º </w:t>
      </w:r>
      <w:r w:rsidR="005C355B">
        <w:rPr>
          <w:b/>
          <w:i/>
          <w:sz w:val="22"/>
          <w:szCs w:val="22"/>
        </w:rPr>
        <w:t>7832</w:t>
      </w:r>
      <w:r w:rsidR="0055716D" w:rsidRPr="00337E16">
        <w:rPr>
          <w:b/>
          <w:i/>
          <w:sz w:val="22"/>
          <w:szCs w:val="22"/>
        </w:rPr>
        <w:t>/2010</w:t>
      </w:r>
      <w:r w:rsidR="0055716D">
        <w:rPr>
          <w:b/>
          <w:i/>
          <w:sz w:val="22"/>
          <w:szCs w:val="22"/>
        </w:rPr>
        <w:t>-</w:t>
      </w:r>
      <w:r w:rsidR="00D700E5">
        <w:rPr>
          <w:b/>
          <w:i/>
          <w:sz w:val="22"/>
          <w:szCs w:val="22"/>
        </w:rPr>
        <w:t>1</w:t>
      </w:r>
      <w:r w:rsidR="0055716D">
        <w:rPr>
          <w:b/>
          <w:i/>
          <w:sz w:val="22"/>
          <w:szCs w:val="22"/>
        </w:rPr>
        <w:t>ª Câmara</w:t>
      </w:r>
      <w:r w:rsidR="0055716D" w:rsidRPr="00337E16">
        <w:rPr>
          <w:b/>
          <w:i/>
          <w:sz w:val="22"/>
          <w:szCs w:val="22"/>
        </w:rPr>
        <w:t>, TC-0</w:t>
      </w:r>
      <w:r w:rsidR="005C355B">
        <w:rPr>
          <w:b/>
          <w:i/>
          <w:sz w:val="22"/>
          <w:szCs w:val="22"/>
        </w:rPr>
        <w:t>15</w:t>
      </w:r>
      <w:r w:rsidR="0055716D" w:rsidRPr="00337E16">
        <w:rPr>
          <w:b/>
          <w:i/>
          <w:sz w:val="22"/>
          <w:szCs w:val="22"/>
        </w:rPr>
        <w:t>.</w:t>
      </w:r>
      <w:r w:rsidR="005C355B">
        <w:rPr>
          <w:b/>
          <w:i/>
          <w:sz w:val="22"/>
          <w:szCs w:val="22"/>
        </w:rPr>
        <w:t>130</w:t>
      </w:r>
      <w:r w:rsidR="0055716D" w:rsidRPr="00337E16">
        <w:rPr>
          <w:b/>
          <w:i/>
          <w:sz w:val="22"/>
          <w:szCs w:val="22"/>
        </w:rPr>
        <w:t>/200</w:t>
      </w:r>
      <w:r w:rsidR="005C355B">
        <w:rPr>
          <w:b/>
          <w:i/>
          <w:sz w:val="22"/>
          <w:szCs w:val="22"/>
        </w:rPr>
        <w:t>6</w:t>
      </w:r>
      <w:r w:rsidR="0055716D" w:rsidRPr="00337E16">
        <w:rPr>
          <w:b/>
          <w:i/>
          <w:sz w:val="22"/>
          <w:szCs w:val="22"/>
        </w:rPr>
        <w:t>-</w:t>
      </w:r>
      <w:r w:rsidR="005C355B">
        <w:rPr>
          <w:b/>
          <w:i/>
          <w:sz w:val="22"/>
          <w:szCs w:val="22"/>
        </w:rPr>
        <w:t>0</w:t>
      </w:r>
      <w:r w:rsidR="0055716D" w:rsidRPr="00337E16">
        <w:rPr>
          <w:b/>
          <w:i/>
          <w:sz w:val="22"/>
          <w:szCs w:val="22"/>
        </w:rPr>
        <w:t xml:space="preserve">, rel. Min. </w:t>
      </w:r>
      <w:r w:rsidR="005C355B">
        <w:rPr>
          <w:b/>
          <w:i/>
          <w:sz w:val="22"/>
          <w:szCs w:val="22"/>
        </w:rPr>
        <w:t>Valmir Campelo</w:t>
      </w:r>
      <w:r w:rsidR="0055716D" w:rsidRPr="00337E16">
        <w:rPr>
          <w:b/>
          <w:i/>
          <w:sz w:val="22"/>
          <w:szCs w:val="22"/>
        </w:rPr>
        <w:t xml:space="preserve">, </w:t>
      </w:r>
      <w:r w:rsidR="005C355B">
        <w:rPr>
          <w:b/>
          <w:i/>
          <w:sz w:val="22"/>
          <w:szCs w:val="22"/>
        </w:rPr>
        <w:t>23</w:t>
      </w:r>
      <w:r w:rsidR="0055716D" w:rsidRPr="00337E16">
        <w:rPr>
          <w:b/>
          <w:i/>
          <w:sz w:val="22"/>
          <w:szCs w:val="22"/>
        </w:rPr>
        <w:t>.</w:t>
      </w:r>
      <w:r w:rsidR="005C355B">
        <w:rPr>
          <w:b/>
          <w:i/>
          <w:sz w:val="22"/>
          <w:szCs w:val="22"/>
        </w:rPr>
        <w:t>11</w:t>
      </w:r>
      <w:r w:rsidR="0055716D" w:rsidRPr="00337E16">
        <w:rPr>
          <w:b/>
          <w:i/>
          <w:sz w:val="22"/>
          <w:szCs w:val="22"/>
        </w:rPr>
        <w:t>.2010</w:t>
      </w:r>
      <w:r w:rsidR="0055716D" w:rsidRPr="00337E16">
        <w:rPr>
          <w:sz w:val="22"/>
          <w:szCs w:val="22"/>
        </w:rPr>
        <w:t>.</w:t>
      </w:r>
    </w:p>
    <w:p w:rsidR="00290A06" w:rsidRDefault="00290A06" w:rsidP="00F30016">
      <w:pPr>
        <w:pStyle w:val="Pargrafo"/>
        <w:jc w:val="both"/>
        <w:rPr>
          <w:sz w:val="22"/>
          <w:szCs w:val="22"/>
        </w:rPr>
      </w:pPr>
    </w:p>
    <w:p w:rsidR="002A6B43" w:rsidRPr="0083555B" w:rsidRDefault="0083555B" w:rsidP="002A6B43">
      <w:pPr>
        <w:pStyle w:val="indice"/>
        <w:spacing w:before="60" w:line="240" w:lineRule="auto"/>
        <w:rPr>
          <w:b/>
        </w:rPr>
      </w:pPr>
      <w:r w:rsidRPr="0083555B">
        <w:rPr>
          <w:b/>
        </w:rPr>
        <w:t>Contratações sem prévio processo licitatório</w:t>
      </w:r>
      <w:r w:rsidR="002A6B43" w:rsidRPr="0083555B">
        <w:rPr>
          <w:b/>
        </w:rPr>
        <w:t>: 1 - Realização de dispensas de licitação em detrimento do mero aditamento do contrato</w:t>
      </w:r>
    </w:p>
    <w:p w:rsidR="002A6B43" w:rsidRPr="00963DA4" w:rsidRDefault="005972E9" w:rsidP="002A6B43">
      <w:pPr>
        <w:pStyle w:val="Pargrafo"/>
        <w:jc w:val="both"/>
        <w:rPr>
          <w:sz w:val="22"/>
          <w:szCs w:val="22"/>
        </w:rPr>
      </w:pPr>
      <w:r>
        <w:rPr>
          <w:sz w:val="22"/>
          <w:szCs w:val="22"/>
        </w:rPr>
        <w:t>Ao examinar a p</w:t>
      </w:r>
      <w:r w:rsidR="009E657A" w:rsidRPr="009E657A">
        <w:rPr>
          <w:sz w:val="22"/>
          <w:szCs w:val="22"/>
        </w:rPr>
        <w:t xml:space="preserve">restação de </w:t>
      </w:r>
      <w:r>
        <w:rPr>
          <w:sz w:val="22"/>
          <w:szCs w:val="22"/>
        </w:rPr>
        <w:t>c</w:t>
      </w:r>
      <w:r w:rsidR="009E657A" w:rsidRPr="009E657A">
        <w:rPr>
          <w:sz w:val="22"/>
          <w:szCs w:val="22"/>
        </w:rPr>
        <w:t>ontas do Serviço Nacional de Aprendizagem Comercial – Senac, Administração Regional/PB, referente ao exercício de 2005</w:t>
      </w:r>
      <w:r>
        <w:rPr>
          <w:sz w:val="22"/>
          <w:szCs w:val="22"/>
        </w:rPr>
        <w:t xml:space="preserve">, a unidade técnica promoveu a </w:t>
      </w:r>
      <w:r w:rsidR="009E657A" w:rsidRPr="009E657A">
        <w:rPr>
          <w:sz w:val="22"/>
          <w:szCs w:val="22"/>
        </w:rPr>
        <w:t xml:space="preserve">audiência do </w:t>
      </w:r>
      <w:r w:rsidRPr="009E657A">
        <w:rPr>
          <w:sz w:val="22"/>
          <w:szCs w:val="22"/>
        </w:rPr>
        <w:t>Diretor Regional</w:t>
      </w:r>
      <w:r w:rsidR="009E657A" w:rsidRPr="009E657A">
        <w:rPr>
          <w:sz w:val="22"/>
          <w:szCs w:val="22"/>
        </w:rPr>
        <w:t xml:space="preserve"> da </w:t>
      </w:r>
      <w:r>
        <w:rPr>
          <w:sz w:val="22"/>
          <w:szCs w:val="22"/>
        </w:rPr>
        <w:t>e</w:t>
      </w:r>
      <w:r w:rsidR="009E657A" w:rsidRPr="009E657A">
        <w:rPr>
          <w:sz w:val="22"/>
          <w:szCs w:val="22"/>
        </w:rPr>
        <w:t xml:space="preserve">ntidade </w:t>
      </w:r>
      <w:r w:rsidR="0083555B">
        <w:rPr>
          <w:sz w:val="22"/>
          <w:szCs w:val="22"/>
        </w:rPr>
        <w:t>quanto à</w:t>
      </w:r>
      <w:r>
        <w:rPr>
          <w:sz w:val="22"/>
          <w:szCs w:val="22"/>
        </w:rPr>
        <w:t xml:space="preserve"> </w:t>
      </w:r>
      <w:r w:rsidRPr="005972E9">
        <w:rPr>
          <w:i/>
          <w:sz w:val="22"/>
          <w:szCs w:val="22"/>
        </w:rPr>
        <w:t>“</w:t>
      </w:r>
      <w:r w:rsidR="009E657A" w:rsidRPr="005972E9">
        <w:rPr>
          <w:i/>
          <w:sz w:val="22"/>
          <w:szCs w:val="22"/>
        </w:rPr>
        <w:t>utilização de procedimentos não enquadrados nas modalidades de licitação, tais como pesquisas de preços e consultas por telefone com ofensa ao Regulamento de Licitações e Contratos do Senac/PB</w:t>
      </w:r>
      <w:r w:rsidRPr="005972E9">
        <w:rPr>
          <w:i/>
          <w:sz w:val="22"/>
          <w:szCs w:val="22"/>
        </w:rPr>
        <w:t>”</w:t>
      </w:r>
      <w:r>
        <w:rPr>
          <w:sz w:val="22"/>
          <w:szCs w:val="22"/>
        </w:rPr>
        <w:t xml:space="preserve">. O responsável </w:t>
      </w:r>
      <w:r w:rsidR="009E657A" w:rsidRPr="009E657A">
        <w:rPr>
          <w:sz w:val="22"/>
          <w:szCs w:val="22"/>
        </w:rPr>
        <w:t>esclarece</w:t>
      </w:r>
      <w:r>
        <w:rPr>
          <w:sz w:val="22"/>
          <w:szCs w:val="22"/>
        </w:rPr>
        <w:t>u</w:t>
      </w:r>
      <w:r w:rsidR="009E657A" w:rsidRPr="009E657A">
        <w:rPr>
          <w:sz w:val="22"/>
          <w:szCs w:val="22"/>
        </w:rPr>
        <w:t xml:space="preserve"> que a planilha de controle de processos de compras da </w:t>
      </w:r>
      <w:r>
        <w:rPr>
          <w:sz w:val="22"/>
          <w:szCs w:val="22"/>
        </w:rPr>
        <w:t>e</w:t>
      </w:r>
      <w:r w:rsidR="009E657A" w:rsidRPr="009E657A">
        <w:rPr>
          <w:sz w:val="22"/>
          <w:szCs w:val="22"/>
        </w:rPr>
        <w:t>ntidade cont</w:t>
      </w:r>
      <w:r>
        <w:rPr>
          <w:sz w:val="22"/>
          <w:szCs w:val="22"/>
        </w:rPr>
        <w:t>inha</w:t>
      </w:r>
      <w:r w:rsidR="009E657A" w:rsidRPr="009E657A">
        <w:rPr>
          <w:sz w:val="22"/>
          <w:szCs w:val="22"/>
        </w:rPr>
        <w:t>, equivocadamente, algumas anotações com a sigla CPT (consulta por telefone), o que não configura</w:t>
      </w:r>
      <w:r>
        <w:rPr>
          <w:sz w:val="22"/>
          <w:szCs w:val="22"/>
        </w:rPr>
        <w:t>va</w:t>
      </w:r>
      <w:r w:rsidR="00097C07">
        <w:rPr>
          <w:sz w:val="22"/>
          <w:szCs w:val="22"/>
        </w:rPr>
        <w:t>, na verdade,</w:t>
      </w:r>
      <w:r w:rsidR="009E657A" w:rsidRPr="009E657A">
        <w:rPr>
          <w:sz w:val="22"/>
          <w:szCs w:val="22"/>
        </w:rPr>
        <w:t xml:space="preserve"> modalidade licitatória e sim casos de dispensa de licitação, uma vez que nenhuma das aquisições ultrapass</w:t>
      </w:r>
      <w:r>
        <w:rPr>
          <w:sz w:val="22"/>
          <w:szCs w:val="22"/>
        </w:rPr>
        <w:t>ara</w:t>
      </w:r>
      <w:r w:rsidR="009E657A" w:rsidRPr="009E657A">
        <w:rPr>
          <w:sz w:val="22"/>
          <w:szCs w:val="22"/>
        </w:rPr>
        <w:t xml:space="preserve"> o limite de R$ 45.000,00, estabelecido</w:t>
      </w:r>
      <w:r w:rsidR="003F5338">
        <w:rPr>
          <w:sz w:val="22"/>
          <w:szCs w:val="22"/>
        </w:rPr>
        <w:t>,</w:t>
      </w:r>
      <w:r w:rsidR="009E657A" w:rsidRPr="009E657A">
        <w:rPr>
          <w:sz w:val="22"/>
          <w:szCs w:val="22"/>
        </w:rPr>
        <w:t xml:space="preserve"> para essa finalidade</w:t>
      </w:r>
      <w:r w:rsidR="003F5338">
        <w:rPr>
          <w:sz w:val="22"/>
          <w:szCs w:val="22"/>
        </w:rPr>
        <w:t>,</w:t>
      </w:r>
      <w:r w:rsidR="009E657A" w:rsidRPr="009E657A">
        <w:rPr>
          <w:sz w:val="22"/>
          <w:szCs w:val="22"/>
        </w:rPr>
        <w:t xml:space="preserve"> </w:t>
      </w:r>
      <w:r w:rsidR="003F5338">
        <w:rPr>
          <w:sz w:val="22"/>
          <w:szCs w:val="22"/>
        </w:rPr>
        <w:t>por meio do</w:t>
      </w:r>
      <w:r w:rsidR="009E657A" w:rsidRPr="009E657A">
        <w:rPr>
          <w:sz w:val="22"/>
          <w:szCs w:val="22"/>
        </w:rPr>
        <w:t xml:space="preserve"> art. 6º, inciso II, da Resolução Senac n.</w:t>
      </w:r>
      <w:r>
        <w:rPr>
          <w:sz w:val="22"/>
          <w:szCs w:val="22"/>
        </w:rPr>
        <w:t>º</w:t>
      </w:r>
      <w:r w:rsidR="009E657A" w:rsidRPr="009E657A">
        <w:rPr>
          <w:sz w:val="22"/>
          <w:szCs w:val="22"/>
        </w:rPr>
        <w:t xml:space="preserve"> 4/2003.</w:t>
      </w:r>
      <w:r>
        <w:rPr>
          <w:sz w:val="22"/>
          <w:szCs w:val="22"/>
        </w:rPr>
        <w:t xml:space="preserve"> Com efeito, os </w:t>
      </w:r>
      <w:r w:rsidR="009E657A" w:rsidRPr="009E657A">
        <w:rPr>
          <w:sz w:val="22"/>
          <w:szCs w:val="22"/>
        </w:rPr>
        <w:t>gastos mencionados a título de fracionamento compreend</w:t>
      </w:r>
      <w:r>
        <w:rPr>
          <w:sz w:val="22"/>
          <w:szCs w:val="22"/>
        </w:rPr>
        <w:t>iam</w:t>
      </w:r>
      <w:r w:rsidR="009E657A" w:rsidRPr="009E657A">
        <w:rPr>
          <w:sz w:val="22"/>
          <w:szCs w:val="22"/>
        </w:rPr>
        <w:t xml:space="preserve"> os valores de R$ 32.889,45 e R$ 4.782,10, destinados a reformas no Centro de Educação Profissional localizado no centro de João Pessoa/PB, e de R$ 10.472,89, para a restauração do forro de gesso, pintura, reposição de piso e reestruturação da rede elétrica de outra unidade operacional. Todos esses serviços perfaz</w:t>
      </w:r>
      <w:r w:rsidR="002E263D">
        <w:rPr>
          <w:sz w:val="22"/>
          <w:szCs w:val="22"/>
        </w:rPr>
        <w:t>ia</w:t>
      </w:r>
      <w:r w:rsidR="009E657A" w:rsidRPr="009E657A">
        <w:rPr>
          <w:sz w:val="22"/>
          <w:szCs w:val="22"/>
        </w:rPr>
        <w:t xml:space="preserve">m R$ 48.144,44 e foram contratados junto à Construtora Nedan Ltda., que havia sido selecionada, mediante licitação, para a reforma do Centro de Educação Profissional, no valor originário de R$ 203.655,46. </w:t>
      </w:r>
      <w:r w:rsidR="002E263D">
        <w:rPr>
          <w:sz w:val="22"/>
          <w:szCs w:val="22"/>
        </w:rPr>
        <w:t xml:space="preserve">De acordo com a unidade técnica, </w:t>
      </w:r>
      <w:r w:rsidR="009E657A" w:rsidRPr="009E657A">
        <w:rPr>
          <w:sz w:val="22"/>
          <w:szCs w:val="22"/>
        </w:rPr>
        <w:t>não houve fracionamento</w:t>
      </w:r>
      <w:r w:rsidR="003F5338">
        <w:rPr>
          <w:sz w:val="22"/>
          <w:szCs w:val="22"/>
        </w:rPr>
        <w:t>, uma vez que</w:t>
      </w:r>
      <w:r w:rsidR="009E657A" w:rsidRPr="009E657A">
        <w:rPr>
          <w:sz w:val="22"/>
          <w:szCs w:val="22"/>
        </w:rPr>
        <w:t xml:space="preserve"> essas três dispensas poderiam ter sido evitadas com o mero aditamento do contrato de reforma, </w:t>
      </w:r>
      <w:r w:rsidR="003F5338">
        <w:rPr>
          <w:sz w:val="22"/>
          <w:szCs w:val="22"/>
        </w:rPr>
        <w:t>o qual</w:t>
      </w:r>
      <w:r w:rsidR="009E657A" w:rsidRPr="009E657A">
        <w:rPr>
          <w:sz w:val="22"/>
          <w:szCs w:val="22"/>
        </w:rPr>
        <w:t xml:space="preserve"> comportaria acréscimo de aproximadamente R$ 50.000,00, correspondente a 25% do contrato. </w:t>
      </w:r>
      <w:r w:rsidR="002E263D">
        <w:rPr>
          <w:sz w:val="22"/>
          <w:szCs w:val="22"/>
        </w:rPr>
        <w:t>Segundo a unidade instrutiva, o</w:t>
      </w:r>
      <w:r w:rsidR="009E657A" w:rsidRPr="009E657A">
        <w:rPr>
          <w:sz w:val="22"/>
          <w:szCs w:val="22"/>
        </w:rPr>
        <w:t xml:space="preserve"> fato de terem sido realizadas as dispensas, com a apresentação de pelo menos três propostas de empresas do ramo, pode</w:t>
      </w:r>
      <w:r w:rsidR="002E263D">
        <w:rPr>
          <w:sz w:val="22"/>
          <w:szCs w:val="22"/>
        </w:rPr>
        <w:t>ria</w:t>
      </w:r>
      <w:r w:rsidR="009E657A" w:rsidRPr="009E657A">
        <w:rPr>
          <w:sz w:val="22"/>
          <w:szCs w:val="22"/>
        </w:rPr>
        <w:t xml:space="preserve"> ser visto como tentativa da administração de manter ou até diminuir os preços do contrato originário.</w:t>
      </w:r>
      <w:r w:rsidR="002E263D">
        <w:rPr>
          <w:sz w:val="22"/>
          <w:szCs w:val="22"/>
        </w:rPr>
        <w:t xml:space="preserve"> </w:t>
      </w:r>
      <w:r w:rsidR="003F5338">
        <w:rPr>
          <w:sz w:val="22"/>
          <w:szCs w:val="22"/>
        </w:rPr>
        <w:t>Para</w:t>
      </w:r>
      <w:r w:rsidR="002E263D">
        <w:rPr>
          <w:sz w:val="22"/>
          <w:szCs w:val="22"/>
        </w:rPr>
        <w:t xml:space="preserve"> o relator, n</w:t>
      </w:r>
      <w:r w:rsidR="009E657A" w:rsidRPr="009E657A">
        <w:rPr>
          <w:sz w:val="22"/>
          <w:szCs w:val="22"/>
        </w:rPr>
        <w:t>ão tendo sido detectado aumento de custos dos itens contratados por dispensa</w:t>
      </w:r>
      <w:r w:rsidR="003F5338">
        <w:rPr>
          <w:sz w:val="22"/>
          <w:szCs w:val="22"/>
        </w:rPr>
        <w:t>,</w:t>
      </w:r>
      <w:r w:rsidR="009E657A" w:rsidRPr="009E657A">
        <w:rPr>
          <w:sz w:val="22"/>
          <w:szCs w:val="22"/>
        </w:rPr>
        <w:t xml:space="preserve"> em relação ao contrato original, pode</w:t>
      </w:r>
      <w:r w:rsidR="002E263D">
        <w:rPr>
          <w:sz w:val="22"/>
          <w:szCs w:val="22"/>
        </w:rPr>
        <w:t>ria</w:t>
      </w:r>
      <w:r w:rsidR="009E657A" w:rsidRPr="009E657A">
        <w:rPr>
          <w:sz w:val="22"/>
          <w:szCs w:val="22"/>
        </w:rPr>
        <w:t xml:space="preserve">m ser aceitas as justificativas </w:t>
      </w:r>
      <w:r w:rsidR="00567941">
        <w:rPr>
          <w:sz w:val="22"/>
          <w:szCs w:val="22"/>
        </w:rPr>
        <w:t>d</w:t>
      </w:r>
      <w:r w:rsidR="009E657A" w:rsidRPr="009E657A">
        <w:rPr>
          <w:sz w:val="22"/>
          <w:szCs w:val="22"/>
        </w:rPr>
        <w:t>o responsável.</w:t>
      </w:r>
      <w:r w:rsidR="002E263D">
        <w:rPr>
          <w:sz w:val="22"/>
          <w:szCs w:val="22"/>
        </w:rPr>
        <w:t xml:space="preserve"> Ao final, o relator propôs e a Primeira Câmara decidiu </w:t>
      </w:r>
      <w:r w:rsidR="009E657A" w:rsidRPr="009E657A">
        <w:rPr>
          <w:sz w:val="22"/>
          <w:szCs w:val="22"/>
        </w:rPr>
        <w:t>determinar ao Departamento Regional do Senac/PB que</w:t>
      </w:r>
      <w:r w:rsidR="002E263D">
        <w:rPr>
          <w:sz w:val="22"/>
          <w:szCs w:val="22"/>
        </w:rPr>
        <w:t xml:space="preserve">, </w:t>
      </w:r>
      <w:r w:rsidR="009E657A" w:rsidRPr="009E657A">
        <w:rPr>
          <w:sz w:val="22"/>
          <w:szCs w:val="22"/>
        </w:rPr>
        <w:t xml:space="preserve">quando houver necessidade de acrescentar serviços a uma obra em execução, observe as seguintes orientações: </w:t>
      </w:r>
      <w:r w:rsidR="002E263D">
        <w:rPr>
          <w:sz w:val="22"/>
          <w:szCs w:val="22"/>
        </w:rPr>
        <w:t xml:space="preserve">I) </w:t>
      </w:r>
      <w:r w:rsidR="002E263D" w:rsidRPr="002E263D">
        <w:rPr>
          <w:i/>
          <w:sz w:val="22"/>
          <w:szCs w:val="22"/>
        </w:rPr>
        <w:t>“</w:t>
      </w:r>
      <w:r w:rsidR="009E657A" w:rsidRPr="002E263D">
        <w:rPr>
          <w:i/>
          <w:sz w:val="22"/>
          <w:szCs w:val="22"/>
        </w:rPr>
        <w:t>se houver interesse da Entidade em que a mesma empresa faça esses novos serviços nas mesmas condições do contrato vigente, providencie o seu aditamento, observando os limites estabelecidos pelo Regulamento de Licitações e Contratos do Senac</w:t>
      </w:r>
      <w:r w:rsidR="002E263D" w:rsidRPr="002E263D">
        <w:rPr>
          <w:i/>
          <w:sz w:val="22"/>
          <w:szCs w:val="22"/>
        </w:rPr>
        <w:t>”</w:t>
      </w:r>
      <w:r w:rsidR="009E657A" w:rsidRPr="009E657A">
        <w:rPr>
          <w:sz w:val="22"/>
          <w:szCs w:val="22"/>
        </w:rPr>
        <w:t>;</w:t>
      </w:r>
      <w:r w:rsidR="002E263D">
        <w:rPr>
          <w:sz w:val="22"/>
          <w:szCs w:val="22"/>
        </w:rPr>
        <w:t xml:space="preserve"> e II) </w:t>
      </w:r>
      <w:r w:rsidR="002E263D" w:rsidRPr="002E263D">
        <w:rPr>
          <w:i/>
          <w:sz w:val="22"/>
          <w:szCs w:val="22"/>
        </w:rPr>
        <w:t>“</w:t>
      </w:r>
      <w:r w:rsidR="009E657A" w:rsidRPr="002E263D">
        <w:rPr>
          <w:i/>
          <w:sz w:val="22"/>
          <w:szCs w:val="22"/>
        </w:rPr>
        <w:t>se não houver interesse da Entidade no aditamento ou se for ultrapassado o limite regulamentar, providencie nova contratação, precedida de procedimento licitatório na modalidade prevista para o total da obra (valor das contratações anteriores somado ao valor dos novos serviços)</w:t>
      </w:r>
      <w:r w:rsidR="002E263D" w:rsidRPr="002E263D">
        <w:rPr>
          <w:i/>
          <w:sz w:val="22"/>
          <w:szCs w:val="22"/>
        </w:rPr>
        <w:t>”</w:t>
      </w:r>
      <w:r w:rsidR="002E263D">
        <w:rPr>
          <w:sz w:val="22"/>
          <w:szCs w:val="22"/>
        </w:rPr>
        <w:t xml:space="preserve">. </w:t>
      </w:r>
      <w:r w:rsidR="002A6B43" w:rsidRPr="00337E16">
        <w:rPr>
          <w:b/>
          <w:i/>
          <w:sz w:val="22"/>
          <w:szCs w:val="22"/>
        </w:rPr>
        <w:t xml:space="preserve">Acórdão n.º </w:t>
      </w:r>
      <w:r w:rsidR="009C0097">
        <w:rPr>
          <w:b/>
          <w:i/>
          <w:sz w:val="22"/>
          <w:szCs w:val="22"/>
        </w:rPr>
        <w:t>7821</w:t>
      </w:r>
      <w:r w:rsidR="002A6B43" w:rsidRPr="00337E16">
        <w:rPr>
          <w:b/>
          <w:i/>
          <w:sz w:val="22"/>
          <w:szCs w:val="22"/>
        </w:rPr>
        <w:t>/2010</w:t>
      </w:r>
      <w:r w:rsidR="002A6B43">
        <w:rPr>
          <w:b/>
          <w:i/>
          <w:sz w:val="22"/>
          <w:szCs w:val="22"/>
        </w:rPr>
        <w:t>-1ª Câmara</w:t>
      </w:r>
      <w:r w:rsidR="002A6B43" w:rsidRPr="00337E16">
        <w:rPr>
          <w:b/>
          <w:i/>
          <w:sz w:val="22"/>
          <w:szCs w:val="22"/>
        </w:rPr>
        <w:t>, TC-0</w:t>
      </w:r>
      <w:r w:rsidR="009C0097">
        <w:rPr>
          <w:b/>
          <w:i/>
          <w:sz w:val="22"/>
          <w:szCs w:val="22"/>
        </w:rPr>
        <w:t>14</w:t>
      </w:r>
      <w:r w:rsidR="002A6B43" w:rsidRPr="00337E16">
        <w:rPr>
          <w:b/>
          <w:i/>
          <w:sz w:val="22"/>
          <w:szCs w:val="22"/>
        </w:rPr>
        <w:t>.</w:t>
      </w:r>
      <w:r w:rsidR="009C0097">
        <w:rPr>
          <w:b/>
          <w:i/>
          <w:sz w:val="22"/>
          <w:szCs w:val="22"/>
        </w:rPr>
        <w:t>407</w:t>
      </w:r>
      <w:r w:rsidR="002A6B43" w:rsidRPr="00337E16">
        <w:rPr>
          <w:b/>
          <w:i/>
          <w:sz w:val="22"/>
          <w:szCs w:val="22"/>
        </w:rPr>
        <w:t>/20</w:t>
      </w:r>
      <w:r w:rsidR="009C0097">
        <w:rPr>
          <w:b/>
          <w:i/>
          <w:sz w:val="22"/>
          <w:szCs w:val="22"/>
        </w:rPr>
        <w:t>06</w:t>
      </w:r>
      <w:r w:rsidR="002A6B43" w:rsidRPr="00337E16">
        <w:rPr>
          <w:b/>
          <w:i/>
          <w:sz w:val="22"/>
          <w:szCs w:val="22"/>
        </w:rPr>
        <w:t>-</w:t>
      </w:r>
      <w:r w:rsidR="009C0097">
        <w:rPr>
          <w:b/>
          <w:i/>
          <w:sz w:val="22"/>
          <w:szCs w:val="22"/>
        </w:rPr>
        <w:t>4</w:t>
      </w:r>
      <w:r w:rsidR="002A6B43" w:rsidRPr="00337E16">
        <w:rPr>
          <w:b/>
          <w:i/>
          <w:sz w:val="22"/>
          <w:szCs w:val="22"/>
        </w:rPr>
        <w:t xml:space="preserve">, rel. </w:t>
      </w:r>
      <w:r w:rsidR="002A6B43" w:rsidRPr="002A6B43">
        <w:rPr>
          <w:b/>
          <w:i/>
          <w:sz w:val="22"/>
          <w:szCs w:val="22"/>
        </w:rPr>
        <w:t xml:space="preserve">Min-Subst. </w:t>
      </w:r>
      <w:r w:rsidR="002A6B43" w:rsidRPr="00963DA4">
        <w:rPr>
          <w:b/>
          <w:i/>
          <w:sz w:val="22"/>
          <w:szCs w:val="22"/>
        </w:rPr>
        <w:t>Marcos Bemquerer Costa, 2</w:t>
      </w:r>
      <w:r w:rsidR="002A6B43">
        <w:rPr>
          <w:b/>
          <w:i/>
          <w:sz w:val="22"/>
          <w:szCs w:val="22"/>
        </w:rPr>
        <w:t>3</w:t>
      </w:r>
      <w:r w:rsidR="002A6B43" w:rsidRPr="00963DA4">
        <w:rPr>
          <w:b/>
          <w:i/>
          <w:sz w:val="22"/>
          <w:szCs w:val="22"/>
        </w:rPr>
        <w:t>.11.2010</w:t>
      </w:r>
      <w:r w:rsidR="002A6B43" w:rsidRPr="00963DA4">
        <w:rPr>
          <w:sz w:val="22"/>
          <w:szCs w:val="22"/>
        </w:rPr>
        <w:t>.</w:t>
      </w:r>
    </w:p>
    <w:p w:rsidR="002A6B43" w:rsidRDefault="002A6B43" w:rsidP="002A6B43">
      <w:pPr>
        <w:pStyle w:val="indice"/>
        <w:tabs>
          <w:tab w:val="left" w:pos="567"/>
        </w:tabs>
        <w:spacing w:before="60" w:line="240" w:lineRule="auto"/>
      </w:pPr>
    </w:p>
    <w:p w:rsidR="002A6B43" w:rsidRPr="009B02B0" w:rsidRDefault="0083555B" w:rsidP="002A6B43">
      <w:pPr>
        <w:pStyle w:val="indice"/>
        <w:spacing w:before="60" w:line="240" w:lineRule="auto"/>
        <w:rPr>
          <w:b/>
        </w:rPr>
      </w:pPr>
      <w:r w:rsidRPr="009B02B0">
        <w:rPr>
          <w:b/>
        </w:rPr>
        <w:t>Contratações sem prévio processo licitatório</w:t>
      </w:r>
      <w:r w:rsidR="002A6B43" w:rsidRPr="009B02B0">
        <w:rPr>
          <w:b/>
        </w:rPr>
        <w:t xml:space="preserve">: 2 - </w:t>
      </w:r>
      <w:r w:rsidR="009B02B0" w:rsidRPr="009B02B0">
        <w:rPr>
          <w:b/>
        </w:rPr>
        <w:t>Necessidade da comprovação da pesquisa de preços de mercado a, pelo menos, três potenciais fornecedores</w:t>
      </w:r>
    </w:p>
    <w:p w:rsidR="009C0097" w:rsidRPr="00963DA4" w:rsidRDefault="0002688F" w:rsidP="009C0097">
      <w:pPr>
        <w:pStyle w:val="Pargrafo"/>
        <w:jc w:val="both"/>
        <w:rPr>
          <w:sz w:val="22"/>
          <w:szCs w:val="22"/>
        </w:rPr>
      </w:pPr>
      <w:r>
        <w:rPr>
          <w:sz w:val="22"/>
          <w:szCs w:val="22"/>
        </w:rPr>
        <w:t>Outra suposta irregularidade envolvendo a p</w:t>
      </w:r>
      <w:r w:rsidRPr="009E657A">
        <w:rPr>
          <w:sz w:val="22"/>
          <w:szCs w:val="22"/>
        </w:rPr>
        <w:t xml:space="preserve">restação de </w:t>
      </w:r>
      <w:r>
        <w:rPr>
          <w:sz w:val="22"/>
          <w:szCs w:val="22"/>
        </w:rPr>
        <w:t>c</w:t>
      </w:r>
      <w:r w:rsidRPr="009E657A">
        <w:rPr>
          <w:sz w:val="22"/>
          <w:szCs w:val="22"/>
        </w:rPr>
        <w:t>ontas do Serviço Nacional de Aprendizagem Comercial – Senac, Administração Regional/PB, referente ao exercício de 2005</w:t>
      </w:r>
      <w:r>
        <w:rPr>
          <w:sz w:val="22"/>
          <w:szCs w:val="22"/>
        </w:rPr>
        <w:t xml:space="preserve">, foi a </w:t>
      </w:r>
      <w:r w:rsidRPr="0002688F">
        <w:rPr>
          <w:i/>
          <w:sz w:val="22"/>
          <w:szCs w:val="22"/>
        </w:rPr>
        <w:t>“</w:t>
      </w:r>
      <w:r w:rsidR="009C0097" w:rsidRPr="0002688F">
        <w:rPr>
          <w:i/>
          <w:sz w:val="22"/>
          <w:szCs w:val="22"/>
        </w:rPr>
        <w:t>ausência de pesquisa de preços no processo de dispensa de licitação para contratação de empresa para adequar o elevador ao transporte de portadores de necessidades especiais, com ofensa ao art. 37 da Constituição Federal</w:t>
      </w:r>
      <w:r w:rsidRPr="0002688F">
        <w:rPr>
          <w:i/>
          <w:sz w:val="22"/>
          <w:szCs w:val="22"/>
        </w:rPr>
        <w:t>”</w:t>
      </w:r>
      <w:r>
        <w:rPr>
          <w:sz w:val="22"/>
          <w:szCs w:val="22"/>
        </w:rPr>
        <w:t xml:space="preserve">. </w:t>
      </w:r>
      <w:r w:rsidR="003E3339">
        <w:rPr>
          <w:sz w:val="22"/>
          <w:szCs w:val="22"/>
        </w:rPr>
        <w:t>Em sua instrução, a unidade técnica formulou proposta no sentido de que o Tribunal determinasse à aludida entidade</w:t>
      </w:r>
      <w:r w:rsidR="009B02B0">
        <w:rPr>
          <w:sz w:val="22"/>
          <w:szCs w:val="22"/>
        </w:rPr>
        <w:t xml:space="preserve"> a</w:t>
      </w:r>
      <w:r w:rsidR="009E657A" w:rsidRPr="009C0097">
        <w:rPr>
          <w:sz w:val="22"/>
          <w:szCs w:val="22"/>
        </w:rPr>
        <w:t xml:space="preserve"> realização d</w:t>
      </w:r>
      <w:r w:rsidR="009B02B0">
        <w:rPr>
          <w:sz w:val="22"/>
          <w:szCs w:val="22"/>
        </w:rPr>
        <w:t>a</w:t>
      </w:r>
      <w:r w:rsidR="009E657A" w:rsidRPr="009C0097">
        <w:rPr>
          <w:sz w:val="22"/>
          <w:szCs w:val="22"/>
        </w:rPr>
        <w:t xml:space="preserve"> pesquisa de preços de mercado a potenciais fornecedores nas hipóteses de dispensa de licitação</w:t>
      </w:r>
      <w:r w:rsidR="003E3339">
        <w:rPr>
          <w:sz w:val="22"/>
          <w:szCs w:val="22"/>
        </w:rPr>
        <w:t>. O relator, no entanto,</w:t>
      </w:r>
      <w:r w:rsidR="009E657A" w:rsidRPr="009C0097">
        <w:rPr>
          <w:sz w:val="22"/>
          <w:szCs w:val="22"/>
        </w:rPr>
        <w:t xml:space="preserve"> </w:t>
      </w:r>
      <w:r>
        <w:rPr>
          <w:sz w:val="22"/>
          <w:szCs w:val="22"/>
        </w:rPr>
        <w:t>consignou</w:t>
      </w:r>
      <w:r w:rsidR="009E657A" w:rsidRPr="009C0097">
        <w:rPr>
          <w:sz w:val="22"/>
          <w:szCs w:val="22"/>
        </w:rPr>
        <w:t xml:space="preserve"> que o Senac, por ser instituído como Serviço Social Autônomo, possui normativo próprio para licitações</w:t>
      </w:r>
      <w:r w:rsidR="005E7AEA">
        <w:rPr>
          <w:sz w:val="22"/>
          <w:szCs w:val="22"/>
        </w:rPr>
        <w:t xml:space="preserve"> e, segundo</w:t>
      </w:r>
      <w:r w:rsidR="009E657A" w:rsidRPr="009C0097">
        <w:rPr>
          <w:sz w:val="22"/>
          <w:szCs w:val="22"/>
        </w:rPr>
        <w:t xml:space="preserve"> entendimento </w:t>
      </w:r>
      <w:r>
        <w:rPr>
          <w:sz w:val="22"/>
          <w:szCs w:val="22"/>
        </w:rPr>
        <w:t xml:space="preserve">do </w:t>
      </w:r>
      <w:r w:rsidR="005E7AEA">
        <w:rPr>
          <w:sz w:val="22"/>
          <w:szCs w:val="22"/>
        </w:rPr>
        <w:t xml:space="preserve">próprio </w:t>
      </w:r>
      <w:r>
        <w:rPr>
          <w:sz w:val="22"/>
          <w:szCs w:val="22"/>
        </w:rPr>
        <w:t>TCU</w:t>
      </w:r>
      <w:r w:rsidR="009E657A" w:rsidRPr="009C0097">
        <w:rPr>
          <w:sz w:val="22"/>
          <w:szCs w:val="22"/>
        </w:rPr>
        <w:t xml:space="preserve">, em razão de gerenciarem recursos públicos, as </w:t>
      </w:r>
      <w:r>
        <w:rPr>
          <w:sz w:val="22"/>
          <w:szCs w:val="22"/>
        </w:rPr>
        <w:t>e</w:t>
      </w:r>
      <w:r w:rsidR="009E657A" w:rsidRPr="009C0097">
        <w:rPr>
          <w:sz w:val="22"/>
          <w:szCs w:val="22"/>
        </w:rPr>
        <w:t xml:space="preserve">ntidades do Sistema “S” devem observar os princípios constitucionais gerais a ela aplicáveis. </w:t>
      </w:r>
      <w:r w:rsidR="005E7AEA">
        <w:rPr>
          <w:sz w:val="22"/>
          <w:szCs w:val="22"/>
        </w:rPr>
        <w:t>Nesse sentido</w:t>
      </w:r>
      <w:r w:rsidR="00EF0A09">
        <w:rPr>
          <w:sz w:val="22"/>
          <w:szCs w:val="22"/>
        </w:rPr>
        <w:t>, n</w:t>
      </w:r>
      <w:r w:rsidR="00EF0A09" w:rsidRPr="009C0097">
        <w:rPr>
          <w:sz w:val="22"/>
          <w:szCs w:val="22"/>
        </w:rPr>
        <w:t>ão obstante</w:t>
      </w:r>
      <w:r w:rsidR="00EF0A09">
        <w:rPr>
          <w:sz w:val="22"/>
          <w:szCs w:val="22"/>
        </w:rPr>
        <w:t xml:space="preserve"> </w:t>
      </w:r>
      <w:r w:rsidR="009E657A" w:rsidRPr="009C0097">
        <w:rPr>
          <w:sz w:val="22"/>
          <w:szCs w:val="22"/>
        </w:rPr>
        <w:t>o Regulamento de Licitações do Senac/Nacional não cont</w:t>
      </w:r>
      <w:r w:rsidR="00EF0A09">
        <w:rPr>
          <w:sz w:val="22"/>
          <w:szCs w:val="22"/>
        </w:rPr>
        <w:t>er</w:t>
      </w:r>
      <w:r w:rsidR="009E657A" w:rsidRPr="009C0097">
        <w:rPr>
          <w:sz w:val="22"/>
          <w:szCs w:val="22"/>
        </w:rPr>
        <w:t xml:space="preserve"> disposições sobre a escolha dos fornecedores na hipótese de dispensa de licitação, </w:t>
      </w:r>
      <w:r w:rsidR="00EF0A09" w:rsidRPr="00EF0A09">
        <w:rPr>
          <w:i/>
          <w:sz w:val="22"/>
          <w:szCs w:val="22"/>
        </w:rPr>
        <w:t>“</w:t>
      </w:r>
      <w:r w:rsidR="009E657A" w:rsidRPr="00EF0A09">
        <w:rPr>
          <w:i/>
          <w:sz w:val="22"/>
          <w:szCs w:val="22"/>
        </w:rPr>
        <w:t>a seleção deve ser motivada, como todo e qualquer ato administrativo</w:t>
      </w:r>
      <w:r w:rsidR="00EF0A09" w:rsidRPr="00EF0A09">
        <w:rPr>
          <w:i/>
          <w:sz w:val="22"/>
          <w:szCs w:val="22"/>
        </w:rPr>
        <w:t>”</w:t>
      </w:r>
      <w:r w:rsidR="009E657A" w:rsidRPr="009C0097">
        <w:rPr>
          <w:sz w:val="22"/>
          <w:szCs w:val="22"/>
        </w:rPr>
        <w:t xml:space="preserve">. Ademais, ao optar por um fornecedor, </w:t>
      </w:r>
      <w:r w:rsidR="00EF0A09" w:rsidRPr="00EF0A09">
        <w:rPr>
          <w:i/>
          <w:sz w:val="22"/>
          <w:szCs w:val="22"/>
        </w:rPr>
        <w:t>“</w:t>
      </w:r>
      <w:r w:rsidR="009E657A" w:rsidRPr="00EF0A09">
        <w:rPr>
          <w:i/>
          <w:sz w:val="22"/>
          <w:szCs w:val="22"/>
        </w:rPr>
        <w:t>o administrador deve buscar a economicidade da aquisição, ainda que o valor da compra/contratação não imponha a realização de um procedimento licitatório</w:t>
      </w:r>
      <w:r w:rsidR="00EF0A09" w:rsidRPr="00EF0A09">
        <w:rPr>
          <w:i/>
          <w:sz w:val="22"/>
          <w:szCs w:val="22"/>
        </w:rPr>
        <w:t>”</w:t>
      </w:r>
      <w:r w:rsidR="009E657A" w:rsidRPr="009C0097">
        <w:rPr>
          <w:sz w:val="22"/>
          <w:szCs w:val="22"/>
        </w:rPr>
        <w:t xml:space="preserve">. </w:t>
      </w:r>
      <w:r w:rsidR="00EF0A09">
        <w:rPr>
          <w:sz w:val="22"/>
          <w:szCs w:val="22"/>
        </w:rPr>
        <w:t xml:space="preserve">Ao final, o relator propôs e o Colegiado decidiu </w:t>
      </w:r>
      <w:r w:rsidR="009C0097" w:rsidRPr="009C0097">
        <w:rPr>
          <w:sz w:val="22"/>
          <w:szCs w:val="22"/>
        </w:rPr>
        <w:t>recomendar ao Conselho Nacional do Senac que insira no seu Regulamento de Licitações e Contratos, se ainda não o fez, a exigência de que, em casos de dispensa de licitação, seja comprovada, no respectivo processo, a pesquisa de preços de mercado a, pelo menos, três potenciais fornecedores</w:t>
      </w:r>
      <w:r w:rsidR="00EF0A09">
        <w:rPr>
          <w:sz w:val="22"/>
          <w:szCs w:val="22"/>
        </w:rPr>
        <w:t xml:space="preserve">. </w:t>
      </w:r>
      <w:r w:rsidR="009C0097" w:rsidRPr="00337E16">
        <w:rPr>
          <w:b/>
          <w:i/>
          <w:sz w:val="22"/>
          <w:szCs w:val="22"/>
        </w:rPr>
        <w:t xml:space="preserve">Acórdão n.º </w:t>
      </w:r>
      <w:r w:rsidR="009C0097">
        <w:rPr>
          <w:b/>
          <w:i/>
          <w:sz w:val="22"/>
          <w:szCs w:val="22"/>
        </w:rPr>
        <w:t>7821</w:t>
      </w:r>
      <w:r w:rsidR="009C0097" w:rsidRPr="00337E16">
        <w:rPr>
          <w:b/>
          <w:i/>
          <w:sz w:val="22"/>
          <w:szCs w:val="22"/>
        </w:rPr>
        <w:t>/2010</w:t>
      </w:r>
      <w:r w:rsidR="009C0097">
        <w:rPr>
          <w:b/>
          <w:i/>
          <w:sz w:val="22"/>
          <w:szCs w:val="22"/>
        </w:rPr>
        <w:t>-1ª Câmara</w:t>
      </w:r>
      <w:r w:rsidR="009C0097" w:rsidRPr="00337E16">
        <w:rPr>
          <w:b/>
          <w:i/>
          <w:sz w:val="22"/>
          <w:szCs w:val="22"/>
        </w:rPr>
        <w:t>, TC-0</w:t>
      </w:r>
      <w:r w:rsidR="009C0097">
        <w:rPr>
          <w:b/>
          <w:i/>
          <w:sz w:val="22"/>
          <w:szCs w:val="22"/>
        </w:rPr>
        <w:t>14</w:t>
      </w:r>
      <w:r w:rsidR="009C0097" w:rsidRPr="00337E16">
        <w:rPr>
          <w:b/>
          <w:i/>
          <w:sz w:val="22"/>
          <w:szCs w:val="22"/>
        </w:rPr>
        <w:t>.</w:t>
      </w:r>
      <w:r w:rsidR="009C0097">
        <w:rPr>
          <w:b/>
          <w:i/>
          <w:sz w:val="22"/>
          <w:szCs w:val="22"/>
        </w:rPr>
        <w:t>407</w:t>
      </w:r>
      <w:r w:rsidR="009C0097" w:rsidRPr="00337E16">
        <w:rPr>
          <w:b/>
          <w:i/>
          <w:sz w:val="22"/>
          <w:szCs w:val="22"/>
        </w:rPr>
        <w:t>/20</w:t>
      </w:r>
      <w:r w:rsidR="009C0097">
        <w:rPr>
          <w:b/>
          <w:i/>
          <w:sz w:val="22"/>
          <w:szCs w:val="22"/>
        </w:rPr>
        <w:t>06</w:t>
      </w:r>
      <w:r w:rsidR="009C0097" w:rsidRPr="00337E16">
        <w:rPr>
          <w:b/>
          <w:i/>
          <w:sz w:val="22"/>
          <w:szCs w:val="22"/>
        </w:rPr>
        <w:t>-</w:t>
      </w:r>
      <w:r w:rsidR="009C0097">
        <w:rPr>
          <w:b/>
          <w:i/>
          <w:sz w:val="22"/>
          <w:szCs w:val="22"/>
        </w:rPr>
        <w:t>4</w:t>
      </w:r>
      <w:r w:rsidR="009C0097" w:rsidRPr="00337E16">
        <w:rPr>
          <w:b/>
          <w:i/>
          <w:sz w:val="22"/>
          <w:szCs w:val="22"/>
        </w:rPr>
        <w:t xml:space="preserve">, rel. </w:t>
      </w:r>
      <w:r w:rsidR="009C0097" w:rsidRPr="002A6B43">
        <w:rPr>
          <w:b/>
          <w:i/>
          <w:sz w:val="22"/>
          <w:szCs w:val="22"/>
        </w:rPr>
        <w:t xml:space="preserve">Min-Subst. </w:t>
      </w:r>
      <w:r w:rsidR="009C0097" w:rsidRPr="00963DA4">
        <w:rPr>
          <w:b/>
          <w:i/>
          <w:sz w:val="22"/>
          <w:szCs w:val="22"/>
        </w:rPr>
        <w:t>Marcos Bemquerer Costa, 2</w:t>
      </w:r>
      <w:r w:rsidR="009C0097">
        <w:rPr>
          <w:b/>
          <w:i/>
          <w:sz w:val="22"/>
          <w:szCs w:val="22"/>
        </w:rPr>
        <w:t>3</w:t>
      </w:r>
      <w:r w:rsidR="009C0097" w:rsidRPr="00963DA4">
        <w:rPr>
          <w:b/>
          <w:i/>
          <w:sz w:val="22"/>
          <w:szCs w:val="22"/>
        </w:rPr>
        <w:t>.11.2010</w:t>
      </w:r>
      <w:r w:rsidR="009C0097" w:rsidRPr="00963DA4">
        <w:rPr>
          <w:sz w:val="22"/>
          <w:szCs w:val="22"/>
        </w:rPr>
        <w:t>.</w:t>
      </w:r>
    </w:p>
    <w:p w:rsidR="00BC5737" w:rsidRPr="00337E16" w:rsidRDefault="00BC5737" w:rsidP="00BC5737">
      <w:pPr>
        <w:pStyle w:val="enter-3pt"/>
        <w:spacing w:line="240" w:lineRule="auto"/>
        <w:rPr>
          <w:sz w:val="22"/>
          <w:szCs w:val="22"/>
        </w:rPr>
      </w:pPr>
    </w:p>
    <w:p w:rsidR="008A2417" w:rsidRPr="00337E16" w:rsidRDefault="008A2417" w:rsidP="008A2417">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SEGUNDA</w:t>
      </w:r>
      <w:r w:rsidRPr="00337E16">
        <w:rPr>
          <w:rFonts w:ascii="Cambria" w:hAnsi="Cambria"/>
          <w:b/>
          <w:bCs/>
          <w:smallCaps/>
          <w:sz w:val="22"/>
          <w:szCs w:val="22"/>
        </w:rPr>
        <w:t xml:space="preserve"> CÂMARA</w:t>
      </w:r>
    </w:p>
    <w:p w:rsidR="008A2417" w:rsidRPr="00337E16" w:rsidRDefault="008A2417" w:rsidP="008A2417">
      <w:pPr>
        <w:pStyle w:val="Pargrafo"/>
        <w:jc w:val="both"/>
        <w:rPr>
          <w:b/>
          <w:sz w:val="22"/>
          <w:szCs w:val="22"/>
        </w:rPr>
      </w:pPr>
    </w:p>
    <w:p w:rsidR="008A2417" w:rsidRPr="00CE13D5" w:rsidRDefault="00CE13D5" w:rsidP="008A2417">
      <w:pPr>
        <w:pStyle w:val="Pargrafo"/>
        <w:jc w:val="both"/>
        <w:rPr>
          <w:b/>
          <w:sz w:val="22"/>
          <w:szCs w:val="22"/>
        </w:rPr>
      </w:pPr>
      <w:r w:rsidRPr="00CE13D5">
        <w:rPr>
          <w:b/>
          <w:sz w:val="22"/>
          <w:szCs w:val="22"/>
        </w:rPr>
        <w:t>Contratação, por inexigibilidade de licitação, para elaboração de projeto de esgotamento sanitário</w:t>
      </w:r>
    </w:p>
    <w:p w:rsidR="008A2417" w:rsidRDefault="00517847" w:rsidP="008A2417">
      <w:pPr>
        <w:pStyle w:val="Pargrafo"/>
        <w:jc w:val="both"/>
        <w:rPr>
          <w:sz w:val="22"/>
          <w:szCs w:val="22"/>
        </w:rPr>
      </w:pPr>
      <w:r>
        <w:rPr>
          <w:sz w:val="22"/>
          <w:szCs w:val="22"/>
        </w:rPr>
        <w:t xml:space="preserve">Em razão da </w:t>
      </w:r>
      <w:r w:rsidRPr="00CE13D5">
        <w:rPr>
          <w:sz w:val="22"/>
          <w:szCs w:val="22"/>
        </w:rPr>
        <w:t>contratação d</w:t>
      </w:r>
      <w:r w:rsidR="00054A25">
        <w:rPr>
          <w:sz w:val="22"/>
          <w:szCs w:val="22"/>
        </w:rPr>
        <w:t>a</w:t>
      </w:r>
      <w:r w:rsidRPr="00CE13D5">
        <w:rPr>
          <w:sz w:val="22"/>
          <w:szCs w:val="22"/>
        </w:rPr>
        <w:t xml:space="preserve"> </w:t>
      </w:r>
      <w:r w:rsidR="00054A25" w:rsidRPr="00CE13D5">
        <w:rPr>
          <w:sz w:val="22"/>
          <w:szCs w:val="22"/>
        </w:rPr>
        <w:t>elaboração do Projeto de Despoluição dos Recursos Hídricos – Sistema de Esgotamento Sanitário com Tratamento no Rio do Peixe</w:t>
      </w:r>
      <w:r w:rsidR="00054A25">
        <w:rPr>
          <w:sz w:val="22"/>
          <w:szCs w:val="22"/>
        </w:rPr>
        <w:t xml:space="preserve">, </w:t>
      </w:r>
      <w:r w:rsidRPr="00CE13D5">
        <w:rPr>
          <w:sz w:val="22"/>
          <w:szCs w:val="22"/>
        </w:rPr>
        <w:t xml:space="preserve">por inexigibilidade de licitação, em face de notória especialização da empresa contratada, </w:t>
      </w:r>
      <w:r w:rsidR="0041226F">
        <w:rPr>
          <w:sz w:val="22"/>
          <w:szCs w:val="22"/>
        </w:rPr>
        <w:t xml:space="preserve">mas </w:t>
      </w:r>
      <w:r w:rsidRPr="00CE13D5">
        <w:rPr>
          <w:sz w:val="22"/>
          <w:szCs w:val="22"/>
        </w:rPr>
        <w:t xml:space="preserve">sem </w:t>
      </w:r>
      <w:r w:rsidR="0041226F">
        <w:rPr>
          <w:sz w:val="22"/>
          <w:szCs w:val="22"/>
        </w:rPr>
        <w:t>a observância</w:t>
      </w:r>
      <w:r w:rsidRPr="00CE13D5">
        <w:rPr>
          <w:sz w:val="22"/>
          <w:szCs w:val="22"/>
        </w:rPr>
        <w:t xml:space="preserve"> dos demais requisitos insertos no art. 25, inciso II, da Lei n</w:t>
      </w:r>
      <w:r w:rsidR="00054A25">
        <w:rPr>
          <w:sz w:val="22"/>
          <w:szCs w:val="22"/>
        </w:rPr>
        <w:t>.</w:t>
      </w:r>
      <w:r w:rsidRPr="00CE13D5">
        <w:rPr>
          <w:sz w:val="22"/>
          <w:szCs w:val="22"/>
        </w:rPr>
        <w:t>º 8.666</w:t>
      </w:r>
      <w:r w:rsidR="00054A25">
        <w:rPr>
          <w:sz w:val="22"/>
          <w:szCs w:val="22"/>
        </w:rPr>
        <w:t>/</w:t>
      </w:r>
      <w:r w:rsidRPr="00CE13D5">
        <w:rPr>
          <w:sz w:val="22"/>
          <w:szCs w:val="22"/>
        </w:rPr>
        <w:t>93</w:t>
      </w:r>
      <w:r w:rsidR="00054A25">
        <w:rPr>
          <w:sz w:val="22"/>
          <w:szCs w:val="22"/>
        </w:rPr>
        <w:t xml:space="preserve">, foi instaurada </w:t>
      </w:r>
      <w:r w:rsidR="00CE13D5" w:rsidRPr="00CE13D5">
        <w:rPr>
          <w:sz w:val="22"/>
          <w:szCs w:val="22"/>
        </w:rPr>
        <w:t xml:space="preserve">tomada de contas especial em desfavor do ex-prefeito do </w:t>
      </w:r>
      <w:r w:rsidR="00054A25">
        <w:rPr>
          <w:sz w:val="22"/>
          <w:szCs w:val="22"/>
        </w:rPr>
        <w:t>M</w:t>
      </w:r>
      <w:r w:rsidR="00CE13D5" w:rsidRPr="00CE13D5">
        <w:rPr>
          <w:sz w:val="22"/>
          <w:szCs w:val="22"/>
        </w:rPr>
        <w:t>unicípio de Tanquinho</w:t>
      </w:r>
      <w:r w:rsidR="00CD502C">
        <w:rPr>
          <w:sz w:val="22"/>
          <w:szCs w:val="22"/>
        </w:rPr>
        <w:t>/BA</w:t>
      </w:r>
      <w:r w:rsidR="00054A25">
        <w:rPr>
          <w:sz w:val="22"/>
          <w:szCs w:val="22"/>
        </w:rPr>
        <w:t xml:space="preserve">. Instado a se manifestar, o </w:t>
      </w:r>
      <w:r w:rsidR="00054A25" w:rsidRPr="00054A25">
        <w:rPr>
          <w:sz w:val="22"/>
          <w:szCs w:val="22"/>
        </w:rPr>
        <w:t xml:space="preserve">ex-prefeito </w:t>
      </w:r>
      <w:r w:rsidR="0041226F">
        <w:rPr>
          <w:sz w:val="22"/>
          <w:szCs w:val="22"/>
        </w:rPr>
        <w:t>ponderou</w:t>
      </w:r>
      <w:r w:rsidR="00054A25" w:rsidRPr="00054A25">
        <w:rPr>
          <w:sz w:val="22"/>
          <w:szCs w:val="22"/>
        </w:rPr>
        <w:t xml:space="preserve"> </w:t>
      </w:r>
      <w:r w:rsidR="00054A25">
        <w:rPr>
          <w:i/>
          <w:sz w:val="22"/>
          <w:szCs w:val="22"/>
        </w:rPr>
        <w:t>“</w:t>
      </w:r>
      <w:r w:rsidR="00054A25" w:rsidRPr="00B823C4">
        <w:rPr>
          <w:i/>
          <w:sz w:val="22"/>
          <w:szCs w:val="22"/>
        </w:rPr>
        <w:t xml:space="preserve">não ser um projeto qualquer, sendo o serviço, pelas próprias características, de natureza nitidamente singular, pois não é qualquer empresa que se acha habilitada para realizá-lo; ademais, a natureza singular prevista no inciso II do art. 25 não se confunde com exclusividade, pois se esse fosse o objetivo da norma a inexigibilidade seria baseada no inciso I e não no II. Em complemento alegou que </w:t>
      </w:r>
      <w:r w:rsidR="00054A25">
        <w:rPr>
          <w:i/>
          <w:sz w:val="22"/>
          <w:szCs w:val="22"/>
        </w:rPr>
        <w:t>[...]</w:t>
      </w:r>
      <w:r w:rsidR="00054A25" w:rsidRPr="00B823C4">
        <w:rPr>
          <w:i/>
          <w:sz w:val="22"/>
          <w:szCs w:val="22"/>
        </w:rPr>
        <w:t xml:space="preserve"> o próprio art. 13, I, define como serviço técnico especializado a elaboração de projetos, de maneira que a interpretação jurídica dada pelo TCU mostra-se excessivamente rigorosa.</w:t>
      </w:r>
      <w:r w:rsidR="00054A25">
        <w:rPr>
          <w:i/>
          <w:sz w:val="22"/>
          <w:szCs w:val="22"/>
        </w:rPr>
        <w:t>”</w:t>
      </w:r>
      <w:r w:rsidR="00CE13D5" w:rsidRPr="00054A25">
        <w:rPr>
          <w:sz w:val="22"/>
          <w:szCs w:val="22"/>
        </w:rPr>
        <w:t>.</w:t>
      </w:r>
      <w:r w:rsidR="00B823C4" w:rsidRPr="00054A25">
        <w:rPr>
          <w:sz w:val="22"/>
          <w:szCs w:val="22"/>
        </w:rPr>
        <w:t xml:space="preserve"> </w:t>
      </w:r>
      <w:r w:rsidR="0041226F">
        <w:rPr>
          <w:sz w:val="22"/>
          <w:szCs w:val="22"/>
        </w:rPr>
        <w:t xml:space="preserve">De acordo com </w:t>
      </w:r>
      <w:r w:rsidR="00054A25">
        <w:rPr>
          <w:sz w:val="22"/>
          <w:szCs w:val="22"/>
        </w:rPr>
        <w:t>o relator</w:t>
      </w:r>
      <w:r w:rsidR="00CE13D5" w:rsidRPr="00CE13D5">
        <w:rPr>
          <w:sz w:val="22"/>
          <w:szCs w:val="22"/>
        </w:rPr>
        <w:t>, não era cabível a inexigibilidade prevista no art. 25, inciso II, da Lei n</w:t>
      </w:r>
      <w:r w:rsidR="00840EDF">
        <w:rPr>
          <w:sz w:val="22"/>
          <w:szCs w:val="22"/>
        </w:rPr>
        <w:t>.</w:t>
      </w:r>
      <w:r w:rsidR="00CE13D5" w:rsidRPr="00CE13D5">
        <w:rPr>
          <w:sz w:val="22"/>
          <w:szCs w:val="22"/>
        </w:rPr>
        <w:t>º 8.666</w:t>
      </w:r>
      <w:r w:rsidR="00840EDF">
        <w:rPr>
          <w:sz w:val="22"/>
          <w:szCs w:val="22"/>
        </w:rPr>
        <w:t>/</w:t>
      </w:r>
      <w:r w:rsidR="00CE13D5" w:rsidRPr="00CE13D5">
        <w:rPr>
          <w:sz w:val="22"/>
          <w:szCs w:val="22"/>
        </w:rPr>
        <w:t xml:space="preserve">93, uma vez que a singularidade do projeto </w:t>
      </w:r>
      <w:r w:rsidR="0041226F">
        <w:rPr>
          <w:sz w:val="22"/>
          <w:szCs w:val="22"/>
        </w:rPr>
        <w:t>e</w:t>
      </w:r>
      <w:r w:rsidR="00CE13D5" w:rsidRPr="00CE13D5">
        <w:rPr>
          <w:sz w:val="22"/>
          <w:szCs w:val="22"/>
        </w:rPr>
        <w:t xml:space="preserve"> a notória especialização da contratada</w:t>
      </w:r>
      <w:r w:rsidR="0041226F">
        <w:rPr>
          <w:sz w:val="22"/>
          <w:szCs w:val="22"/>
        </w:rPr>
        <w:t xml:space="preserve"> </w:t>
      </w:r>
      <w:r w:rsidR="0041226F" w:rsidRPr="00CE13D5">
        <w:rPr>
          <w:sz w:val="22"/>
          <w:szCs w:val="22"/>
        </w:rPr>
        <w:t xml:space="preserve">não </w:t>
      </w:r>
      <w:r w:rsidR="0041226F">
        <w:rPr>
          <w:sz w:val="22"/>
          <w:szCs w:val="22"/>
        </w:rPr>
        <w:t>restaram</w:t>
      </w:r>
      <w:r w:rsidR="0041226F" w:rsidRPr="00CE13D5">
        <w:rPr>
          <w:sz w:val="22"/>
          <w:szCs w:val="22"/>
        </w:rPr>
        <w:t xml:space="preserve"> evidenciada</w:t>
      </w:r>
      <w:r w:rsidR="0041226F">
        <w:rPr>
          <w:sz w:val="22"/>
          <w:szCs w:val="22"/>
        </w:rPr>
        <w:t>s</w:t>
      </w:r>
      <w:r w:rsidR="00CE13D5" w:rsidRPr="00CE13D5">
        <w:rPr>
          <w:sz w:val="22"/>
          <w:szCs w:val="22"/>
        </w:rPr>
        <w:t>.</w:t>
      </w:r>
      <w:r w:rsidR="00840EDF">
        <w:rPr>
          <w:sz w:val="22"/>
          <w:szCs w:val="22"/>
        </w:rPr>
        <w:t xml:space="preserve"> </w:t>
      </w:r>
      <w:r w:rsidR="00CE13D5" w:rsidRPr="00CE13D5">
        <w:rPr>
          <w:sz w:val="22"/>
          <w:szCs w:val="22"/>
        </w:rPr>
        <w:t>No entanto</w:t>
      </w:r>
      <w:r w:rsidR="00840EDF">
        <w:rPr>
          <w:sz w:val="22"/>
          <w:szCs w:val="22"/>
        </w:rPr>
        <w:t>,</w:t>
      </w:r>
      <w:r w:rsidR="00CE13D5" w:rsidRPr="00CE13D5">
        <w:rPr>
          <w:sz w:val="22"/>
          <w:szCs w:val="22"/>
        </w:rPr>
        <w:t xml:space="preserve"> deixo</w:t>
      </w:r>
      <w:r w:rsidR="00840EDF">
        <w:rPr>
          <w:sz w:val="22"/>
          <w:szCs w:val="22"/>
        </w:rPr>
        <w:t>u</w:t>
      </w:r>
      <w:r w:rsidR="00CE13D5" w:rsidRPr="00CE13D5">
        <w:rPr>
          <w:sz w:val="22"/>
          <w:szCs w:val="22"/>
        </w:rPr>
        <w:t xml:space="preserve"> de acolher a proposta </w:t>
      </w:r>
      <w:r w:rsidR="0041226F">
        <w:rPr>
          <w:sz w:val="22"/>
          <w:szCs w:val="22"/>
        </w:rPr>
        <w:t xml:space="preserve">técnica </w:t>
      </w:r>
      <w:r w:rsidR="00CE13D5" w:rsidRPr="00CE13D5">
        <w:rPr>
          <w:sz w:val="22"/>
          <w:szCs w:val="22"/>
        </w:rPr>
        <w:t xml:space="preserve">de aplicação de multa ao responsável, uma vez que, além de ter sido comprovada a efetiva execução do objeto pactuado, a </w:t>
      </w:r>
      <w:r w:rsidR="00840EDF">
        <w:rPr>
          <w:sz w:val="22"/>
          <w:szCs w:val="22"/>
        </w:rPr>
        <w:t xml:space="preserve">própria </w:t>
      </w:r>
      <w:r w:rsidR="00CE13D5" w:rsidRPr="00CE13D5">
        <w:rPr>
          <w:sz w:val="22"/>
          <w:szCs w:val="22"/>
        </w:rPr>
        <w:t xml:space="preserve">unidade </w:t>
      </w:r>
      <w:r w:rsidR="0041226F">
        <w:rPr>
          <w:sz w:val="22"/>
          <w:szCs w:val="22"/>
        </w:rPr>
        <w:t>instrutiva</w:t>
      </w:r>
      <w:r w:rsidR="00CE13D5" w:rsidRPr="00CE13D5">
        <w:rPr>
          <w:sz w:val="22"/>
          <w:szCs w:val="22"/>
        </w:rPr>
        <w:t xml:space="preserve"> não apontou indícios de que os valores pagos foram destoantes </w:t>
      </w:r>
      <w:r w:rsidR="0041226F">
        <w:rPr>
          <w:sz w:val="22"/>
          <w:szCs w:val="22"/>
        </w:rPr>
        <w:t>dos</w:t>
      </w:r>
      <w:r w:rsidR="00CE13D5" w:rsidRPr="00CE13D5">
        <w:rPr>
          <w:sz w:val="22"/>
          <w:szCs w:val="22"/>
        </w:rPr>
        <w:t xml:space="preserve"> praticados no mercado, de modo que </w:t>
      </w:r>
      <w:r w:rsidR="00840EDF" w:rsidRPr="00840EDF">
        <w:rPr>
          <w:i/>
          <w:sz w:val="22"/>
          <w:szCs w:val="22"/>
        </w:rPr>
        <w:t>“</w:t>
      </w:r>
      <w:r w:rsidR="00CE13D5" w:rsidRPr="00840EDF">
        <w:rPr>
          <w:i/>
          <w:sz w:val="22"/>
          <w:szCs w:val="22"/>
        </w:rPr>
        <w:t>a falha material consubstanciada na indevida contratação direta, por estar isolada, pode ser considerada como de menor gravidade</w:t>
      </w:r>
      <w:r w:rsidR="00840EDF" w:rsidRPr="00840EDF">
        <w:rPr>
          <w:i/>
          <w:sz w:val="22"/>
          <w:szCs w:val="22"/>
        </w:rPr>
        <w:t>”</w:t>
      </w:r>
      <w:r w:rsidR="00CE13D5" w:rsidRPr="00CE13D5">
        <w:rPr>
          <w:sz w:val="22"/>
          <w:szCs w:val="22"/>
        </w:rPr>
        <w:t>.</w:t>
      </w:r>
      <w:r w:rsidR="00840EDF">
        <w:rPr>
          <w:sz w:val="22"/>
          <w:szCs w:val="22"/>
        </w:rPr>
        <w:t xml:space="preserve"> </w:t>
      </w:r>
      <w:r w:rsidR="00CE13D5" w:rsidRPr="00CE13D5">
        <w:rPr>
          <w:sz w:val="22"/>
          <w:szCs w:val="22"/>
        </w:rPr>
        <w:t>Assim</w:t>
      </w:r>
      <w:r w:rsidR="00840EDF">
        <w:rPr>
          <w:sz w:val="22"/>
          <w:szCs w:val="22"/>
        </w:rPr>
        <w:t xml:space="preserve"> sendo</w:t>
      </w:r>
      <w:r w:rsidR="00CE13D5" w:rsidRPr="00CE13D5">
        <w:rPr>
          <w:sz w:val="22"/>
          <w:szCs w:val="22"/>
        </w:rPr>
        <w:t xml:space="preserve">, </w:t>
      </w:r>
      <w:r w:rsidR="009F4B36">
        <w:rPr>
          <w:sz w:val="22"/>
          <w:szCs w:val="22"/>
        </w:rPr>
        <w:t>o relator propôs e a Segunda Câmara decidiu julgar regulares</w:t>
      </w:r>
      <w:r w:rsidR="00CE13D5" w:rsidRPr="00CE13D5">
        <w:rPr>
          <w:sz w:val="22"/>
          <w:szCs w:val="22"/>
        </w:rPr>
        <w:t xml:space="preserve"> com ressalvas</w:t>
      </w:r>
      <w:r w:rsidR="009F4B36">
        <w:rPr>
          <w:sz w:val="22"/>
          <w:szCs w:val="22"/>
        </w:rPr>
        <w:t xml:space="preserve"> as contas do ex-prefeito e expedir</w:t>
      </w:r>
      <w:r w:rsidR="00CE13D5" w:rsidRPr="00CE13D5">
        <w:rPr>
          <w:sz w:val="22"/>
          <w:szCs w:val="22"/>
        </w:rPr>
        <w:t xml:space="preserve"> alerta ao </w:t>
      </w:r>
      <w:r w:rsidR="00840EDF">
        <w:rPr>
          <w:sz w:val="22"/>
          <w:szCs w:val="22"/>
        </w:rPr>
        <w:t>M</w:t>
      </w:r>
      <w:r w:rsidR="00CE13D5" w:rsidRPr="00CE13D5">
        <w:rPr>
          <w:sz w:val="22"/>
          <w:szCs w:val="22"/>
        </w:rPr>
        <w:t>unicípio de Tanquinho/BA</w:t>
      </w:r>
      <w:r w:rsidR="00CD502C">
        <w:rPr>
          <w:sz w:val="22"/>
          <w:szCs w:val="22"/>
        </w:rPr>
        <w:t>,</w:t>
      </w:r>
      <w:r w:rsidR="009F4B36">
        <w:rPr>
          <w:sz w:val="22"/>
          <w:szCs w:val="22"/>
        </w:rPr>
        <w:t xml:space="preserve"> para futuras contratações com recursos públicos federais</w:t>
      </w:r>
      <w:r w:rsidR="00CE13D5" w:rsidRPr="00CE13D5">
        <w:rPr>
          <w:sz w:val="22"/>
          <w:szCs w:val="22"/>
        </w:rPr>
        <w:t>.</w:t>
      </w:r>
      <w:r w:rsidR="00840EDF">
        <w:rPr>
          <w:sz w:val="22"/>
          <w:szCs w:val="22"/>
        </w:rPr>
        <w:t xml:space="preserve"> </w:t>
      </w:r>
      <w:r w:rsidR="008A2417" w:rsidRPr="00337E16">
        <w:rPr>
          <w:b/>
          <w:i/>
          <w:sz w:val="22"/>
          <w:szCs w:val="22"/>
        </w:rPr>
        <w:t xml:space="preserve">Acórdão n.º </w:t>
      </w:r>
      <w:r w:rsidR="00B823C4">
        <w:rPr>
          <w:b/>
          <w:i/>
          <w:sz w:val="22"/>
          <w:szCs w:val="22"/>
        </w:rPr>
        <w:t>7082</w:t>
      </w:r>
      <w:r w:rsidR="008A2417" w:rsidRPr="00337E16">
        <w:rPr>
          <w:b/>
          <w:i/>
          <w:sz w:val="22"/>
          <w:szCs w:val="22"/>
        </w:rPr>
        <w:t>/2010</w:t>
      </w:r>
      <w:r w:rsidR="00151F92">
        <w:rPr>
          <w:b/>
          <w:i/>
          <w:sz w:val="22"/>
          <w:szCs w:val="22"/>
        </w:rPr>
        <w:t>-2ª Câmara</w:t>
      </w:r>
      <w:r w:rsidR="008A2417" w:rsidRPr="00337E16">
        <w:rPr>
          <w:b/>
          <w:i/>
          <w:sz w:val="22"/>
          <w:szCs w:val="22"/>
        </w:rPr>
        <w:t>, TC-0</w:t>
      </w:r>
      <w:r w:rsidR="00D51F18">
        <w:rPr>
          <w:b/>
          <w:i/>
          <w:sz w:val="22"/>
          <w:szCs w:val="22"/>
        </w:rPr>
        <w:t>2</w:t>
      </w:r>
      <w:r w:rsidR="00B823C4">
        <w:rPr>
          <w:b/>
          <w:i/>
          <w:sz w:val="22"/>
          <w:szCs w:val="22"/>
        </w:rPr>
        <w:t>0</w:t>
      </w:r>
      <w:r w:rsidR="008A2417" w:rsidRPr="00337E16">
        <w:rPr>
          <w:b/>
          <w:i/>
          <w:sz w:val="22"/>
          <w:szCs w:val="22"/>
        </w:rPr>
        <w:t>.</w:t>
      </w:r>
      <w:r w:rsidR="00D51F18">
        <w:rPr>
          <w:b/>
          <w:i/>
          <w:sz w:val="22"/>
          <w:szCs w:val="22"/>
        </w:rPr>
        <w:t>55</w:t>
      </w:r>
      <w:r w:rsidR="00B823C4">
        <w:rPr>
          <w:b/>
          <w:i/>
          <w:sz w:val="22"/>
          <w:szCs w:val="22"/>
        </w:rPr>
        <w:t>3</w:t>
      </w:r>
      <w:r w:rsidR="008A2417" w:rsidRPr="00337E16">
        <w:rPr>
          <w:b/>
          <w:i/>
          <w:sz w:val="22"/>
          <w:szCs w:val="22"/>
        </w:rPr>
        <w:t>/200</w:t>
      </w:r>
      <w:r w:rsidR="00B823C4">
        <w:rPr>
          <w:b/>
          <w:i/>
          <w:sz w:val="22"/>
          <w:szCs w:val="22"/>
        </w:rPr>
        <w:t>4</w:t>
      </w:r>
      <w:r w:rsidR="008A2417" w:rsidRPr="00337E16">
        <w:rPr>
          <w:b/>
          <w:i/>
          <w:sz w:val="22"/>
          <w:szCs w:val="22"/>
        </w:rPr>
        <w:t>-</w:t>
      </w:r>
      <w:r w:rsidR="00B823C4">
        <w:rPr>
          <w:b/>
          <w:i/>
          <w:sz w:val="22"/>
          <w:szCs w:val="22"/>
        </w:rPr>
        <w:t>1</w:t>
      </w:r>
      <w:r w:rsidR="008A2417" w:rsidRPr="00337E16">
        <w:rPr>
          <w:b/>
          <w:i/>
          <w:sz w:val="22"/>
          <w:szCs w:val="22"/>
        </w:rPr>
        <w:t xml:space="preserve">, </w:t>
      </w:r>
      <w:r w:rsidR="00B823C4" w:rsidRPr="00337E16">
        <w:rPr>
          <w:b/>
          <w:i/>
          <w:sz w:val="22"/>
          <w:szCs w:val="22"/>
        </w:rPr>
        <w:t xml:space="preserve">rel. </w:t>
      </w:r>
      <w:r w:rsidR="00B823C4" w:rsidRPr="002A6B43">
        <w:rPr>
          <w:b/>
          <w:i/>
          <w:sz w:val="22"/>
          <w:szCs w:val="22"/>
        </w:rPr>
        <w:t xml:space="preserve">Min-Subst. </w:t>
      </w:r>
      <w:r w:rsidR="00B823C4">
        <w:rPr>
          <w:b/>
          <w:i/>
          <w:sz w:val="22"/>
          <w:szCs w:val="22"/>
        </w:rPr>
        <w:t>André Luís de Carvalho</w:t>
      </w:r>
      <w:r w:rsidR="008A2417" w:rsidRPr="00337E16">
        <w:rPr>
          <w:b/>
          <w:i/>
          <w:sz w:val="22"/>
          <w:szCs w:val="22"/>
        </w:rPr>
        <w:t xml:space="preserve">, </w:t>
      </w:r>
      <w:r w:rsidR="00B823C4">
        <w:rPr>
          <w:b/>
          <w:i/>
          <w:sz w:val="22"/>
          <w:szCs w:val="22"/>
        </w:rPr>
        <w:t>23</w:t>
      </w:r>
      <w:r w:rsidR="008A2417" w:rsidRPr="00337E16">
        <w:rPr>
          <w:b/>
          <w:i/>
          <w:sz w:val="22"/>
          <w:szCs w:val="22"/>
        </w:rPr>
        <w:t>.</w:t>
      </w:r>
      <w:r w:rsidR="00B823C4">
        <w:rPr>
          <w:b/>
          <w:i/>
          <w:sz w:val="22"/>
          <w:szCs w:val="22"/>
        </w:rPr>
        <w:t>11</w:t>
      </w:r>
      <w:r w:rsidR="008A2417" w:rsidRPr="00337E16">
        <w:rPr>
          <w:b/>
          <w:i/>
          <w:sz w:val="22"/>
          <w:szCs w:val="22"/>
        </w:rPr>
        <w:t>.2010</w:t>
      </w:r>
      <w:r w:rsidR="008A2417" w:rsidRPr="00337E16">
        <w:rPr>
          <w:sz w:val="22"/>
          <w:szCs w:val="22"/>
        </w:rPr>
        <w:t>.</w:t>
      </w:r>
    </w:p>
    <w:p w:rsidR="00C10341" w:rsidRDefault="00C10341" w:rsidP="008A2417">
      <w:pPr>
        <w:pStyle w:val="Pargrafo"/>
        <w:jc w:val="both"/>
        <w:rPr>
          <w:sz w:val="22"/>
          <w:szCs w:val="22"/>
        </w:rPr>
      </w:pPr>
    </w:p>
    <w:p w:rsidR="00C10341" w:rsidRPr="003760AB" w:rsidRDefault="00C10341" w:rsidP="00C10341">
      <w:pPr>
        <w:pStyle w:val="indice"/>
        <w:spacing w:before="60" w:line="240" w:lineRule="auto"/>
        <w:rPr>
          <w:b/>
        </w:rPr>
      </w:pPr>
      <w:r w:rsidRPr="003760AB">
        <w:rPr>
          <w:b/>
        </w:rPr>
        <w:t xml:space="preserve">Pregão </w:t>
      </w:r>
      <w:r w:rsidR="00CD502C">
        <w:rPr>
          <w:b/>
        </w:rPr>
        <w:t xml:space="preserve">para </w:t>
      </w:r>
      <w:r w:rsidRPr="003760AB">
        <w:rPr>
          <w:b/>
        </w:rPr>
        <w:t>fornecimento anual de Vale Alimentação</w:t>
      </w:r>
      <w:r w:rsidR="00CD502C">
        <w:rPr>
          <w:b/>
        </w:rPr>
        <w:t>, na forma de cartão magnético</w:t>
      </w:r>
      <w:r w:rsidRPr="003760AB">
        <w:rPr>
          <w:b/>
        </w:rPr>
        <w:t xml:space="preserve">: 1 </w:t>
      </w:r>
      <w:r w:rsidR="00CD502C">
        <w:rPr>
          <w:b/>
        </w:rPr>
        <w:t>-</w:t>
      </w:r>
      <w:r w:rsidRPr="003760AB">
        <w:rPr>
          <w:b/>
        </w:rPr>
        <w:t xml:space="preserve"> Exigência</w:t>
      </w:r>
      <w:r w:rsidR="00CD502C">
        <w:rPr>
          <w:b/>
        </w:rPr>
        <w:t>, para fim de habilitação,</w:t>
      </w:r>
      <w:r w:rsidRPr="003760AB">
        <w:rPr>
          <w:b/>
        </w:rPr>
        <w:t xml:space="preserve"> da apresentação de relação de estabelecim</w:t>
      </w:r>
      <w:r w:rsidR="00CD502C">
        <w:rPr>
          <w:b/>
        </w:rPr>
        <w:t>entos credenciados</w:t>
      </w:r>
    </w:p>
    <w:p w:rsidR="003760AB" w:rsidRDefault="003760AB" w:rsidP="003760AB">
      <w:pPr>
        <w:pStyle w:val="Pargrafo"/>
        <w:jc w:val="both"/>
        <w:rPr>
          <w:sz w:val="22"/>
          <w:szCs w:val="22"/>
        </w:rPr>
      </w:pPr>
      <w:r w:rsidRPr="003760AB">
        <w:rPr>
          <w:sz w:val="22"/>
          <w:szCs w:val="22"/>
        </w:rPr>
        <w:t xml:space="preserve">Representação formulada </w:t>
      </w:r>
      <w:r w:rsidR="006D10F0">
        <w:rPr>
          <w:sz w:val="22"/>
          <w:szCs w:val="22"/>
        </w:rPr>
        <w:t xml:space="preserve">ao TCU apontou </w:t>
      </w:r>
      <w:r w:rsidR="006D10F0" w:rsidRPr="003760AB">
        <w:rPr>
          <w:sz w:val="22"/>
          <w:szCs w:val="22"/>
        </w:rPr>
        <w:t xml:space="preserve">a existência de </w:t>
      </w:r>
      <w:r w:rsidR="006D10F0">
        <w:rPr>
          <w:sz w:val="22"/>
          <w:szCs w:val="22"/>
        </w:rPr>
        <w:t xml:space="preserve">possíveis </w:t>
      </w:r>
      <w:r w:rsidR="00CD502C">
        <w:rPr>
          <w:sz w:val="22"/>
          <w:szCs w:val="22"/>
        </w:rPr>
        <w:t>restrições</w:t>
      </w:r>
      <w:r w:rsidR="006D10F0" w:rsidRPr="003760AB">
        <w:rPr>
          <w:sz w:val="22"/>
          <w:szCs w:val="22"/>
        </w:rPr>
        <w:t xml:space="preserve"> no </w:t>
      </w:r>
      <w:r w:rsidR="00CD502C">
        <w:rPr>
          <w:sz w:val="22"/>
          <w:szCs w:val="22"/>
        </w:rPr>
        <w:t>edital</w:t>
      </w:r>
      <w:r w:rsidR="006D10F0" w:rsidRPr="003760AB">
        <w:rPr>
          <w:sz w:val="22"/>
          <w:szCs w:val="22"/>
        </w:rPr>
        <w:t xml:space="preserve"> do Pregão Eletrônico n</w:t>
      </w:r>
      <w:r w:rsidR="006D10F0">
        <w:rPr>
          <w:sz w:val="22"/>
          <w:szCs w:val="22"/>
        </w:rPr>
        <w:t>.</w:t>
      </w:r>
      <w:r w:rsidR="006D10F0" w:rsidRPr="003760AB">
        <w:rPr>
          <w:sz w:val="22"/>
          <w:szCs w:val="22"/>
        </w:rPr>
        <w:t>º 020/2010</w:t>
      </w:r>
      <w:r w:rsidRPr="003760AB">
        <w:rPr>
          <w:sz w:val="22"/>
          <w:szCs w:val="22"/>
        </w:rPr>
        <w:t xml:space="preserve">, </w:t>
      </w:r>
      <w:r w:rsidR="006D10F0">
        <w:rPr>
          <w:sz w:val="22"/>
          <w:szCs w:val="22"/>
        </w:rPr>
        <w:t>conduzido pela</w:t>
      </w:r>
      <w:r w:rsidRPr="003760AB">
        <w:rPr>
          <w:sz w:val="22"/>
          <w:szCs w:val="22"/>
        </w:rPr>
        <w:t xml:space="preserve"> Associação Brasileira de Tecnologia de Luz Síncroton </w:t>
      </w:r>
      <w:r w:rsidR="006D10F0">
        <w:rPr>
          <w:sz w:val="22"/>
          <w:szCs w:val="22"/>
        </w:rPr>
        <w:t>–</w:t>
      </w:r>
      <w:r w:rsidRPr="003760AB">
        <w:rPr>
          <w:sz w:val="22"/>
          <w:szCs w:val="22"/>
        </w:rPr>
        <w:t xml:space="preserve"> ABTLuS</w:t>
      </w:r>
      <w:r w:rsidR="006D10F0">
        <w:rPr>
          <w:sz w:val="22"/>
          <w:szCs w:val="22"/>
        </w:rPr>
        <w:t xml:space="preserve"> (organização social)</w:t>
      </w:r>
      <w:r w:rsidR="00992B5D">
        <w:rPr>
          <w:sz w:val="22"/>
          <w:szCs w:val="22"/>
        </w:rPr>
        <w:t xml:space="preserve"> e destinado à</w:t>
      </w:r>
      <w:r w:rsidRPr="003760AB">
        <w:rPr>
          <w:sz w:val="22"/>
          <w:szCs w:val="22"/>
        </w:rPr>
        <w:t xml:space="preserve"> </w:t>
      </w:r>
      <w:r w:rsidR="004F3289" w:rsidRPr="004F3289">
        <w:rPr>
          <w:i/>
          <w:sz w:val="22"/>
          <w:szCs w:val="22"/>
        </w:rPr>
        <w:t>“</w:t>
      </w:r>
      <w:r w:rsidRPr="004F3289">
        <w:rPr>
          <w:i/>
          <w:sz w:val="22"/>
          <w:szCs w:val="22"/>
        </w:rPr>
        <w:t>prestação de serviço para fornecimento anual de Vale Alimentação, na forma de cartão magnético, para proporcionar aos funcionários da ABTLuS poder de compra de alimentação em estabelecimentos comerciais</w:t>
      </w:r>
      <w:r w:rsidR="004F3289" w:rsidRPr="004F3289">
        <w:rPr>
          <w:i/>
          <w:sz w:val="22"/>
          <w:szCs w:val="22"/>
        </w:rPr>
        <w:t>”</w:t>
      </w:r>
      <w:r w:rsidRPr="003760AB">
        <w:rPr>
          <w:sz w:val="22"/>
          <w:szCs w:val="22"/>
        </w:rPr>
        <w:t>.</w:t>
      </w:r>
      <w:r w:rsidR="004F3289">
        <w:rPr>
          <w:sz w:val="22"/>
          <w:szCs w:val="22"/>
        </w:rPr>
        <w:t xml:space="preserve"> Conforme </w:t>
      </w:r>
      <w:r w:rsidR="00E32B34">
        <w:rPr>
          <w:sz w:val="22"/>
          <w:szCs w:val="22"/>
        </w:rPr>
        <w:t>apontado</w:t>
      </w:r>
      <w:r w:rsidRPr="003760AB">
        <w:rPr>
          <w:sz w:val="22"/>
          <w:szCs w:val="22"/>
        </w:rPr>
        <w:t xml:space="preserve"> pela representante, </w:t>
      </w:r>
      <w:r w:rsidR="00E32B34">
        <w:rPr>
          <w:sz w:val="22"/>
          <w:szCs w:val="22"/>
        </w:rPr>
        <w:t>a</w:t>
      </w:r>
      <w:r w:rsidRPr="003760AB">
        <w:rPr>
          <w:sz w:val="22"/>
          <w:szCs w:val="22"/>
        </w:rPr>
        <w:t xml:space="preserve"> exigência </w:t>
      </w:r>
      <w:r w:rsidR="00E32B34">
        <w:rPr>
          <w:sz w:val="22"/>
          <w:szCs w:val="22"/>
        </w:rPr>
        <w:t>atinente à</w:t>
      </w:r>
      <w:r w:rsidR="004F3289">
        <w:rPr>
          <w:sz w:val="22"/>
          <w:szCs w:val="22"/>
        </w:rPr>
        <w:t xml:space="preserve"> </w:t>
      </w:r>
      <w:r w:rsidR="004F3289" w:rsidRPr="004F3289">
        <w:rPr>
          <w:i/>
          <w:sz w:val="22"/>
          <w:szCs w:val="22"/>
        </w:rPr>
        <w:t>“</w:t>
      </w:r>
      <w:r w:rsidRPr="004F3289">
        <w:rPr>
          <w:i/>
          <w:sz w:val="22"/>
          <w:szCs w:val="22"/>
        </w:rPr>
        <w:t>apresentação de relação de estabelecimentos credenciados como critério de habilitação</w:t>
      </w:r>
      <w:r w:rsidR="004F3289" w:rsidRPr="004F3289">
        <w:rPr>
          <w:i/>
          <w:sz w:val="22"/>
          <w:szCs w:val="22"/>
        </w:rPr>
        <w:t>”</w:t>
      </w:r>
      <w:r w:rsidR="00E32B34">
        <w:rPr>
          <w:sz w:val="22"/>
          <w:szCs w:val="22"/>
        </w:rPr>
        <w:t xml:space="preserve"> seria restritiva à</w:t>
      </w:r>
      <w:r w:rsidR="00E32B34" w:rsidRPr="003760AB">
        <w:rPr>
          <w:sz w:val="22"/>
          <w:szCs w:val="22"/>
        </w:rPr>
        <w:t xml:space="preserve"> competitividade do certame</w:t>
      </w:r>
      <w:r w:rsidR="004F3289">
        <w:rPr>
          <w:sz w:val="22"/>
          <w:szCs w:val="22"/>
        </w:rPr>
        <w:t xml:space="preserve">. </w:t>
      </w:r>
      <w:r w:rsidR="00E32B34">
        <w:rPr>
          <w:sz w:val="22"/>
          <w:szCs w:val="22"/>
        </w:rPr>
        <w:t>De acordo com o rel</w:t>
      </w:r>
      <w:r w:rsidR="004F3289">
        <w:rPr>
          <w:sz w:val="22"/>
          <w:szCs w:val="22"/>
        </w:rPr>
        <w:t>ator</w:t>
      </w:r>
      <w:r w:rsidR="00E32B34">
        <w:rPr>
          <w:sz w:val="22"/>
          <w:szCs w:val="22"/>
        </w:rPr>
        <w:t>,</w:t>
      </w:r>
      <w:r w:rsidR="004F3289">
        <w:rPr>
          <w:sz w:val="22"/>
          <w:szCs w:val="22"/>
        </w:rPr>
        <w:t xml:space="preserve"> o TCU </w:t>
      </w:r>
      <w:r w:rsidRPr="003760AB">
        <w:rPr>
          <w:sz w:val="22"/>
          <w:szCs w:val="22"/>
        </w:rPr>
        <w:t xml:space="preserve">já se posicionou no sentido de que não constitui irregularidade, em licitações da espécie, a exigência, ainda na fase de habilitação, de listas de estabelecimentos já previamente credenciados pela licitante interessada, com um número mínimo fixado, </w:t>
      </w:r>
      <w:r w:rsidR="00E32B34" w:rsidRPr="00E32B34">
        <w:rPr>
          <w:i/>
          <w:sz w:val="22"/>
          <w:szCs w:val="22"/>
        </w:rPr>
        <w:t>“</w:t>
      </w:r>
      <w:r w:rsidRPr="00E32B34">
        <w:rPr>
          <w:i/>
          <w:sz w:val="22"/>
          <w:szCs w:val="22"/>
        </w:rPr>
        <w:t>pois constitui o próprio objeto da licitação</w:t>
      </w:r>
      <w:r w:rsidR="00E32B34" w:rsidRPr="00E32B34">
        <w:rPr>
          <w:i/>
          <w:sz w:val="22"/>
          <w:szCs w:val="22"/>
        </w:rPr>
        <w:t>”</w:t>
      </w:r>
      <w:r w:rsidRPr="003760AB">
        <w:rPr>
          <w:sz w:val="22"/>
          <w:szCs w:val="22"/>
        </w:rPr>
        <w:t>.</w:t>
      </w:r>
      <w:r w:rsidR="004F3289">
        <w:rPr>
          <w:sz w:val="22"/>
          <w:szCs w:val="22"/>
        </w:rPr>
        <w:t xml:space="preserve"> O relator deixou assente, ainda, que, de</w:t>
      </w:r>
      <w:r w:rsidRPr="003760AB">
        <w:rPr>
          <w:sz w:val="22"/>
          <w:szCs w:val="22"/>
        </w:rPr>
        <w:t xml:space="preserve"> acordo com </w:t>
      </w:r>
      <w:r w:rsidR="00E32B34">
        <w:rPr>
          <w:sz w:val="22"/>
          <w:szCs w:val="22"/>
        </w:rPr>
        <w:t>informações</w:t>
      </w:r>
      <w:r w:rsidRPr="003760AB">
        <w:rPr>
          <w:sz w:val="22"/>
          <w:szCs w:val="22"/>
        </w:rPr>
        <w:t xml:space="preserve"> já coletadas </w:t>
      </w:r>
      <w:r w:rsidR="004F3289">
        <w:rPr>
          <w:sz w:val="22"/>
          <w:szCs w:val="22"/>
        </w:rPr>
        <w:t xml:space="preserve">pelo </w:t>
      </w:r>
      <w:r w:rsidR="00105671">
        <w:rPr>
          <w:sz w:val="22"/>
          <w:szCs w:val="22"/>
        </w:rPr>
        <w:t>Tribunal</w:t>
      </w:r>
      <w:r w:rsidRPr="003760AB">
        <w:rPr>
          <w:sz w:val="22"/>
          <w:szCs w:val="22"/>
        </w:rPr>
        <w:t>, alguns processos de credenciamento demoram em média até noventa dias para serem concluídos, além de dependerem do interesse do estabelecimento.</w:t>
      </w:r>
      <w:r w:rsidR="004F3289">
        <w:rPr>
          <w:sz w:val="22"/>
          <w:szCs w:val="22"/>
        </w:rPr>
        <w:t xml:space="preserve"> Asseverou, também, que </w:t>
      </w:r>
      <w:r w:rsidRPr="003760AB">
        <w:rPr>
          <w:sz w:val="22"/>
          <w:szCs w:val="22"/>
        </w:rPr>
        <w:t xml:space="preserve">as normas de licitação </w:t>
      </w:r>
      <w:r w:rsidR="004F3289" w:rsidRPr="004F3289">
        <w:rPr>
          <w:i/>
          <w:sz w:val="22"/>
          <w:szCs w:val="22"/>
        </w:rPr>
        <w:t>“</w:t>
      </w:r>
      <w:r w:rsidRPr="004F3289">
        <w:rPr>
          <w:i/>
          <w:sz w:val="22"/>
          <w:szCs w:val="22"/>
        </w:rPr>
        <w:t>devem ser interpretadas com foco no aumento da participação de todos os interessados. Todavia outra prioridade deve ser o interesse da administração, conjugado com a finalidade da contratação</w:t>
      </w:r>
      <w:r w:rsidR="004F3289" w:rsidRPr="004F3289">
        <w:rPr>
          <w:i/>
          <w:sz w:val="22"/>
          <w:szCs w:val="22"/>
        </w:rPr>
        <w:t>”</w:t>
      </w:r>
      <w:r w:rsidRPr="003760AB">
        <w:rPr>
          <w:sz w:val="22"/>
          <w:szCs w:val="22"/>
        </w:rPr>
        <w:t xml:space="preserve">. Desse modo, a definição de requisitos essenciais para satisfazer a necessidade dos funcionários no âmbito da prestação de serviços de fornecimento de vale alimentação </w:t>
      </w:r>
      <w:r w:rsidR="004F3289" w:rsidRPr="004F3289">
        <w:rPr>
          <w:i/>
          <w:sz w:val="22"/>
          <w:szCs w:val="22"/>
        </w:rPr>
        <w:t>“</w:t>
      </w:r>
      <w:r w:rsidRPr="004F3289">
        <w:rPr>
          <w:i/>
          <w:sz w:val="22"/>
          <w:szCs w:val="22"/>
        </w:rPr>
        <w:t>está inserida no campo da discricionariedade do gestor</w:t>
      </w:r>
      <w:r w:rsidR="004F3289" w:rsidRPr="004F3289">
        <w:rPr>
          <w:i/>
          <w:sz w:val="22"/>
          <w:szCs w:val="22"/>
        </w:rPr>
        <w:t>”</w:t>
      </w:r>
      <w:r w:rsidRPr="003760AB">
        <w:rPr>
          <w:sz w:val="22"/>
          <w:szCs w:val="22"/>
        </w:rPr>
        <w:t>.</w:t>
      </w:r>
      <w:r w:rsidR="004F3289">
        <w:rPr>
          <w:sz w:val="22"/>
          <w:szCs w:val="22"/>
        </w:rPr>
        <w:t xml:space="preserve"> </w:t>
      </w:r>
      <w:r w:rsidR="00CB0880">
        <w:rPr>
          <w:sz w:val="22"/>
          <w:szCs w:val="22"/>
        </w:rPr>
        <w:t>Em consequência, o</w:t>
      </w:r>
      <w:r w:rsidR="004F3289">
        <w:rPr>
          <w:sz w:val="22"/>
          <w:szCs w:val="22"/>
        </w:rPr>
        <w:t xml:space="preserve"> relator</w:t>
      </w:r>
      <w:r w:rsidR="00CB0880">
        <w:rPr>
          <w:sz w:val="22"/>
          <w:szCs w:val="22"/>
        </w:rPr>
        <w:t xml:space="preserve"> </w:t>
      </w:r>
      <w:r w:rsidR="004F3289" w:rsidRPr="003760AB">
        <w:rPr>
          <w:sz w:val="22"/>
          <w:szCs w:val="22"/>
        </w:rPr>
        <w:t>não considero</w:t>
      </w:r>
      <w:r w:rsidR="004F3289">
        <w:rPr>
          <w:sz w:val="22"/>
          <w:szCs w:val="22"/>
        </w:rPr>
        <w:t>u</w:t>
      </w:r>
      <w:r w:rsidR="004F3289" w:rsidRPr="003760AB">
        <w:rPr>
          <w:sz w:val="22"/>
          <w:szCs w:val="22"/>
        </w:rPr>
        <w:t xml:space="preserve"> irregulares os procedimentos adotados pela ABTLuS</w:t>
      </w:r>
      <w:r w:rsidR="004F3289">
        <w:rPr>
          <w:sz w:val="22"/>
          <w:szCs w:val="22"/>
        </w:rPr>
        <w:t xml:space="preserve">, no que foi acompanhado pelos demais ministros. Precedentes citados: </w:t>
      </w:r>
      <w:r w:rsidR="004F3289" w:rsidRPr="003760AB">
        <w:rPr>
          <w:sz w:val="22"/>
          <w:szCs w:val="22"/>
        </w:rPr>
        <w:t xml:space="preserve">Acórdãos </w:t>
      </w:r>
      <w:r w:rsidR="004F3289">
        <w:rPr>
          <w:sz w:val="22"/>
          <w:szCs w:val="22"/>
        </w:rPr>
        <w:t>n.</w:t>
      </w:r>
      <w:r w:rsidR="004F3289" w:rsidRPr="004F3289">
        <w:rPr>
          <w:sz w:val="22"/>
          <w:szCs w:val="22"/>
          <w:vertAlign w:val="superscript"/>
        </w:rPr>
        <w:t>os</w:t>
      </w:r>
      <w:r w:rsidR="004F3289">
        <w:rPr>
          <w:sz w:val="22"/>
          <w:szCs w:val="22"/>
        </w:rPr>
        <w:t xml:space="preserve"> </w:t>
      </w:r>
      <w:r w:rsidR="004F3289" w:rsidRPr="003760AB">
        <w:rPr>
          <w:sz w:val="22"/>
          <w:szCs w:val="22"/>
        </w:rPr>
        <w:t>2</w:t>
      </w:r>
      <w:r w:rsidR="002E5D6F">
        <w:rPr>
          <w:sz w:val="22"/>
          <w:szCs w:val="22"/>
        </w:rPr>
        <w:t>.</w:t>
      </w:r>
      <w:r w:rsidR="004F3289" w:rsidRPr="003760AB">
        <w:rPr>
          <w:sz w:val="22"/>
          <w:szCs w:val="22"/>
        </w:rPr>
        <w:t>547/2007, 2</w:t>
      </w:r>
      <w:r w:rsidR="002E5D6F">
        <w:rPr>
          <w:sz w:val="22"/>
          <w:szCs w:val="22"/>
        </w:rPr>
        <w:t>.</w:t>
      </w:r>
      <w:r w:rsidR="004F3289" w:rsidRPr="003760AB">
        <w:rPr>
          <w:sz w:val="22"/>
          <w:szCs w:val="22"/>
        </w:rPr>
        <w:t>651/2007</w:t>
      </w:r>
      <w:r w:rsidR="002E5D6F">
        <w:rPr>
          <w:sz w:val="22"/>
          <w:szCs w:val="22"/>
        </w:rPr>
        <w:t>,</w:t>
      </w:r>
      <w:r w:rsidR="004F3289" w:rsidRPr="003760AB">
        <w:rPr>
          <w:sz w:val="22"/>
          <w:szCs w:val="22"/>
        </w:rPr>
        <w:t xml:space="preserve"> 587/2009</w:t>
      </w:r>
      <w:r w:rsidR="004F3289">
        <w:rPr>
          <w:sz w:val="22"/>
          <w:szCs w:val="22"/>
        </w:rPr>
        <w:t xml:space="preserve"> </w:t>
      </w:r>
      <w:r w:rsidR="004F3289" w:rsidRPr="003760AB">
        <w:rPr>
          <w:sz w:val="22"/>
          <w:szCs w:val="22"/>
        </w:rPr>
        <w:t>e 1.335/2010, todo</w:t>
      </w:r>
      <w:r w:rsidR="004F3289">
        <w:rPr>
          <w:sz w:val="22"/>
          <w:szCs w:val="22"/>
        </w:rPr>
        <w:t>s</w:t>
      </w:r>
      <w:r w:rsidR="004F3289" w:rsidRPr="003760AB">
        <w:rPr>
          <w:sz w:val="22"/>
          <w:szCs w:val="22"/>
        </w:rPr>
        <w:t xml:space="preserve"> do Plenário</w:t>
      </w:r>
      <w:r w:rsidR="002E5D6F">
        <w:rPr>
          <w:sz w:val="22"/>
          <w:szCs w:val="22"/>
        </w:rPr>
        <w:t xml:space="preserve">. </w:t>
      </w:r>
      <w:r w:rsidRPr="00337E16">
        <w:rPr>
          <w:b/>
          <w:i/>
          <w:sz w:val="22"/>
          <w:szCs w:val="22"/>
        </w:rPr>
        <w:t xml:space="preserve">Acórdão n.º </w:t>
      </w:r>
      <w:r>
        <w:rPr>
          <w:b/>
          <w:i/>
          <w:sz w:val="22"/>
          <w:szCs w:val="22"/>
        </w:rPr>
        <w:t>7083</w:t>
      </w:r>
      <w:r w:rsidRPr="00337E16">
        <w:rPr>
          <w:b/>
          <w:i/>
          <w:sz w:val="22"/>
          <w:szCs w:val="22"/>
        </w:rPr>
        <w:t>/2010</w:t>
      </w:r>
      <w:r>
        <w:rPr>
          <w:b/>
          <w:i/>
          <w:sz w:val="22"/>
          <w:szCs w:val="22"/>
        </w:rPr>
        <w:t>-2ª Câmara</w:t>
      </w:r>
      <w:r w:rsidRPr="00337E16">
        <w:rPr>
          <w:b/>
          <w:i/>
          <w:sz w:val="22"/>
          <w:szCs w:val="22"/>
        </w:rPr>
        <w:t>, TC-0</w:t>
      </w:r>
      <w:r>
        <w:rPr>
          <w:b/>
          <w:i/>
          <w:sz w:val="22"/>
          <w:szCs w:val="22"/>
        </w:rPr>
        <w:t>29</w:t>
      </w:r>
      <w:r w:rsidRPr="00337E16">
        <w:rPr>
          <w:b/>
          <w:i/>
          <w:sz w:val="22"/>
          <w:szCs w:val="22"/>
        </w:rPr>
        <w:t>.</w:t>
      </w:r>
      <w:r>
        <w:rPr>
          <w:b/>
          <w:i/>
          <w:sz w:val="22"/>
          <w:szCs w:val="22"/>
        </w:rPr>
        <w:t>278</w:t>
      </w:r>
      <w:r w:rsidRPr="00337E16">
        <w:rPr>
          <w:b/>
          <w:i/>
          <w:sz w:val="22"/>
          <w:szCs w:val="22"/>
        </w:rPr>
        <w:t>/20</w:t>
      </w:r>
      <w:r>
        <w:rPr>
          <w:b/>
          <w:i/>
          <w:sz w:val="22"/>
          <w:szCs w:val="22"/>
        </w:rPr>
        <w:t>10</w:t>
      </w:r>
      <w:r w:rsidRPr="00337E16">
        <w:rPr>
          <w:b/>
          <w:i/>
          <w:sz w:val="22"/>
          <w:szCs w:val="22"/>
        </w:rPr>
        <w:t>-</w:t>
      </w:r>
      <w:r>
        <w:rPr>
          <w:b/>
          <w:i/>
          <w:sz w:val="22"/>
          <w:szCs w:val="22"/>
        </w:rPr>
        <w:t>4</w:t>
      </w:r>
      <w:r w:rsidRPr="00337E16">
        <w:rPr>
          <w:b/>
          <w:i/>
          <w:sz w:val="22"/>
          <w:szCs w:val="22"/>
        </w:rPr>
        <w:t xml:space="preserve">, rel. </w:t>
      </w:r>
      <w:r w:rsidRPr="002A6B43">
        <w:rPr>
          <w:b/>
          <w:i/>
          <w:sz w:val="22"/>
          <w:szCs w:val="22"/>
        </w:rPr>
        <w:t xml:space="preserve">Min-Subst. </w:t>
      </w:r>
      <w:r>
        <w:rPr>
          <w:b/>
          <w:i/>
          <w:sz w:val="22"/>
          <w:szCs w:val="22"/>
        </w:rPr>
        <w:t>André Luís de Carvalho</w:t>
      </w:r>
      <w:r w:rsidRPr="00337E16">
        <w:rPr>
          <w:b/>
          <w:i/>
          <w:sz w:val="22"/>
          <w:szCs w:val="22"/>
        </w:rPr>
        <w:t xml:space="preserve">, </w:t>
      </w:r>
      <w:r>
        <w:rPr>
          <w:b/>
          <w:i/>
          <w:sz w:val="22"/>
          <w:szCs w:val="22"/>
        </w:rPr>
        <w:t>23</w:t>
      </w:r>
      <w:r w:rsidRPr="00337E16">
        <w:rPr>
          <w:b/>
          <w:i/>
          <w:sz w:val="22"/>
          <w:szCs w:val="22"/>
        </w:rPr>
        <w:t>.</w:t>
      </w:r>
      <w:r>
        <w:rPr>
          <w:b/>
          <w:i/>
          <w:sz w:val="22"/>
          <w:szCs w:val="22"/>
        </w:rPr>
        <w:t>11</w:t>
      </w:r>
      <w:r w:rsidRPr="00337E16">
        <w:rPr>
          <w:b/>
          <w:i/>
          <w:sz w:val="22"/>
          <w:szCs w:val="22"/>
        </w:rPr>
        <w:t>.2010</w:t>
      </w:r>
      <w:r w:rsidRPr="00337E16">
        <w:rPr>
          <w:sz w:val="22"/>
          <w:szCs w:val="22"/>
        </w:rPr>
        <w:t>.</w:t>
      </w:r>
    </w:p>
    <w:p w:rsidR="00C10341" w:rsidRDefault="00C10341" w:rsidP="00C10341">
      <w:pPr>
        <w:pStyle w:val="indice"/>
        <w:tabs>
          <w:tab w:val="left" w:pos="567"/>
        </w:tabs>
        <w:spacing w:before="60" w:line="240" w:lineRule="auto"/>
      </w:pPr>
    </w:p>
    <w:p w:rsidR="00C10341" w:rsidRPr="003760AB" w:rsidRDefault="00CD502C" w:rsidP="003760AB">
      <w:pPr>
        <w:pStyle w:val="indice"/>
        <w:spacing w:before="60" w:line="240" w:lineRule="auto"/>
        <w:rPr>
          <w:b/>
        </w:rPr>
      </w:pPr>
      <w:r w:rsidRPr="003760AB">
        <w:rPr>
          <w:b/>
        </w:rPr>
        <w:t xml:space="preserve">Pregão </w:t>
      </w:r>
      <w:r>
        <w:rPr>
          <w:b/>
        </w:rPr>
        <w:t xml:space="preserve">para </w:t>
      </w:r>
      <w:r w:rsidRPr="003760AB">
        <w:rPr>
          <w:b/>
        </w:rPr>
        <w:t>fornecimento anual de Vale Alimentação</w:t>
      </w:r>
      <w:r>
        <w:rPr>
          <w:b/>
        </w:rPr>
        <w:t>, na forma de cartão magnético</w:t>
      </w:r>
      <w:r w:rsidR="00C10341" w:rsidRPr="003760AB">
        <w:rPr>
          <w:b/>
        </w:rPr>
        <w:t xml:space="preserve">: 2 - </w:t>
      </w:r>
      <w:r w:rsidR="004A4CE0">
        <w:rPr>
          <w:b/>
        </w:rPr>
        <w:t>Necessidade</w:t>
      </w:r>
      <w:r w:rsidR="00C10341" w:rsidRPr="003760AB">
        <w:rPr>
          <w:b/>
        </w:rPr>
        <w:t xml:space="preserve"> de prévio credenciamento em todo o Estado de São Paulo</w:t>
      </w:r>
    </w:p>
    <w:p w:rsidR="006902E6" w:rsidRDefault="002A31A4" w:rsidP="006902E6">
      <w:pPr>
        <w:pStyle w:val="Pargrafo"/>
        <w:jc w:val="both"/>
        <w:rPr>
          <w:sz w:val="22"/>
          <w:szCs w:val="22"/>
        </w:rPr>
      </w:pPr>
      <w:r>
        <w:rPr>
          <w:sz w:val="22"/>
          <w:szCs w:val="22"/>
        </w:rPr>
        <w:t xml:space="preserve">Outra possível irregularidade apontada </w:t>
      </w:r>
      <w:r w:rsidRPr="003760AB">
        <w:rPr>
          <w:sz w:val="22"/>
          <w:szCs w:val="22"/>
        </w:rPr>
        <w:t xml:space="preserve">no </w:t>
      </w:r>
      <w:r>
        <w:rPr>
          <w:sz w:val="22"/>
          <w:szCs w:val="22"/>
        </w:rPr>
        <w:t>e</w:t>
      </w:r>
      <w:r w:rsidRPr="003760AB">
        <w:rPr>
          <w:sz w:val="22"/>
          <w:szCs w:val="22"/>
        </w:rPr>
        <w:t>dital do Pregão Eletrônico n</w:t>
      </w:r>
      <w:r>
        <w:rPr>
          <w:sz w:val="22"/>
          <w:szCs w:val="22"/>
        </w:rPr>
        <w:t>.</w:t>
      </w:r>
      <w:r w:rsidRPr="003760AB">
        <w:rPr>
          <w:sz w:val="22"/>
          <w:szCs w:val="22"/>
        </w:rPr>
        <w:t xml:space="preserve">º 020/2010, </w:t>
      </w:r>
      <w:r>
        <w:rPr>
          <w:sz w:val="22"/>
          <w:szCs w:val="22"/>
        </w:rPr>
        <w:t>conduzido pela</w:t>
      </w:r>
      <w:r w:rsidRPr="003760AB">
        <w:rPr>
          <w:sz w:val="22"/>
          <w:szCs w:val="22"/>
        </w:rPr>
        <w:t xml:space="preserve"> Associação Brasileira de Tecnologia de Luz Síncroton </w:t>
      </w:r>
      <w:r>
        <w:rPr>
          <w:sz w:val="22"/>
          <w:szCs w:val="22"/>
        </w:rPr>
        <w:t>–</w:t>
      </w:r>
      <w:r w:rsidRPr="003760AB">
        <w:rPr>
          <w:sz w:val="22"/>
          <w:szCs w:val="22"/>
        </w:rPr>
        <w:t xml:space="preserve"> ABTLuS</w:t>
      </w:r>
      <w:r w:rsidR="00992B5D">
        <w:rPr>
          <w:sz w:val="22"/>
          <w:szCs w:val="22"/>
        </w:rPr>
        <w:t xml:space="preserve"> e destinado à</w:t>
      </w:r>
      <w:r w:rsidRPr="003760AB">
        <w:rPr>
          <w:sz w:val="22"/>
          <w:szCs w:val="22"/>
        </w:rPr>
        <w:t xml:space="preserve"> </w:t>
      </w:r>
      <w:r w:rsidRPr="004F3289">
        <w:rPr>
          <w:i/>
          <w:sz w:val="22"/>
          <w:szCs w:val="22"/>
        </w:rPr>
        <w:t>“prestação de serviço para fornecimento anual de Vale Alimentação, na forma de cartão magnético, para proporcionar aos funcionários da ABTLuS poder de compra de alimentação em estabelecimentos comerciais”</w:t>
      </w:r>
      <w:r>
        <w:rPr>
          <w:sz w:val="22"/>
          <w:szCs w:val="22"/>
        </w:rPr>
        <w:t xml:space="preserve">, foi a exigência de que a </w:t>
      </w:r>
      <w:r w:rsidRPr="009E796E">
        <w:rPr>
          <w:sz w:val="22"/>
          <w:szCs w:val="22"/>
        </w:rPr>
        <w:t>empresa interessada deveria comprovar a existência de convênios ou contratos firmados</w:t>
      </w:r>
      <w:r>
        <w:rPr>
          <w:sz w:val="22"/>
          <w:szCs w:val="22"/>
        </w:rPr>
        <w:t xml:space="preserve"> </w:t>
      </w:r>
      <w:r>
        <w:rPr>
          <w:i/>
          <w:sz w:val="22"/>
          <w:szCs w:val="22"/>
        </w:rPr>
        <w:t>“</w:t>
      </w:r>
      <w:r w:rsidRPr="009E796E">
        <w:rPr>
          <w:i/>
          <w:sz w:val="22"/>
          <w:szCs w:val="22"/>
        </w:rPr>
        <w:t>com estabelecimentos credenciados em todo o Estado de São Paulo (Capital e interior) e principalmente na região metropolitana de Campinas”.</w:t>
      </w:r>
      <w:r>
        <w:rPr>
          <w:sz w:val="22"/>
          <w:szCs w:val="22"/>
        </w:rPr>
        <w:t xml:space="preserve"> </w:t>
      </w:r>
      <w:r w:rsidR="00992B5D">
        <w:rPr>
          <w:sz w:val="22"/>
          <w:szCs w:val="22"/>
        </w:rPr>
        <w:t>Para o</w:t>
      </w:r>
      <w:r>
        <w:rPr>
          <w:sz w:val="22"/>
          <w:szCs w:val="22"/>
        </w:rPr>
        <w:t xml:space="preserve"> relator</w:t>
      </w:r>
      <w:r w:rsidR="00992B5D">
        <w:rPr>
          <w:sz w:val="22"/>
          <w:szCs w:val="22"/>
        </w:rPr>
        <w:t>,</w:t>
      </w:r>
      <w:r>
        <w:rPr>
          <w:sz w:val="22"/>
          <w:szCs w:val="22"/>
        </w:rPr>
        <w:t xml:space="preserve"> tal requisito </w:t>
      </w:r>
      <w:r w:rsidRPr="002A31A4">
        <w:rPr>
          <w:i/>
          <w:sz w:val="22"/>
          <w:szCs w:val="22"/>
        </w:rPr>
        <w:t>“</w:t>
      </w:r>
      <w:r w:rsidR="009E796E" w:rsidRPr="002A31A4">
        <w:rPr>
          <w:i/>
          <w:sz w:val="22"/>
          <w:szCs w:val="22"/>
        </w:rPr>
        <w:t>não se justifica, mostrando-se desarrazoado, uma vez que a entidade contratante possui sede única, em Campinas, sem unidades espalhadas pelo Estado</w:t>
      </w:r>
      <w:r w:rsidRPr="002A31A4">
        <w:rPr>
          <w:i/>
          <w:sz w:val="22"/>
          <w:szCs w:val="22"/>
        </w:rPr>
        <w:t>”</w:t>
      </w:r>
      <w:r w:rsidR="009E796E" w:rsidRPr="009E796E">
        <w:rPr>
          <w:sz w:val="22"/>
          <w:szCs w:val="22"/>
        </w:rPr>
        <w:t>.</w:t>
      </w:r>
      <w:r>
        <w:rPr>
          <w:sz w:val="22"/>
          <w:szCs w:val="22"/>
        </w:rPr>
        <w:t xml:space="preserve"> A </w:t>
      </w:r>
      <w:r w:rsidR="009E796E" w:rsidRPr="009E796E">
        <w:rPr>
          <w:sz w:val="22"/>
          <w:szCs w:val="22"/>
        </w:rPr>
        <w:t xml:space="preserve">despeito do </w:t>
      </w:r>
      <w:r w:rsidR="004A4CE0">
        <w:rPr>
          <w:sz w:val="22"/>
          <w:szCs w:val="22"/>
        </w:rPr>
        <w:t>cumprimento por parte de</w:t>
      </w:r>
      <w:r w:rsidR="009E796E" w:rsidRPr="009E796E">
        <w:rPr>
          <w:sz w:val="22"/>
          <w:szCs w:val="22"/>
        </w:rPr>
        <w:t xml:space="preserve"> três empresas licitantes, </w:t>
      </w:r>
      <w:r w:rsidRPr="002A31A4">
        <w:rPr>
          <w:i/>
          <w:sz w:val="22"/>
          <w:szCs w:val="22"/>
        </w:rPr>
        <w:t>“</w:t>
      </w:r>
      <w:r w:rsidR="009E796E" w:rsidRPr="002A31A4">
        <w:rPr>
          <w:i/>
          <w:sz w:val="22"/>
          <w:szCs w:val="22"/>
        </w:rPr>
        <w:t>é possível pensar que essa exigência tenha cerceado a participação de outras interessadas que tivessem forte atuação na região, mas sem alcance em todo o Estado</w:t>
      </w:r>
      <w:r w:rsidRPr="002A31A4">
        <w:rPr>
          <w:i/>
          <w:sz w:val="22"/>
          <w:szCs w:val="22"/>
        </w:rPr>
        <w:t>”</w:t>
      </w:r>
      <w:r w:rsidR="009E796E" w:rsidRPr="009E796E">
        <w:rPr>
          <w:sz w:val="22"/>
          <w:szCs w:val="22"/>
        </w:rPr>
        <w:t>.</w:t>
      </w:r>
      <w:r>
        <w:rPr>
          <w:sz w:val="22"/>
          <w:szCs w:val="22"/>
        </w:rPr>
        <w:t xml:space="preserve"> </w:t>
      </w:r>
      <w:r w:rsidR="004A4CE0">
        <w:rPr>
          <w:sz w:val="22"/>
          <w:szCs w:val="22"/>
        </w:rPr>
        <w:t>Não obstante</w:t>
      </w:r>
      <w:r>
        <w:rPr>
          <w:sz w:val="22"/>
          <w:szCs w:val="22"/>
        </w:rPr>
        <w:t xml:space="preserve">, </w:t>
      </w:r>
      <w:r w:rsidR="004A4CE0">
        <w:rPr>
          <w:sz w:val="22"/>
          <w:szCs w:val="22"/>
        </w:rPr>
        <w:t xml:space="preserve">o relator </w:t>
      </w:r>
      <w:r>
        <w:rPr>
          <w:sz w:val="22"/>
          <w:szCs w:val="22"/>
        </w:rPr>
        <w:t>entendeu</w:t>
      </w:r>
      <w:r w:rsidR="009E796E" w:rsidRPr="009E796E">
        <w:rPr>
          <w:sz w:val="22"/>
          <w:szCs w:val="22"/>
        </w:rPr>
        <w:t xml:space="preserve"> </w:t>
      </w:r>
      <w:r w:rsidR="00992B5D">
        <w:rPr>
          <w:sz w:val="22"/>
          <w:szCs w:val="22"/>
        </w:rPr>
        <w:t>que seria</w:t>
      </w:r>
      <w:r w:rsidR="009E796E" w:rsidRPr="009E796E">
        <w:rPr>
          <w:sz w:val="22"/>
          <w:szCs w:val="22"/>
        </w:rPr>
        <w:t xml:space="preserve"> desarrazoado pugnar pela anulação do credenciamento, uma vez que: a) a </w:t>
      </w:r>
      <w:r w:rsidR="00992B5D">
        <w:rPr>
          <w:sz w:val="22"/>
          <w:szCs w:val="22"/>
        </w:rPr>
        <w:t>representante</w:t>
      </w:r>
      <w:r w:rsidR="009E796E" w:rsidRPr="009E796E">
        <w:rPr>
          <w:sz w:val="22"/>
          <w:szCs w:val="22"/>
        </w:rPr>
        <w:t xml:space="preserve"> não impugnou os termos do edital; b) os preços praticados no certame se situaram dentro do valor orçado pela entidade, sem indícios de sobrepreço; c) a anulação do procedimento traria mais prejuízo que benefícios à administração e a seus empregados, tendo em vista que, pelo acordo coletivo assinado, o fornecimento dos vales é devido desde o mês de agosto de 2010; d) não seria razoável uma anulação fundada tão</w:t>
      </w:r>
      <w:r>
        <w:rPr>
          <w:sz w:val="22"/>
          <w:szCs w:val="22"/>
        </w:rPr>
        <w:t xml:space="preserve"> </w:t>
      </w:r>
      <w:r w:rsidR="009E796E" w:rsidRPr="009E796E">
        <w:rPr>
          <w:sz w:val="22"/>
          <w:szCs w:val="22"/>
        </w:rPr>
        <w:t>somente em ilações ou suposições de prejuízo ao procedimento de credenciamento, sem prova de sua real existência.</w:t>
      </w:r>
      <w:r w:rsidR="00753218">
        <w:rPr>
          <w:sz w:val="22"/>
          <w:szCs w:val="22"/>
        </w:rPr>
        <w:t xml:space="preserve"> Assim sendo</w:t>
      </w:r>
      <w:r w:rsidR="009E796E" w:rsidRPr="009E796E">
        <w:rPr>
          <w:sz w:val="22"/>
          <w:szCs w:val="22"/>
        </w:rPr>
        <w:t xml:space="preserve">, </w:t>
      </w:r>
      <w:r w:rsidR="00753218">
        <w:rPr>
          <w:sz w:val="22"/>
          <w:szCs w:val="22"/>
        </w:rPr>
        <w:t xml:space="preserve">o relator propôs e o Colegiado decidiu </w:t>
      </w:r>
      <w:r w:rsidR="004A4CE0">
        <w:rPr>
          <w:sz w:val="22"/>
          <w:szCs w:val="22"/>
        </w:rPr>
        <w:t xml:space="preserve">tão somente </w:t>
      </w:r>
      <w:r w:rsidR="00992B5D">
        <w:rPr>
          <w:sz w:val="22"/>
          <w:szCs w:val="22"/>
        </w:rPr>
        <w:t xml:space="preserve">expedir </w:t>
      </w:r>
      <w:r w:rsidR="009E796E" w:rsidRPr="009E796E">
        <w:rPr>
          <w:sz w:val="22"/>
          <w:szCs w:val="22"/>
        </w:rPr>
        <w:t>determin</w:t>
      </w:r>
      <w:r w:rsidR="008F09A3">
        <w:rPr>
          <w:sz w:val="22"/>
          <w:szCs w:val="22"/>
        </w:rPr>
        <w:t>a</w:t>
      </w:r>
      <w:r w:rsidR="00992B5D">
        <w:rPr>
          <w:sz w:val="22"/>
          <w:szCs w:val="22"/>
        </w:rPr>
        <w:t>ção</w:t>
      </w:r>
      <w:r w:rsidR="009E796E" w:rsidRPr="009E796E">
        <w:rPr>
          <w:sz w:val="22"/>
          <w:szCs w:val="22"/>
        </w:rPr>
        <w:t xml:space="preserve"> à ABTLuS </w:t>
      </w:r>
      <w:r w:rsidR="008F09A3">
        <w:rPr>
          <w:sz w:val="22"/>
          <w:szCs w:val="22"/>
        </w:rPr>
        <w:t>para futuros</w:t>
      </w:r>
      <w:r w:rsidR="009E796E" w:rsidRPr="009E796E">
        <w:rPr>
          <w:sz w:val="22"/>
          <w:szCs w:val="22"/>
        </w:rPr>
        <w:t xml:space="preserve"> procedimentos licitatórios</w:t>
      </w:r>
      <w:r w:rsidR="00753218">
        <w:rPr>
          <w:sz w:val="22"/>
          <w:szCs w:val="22"/>
        </w:rPr>
        <w:t xml:space="preserve">. </w:t>
      </w:r>
      <w:r w:rsidR="006902E6" w:rsidRPr="00337E16">
        <w:rPr>
          <w:b/>
          <w:i/>
          <w:sz w:val="22"/>
          <w:szCs w:val="22"/>
        </w:rPr>
        <w:t xml:space="preserve">Acórdão n.º </w:t>
      </w:r>
      <w:r w:rsidR="006902E6">
        <w:rPr>
          <w:b/>
          <w:i/>
          <w:sz w:val="22"/>
          <w:szCs w:val="22"/>
        </w:rPr>
        <w:t>7083</w:t>
      </w:r>
      <w:r w:rsidR="006902E6" w:rsidRPr="00337E16">
        <w:rPr>
          <w:b/>
          <w:i/>
          <w:sz w:val="22"/>
          <w:szCs w:val="22"/>
        </w:rPr>
        <w:t>/2010</w:t>
      </w:r>
      <w:r w:rsidR="006902E6">
        <w:rPr>
          <w:b/>
          <w:i/>
          <w:sz w:val="22"/>
          <w:szCs w:val="22"/>
        </w:rPr>
        <w:t>-2ª Câmara</w:t>
      </w:r>
      <w:r w:rsidR="006902E6" w:rsidRPr="00337E16">
        <w:rPr>
          <w:b/>
          <w:i/>
          <w:sz w:val="22"/>
          <w:szCs w:val="22"/>
        </w:rPr>
        <w:t>, TC-0</w:t>
      </w:r>
      <w:r w:rsidR="006902E6">
        <w:rPr>
          <w:b/>
          <w:i/>
          <w:sz w:val="22"/>
          <w:szCs w:val="22"/>
        </w:rPr>
        <w:t>29</w:t>
      </w:r>
      <w:r w:rsidR="006902E6" w:rsidRPr="00337E16">
        <w:rPr>
          <w:b/>
          <w:i/>
          <w:sz w:val="22"/>
          <w:szCs w:val="22"/>
        </w:rPr>
        <w:t>.</w:t>
      </w:r>
      <w:r w:rsidR="006902E6">
        <w:rPr>
          <w:b/>
          <w:i/>
          <w:sz w:val="22"/>
          <w:szCs w:val="22"/>
        </w:rPr>
        <w:t>278</w:t>
      </w:r>
      <w:r w:rsidR="006902E6" w:rsidRPr="00337E16">
        <w:rPr>
          <w:b/>
          <w:i/>
          <w:sz w:val="22"/>
          <w:szCs w:val="22"/>
        </w:rPr>
        <w:t>/20</w:t>
      </w:r>
      <w:r w:rsidR="006902E6">
        <w:rPr>
          <w:b/>
          <w:i/>
          <w:sz w:val="22"/>
          <w:szCs w:val="22"/>
        </w:rPr>
        <w:t>10</w:t>
      </w:r>
      <w:r w:rsidR="006902E6" w:rsidRPr="00337E16">
        <w:rPr>
          <w:b/>
          <w:i/>
          <w:sz w:val="22"/>
          <w:szCs w:val="22"/>
        </w:rPr>
        <w:t>-</w:t>
      </w:r>
      <w:r w:rsidR="006902E6">
        <w:rPr>
          <w:b/>
          <w:i/>
          <w:sz w:val="22"/>
          <w:szCs w:val="22"/>
        </w:rPr>
        <w:t>4</w:t>
      </w:r>
      <w:r w:rsidR="006902E6" w:rsidRPr="00337E16">
        <w:rPr>
          <w:b/>
          <w:i/>
          <w:sz w:val="22"/>
          <w:szCs w:val="22"/>
        </w:rPr>
        <w:t xml:space="preserve">, rel. </w:t>
      </w:r>
      <w:r w:rsidR="006902E6" w:rsidRPr="002A6B43">
        <w:rPr>
          <w:b/>
          <w:i/>
          <w:sz w:val="22"/>
          <w:szCs w:val="22"/>
        </w:rPr>
        <w:t xml:space="preserve">Min-Subst. </w:t>
      </w:r>
      <w:r w:rsidR="006902E6">
        <w:rPr>
          <w:b/>
          <w:i/>
          <w:sz w:val="22"/>
          <w:szCs w:val="22"/>
        </w:rPr>
        <w:t>André Luís de Carvalho</w:t>
      </w:r>
      <w:r w:rsidR="006902E6" w:rsidRPr="00337E16">
        <w:rPr>
          <w:b/>
          <w:i/>
          <w:sz w:val="22"/>
          <w:szCs w:val="22"/>
        </w:rPr>
        <w:t xml:space="preserve">, </w:t>
      </w:r>
      <w:r w:rsidR="006902E6">
        <w:rPr>
          <w:b/>
          <w:i/>
          <w:sz w:val="22"/>
          <w:szCs w:val="22"/>
        </w:rPr>
        <w:t>23</w:t>
      </w:r>
      <w:r w:rsidR="006902E6" w:rsidRPr="00337E16">
        <w:rPr>
          <w:b/>
          <w:i/>
          <w:sz w:val="22"/>
          <w:szCs w:val="22"/>
        </w:rPr>
        <w:t>.</w:t>
      </w:r>
      <w:r w:rsidR="006902E6">
        <w:rPr>
          <w:b/>
          <w:i/>
          <w:sz w:val="22"/>
          <w:szCs w:val="22"/>
        </w:rPr>
        <w:t>11</w:t>
      </w:r>
      <w:r w:rsidR="006902E6" w:rsidRPr="00337E16">
        <w:rPr>
          <w:b/>
          <w:i/>
          <w:sz w:val="22"/>
          <w:szCs w:val="22"/>
        </w:rPr>
        <w:t>.2010</w:t>
      </w:r>
      <w:r w:rsidR="006902E6" w:rsidRPr="00337E16">
        <w:rPr>
          <w:sz w:val="22"/>
          <w:szCs w:val="22"/>
        </w:rPr>
        <w:t>.</w:t>
      </w:r>
    </w:p>
    <w:p w:rsidR="00785CF8" w:rsidRPr="00337E16" w:rsidRDefault="00785CF8" w:rsidP="00337E16">
      <w:pPr>
        <w:pStyle w:val="enter-3pt"/>
        <w:spacing w:line="240" w:lineRule="auto"/>
        <w:jc w:val="center"/>
        <w:rPr>
          <w:b/>
          <w:sz w:val="22"/>
          <w:szCs w:val="22"/>
          <w:bdr w:val="single" w:sz="4" w:space="0" w:color="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tblGrid>
      <w:tr w:rsidR="00D2041E" w:rsidRPr="00337E16" w:rsidTr="00F03AB9">
        <w:trPr>
          <w:trHeight w:val="779"/>
          <w:jc w:val="center"/>
        </w:trPr>
        <w:tc>
          <w:tcPr>
            <w:tcW w:w="0" w:type="auto"/>
            <w:vAlign w:val="center"/>
          </w:tcPr>
          <w:p w:rsidR="00F27170" w:rsidRPr="00337E16" w:rsidRDefault="005E5FF1" w:rsidP="00337E16">
            <w:pPr>
              <w:pStyle w:val="enter-3pt"/>
              <w:spacing w:line="240" w:lineRule="auto"/>
              <w:jc w:val="center"/>
              <w:rPr>
                <w:b/>
                <w:i/>
                <w:sz w:val="18"/>
                <w:szCs w:val="18"/>
              </w:rPr>
            </w:pPr>
            <w:r w:rsidRPr="00337E16">
              <w:rPr>
                <w:b/>
                <w:i/>
                <w:sz w:val="18"/>
                <w:szCs w:val="18"/>
              </w:rPr>
              <w:t>R</w:t>
            </w:r>
            <w:r w:rsidR="00F27170" w:rsidRPr="00337E16">
              <w:rPr>
                <w:b/>
                <w:i/>
                <w:sz w:val="18"/>
                <w:szCs w:val="18"/>
              </w:rPr>
              <w:t>esponsáve</w:t>
            </w:r>
            <w:r w:rsidRPr="00337E16">
              <w:rPr>
                <w:b/>
                <w:i/>
                <w:sz w:val="18"/>
                <w:szCs w:val="18"/>
              </w:rPr>
              <w:t>is</w:t>
            </w:r>
            <w:r w:rsidR="00F27170" w:rsidRPr="00337E16">
              <w:rPr>
                <w:b/>
                <w:i/>
                <w:sz w:val="18"/>
                <w:szCs w:val="18"/>
              </w:rPr>
              <w:t xml:space="preserve"> pelo Informativo:</w:t>
            </w:r>
          </w:p>
          <w:p w:rsidR="00F27170" w:rsidRPr="00337E16" w:rsidRDefault="00713DE5" w:rsidP="00337E16">
            <w:pPr>
              <w:pStyle w:val="enter-3pt"/>
              <w:spacing w:line="240" w:lineRule="auto"/>
              <w:jc w:val="center"/>
              <w:rPr>
                <w:i/>
                <w:sz w:val="18"/>
                <w:szCs w:val="18"/>
              </w:rPr>
            </w:pPr>
            <w:r w:rsidRPr="00337E16">
              <w:rPr>
                <w:b/>
                <w:i/>
                <w:sz w:val="18"/>
                <w:szCs w:val="18"/>
              </w:rPr>
              <w:t>Elaboração:</w:t>
            </w:r>
            <w:r w:rsidRPr="00337E16">
              <w:rPr>
                <w:i/>
                <w:sz w:val="18"/>
                <w:szCs w:val="18"/>
              </w:rPr>
              <w:t xml:space="preserve"> </w:t>
            </w:r>
            <w:r w:rsidR="00F27170" w:rsidRPr="00337E16">
              <w:rPr>
                <w:i/>
                <w:sz w:val="18"/>
                <w:szCs w:val="18"/>
              </w:rPr>
              <w:t>Luiz Felipe Bezerra Almeida Simões</w:t>
            </w:r>
            <w:r w:rsidRPr="00337E16">
              <w:rPr>
                <w:i/>
                <w:sz w:val="18"/>
                <w:szCs w:val="18"/>
              </w:rPr>
              <w:t>, Assessor da Secretaria das Sessões</w:t>
            </w:r>
          </w:p>
          <w:p w:rsidR="005E5FF1" w:rsidRPr="00337E16" w:rsidRDefault="00A30683" w:rsidP="00337E16">
            <w:pPr>
              <w:pStyle w:val="enter-3pt"/>
              <w:spacing w:line="240" w:lineRule="auto"/>
              <w:jc w:val="center"/>
              <w:rPr>
                <w:i/>
                <w:sz w:val="18"/>
                <w:szCs w:val="18"/>
              </w:rPr>
            </w:pPr>
            <w:r>
              <w:rPr>
                <w:b/>
                <w:i/>
                <w:sz w:val="18"/>
                <w:szCs w:val="18"/>
              </w:rPr>
              <w:t>Revisão</w:t>
            </w:r>
            <w:r w:rsidR="00713DE5" w:rsidRPr="00337E16">
              <w:rPr>
                <w:b/>
                <w:i/>
                <w:sz w:val="18"/>
                <w:szCs w:val="18"/>
              </w:rPr>
              <w:t>:</w:t>
            </w:r>
            <w:r w:rsidR="00713DE5" w:rsidRPr="00337E16">
              <w:rPr>
                <w:i/>
                <w:sz w:val="18"/>
                <w:szCs w:val="18"/>
              </w:rPr>
              <w:t xml:space="preserve"> </w:t>
            </w:r>
            <w:r w:rsidR="005E5FF1" w:rsidRPr="00337E16">
              <w:rPr>
                <w:i/>
                <w:sz w:val="18"/>
                <w:szCs w:val="18"/>
              </w:rPr>
              <w:t>Odilon Cavallari de Oliveira</w:t>
            </w:r>
            <w:r w:rsidR="00713DE5" w:rsidRPr="00337E16">
              <w:rPr>
                <w:i/>
                <w:sz w:val="18"/>
                <w:szCs w:val="18"/>
              </w:rPr>
              <w:t>, Secretário das Sessões</w:t>
            </w:r>
          </w:p>
          <w:p w:rsidR="00D2041E" w:rsidRPr="00337E16" w:rsidRDefault="00D2041E" w:rsidP="00337E16">
            <w:pPr>
              <w:pStyle w:val="enter-3pt"/>
              <w:spacing w:line="240" w:lineRule="auto"/>
              <w:jc w:val="center"/>
              <w:rPr>
                <w:b/>
                <w:i/>
                <w:sz w:val="22"/>
                <w:szCs w:val="22"/>
              </w:rPr>
            </w:pPr>
            <w:r w:rsidRPr="00337E16">
              <w:rPr>
                <w:b/>
                <w:i/>
                <w:sz w:val="18"/>
                <w:szCs w:val="18"/>
              </w:rPr>
              <w:t xml:space="preserve">Contato: </w:t>
            </w:r>
            <w:hyperlink r:id="rId8" w:history="1">
              <w:r w:rsidRPr="00337E16">
                <w:rPr>
                  <w:rStyle w:val="Hyperlink"/>
                  <w:b/>
                  <w:i/>
                  <w:color w:val="auto"/>
                  <w:sz w:val="18"/>
                  <w:szCs w:val="18"/>
                </w:rPr>
                <w:t>infojuris@tcu.gov.br</w:t>
              </w:r>
            </w:hyperlink>
          </w:p>
        </w:tc>
      </w:tr>
    </w:tbl>
    <w:p w:rsidR="00D2041E" w:rsidRPr="00337E16" w:rsidRDefault="00D2041E" w:rsidP="00337E16">
      <w:pPr>
        <w:pStyle w:val="enter-3pt"/>
        <w:spacing w:line="240" w:lineRule="auto"/>
        <w:jc w:val="center"/>
        <w:rPr>
          <w:b/>
          <w:sz w:val="22"/>
          <w:szCs w:val="22"/>
        </w:rPr>
      </w:pPr>
    </w:p>
    <w:sectPr w:rsidR="00D2041E" w:rsidRPr="00337E16" w:rsidSect="00337E16">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B14" w:rsidRDefault="00875B14" w:rsidP="008B0547">
      <w:pPr>
        <w:spacing w:after="0"/>
      </w:pPr>
      <w:r>
        <w:separator/>
      </w:r>
    </w:p>
  </w:endnote>
  <w:endnote w:type="continuationSeparator" w:id="0">
    <w:p w:rsidR="00875B14" w:rsidRDefault="00875B14"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BD504A">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B14" w:rsidRDefault="00875B14" w:rsidP="008B0547">
      <w:pPr>
        <w:spacing w:after="0"/>
      </w:pPr>
      <w:r>
        <w:separator/>
      </w:r>
    </w:p>
  </w:footnote>
  <w:footnote w:type="continuationSeparator" w:id="0">
    <w:p w:rsidR="00875B14" w:rsidRDefault="00875B14"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4815FC"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4815FC"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73DD4"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1D56C3">
      <w:rPr>
        <w:rFonts w:ascii="Arial" w:hAnsi="Arial" w:cs="Arial"/>
        <w:noProof/>
        <w:lang w:eastAsia="pt-BR"/>
      </w:rPr>
      <w:t>44</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7">
    <w:nsid w:val="29740869"/>
    <w:multiLevelType w:val="multilevel"/>
    <w:tmpl w:val="DC7AE80C"/>
    <w:lvl w:ilvl="0">
      <w:start w:val="2"/>
      <w:numFmt w:val="decimal"/>
      <w:pStyle w:val="CorpodaInstruo"/>
      <w:lvlText w:val="%1.               "/>
      <w:lvlJc w:val="left"/>
      <w:pPr>
        <w:tabs>
          <w:tab w:val="num" w:pos="1080"/>
        </w:tabs>
      </w:pPr>
      <w:rPr>
        <w:rFonts w:cs="Times New Roman"/>
      </w:rPr>
    </w:lvl>
    <w:lvl w:ilvl="1">
      <w:start w:val="1"/>
      <w:numFmt w:val="decimal"/>
      <w:lvlText w:val="%1.%2.            "/>
      <w:lvlJc w:val="left"/>
      <w:pPr>
        <w:tabs>
          <w:tab w:val="num" w:pos="1648"/>
        </w:tabs>
        <w:ind w:left="568"/>
      </w:pPr>
      <w:rPr>
        <w:rFonts w:cs="Times New Roman"/>
      </w:rPr>
    </w:lvl>
    <w:lvl w:ilvl="2">
      <w:start w:val="1"/>
      <w:numFmt w:val="decimal"/>
      <w:lvlText w:val="%1.%2.%3.         "/>
      <w:lvlJc w:val="left"/>
      <w:pPr>
        <w:tabs>
          <w:tab w:val="num" w:pos="2215"/>
        </w:tabs>
        <w:ind w:left="1135"/>
      </w:pPr>
      <w:rPr>
        <w:rFonts w:cs="Times New Roman"/>
      </w:rPr>
    </w:lvl>
    <w:lvl w:ilvl="3">
      <w:start w:val="1"/>
      <w:numFmt w:val="decimal"/>
      <w:lvlText w:val="%1.%2.%3.%4.      "/>
      <w:lvlJc w:val="left"/>
      <w:pPr>
        <w:tabs>
          <w:tab w:val="num" w:pos="1080"/>
        </w:tabs>
      </w:pPr>
      <w:rPr>
        <w:rFonts w:cs="Times New Roman"/>
      </w:rPr>
    </w:lvl>
    <w:lvl w:ilvl="4">
      <w:start w:val="1"/>
      <w:numFmt w:val="decimal"/>
      <w:lvlText w:val="%1.%2.%3.%4.%5.   "/>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Restart w:val="0"/>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800"/>
        </w:tabs>
      </w:pPr>
      <w:rPr>
        <w:rFonts w:cs="Times New Roman"/>
      </w:rPr>
    </w:lvl>
  </w:abstractNum>
  <w:abstractNum w:abstractNumId="8">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9">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3"/>
  </w:num>
  <w:num w:numId="2">
    <w:abstractNumId w:val="11"/>
  </w:num>
  <w:num w:numId="3">
    <w:abstractNumId w:val="4"/>
  </w:num>
  <w:num w:numId="4">
    <w:abstractNumId w:val="0"/>
  </w:num>
  <w:num w:numId="5">
    <w:abstractNumId w:val="5"/>
  </w:num>
  <w:num w:numId="6">
    <w:abstractNumId w:val="10"/>
  </w:num>
  <w:num w:numId="7">
    <w:abstractNumId w:val="16"/>
  </w:num>
  <w:num w:numId="8">
    <w:abstractNumId w:val="14"/>
  </w:num>
  <w:num w:numId="9">
    <w:abstractNumId w:val="12"/>
  </w:num>
  <w:num w:numId="10">
    <w:abstractNumId w:val="3"/>
  </w:num>
  <w:num w:numId="11">
    <w:abstractNumId w:val="17"/>
  </w:num>
  <w:num w:numId="12">
    <w:abstractNumId w:val="2"/>
  </w:num>
  <w:num w:numId="13">
    <w:abstractNumId w:val="9"/>
  </w:num>
  <w:num w:numId="14">
    <w:abstractNumId w:val="15"/>
  </w:num>
  <w:num w:numId="15">
    <w:abstractNumId w:val="8"/>
  </w:num>
  <w:num w:numId="16">
    <w:abstractNumId w:val="1"/>
  </w:num>
  <w:num w:numId="17">
    <w:abstractNumId w:val="6"/>
  </w:num>
  <w:num w:numId="1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0CEE"/>
    <w:rsid w:val="00001F68"/>
    <w:rsid w:val="00003CEA"/>
    <w:rsid w:val="00004614"/>
    <w:rsid w:val="00005435"/>
    <w:rsid w:val="00005E1E"/>
    <w:rsid w:val="00012468"/>
    <w:rsid w:val="0001553C"/>
    <w:rsid w:val="0001636D"/>
    <w:rsid w:val="00016762"/>
    <w:rsid w:val="00017D7B"/>
    <w:rsid w:val="00023D72"/>
    <w:rsid w:val="0002688F"/>
    <w:rsid w:val="000271FA"/>
    <w:rsid w:val="00032198"/>
    <w:rsid w:val="000404B7"/>
    <w:rsid w:val="00041450"/>
    <w:rsid w:val="0004660A"/>
    <w:rsid w:val="00050523"/>
    <w:rsid w:val="00051886"/>
    <w:rsid w:val="00052B15"/>
    <w:rsid w:val="00054432"/>
    <w:rsid w:val="00054A25"/>
    <w:rsid w:val="000562CD"/>
    <w:rsid w:val="00056D51"/>
    <w:rsid w:val="0006028E"/>
    <w:rsid w:val="00061C2E"/>
    <w:rsid w:val="00065E95"/>
    <w:rsid w:val="00080148"/>
    <w:rsid w:val="00084727"/>
    <w:rsid w:val="00085225"/>
    <w:rsid w:val="00085790"/>
    <w:rsid w:val="0009133A"/>
    <w:rsid w:val="00092C2E"/>
    <w:rsid w:val="00092C53"/>
    <w:rsid w:val="00093239"/>
    <w:rsid w:val="00097C07"/>
    <w:rsid w:val="000A2C56"/>
    <w:rsid w:val="000A6292"/>
    <w:rsid w:val="000B0ECB"/>
    <w:rsid w:val="000B0FEA"/>
    <w:rsid w:val="000B2AFA"/>
    <w:rsid w:val="000D1FD7"/>
    <w:rsid w:val="000D6418"/>
    <w:rsid w:val="000D7DB6"/>
    <w:rsid w:val="000D7DED"/>
    <w:rsid w:val="000E3B31"/>
    <w:rsid w:val="000E3EDA"/>
    <w:rsid w:val="000F6D85"/>
    <w:rsid w:val="000F7CEE"/>
    <w:rsid w:val="00105671"/>
    <w:rsid w:val="001104BA"/>
    <w:rsid w:val="00112676"/>
    <w:rsid w:val="0011373A"/>
    <w:rsid w:val="00114511"/>
    <w:rsid w:val="00123921"/>
    <w:rsid w:val="00126026"/>
    <w:rsid w:val="00133EA9"/>
    <w:rsid w:val="0013421C"/>
    <w:rsid w:val="00141D7A"/>
    <w:rsid w:val="001420D1"/>
    <w:rsid w:val="001444A2"/>
    <w:rsid w:val="001457B3"/>
    <w:rsid w:val="00150B44"/>
    <w:rsid w:val="00151F92"/>
    <w:rsid w:val="0015258E"/>
    <w:rsid w:val="00152ECC"/>
    <w:rsid w:val="001532E4"/>
    <w:rsid w:val="00156A48"/>
    <w:rsid w:val="00157AFE"/>
    <w:rsid w:val="00157C0F"/>
    <w:rsid w:val="001718FC"/>
    <w:rsid w:val="001744E7"/>
    <w:rsid w:val="00176375"/>
    <w:rsid w:val="00180E2B"/>
    <w:rsid w:val="001A05E7"/>
    <w:rsid w:val="001A330B"/>
    <w:rsid w:val="001A60A2"/>
    <w:rsid w:val="001B3E8E"/>
    <w:rsid w:val="001B4F90"/>
    <w:rsid w:val="001B5AB2"/>
    <w:rsid w:val="001C0575"/>
    <w:rsid w:val="001C437E"/>
    <w:rsid w:val="001D03C7"/>
    <w:rsid w:val="001D1478"/>
    <w:rsid w:val="001D56C3"/>
    <w:rsid w:val="001D74CE"/>
    <w:rsid w:val="001E0BF1"/>
    <w:rsid w:val="001E1E28"/>
    <w:rsid w:val="001E2620"/>
    <w:rsid w:val="001E345B"/>
    <w:rsid w:val="001E4147"/>
    <w:rsid w:val="001E7C3D"/>
    <w:rsid w:val="001F00DF"/>
    <w:rsid w:val="001F7C24"/>
    <w:rsid w:val="002002CE"/>
    <w:rsid w:val="0020066F"/>
    <w:rsid w:val="00203A6F"/>
    <w:rsid w:val="00211816"/>
    <w:rsid w:val="00226D9D"/>
    <w:rsid w:val="00232158"/>
    <w:rsid w:val="002328F9"/>
    <w:rsid w:val="00233101"/>
    <w:rsid w:val="00233CE3"/>
    <w:rsid w:val="00235D28"/>
    <w:rsid w:val="0024593F"/>
    <w:rsid w:val="002476B6"/>
    <w:rsid w:val="00251368"/>
    <w:rsid w:val="00254590"/>
    <w:rsid w:val="0025640C"/>
    <w:rsid w:val="0026362E"/>
    <w:rsid w:val="002649A7"/>
    <w:rsid w:val="002663B7"/>
    <w:rsid w:val="00271D81"/>
    <w:rsid w:val="00273E72"/>
    <w:rsid w:val="00276DC0"/>
    <w:rsid w:val="002810D9"/>
    <w:rsid w:val="00281830"/>
    <w:rsid w:val="0029043B"/>
    <w:rsid w:val="00290A06"/>
    <w:rsid w:val="0029211E"/>
    <w:rsid w:val="0029450E"/>
    <w:rsid w:val="002A190F"/>
    <w:rsid w:val="002A31A4"/>
    <w:rsid w:val="002A3B3F"/>
    <w:rsid w:val="002A6B43"/>
    <w:rsid w:val="002B71BA"/>
    <w:rsid w:val="002C7B61"/>
    <w:rsid w:val="002C7B6D"/>
    <w:rsid w:val="002D35F5"/>
    <w:rsid w:val="002D47FE"/>
    <w:rsid w:val="002D739A"/>
    <w:rsid w:val="002D76AB"/>
    <w:rsid w:val="002E1F61"/>
    <w:rsid w:val="002E263D"/>
    <w:rsid w:val="002E361C"/>
    <w:rsid w:val="002E3943"/>
    <w:rsid w:val="002E4254"/>
    <w:rsid w:val="002E5D6F"/>
    <w:rsid w:val="002F5F3B"/>
    <w:rsid w:val="002F693C"/>
    <w:rsid w:val="003020F4"/>
    <w:rsid w:val="00304A73"/>
    <w:rsid w:val="003069F9"/>
    <w:rsid w:val="00310208"/>
    <w:rsid w:val="0031058F"/>
    <w:rsid w:val="0031089E"/>
    <w:rsid w:val="00310D69"/>
    <w:rsid w:val="003147B7"/>
    <w:rsid w:val="00317E59"/>
    <w:rsid w:val="00322AE7"/>
    <w:rsid w:val="00323A9F"/>
    <w:rsid w:val="003275E4"/>
    <w:rsid w:val="00336A19"/>
    <w:rsid w:val="00337E16"/>
    <w:rsid w:val="00340E66"/>
    <w:rsid w:val="00340F10"/>
    <w:rsid w:val="0034486B"/>
    <w:rsid w:val="00344D92"/>
    <w:rsid w:val="003455A2"/>
    <w:rsid w:val="00350E87"/>
    <w:rsid w:val="00353B7C"/>
    <w:rsid w:val="0035438E"/>
    <w:rsid w:val="00355828"/>
    <w:rsid w:val="00357CBE"/>
    <w:rsid w:val="00361661"/>
    <w:rsid w:val="003616DD"/>
    <w:rsid w:val="0036490D"/>
    <w:rsid w:val="00370567"/>
    <w:rsid w:val="003760AB"/>
    <w:rsid w:val="003824E4"/>
    <w:rsid w:val="0038596C"/>
    <w:rsid w:val="00385DAB"/>
    <w:rsid w:val="0038696B"/>
    <w:rsid w:val="00392509"/>
    <w:rsid w:val="003943E5"/>
    <w:rsid w:val="00397D8E"/>
    <w:rsid w:val="003A2222"/>
    <w:rsid w:val="003A30F6"/>
    <w:rsid w:val="003A5479"/>
    <w:rsid w:val="003A5C1B"/>
    <w:rsid w:val="003A7C7F"/>
    <w:rsid w:val="003B0304"/>
    <w:rsid w:val="003B043F"/>
    <w:rsid w:val="003B2E10"/>
    <w:rsid w:val="003B33CE"/>
    <w:rsid w:val="003B343D"/>
    <w:rsid w:val="003B56D7"/>
    <w:rsid w:val="003C1B4F"/>
    <w:rsid w:val="003C2288"/>
    <w:rsid w:val="003C6DEB"/>
    <w:rsid w:val="003C7A5C"/>
    <w:rsid w:val="003D37BA"/>
    <w:rsid w:val="003D73BD"/>
    <w:rsid w:val="003D7CCE"/>
    <w:rsid w:val="003E1B68"/>
    <w:rsid w:val="003E3339"/>
    <w:rsid w:val="003E65D7"/>
    <w:rsid w:val="003F413A"/>
    <w:rsid w:val="003F5338"/>
    <w:rsid w:val="003F54FB"/>
    <w:rsid w:val="003F6D1F"/>
    <w:rsid w:val="0041226F"/>
    <w:rsid w:val="004169D8"/>
    <w:rsid w:val="004201AF"/>
    <w:rsid w:val="00425FF9"/>
    <w:rsid w:val="00427B3B"/>
    <w:rsid w:val="00427EBF"/>
    <w:rsid w:val="004362AB"/>
    <w:rsid w:val="004415FB"/>
    <w:rsid w:val="00441CE3"/>
    <w:rsid w:val="0044434A"/>
    <w:rsid w:val="00445E76"/>
    <w:rsid w:val="00452C60"/>
    <w:rsid w:val="0046384E"/>
    <w:rsid w:val="0046706B"/>
    <w:rsid w:val="00471284"/>
    <w:rsid w:val="00473696"/>
    <w:rsid w:val="0047491E"/>
    <w:rsid w:val="004815FC"/>
    <w:rsid w:val="004837C6"/>
    <w:rsid w:val="00483998"/>
    <w:rsid w:val="00484E4C"/>
    <w:rsid w:val="00491438"/>
    <w:rsid w:val="0049227E"/>
    <w:rsid w:val="00492E3F"/>
    <w:rsid w:val="00493F5C"/>
    <w:rsid w:val="004A171B"/>
    <w:rsid w:val="004A335B"/>
    <w:rsid w:val="004A4CE0"/>
    <w:rsid w:val="004B1DC3"/>
    <w:rsid w:val="004C3D12"/>
    <w:rsid w:val="004C59FE"/>
    <w:rsid w:val="004C780C"/>
    <w:rsid w:val="004D5D48"/>
    <w:rsid w:val="004D708E"/>
    <w:rsid w:val="004E2AAD"/>
    <w:rsid w:val="004E2E71"/>
    <w:rsid w:val="004E357A"/>
    <w:rsid w:val="004E65EB"/>
    <w:rsid w:val="004F3289"/>
    <w:rsid w:val="004F7174"/>
    <w:rsid w:val="0050355D"/>
    <w:rsid w:val="005055B5"/>
    <w:rsid w:val="00511BBF"/>
    <w:rsid w:val="0051333A"/>
    <w:rsid w:val="00515E7B"/>
    <w:rsid w:val="00517847"/>
    <w:rsid w:val="005217F8"/>
    <w:rsid w:val="0052267A"/>
    <w:rsid w:val="00531143"/>
    <w:rsid w:val="00536332"/>
    <w:rsid w:val="00536659"/>
    <w:rsid w:val="00543EB8"/>
    <w:rsid w:val="00554A33"/>
    <w:rsid w:val="0055716D"/>
    <w:rsid w:val="00557953"/>
    <w:rsid w:val="00560E55"/>
    <w:rsid w:val="0056301A"/>
    <w:rsid w:val="005640E1"/>
    <w:rsid w:val="00564EA1"/>
    <w:rsid w:val="0056534C"/>
    <w:rsid w:val="00567941"/>
    <w:rsid w:val="00567CEE"/>
    <w:rsid w:val="005713F4"/>
    <w:rsid w:val="00571E64"/>
    <w:rsid w:val="00580F26"/>
    <w:rsid w:val="0058427E"/>
    <w:rsid w:val="00590907"/>
    <w:rsid w:val="005972E9"/>
    <w:rsid w:val="005A1B63"/>
    <w:rsid w:val="005A72F2"/>
    <w:rsid w:val="005B2194"/>
    <w:rsid w:val="005B2BC3"/>
    <w:rsid w:val="005B3115"/>
    <w:rsid w:val="005B4CFA"/>
    <w:rsid w:val="005C1A79"/>
    <w:rsid w:val="005C355B"/>
    <w:rsid w:val="005E1F10"/>
    <w:rsid w:val="005E269C"/>
    <w:rsid w:val="005E3586"/>
    <w:rsid w:val="005E4DEE"/>
    <w:rsid w:val="005E5FF1"/>
    <w:rsid w:val="005E7AEA"/>
    <w:rsid w:val="005F01CE"/>
    <w:rsid w:val="005F1D63"/>
    <w:rsid w:val="005F70B6"/>
    <w:rsid w:val="00604DBE"/>
    <w:rsid w:val="006063E1"/>
    <w:rsid w:val="006065E4"/>
    <w:rsid w:val="0061016B"/>
    <w:rsid w:val="00612045"/>
    <w:rsid w:val="00613AC9"/>
    <w:rsid w:val="00620E86"/>
    <w:rsid w:val="006219DD"/>
    <w:rsid w:val="00632ACC"/>
    <w:rsid w:val="00635915"/>
    <w:rsid w:val="00650463"/>
    <w:rsid w:val="00651660"/>
    <w:rsid w:val="00652171"/>
    <w:rsid w:val="00661058"/>
    <w:rsid w:val="006642D0"/>
    <w:rsid w:val="00670FEA"/>
    <w:rsid w:val="0067353C"/>
    <w:rsid w:val="00676163"/>
    <w:rsid w:val="00677C22"/>
    <w:rsid w:val="006808CC"/>
    <w:rsid w:val="00681D9E"/>
    <w:rsid w:val="006847BA"/>
    <w:rsid w:val="00685899"/>
    <w:rsid w:val="006902E6"/>
    <w:rsid w:val="00692D30"/>
    <w:rsid w:val="00697477"/>
    <w:rsid w:val="006A037E"/>
    <w:rsid w:val="006A3AE2"/>
    <w:rsid w:val="006A7796"/>
    <w:rsid w:val="006B0495"/>
    <w:rsid w:val="006B0DCB"/>
    <w:rsid w:val="006B2408"/>
    <w:rsid w:val="006B3AF9"/>
    <w:rsid w:val="006B414C"/>
    <w:rsid w:val="006B4B0F"/>
    <w:rsid w:val="006D10F0"/>
    <w:rsid w:val="006E0294"/>
    <w:rsid w:val="006F4DE0"/>
    <w:rsid w:val="006F7332"/>
    <w:rsid w:val="007017AE"/>
    <w:rsid w:val="0070385B"/>
    <w:rsid w:val="0070494F"/>
    <w:rsid w:val="00705758"/>
    <w:rsid w:val="0070717A"/>
    <w:rsid w:val="00713DE5"/>
    <w:rsid w:val="007174DA"/>
    <w:rsid w:val="00720910"/>
    <w:rsid w:val="00720F29"/>
    <w:rsid w:val="007224C2"/>
    <w:rsid w:val="00737FEC"/>
    <w:rsid w:val="00753218"/>
    <w:rsid w:val="00756AA0"/>
    <w:rsid w:val="00757CE6"/>
    <w:rsid w:val="007651D9"/>
    <w:rsid w:val="007671B6"/>
    <w:rsid w:val="007671DA"/>
    <w:rsid w:val="00767696"/>
    <w:rsid w:val="007719A8"/>
    <w:rsid w:val="00773969"/>
    <w:rsid w:val="00774593"/>
    <w:rsid w:val="007772C5"/>
    <w:rsid w:val="00777599"/>
    <w:rsid w:val="00785CF8"/>
    <w:rsid w:val="00796BBD"/>
    <w:rsid w:val="00796CC0"/>
    <w:rsid w:val="007A1A35"/>
    <w:rsid w:val="007A54D9"/>
    <w:rsid w:val="007A5922"/>
    <w:rsid w:val="007B259B"/>
    <w:rsid w:val="007B3F28"/>
    <w:rsid w:val="007B5018"/>
    <w:rsid w:val="007C670D"/>
    <w:rsid w:val="007D0ED0"/>
    <w:rsid w:val="007D4A4A"/>
    <w:rsid w:val="007D5EBA"/>
    <w:rsid w:val="007E0E05"/>
    <w:rsid w:val="007E1DD3"/>
    <w:rsid w:val="007E209F"/>
    <w:rsid w:val="007E4655"/>
    <w:rsid w:val="007E55E0"/>
    <w:rsid w:val="007E5C50"/>
    <w:rsid w:val="007F22A5"/>
    <w:rsid w:val="00810CC2"/>
    <w:rsid w:val="00812A2A"/>
    <w:rsid w:val="0081324B"/>
    <w:rsid w:val="00816193"/>
    <w:rsid w:val="008165E4"/>
    <w:rsid w:val="00825155"/>
    <w:rsid w:val="00825EB9"/>
    <w:rsid w:val="008303E2"/>
    <w:rsid w:val="008341F8"/>
    <w:rsid w:val="0083555B"/>
    <w:rsid w:val="008359F3"/>
    <w:rsid w:val="00835DB6"/>
    <w:rsid w:val="00836AC2"/>
    <w:rsid w:val="00840EDF"/>
    <w:rsid w:val="00844C5B"/>
    <w:rsid w:val="008501A4"/>
    <w:rsid w:val="008505A1"/>
    <w:rsid w:val="00850817"/>
    <w:rsid w:val="0086124E"/>
    <w:rsid w:val="008652C9"/>
    <w:rsid w:val="00866992"/>
    <w:rsid w:val="00875991"/>
    <w:rsid w:val="00875B14"/>
    <w:rsid w:val="00877FDD"/>
    <w:rsid w:val="00880FED"/>
    <w:rsid w:val="008841C8"/>
    <w:rsid w:val="00884EBB"/>
    <w:rsid w:val="00892BB8"/>
    <w:rsid w:val="00893014"/>
    <w:rsid w:val="008940D2"/>
    <w:rsid w:val="00896755"/>
    <w:rsid w:val="008A2417"/>
    <w:rsid w:val="008A5D49"/>
    <w:rsid w:val="008A751E"/>
    <w:rsid w:val="008B0547"/>
    <w:rsid w:val="008B11A3"/>
    <w:rsid w:val="008B1FE5"/>
    <w:rsid w:val="008B434A"/>
    <w:rsid w:val="008B7B55"/>
    <w:rsid w:val="008C020C"/>
    <w:rsid w:val="008C3A5B"/>
    <w:rsid w:val="008D6E87"/>
    <w:rsid w:val="008D6F5D"/>
    <w:rsid w:val="008E003A"/>
    <w:rsid w:val="008E15E3"/>
    <w:rsid w:val="008E4C62"/>
    <w:rsid w:val="008E727E"/>
    <w:rsid w:val="008F09A3"/>
    <w:rsid w:val="008F0FA8"/>
    <w:rsid w:val="008F2902"/>
    <w:rsid w:val="008F660B"/>
    <w:rsid w:val="009005CE"/>
    <w:rsid w:val="00901376"/>
    <w:rsid w:val="009021A4"/>
    <w:rsid w:val="00902A04"/>
    <w:rsid w:val="0091511B"/>
    <w:rsid w:val="009239AA"/>
    <w:rsid w:val="009245B5"/>
    <w:rsid w:val="0093795C"/>
    <w:rsid w:val="009444E6"/>
    <w:rsid w:val="00944A8E"/>
    <w:rsid w:val="009455E6"/>
    <w:rsid w:val="0094729D"/>
    <w:rsid w:val="00956BA7"/>
    <w:rsid w:val="00956FD8"/>
    <w:rsid w:val="009575F7"/>
    <w:rsid w:val="0096021A"/>
    <w:rsid w:val="00960F73"/>
    <w:rsid w:val="00963DA4"/>
    <w:rsid w:val="00971139"/>
    <w:rsid w:val="0097401F"/>
    <w:rsid w:val="00981FA0"/>
    <w:rsid w:val="00984366"/>
    <w:rsid w:val="00984E80"/>
    <w:rsid w:val="0098690F"/>
    <w:rsid w:val="00987EE5"/>
    <w:rsid w:val="00992B5D"/>
    <w:rsid w:val="00997C8A"/>
    <w:rsid w:val="009A1339"/>
    <w:rsid w:val="009A3006"/>
    <w:rsid w:val="009A3994"/>
    <w:rsid w:val="009B02B0"/>
    <w:rsid w:val="009B1CC0"/>
    <w:rsid w:val="009B62AF"/>
    <w:rsid w:val="009C0097"/>
    <w:rsid w:val="009D1B99"/>
    <w:rsid w:val="009D5445"/>
    <w:rsid w:val="009D565F"/>
    <w:rsid w:val="009D65B9"/>
    <w:rsid w:val="009D7E0F"/>
    <w:rsid w:val="009E04DC"/>
    <w:rsid w:val="009E0FB3"/>
    <w:rsid w:val="009E3748"/>
    <w:rsid w:val="009E5105"/>
    <w:rsid w:val="009E657A"/>
    <w:rsid w:val="009E796E"/>
    <w:rsid w:val="009F21F1"/>
    <w:rsid w:val="009F4B36"/>
    <w:rsid w:val="00A0244C"/>
    <w:rsid w:val="00A033FF"/>
    <w:rsid w:val="00A1329C"/>
    <w:rsid w:val="00A14E25"/>
    <w:rsid w:val="00A16A60"/>
    <w:rsid w:val="00A17A3D"/>
    <w:rsid w:val="00A2062A"/>
    <w:rsid w:val="00A21E19"/>
    <w:rsid w:val="00A30683"/>
    <w:rsid w:val="00A3115F"/>
    <w:rsid w:val="00A33030"/>
    <w:rsid w:val="00A378A2"/>
    <w:rsid w:val="00A60F52"/>
    <w:rsid w:val="00A63B4C"/>
    <w:rsid w:val="00A664E7"/>
    <w:rsid w:val="00A66E7F"/>
    <w:rsid w:val="00A74C07"/>
    <w:rsid w:val="00A75C52"/>
    <w:rsid w:val="00A767B2"/>
    <w:rsid w:val="00A82B9E"/>
    <w:rsid w:val="00A84186"/>
    <w:rsid w:val="00A85B14"/>
    <w:rsid w:val="00A86120"/>
    <w:rsid w:val="00A9704A"/>
    <w:rsid w:val="00A97AD0"/>
    <w:rsid w:val="00AA1377"/>
    <w:rsid w:val="00AA2EA4"/>
    <w:rsid w:val="00AA49AF"/>
    <w:rsid w:val="00AA57CE"/>
    <w:rsid w:val="00AA7540"/>
    <w:rsid w:val="00AC0BAE"/>
    <w:rsid w:val="00AC126F"/>
    <w:rsid w:val="00AE1128"/>
    <w:rsid w:val="00AE1AB0"/>
    <w:rsid w:val="00AE2609"/>
    <w:rsid w:val="00AE439A"/>
    <w:rsid w:val="00AF09C7"/>
    <w:rsid w:val="00B00517"/>
    <w:rsid w:val="00B03D35"/>
    <w:rsid w:val="00B05065"/>
    <w:rsid w:val="00B05194"/>
    <w:rsid w:val="00B06756"/>
    <w:rsid w:val="00B17303"/>
    <w:rsid w:val="00B25143"/>
    <w:rsid w:val="00B2585D"/>
    <w:rsid w:val="00B27359"/>
    <w:rsid w:val="00B33FC2"/>
    <w:rsid w:val="00B347F1"/>
    <w:rsid w:val="00B3502B"/>
    <w:rsid w:val="00B35C3E"/>
    <w:rsid w:val="00B36473"/>
    <w:rsid w:val="00B44029"/>
    <w:rsid w:val="00B47943"/>
    <w:rsid w:val="00B50446"/>
    <w:rsid w:val="00B5132F"/>
    <w:rsid w:val="00B530FD"/>
    <w:rsid w:val="00B5639B"/>
    <w:rsid w:val="00B60C3E"/>
    <w:rsid w:val="00B64775"/>
    <w:rsid w:val="00B67B4F"/>
    <w:rsid w:val="00B81718"/>
    <w:rsid w:val="00B823C4"/>
    <w:rsid w:val="00B86AF6"/>
    <w:rsid w:val="00B86E2A"/>
    <w:rsid w:val="00B96EA4"/>
    <w:rsid w:val="00B97A3E"/>
    <w:rsid w:val="00BA2FFD"/>
    <w:rsid w:val="00BB37AF"/>
    <w:rsid w:val="00BB4C08"/>
    <w:rsid w:val="00BC3A0A"/>
    <w:rsid w:val="00BC5737"/>
    <w:rsid w:val="00BD1BF1"/>
    <w:rsid w:val="00BD3C68"/>
    <w:rsid w:val="00BD421D"/>
    <w:rsid w:val="00BD504A"/>
    <w:rsid w:val="00BE4614"/>
    <w:rsid w:val="00BE4E6F"/>
    <w:rsid w:val="00BE529D"/>
    <w:rsid w:val="00BE6637"/>
    <w:rsid w:val="00BF10E8"/>
    <w:rsid w:val="00BF3158"/>
    <w:rsid w:val="00C0101C"/>
    <w:rsid w:val="00C033CF"/>
    <w:rsid w:val="00C034F0"/>
    <w:rsid w:val="00C03A04"/>
    <w:rsid w:val="00C046F7"/>
    <w:rsid w:val="00C10341"/>
    <w:rsid w:val="00C10C0B"/>
    <w:rsid w:val="00C1776A"/>
    <w:rsid w:val="00C22519"/>
    <w:rsid w:val="00C2305C"/>
    <w:rsid w:val="00C233D0"/>
    <w:rsid w:val="00C24162"/>
    <w:rsid w:val="00C2509D"/>
    <w:rsid w:val="00C30184"/>
    <w:rsid w:val="00C34ABD"/>
    <w:rsid w:val="00C35F43"/>
    <w:rsid w:val="00C44049"/>
    <w:rsid w:val="00C44A07"/>
    <w:rsid w:val="00C44BDC"/>
    <w:rsid w:val="00C45BFB"/>
    <w:rsid w:val="00C50FB5"/>
    <w:rsid w:val="00C54B14"/>
    <w:rsid w:val="00C6352A"/>
    <w:rsid w:val="00C65B2D"/>
    <w:rsid w:val="00C65C5D"/>
    <w:rsid w:val="00C711E5"/>
    <w:rsid w:val="00C73DA6"/>
    <w:rsid w:val="00C76971"/>
    <w:rsid w:val="00C83AEE"/>
    <w:rsid w:val="00C85AC7"/>
    <w:rsid w:val="00C906CD"/>
    <w:rsid w:val="00CA6716"/>
    <w:rsid w:val="00CA6AE7"/>
    <w:rsid w:val="00CB061E"/>
    <w:rsid w:val="00CB0880"/>
    <w:rsid w:val="00CC42D4"/>
    <w:rsid w:val="00CD2536"/>
    <w:rsid w:val="00CD502C"/>
    <w:rsid w:val="00CE13D5"/>
    <w:rsid w:val="00CF230D"/>
    <w:rsid w:val="00CF5489"/>
    <w:rsid w:val="00CF7615"/>
    <w:rsid w:val="00D003F8"/>
    <w:rsid w:val="00D10769"/>
    <w:rsid w:val="00D116C7"/>
    <w:rsid w:val="00D13AC5"/>
    <w:rsid w:val="00D14E5F"/>
    <w:rsid w:val="00D2041E"/>
    <w:rsid w:val="00D341C9"/>
    <w:rsid w:val="00D3447D"/>
    <w:rsid w:val="00D3488B"/>
    <w:rsid w:val="00D361DE"/>
    <w:rsid w:val="00D463A0"/>
    <w:rsid w:val="00D46C4C"/>
    <w:rsid w:val="00D51F18"/>
    <w:rsid w:val="00D564BB"/>
    <w:rsid w:val="00D565FA"/>
    <w:rsid w:val="00D568ED"/>
    <w:rsid w:val="00D6014E"/>
    <w:rsid w:val="00D630E7"/>
    <w:rsid w:val="00D700E5"/>
    <w:rsid w:val="00D76186"/>
    <w:rsid w:val="00D8314B"/>
    <w:rsid w:val="00D86DD4"/>
    <w:rsid w:val="00D92529"/>
    <w:rsid w:val="00D92A7A"/>
    <w:rsid w:val="00DA1860"/>
    <w:rsid w:val="00DA5AAB"/>
    <w:rsid w:val="00DA6858"/>
    <w:rsid w:val="00DB1CD7"/>
    <w:rsid w:val="00DB2651"/>
    <w:rsid w:val="00DB2DA5"/>
    <w:rsid w:val="00DB4717"/>
    <w:rsid w:val="00DC499B"/>
    <w:rsid w:val="00DC6F31"/>
    <w:rsid w:val="00DD6D82"/>
    <w:rsid w:val="00DE045E"/>
    <w:rsid w:val="00DE23D6"/>
    <w:rsid w:val="00DE2CB6"/>
    <w:rsid w:val="00DE2DDE"/>
    <w:rsid w:val="00DE5414"/>
    <w:rsid w:val="00DE550B"/>
    <w:rsid w:val="00DF0C37"/>
    <w:rsid w:val="00DF2506"/>
    <w:rsid w:val="00DF301A"/>
    <w:rsid w:val="00DF3469"/>
    <w:rsid w:val="00DF3BE2"/>
    <w:rsid w:val="00DF4E2C"/>
    <w:rsid w:val="00DF75EC"/>
    <w:rsid w:val="00E079C6"/>
    <w:rsid w:val="00E146CF"/>
    <w:rsid w:val="00E20830"/>
    <w:rsid w:val="00E23C05"/>
    <w:rsid w:val="00E247E2"/>
    <w:rsid w:val="00E304EB"/>
    <w:rsid w:val="00E329D0"/>
    <w:rsid w:val="00E32B34"/>
    <w:rsid w:val="00E33746"/>
    <w:rsid w:val="00E36B53"/>
    <w:rsid w:val="00E37585"/>
    <w:rsid w:val="00E469D5"/>
    <w:rsid w:val="00E46CD5"/>
    <w:rsid w:val="00E500D9"/>
    <w:rsid w:val="00E51AB5"/>
    <w:rsid w:val="00E52345"/>
    <w:rsid w:val="00E52763"/>
    <w:rsid w:val="00E563AE"/>
    <w:rsid w:val="00E662CD"/>
    <w:rsid w:val="00E73271"/>
    <w:rsid w:val="00E74214"/>
    <w:rsid w:val="00E74D52"/>
    <w:rsid w:val="00E75855"/>
    <w:rsid w:val="00E86566"/>
    <w:rsid w:val="00E875F5"/>
    <w:rsid w:val="00E92527"/>
    <w:rsid w:val="00E95403"/>
    <w:rsid w:val="00E97045"/>
    <w:rsid w:val="00EA270C"/>
    <w:rsid w:val="00EA5CF4"/>
    <w:rsid w:val="00EB09B9"/>
    <w:rsid w:val="00EB7CB1"/>
    <w:rsid w:val="00EC1C35"/>
    <w:rsid w:val="00ED0557"/>
    <w:rsid w:val="00ED34D4"/>
    <w:rsid w:val="00EE0518"/>
    <w:rsid w:val="00EE30EE"/>
    <w:rsid w:val="00EE6DE6"/>
    <w:rsid w:val="00EF057C"/>
    <w:rsid w:val="00EF0A09"/>
    <w:rsid w:val="00EF1D14"/>
    <w:rsid w:val="00EF7AD1"/>
    <w:rsid w:val="00F01B31"/>
    <w:rsid w:val="00F01E63"/>
    <w:rsid w:val="00F02A2A"/>
    <w:rsid w:val="00F03AB9"/>
    <w:rsid w:val="00F06479"/>
    <w:rsid w:val="00F076C5"/>
    <w:rsid w:val="00F120D9"/>
    <w:rsid w:val="00F124BE"/>
    <w:rsid w:val="00F17E3F"/>
    <w:rsid w:val="00F27170"/>
    <w:rsid w:val="00F27ADB"/>
    <w:rsid w:val="00F30016"/>
    <w:rsid w:val="00F31C75"/>
    <w:rsid w:val="00F341CC"/>
    <w:rsid w:val="00F3447D"/>
    <w:rsid w:val="00F40CAB"/>
    <w:rsid w:val="00F47C5C"/>
    <w:rsid w:val="00F54856"/>
    <w:rsid w:val="00F5606B"/>
    <w:rsid w:val="00F64F51"/>
    <w:rsid w:val="00F765E8"/>
    <w:rsid w:val="00F86D88"/>
    <w:rsid w:val="00F87FA7"/>
    <w:rsid w:val="00F9295F"/>
    <w:rsid w:val="00F9473C"/>
    <w:rsid w:val="00FA172F"/>
    <w:rsid w:val="00FA40A3"/>
    <w:rsid w:val="00FB3BA6"/>
    <w:rsid w:val="00FB4D65"/>
    <w:rsid w:val="00FB5954"/>
    <w:rsid w:val="00FC0CDF"/>
    <w:rsid w:val="00FC183A"/>
    <w:rsid w:val="00FC3D1C"/>
    <w:rsid w:val="00FD08A7"/>
    <w:rsid w:val="00FD2E55"/>
    <w:rsid w:val="00FD2FA9"/>
    <w:rsid w:val="00FD791A"/>
    <w:rsid w:val="00FF025A"/>
    <w:rsid w:val="00FF088B"/>
    <w:rsid w:val="00FF10AF"/>
    <w:rsid w:val="00FF334E"/>
    <w:rsid w:val="00FF6F1E"/>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A0AD616B-8750-49DF-96F2-AB0F2DE5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semiHidden/>
    <w:unhideWhenUsed/>
    <w:rsid w:val="008B0547"/>
    <w:pPr>
      <w:tabs>
        <w:tab w:val="center" w:pos="4252"/>
        <w:tab w:val="right" w:pos="8504"/>
      </w:tabs>
      <w:spacing w:after="0"/>
    </w:pPr>
  </w:style>
  <w:style w:type="character" w:customStyle="1" w:styleId="RodapChar">
    <w:name w:val="Rodapé Char"/>
    <w:basedOn w:val="Fontepargpadro"/>
    <w:link w:val="Rodap"/>
    <w:uiPriority w:val="99"/>
    <w:semiHidden/>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iPriority w:val="99"/>
    <w:semiHidden/>
    <w:unhideWhenUsed/>
    <w:rsid w:val="00E75855"/>
  </w:style>
  <w:style w:type="character" w:customStyle="1" w:styleId="CorpodetextoChar">
    <w:name w:val="Corpo de texto Char"/>
    <w:basedOn w:val="Fontepargpadro"/>
    <w:link w:val="Corpodetexto"/>
    <w:uiPriority w:val="99"/>
    <w:semiHidden/>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uiPriority w:val="99"/>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rsid w:val="00AA49AF"/>
    <w:pPr>
      <w:spacing w:after="0"/>
      <w:ind w:left="2835"/>
    </w:pPr>
    <w:rPr>
      <w:rFonts w:eastAsia="Times New Roman"/>
      <w:szCs w:val="20"/>
      <w:lang w:eastAsia="pt-BR"/>
    </w:rPr>
  </w:style>
  <w:style w:type="paragraph" w:styleId="Recuodecorpodetexto3">
    <w:name w:val="Body Text Indent 3"/>
    <w:basedOn w:val="Normal"/>
    <w:link w:val="Recuodecorpodetexto3Char"/>
    <w:uiPriority w:val="99"/>
    <w:semiHidden/>
    <w:unhideWhenUsed/>
    <w:rsid w:val="00E20830"/>
    <w:pPr>
      <w:ind w:left="283"/>
    </w:pPr>
    <w:rPr>
      <w:sz w:val="16"/>
      <w:szCs w:val="16"/>
    </w:rPr>
  </w:style>
  <w:style w:type="character" w:customStyle="1" w:styleId="Recuodecorpodetexto3Char">
    <w:name w:val="Recuo de corpo de texto 3 Char"/>
    <w:basedOn w:val="Fontepargpadro"/>
    <w:link w:val="Recuodecorpodetexto3"/>
    <w:uiPriority w:val="99"/>
    <w:semiHidden/>
    <w:rsid w:val="00E20830"/>
    <w:rPr>
      <w:sz w:val="16"/>
      <w:szCs w:val="16"/>
      <w:lang w:eastAsia="en-US"/>
    </w:rPr>
  </w:style>
  <w:style w:type="paragraph" w:customStyle="1" w:styleId="Transcrio">
    <w:name w:val="Transcrição"/>
    <w:basedOn w:val="Normal"/>
    <w:rsid w:val="00963DA4"/>
    <w:pPr>
      <w:spacing w:before="60" w:after="60"/>
      <w:ind w:left="2268"/>
    </w:pPr>
    <w:rPr>
      <w:rFonts w:ascii="Arial" w:eastAsia="Times New Roman" w:hAnsi="Arial"/>
      <w:i/>
      <w:sz w:val="22"/>
      <w:lang w:eastAsia="pt-BR"/>
    </w:rPr>
  </w:style>
  <w:style w:type="paragraph" w:customStyle="1" w:styleId="TCU-Ac-item9-">
    <w:name w:val="TCU - Ac - item 9 - §§"/>
    <w:basedOn w:val="TCU-RelVoto-1"/>
    <w:qFormat/>
    <w:rsid w:val="00963DA4"/>
    <w:pPr>
      <w:spacing w:after="0"/>
    </w:pPr>
  </w:style>
  <w:style w:type="paragraph" w:customStyle="1" w:styleId="CorpodaInstruo">
    <w:name w:val="Corpo da Instrução"/>
    <w:basedOn w:val="Normal"/>
    <w:uiPriority w:val="99"/>
    <w:semiHidden/>
    <w:rsid w:val="009E657A"/>
    <w:pPr>
      <w:numPr>
        <w:numId w:val="18"/>
      </w:numPr>
      <w:tabs>
        <w:tab w:val="num" w:pos="1418"/>
      </w:tabs>
      <w:spacing w:after="240"/>
      <w:ind w:left="0"/>
    </w:pPr>
    <w:rPr>
      <w:rFonts w:eastAsia="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7BC05-2E4D-4090-915E-CFD84B34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5390</Words>
  <Characters>29109</Characters>
  <Application>Microsoft Office Word</Application>
  <DocSecurity>4</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34431</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2010-05-26T15:17:00Z</cp:lastPrinted>
  <dcterms:created xsi:type="dcterms:W3CDTF">2015-05-07T12:34:00Z</dcterms:created>
  <dcterms:modified xsi:type="dcterms:W3CDTF">2015-05-07T12:34:00Z</dcterms:modified>
</cp:coreProperties>
</file>