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7615E7" w:rsidRDefault="009444E6" w:rsidP="00337E16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 w:rsidRPr="006C351F">
        <w:rPr>
          <w:rFonts w:ascii="Times New Roman" w:hAnsi="Times New Roman"/>
          <w:b/>
          <w:i w:val="0"/>
          <w:sz w:val="22"/>
          <w:szCs w:val="22"/>
        </w:rPr>
        <w:t xml:space="preserve">Sessões: </w:t>
      </w:r>
      <w:r w:rsidR="000C3861">
        <w:rPr>
          <w:rFonts w:ascii="Times New Roman" w:hAnsi="Times New Roman"/>
          <w:b/>
          <w:i w:val="0"/>
          <w:sz w:val="22"/>
          <w:szCs w:val="22"/>
        </w:rPr>
        <w:t>16</w:t>
      </w:r>
      <w:r w:rsidR="00F01B31" w:rsidRPr="006C351F">
        <w:rPr>
          <w:rFonts w:ascii="Times New Roman" w:hAnsi="Times New Roman"/>
          <w:b/>
          <w:i w:val="0"/>
          <w:sz w:val="22"/>
          <w:szCs w:val="22"/>
        </w:rPr>
        <w:t xml:space="preserve"> e </w:t>
      </w:r>
      <w:r w:rsidR="000C3861">
        <w:rPr>
          <w:rFonts w:ascii="Times New Roman" w:hAnsi="Times New Roman"/>
          <w:b/>
          <w:i w:val="0"/>
          <w:sz w:val="22"/>
          <w:szCs w:val="22"/>
        </w:rPr>
        <w:t>17</w:t>
      </w:r>
      <w:r w:rsidRPr="006C351F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6C351F" w:rsidRPr="006C351F">
        <w:rPr>
          <w:rFonts w:ascii="Times New Roman" w:hAnsi="Times New Roman"/>
          <w:b/>
          <w:i w:val="0"/>
          <w:sz w:val="22"/>
          <w:szCs w:val="22"/>
        </w:rPr>
        <w:t>novem</w:t>
      </w:r>
      <w:r w:rsidR="00BB227D" w:rsidRPr="006C351F">
        <w:rPr>
          <w:rFonts w:ascii="Times New Roman" w:hAnsi="Times New Roman"/>
          <w:b/>
          <w:i w:val="0"/>
          <w:sz w:val="22"/>
          <w:szCs w:val="22"/>
        </w:rPr>
        <w:t>bro</w:t>
      </w:r>
      <w:r w:rsidRPr="006C351F">
        <w:rPr>
          <w:rFonts w:ascii="Times New Roman" w:hAnsi="Times New Roman"/>
          <w:b/>
          <w:i w:val="0"/>
          <w:sz w:val="22"/>
          <w:szCs w:val="22"/>
        </w:rPr>
        <w:t xml:space="preserve"> de 2010</w:t>
      </w:r>
    </w:p>
    <w:p w:rsidR="002D35F5" w:rsidRPr="00337E16" w:rsidRDefault="002D35F5" w:rsidP="00337E16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337E16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0562CD" w:rsidRPr="00337E16">
        <w:rPr>
          <w:sz w:val="22"/>
          <w:szCs w:val="22"/>
        </w:rPr>
        <w:t>(</w:t>
      </w:r>
      <w:r w:rsidRPr="00337E16">
        <w:rPr>
          <w:sz w:val="22"/>
          <w:szCs w:val="22"/>
        </w:rPr>
        <w:t>s</w:t>
      </w:r>
      <w:r w:rsidR="000562CD" w:rsidRPr="00337E16">
        <w:rPr>
          <w:sz w:val="22"/>
          <w:szCs w:val="22"/>
        </w:rPr>
        <w:t>)</w:t>
      </w:r>
      <w:r w:rsidRPr="00337E16">
        <w:rPr>
          <w:sz w:val="22"/>
          <w:szCs w:val="22"/>
        </w:rPr>
        <w:t xml:space="preserve"> data</w:t>
      </w:r>
      <w:r w:rsidR="000562CD" w:rsidRPr="00337E16">
        <w:rPr>
          <w:sz w:val="22"/>
          <w:szCs w:val="22"/>
        </w:rPr>
        <w:t>(</w:t>
      </w:r>
      <w:r w:rsidRPr="00337E16">
        <w:rPr>
          <w:sz w:val="22"/>
          <w:szCs w:val="22"/>
        </w:rPr>
        <w:t>s</w:t>
      </w:r>
      <w:r w:rsidR="000562CD" w:rsidRPr="00337E16">
        <w:rPr>
          <w:sz w:val="22"/>
          <w:szCs w:val="22"/>
        </w:rPr>
        <w:t>)</w:t>
      </w:r>
      <w:r w:rsidRPr="00337E16">
        <w:rPr>
          <w:sz w:val="22"/>
          <w:szCs w:val="22"/>
        </w:rPr>
        <w:t xml:space="preserve"> acima indicada</w:t>
      </w:r>
      <w:r w:rsidR="000562CD" w:rsidRPr="00337E16">
        <w:rPr>
          <w:sz w:val="22"/>
          <w:szCs w:val="22"/>
        </w:rPr>
        <w:t>(</w:t>
      </w:r>
      <w:r w:rsidRPr="00337E16">
        <w:rPr>
          <w:sz w:val="22"/>
          <w:szCs w:val="22"/>
        </w:rPr>
        <w:t>s</w:t>
      </w:r>
      <w:r w:rsidR="000562CD" w:rsidRPr="00337E16">
        <w:rPr>
          <w:sz w:val="22"/>
          <w:szCs w:val="22"/>
        </w:rPr>
        <w:t>)</w:t>
      </w:r>
      <w:r w:rsidRPr="00337E16">
        <w:rPr>
          <w:sz w:val="22"/>
          <w:szCs w:val="22"/>
        </w:rPr>
        <w:t>, relativas a licitações e contratos, e tem por finalidade facilitar o acompanhamento, pelo leitor, da jurisprudência do TCU quanto aos aspectos relevantes que envolvem o tema. Por esse motivo,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FF7C62" w:rsidRPr="00337E16" w:rsidRDefault="00FF7C62" w:rsidP="00337E16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2D35F5" w:rsidRPr="00337E16" w:rsidRDefault="002D35F5" w:rsidP="00BE6A12">
      <w:pPr>
        <w:pBdr>
          <w:top w:val="threeDEmboss" w:sz="24" w:space="0" w:color="auto"/>
        </w:pBdr>
        <w:tabs>
          <w:tab w:val="left" w:pos="284"/>
        </w:tabs>
        <w:spacing w:before="60" w:after="6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337E16">
        <w:rPr>
          <w:rFonts w:ascii="Cambria" w:hAnsi="Cambria"/>
          <w:b/>
          <w:bCs/>
          <w:smallCaps/>
          <w:sz w:val="22"/>
          <w:szCs w:val="22"/>
        </w:rPr>
        <w:t>S</w:t>
      </w:r>
      <w:r w:rsidR="00FF7C62" w:rsidRPr="00337E16">
        <w:rPr>
          <w:rFonts w:ascii="Cambria" w:hAnsi="Cambria"/>
          <w:b/>
          <w:bCs/>
          <w:smallCaps/>
          <w:sz w:val="22"/>
          <w:szCs w:val="22"/>
        </w:rPr>
        <w:t>UMÁRIO</w:t>
      </w:r>
    </w:p>
    <w:p w:rsidR="009444E6" w:rsidRPr="001158D1" w:rsidRDefault="009444E6" w:rsidP="001158D1">
      <w:pPr>
        <w:pStyle w:val="tita"/>
        <w:spacing w:before="60" w:after="60" w:line="240" w:lineRule="auto"/>
        <w:jc w:val="both"/>
        <w:rPr>
          <w:i w:val="0"/>
          <w:iCs w:val="0"/>
          <w:sz w:val="22"/>
          <w:szCs w:val="22"/>
        </w:rPr>
      </w:pPr>
      <w:r w:rsidRPr="001158D1">
        <w:rPr>
          <w:i w:val="0"/>
          <w:iCs w:val="0"/>
          <w:sz w:val="22"/>
          <w:szCs w:val="22"/>
        </w:rPr>
        <w:t>Plenário</w:t>
      </w:r>
    </w:p>
    <w:p w:rsidR="001158D1" w:rsidRPr="001158D1" w:rsidRDefault="001158D1" w:rsidP="001158D1">
      <w:pPr>
        <w:pStyle w:val="Pargrafo"/>
        <w:spacing w:before="60" w:after="60"/>
        <w:jc w:val="both"/>
        <w:rPr>
          <w:sz w:val="22"/>
          <w:szCs w:val="22"/>
        </w:rPr>
      </w:pPr>
      <w:r w:rsidRPr="001158D1">
        <w:rPr>
          <w:sz w:val="22"/>
          <w:szCs w:val="22"/>
        </w:rPr>
        <w:t xml:space="preserve">Os preços dos insumos </w:t>
      </w:r>
      <w:r w:rsidR="002C7039">
        <w:rPr>
          <w:sz w:val="22"/>
          <w:szCs w:val="22"/>
        </w:rPr>
        <w:t>constantes</w:t>
      </w:r>
      <w:r w:rsidRPr="001158D1">
        <w:rPr>
          <w:sz w:val="22"/>
          <w:szCs w:val="22"/>
        </w:rPr>
        <w:t xml:space="preserve"> da planilha orçamentária são </w:t>
      </w:r>
      <w:r w:rsidR="002C7039">
        <w:rPr>
          <w:sz w:val="22"/>
          <w:szCs w:val="22"/>
        </w:rPr>
        <w:t>mais bem</w:t>
      </w:r>
      <w:r w:rsidRPr="001158D1">
        <w:rPr>
          <w:sz w:val="22"/>
          <w:szCs w:val="22"/>
        </w:rPr>
        <w:t xml:space="preserve"> representados pela média, ou mediana, e não pelo menor dos </w:t>
      </w:r>
      <w:r w:rsidR="002C7039">
        <w:rPr>
          <w:sz w:val="22"/>
          <w:szCs w:val="22"/>
        </w:rPr>
        <w:t>preços pesquisados no mercado.</w:t>
      </w:r>
    </w:p>
    <w:p w:rsidR="001158D1" w:rsidRPr="00906754" w:rsidRDefault="00906754" w:rsidP="001158D1">
      <w:pPr>
        <w:spacing w:before="60" w:after="60"/>
        <w:ind w:left="0"/>
        <w:rPr>
          <w:sz w:val="22"/>
          <w:szCs w:val="22"/>
        </w:rPr>
      </w:pPr>
      <w:r w:rsidRPr="00906754">
        <w:rPr>
          <w:sz w:val="22"/>
          <w:szCs w:val="22"/>
        </w:rPr>
        <w:t>Na composição da planilha orçamentária, devem ser considerados possíveis descontos em razão da escala da contratação</w:t>
      </w:r>
      <w:r w:rsidR="001158D1" w:rsidRPr="00906754">
        <w:rPr>
          <w:sz w:val="22"/>
          <w:szCs w:val="22"/>
        </w:rPr>
        <w:t>.</w:t>
      </w:r>
    </w:p>
    <w:p w:rsidR="001158D1" w:rsidRPr="001158D1" w:rsidRDefault="001158D1" w:rsidP="001158D1">
      <w:pPr>
        <w:spacing w:before="60" w:after="60"/>
        <w:ind w:left="0"/>
        <w:rPr>
          <w:sz w:val="22"/>
          <w:szCs w:val="22"/>
        </w:rPr>
      </w:pPr>
      <w:r w:rsidRPr="001158D1">
        <w:rPr>
          <w:sz w:val="22"/>
          <w:szCs w:val="22"/>
        </w:rPr>
        <w:t xml:space="preserve">Uso indevido do convênio quando o objeto levaria à </w:t>
      </w:r>
      <w:r w:rsidR="003B7746">
        <w:rPr>
          <w:sz w:val="22"/>
          <w:szCs w:val="22"/>
        </w:rPr>
        <w:t>celebração</w:t>
      </w:r>
      <w:r w:rsidRPr="001158D1">
        <w:rPr>
          <w:sz w:val="22"/>
          <w:szCs w:val="22"/>
        </w:rPr>
        <w:t xml:space="preserve"> de contrato.</w:t>
      </w:r>
    </w:p>
    <w:p w:rsidR="001158D1" w:rsidRPr="001158D1" w:rsidRDefault="001158D1" w:rsidP="001158D1">
      <w:pPr>
        <w:spacing w:before="60" w:after="60"/>
        <w:ind w:left="0"/>
        <w:rPr>
          <w:sz w:val="22"/>
          <w:szCs w:val="22"/>
        </w:rPr>
      </w:pPr>
      <w:r w:rsidRPr="001158D1">
        <w:rPr>
          <w:sz w:val="22"/>
          <w:szCs w:val="22"/>
        </w:rPr>
        <w:t xml:space="preserve">A exigência de certidão negativa de débitos salariais, para fim de habilitação, não </w:t>
      </w:r>
      <w:r w:rsidR="00FC712C">
        <w:rPr>
          <w:sz w:val="22"/>
          <w:szCs w:val="22"/>
        </w:rPr>
        <w:t>encontra</w:t>
      </w:r>
      <w:r w:rsidRPr="001158D1">
        <w:rPr>
          <w:sz w:val="22"/>
          <w:szCs w:val="22"/>
        </w:rPr>
        <w:t xml:space="preserve"> amparo legal.</w:t>
      </w:r>
    </w:p>
    <w:p w:rsidR="001158D1" w:rsidRPr="001158D1" w:rsidRDefault="00525A49" w:rsidP="001158D1">
      <w:pPr>
        <w:pStyle w:val="indice"/>
        <w:tabs>
          <w:tab w:val="left" w:pos="567"/>
        </w:tabs>
        <w:spacing w:before="60" w:after="60" w:line="240" w:lineRule="auto"/>
        <w:rPr>
          <w:color w:val="auto"/>
        </w:rPr>
      </w:pPr>
      <w:r>
        <w:rPr>
          <w:color w:val="auto"/>
        </w:rPr>
        <w:t>A</w:t>
      </w:r>
      <w:r w:rsidR="001158D1" w:rsidRPr="001158D1">
        <w:rPr>
          <w:color w:val="auto"/>
        </w:rPr>
        <w:t xml:space="preserve"> “reserva técnica” é admissível</w:t>
      </w:r>
      <w:r>
        <w:rPr>
          <w:color w:val="auto"/>
        </w:rPr>
        <w:t xml:space="preserve"> na planilha de preços</w:t>
      </w:r>
      <w:r w:rsidR="001158D1" w:rsidRPr="001158D1">
        <w:rPr>
          <w:color w:val="auto"/>
        </w:rPr>
        <w:t>, desde que limitad</w:t>
      </w:r>
      <w:r>
        <w:rPr>
          <w:color w:val="auto"/>
        </w:rPr>
        <w:t>a</w:t>
      </w:r>
      <w:r w:rsidR="001158D1" w:rsidRPr="001158D1">
        <w:rPr>
          <w:color w:val="auto"/>
        </w:rPr>
        <w:t xml:space="preserve"> ao percentual de 2,5%.</w:t>
      </w:r>
    </w:p>
    <w:p w:rsidR="001158D1" w:rsidRPr="001158D1" w:rsidRDefault="001158D1" w:rsidP="001158D1">
      <w:pPr>
        <w:pStyle w:val="tita"/>
        <w:spacing w:before="60" w:after="60" w:line="240" w:lineRule="auto"/>
        <w:jc w:val="both"/>
        <w:rPr>
          <w:i w:val="0"/>
          <w:iCs w:val="0"/>
          <w:sz w:val="22"/>
          <w:szCs w:val="22"/>
        </w:rPr>
      </w:pPr>
      <w:r w:rsidRPr="001158D1">
        <w:rPr>
          <w:i w:val="0"/>
          <w:iCs w:val="0"/>
          <w:sz w:val="22"/>
          <w:szCs w:val="22"/>
        </w:rPr>
        <w:t>Primeira Câmara</w:t>
      </w:r>
    </w:p>
    <w:p w:rsidR="001158D1" w:rsidRPr="001158D1" w:rsidRDefault="001158D1" w:rsidP="001158D1">
      <w:pPr>
        <w:pStyle w:val="Pargrafo"/>
        <w:spacing w:before="60" w:after="60"/>
        <w:jc w:val="both"/>
        <w:rPr>
          <w:sz w:val="22"/>
          <w:szCs w:val="22"/>
        </w:rPr>
      </w:pPr>
      <w:r w:rsidRPr="001158D1">
        <w:rPr>
          <w:sz w:val="22"/>
          <w:szCs w:val="22"/>
        </w:rPr>
        <w:t>Possibilidade d</w:t>
      </w:r>
      <w:r w:rsidR="008A1A62">
        <w:rPr>
          <w:sz w:val="22"/>
          <w:szCs w:val="22"/>
        </w:rPr>
        <w:t>o</w:t>
      </w:r>
      <w:r w:rsidRPr="001158D1">
        <w:rPr>
          <w:sz w:val="22"/>
          <w:szCs w:val="22"/>
        </w:rPr>
        <w:t xml:space="preserve"> aproveitamento de licitação anterior.</w:t>
      </w:r>
    </w:p>
    <w:p w:rsidR="001158D1" w:rsidRPr="001158D1" w:rsidRDefault="003C1588" w:rsidP="001158D1">
      <w:pPr>
        <w:pStyle w:val="Pargrafo"/>
        <w:spacing w:before="60" w:after="60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1158D1" w:rsidRPr="001158D1">
        <w:rPr>
          <w:sz w:val="22"/>
          <w:szCs w:val="22"/>
        </w:rPr>
        <w:t>ontrato de depósito</w:t>
      </w:r>
      <w:r w:rsidR="007A38E9">
        <w:rPr>
          <w:sz w:val="22"/>
          <w:szCs w:val="22"/>
        </w:rPr>
        <w:t xml:space="preserve"> </w:t>
      </w:r>
      <w:r>
        <w:rPr>
          <w:sz w:val="22"/>
          <w:szCs w:val="22"/>
        </w:rPr>
        <w:t>e caracterização de</w:t>
      </w:r>
      <w:r w:rsidR="001158D1" w:rsidRPr="001158D1">
        <w:rPr>
          <w:sz w:val="22"/>
          <w:szCs w:val="22"/>
        </w:rPr>
        <w:t xml:space="preserve"> pagamento antecipado.</w:t>
      </w:r>
    </w:p>
    <w:p w:rsidR="001158D1" w:rsidRPr="001158D1" w:rsidRDefault="001158D1" w:rsidP="001158D1">
      <w:pPr>
        <w:pStyle w:val="tita"/>
        <w:spacing w:before="60" w:after="60" w:line="240" w:lineRule="auto"/>
        <w:jc w:val="both"/>
        <w:rPr>
          <w:i w:val="0"/>
          <w:iCs w:val="0"/>
          <w:sz w:val="22"/>
          <w:szCs w:val="22"/>
        </w:rPr>
      </w:pPr>
      <w:r w:rsidRPr="001158D1">
        <w:rPr>
          <w:i w:val="0"/>
          <w:iCs w:val="0"/>
          <w:sz w:val="22"/>
          <w:szCs w:val="22"/>
        </w:rPr>
        <w:t>Segunda Câmara</w:t>
      </w:r>
    </w:p>
    <w:p w:rsidR="001158D1" w:rsidRPr="001158D1" w:rsidRDefault="001158D1" w:rsidP="001158D1">
      <w:pPr>
        <w:pStyle w:val="Pargrafo"/>
        <w:spacing w:before="60" w:after="60"/>
        <w:jc w:val="both"/>
        <w:rPr>
          <w:sz w:val="22"/>
          <w:szCs w:val="22"/>
        </w:rPr>
      </w:pPr>
      <w:r w:rsidRPr="001158D1">
        <w:rPr>
          <w:sz w:val="22"/>
          <w:szCs w:val="22"/>
        </w:rPr>
        <w:t xml:space="preserve">A não verificação </w:t>
      </w:r>
      <w:r w:rsidR="00021211">
        <w:rPr>
          <w:sz w:val="22"/>
          <w:szCs w:val="22"/>
        </w:rPr>
        <w:t>da</w:t>
      </w:r>
      <w:r w:rsidRPr="001158D1">
        <w:rPr>
          <w:sz w:val="22"/>
          <w:szCs w:val="22"/>
        </w:rPr>
        <w:t xml:space="preserve"> regularidade dos documentos apresentados pelos licitantes pode </w:t>
      </w:r>
      <w:r w:rsidR="00021211">
        <w:rPr>
          <w:sz w:val="22"/>
          <w:szCs w:val="22"/>
        </w:rPr>
        <w:t>dar ensejo</w:t>
      </w:r>
      <w:r w:rsidRPr="001158D1">
        <w:rPr>
          <w:sz w:val="22"/>
          <w:szCs w:val="22"/>
        </w:rPr>
        <w:t xml:space="preserve"> à responsabilização dos membros da </w:t>
      </w:r>
      <w:r w:rsidR="00021211">
        <w:rPr>
          <w:sz w:val="22"/>
          <w:szCs w:val="22"/>
        </w:rPr>
        <w:t>c</w:t>
      </w:r>
      <w:r w:rsidRPr="001158D1">
        <w:rPr>
          <w:sz w:val="22"/>
          <w:szCs w:val="22"/>
        </w:rPr>
        <w:t xml:space="preserve">omissão de </w:t>
      </w:r>
      <w:r w:rsidR="00021211">
        <w:rPr>
          <w:sz w:val="22"/>
          <w:szCs w:val="22"/>
        </w:rPr>
        <w:t>l</w:t>
      </w:r>
      <w:r w:rsidRPr="001158D1">
        <w:rPr>
          <w:sz w:val="22"/>
          <w:szCs w:val="22"/>
        </w:rPr>
        <w:t>icitação.</w:t>
      </w:r>
    </w:p>
    <w:p w:rsidR="001158D1" w:rsidRPr="001158D1" w:rsidRDefault="001158D1" w:rsidP="001158D1">
      <w:pPr>
        <w:pStyle w:val="Pargrafo"/>
        <w:spacing w:before="60" w:after="60"/>
        <w:jc w:val="both"/>
        <w:rPr>
          <w:sz w:val="22"/>
          <w:szCs w:val="22"/>
        </w:rPr>
      </w:pPr>
      <w:r w:rsidRPr="001158D1">
        <w:rPr>
          <w:sz w:val="22"/>
          <w:szCs w:val="22"/>
        </w:rPr>
        <w:t xml:space="preserve">A inexigibilidade de licitação em razão de fornecedor exclusivo não exime a Administração Pública do dever de </w:t>
      </w:r>
      <w:r w:rsidR="00CF2804">
        <w:rPr>
          <w:sz w:val="22"/>
          <w:szCs w:val="22"/>
        </w:rPr>
        <w:t>justificar o</w:t>
      </w:r>
      <w:r w:rsidRPr="001158D1">
        <w:rPr>
          <w:sz w:val="22"/>
          <w:szCs w:val="22"/>
        </w:rPr>
        <w:t xml:space="preserve"> preço</w:t>
      </w:r>
      <w:r w:rsidR="00CF2804">
        <w:rPr>
          <w:sz w:val="22"/>
          <w:szCs w:val="22"/>
        </w:rPr>
        <w:t xml:space="preserve"> contratado</w:t>
      </w:r>
      <w:r>
        <w:rPr>
          <w:sz w:val="22"/>
          <w:szCs w:val="22"/>
        </w:rPr>
        <w:t>.</w:t>
      </w:r>
    </w:p>
    <w:p w:rsidR="001158D1" w:rsidRPr="001158D1" w:rsidRDefault="001158D1" w:rsidP="001158D1">
      <w:pPr>
        <w:pStyle w:val="indice"/>
        <w:spacing w:before="60" w:after="60" w:line="240" w:lineRule="auto"/>
        <w:rPr>
          <w:color w:val="auto"/>
        </w:rPr>
      </w:pPr>
    </w:p>
    <w:p w:rsidR="003C6DEB" w:rsidRPr="000F518B" w:rsidRDefault="003C6DEB" w:rsidP="000F518B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0F518B">
        <w:rPr>
          <w:rFonts w:ascii="Cambria" w:hAnsi="Cambria"/>
          <w:b/>
          <w:bCs/>
          <w:smallCaps/>
          <w:sz w:val="22"/>
          <w:szCs w:val="22"/>
        </w:rPr>
        <w:t>PLENÁRIO</w:t>
      </w:r>
    </w:p>
    <w:p w:rsidR="003C6DEB" w:rsidRPr="000F518B" w:rsidRDefault="003C6DEB" w:rsidP="000F518B">
      <w:pPr>
        <w:pStyle w:val="tita"/>
        <w:spacing w:before="0" w:after="0" w:line="240" w:lineRule="auto"/>
        <w:jc w:val="both"/>
        <w:rPr>
          <w:i w:val="0"/>
          <w:iCs w:val="0"/>
          <w:sz w:val="22"/>
          <w:szCs w:val="22"/>
        </w:rPr>
      </w:pPr>
    </w:p>
    <w:p w:rsidR="00D8231F" w:rsidRPr="002C7039" w:rsidRDefault="002C7039" w:rsidP="000F518B">
      <w:pPr>
        <w:pStyle w:val="Pargrafo"/>
        <w:jc w:val="both"/>
        <w:rPr>
          <w:b/>
          <w:sz w:val="22"/>
          <w:szCs w:val="22"/>
        </w:rPr>
      </w:pPr>
      <w:r w:rsidRPr="002C7039">
        <w:rPr>
          <w:b/>
          <w:sz w:val="22"/>
          <w:szCs w:val="22"/>
        </w:rPr>
        <w:t>Os preços dos insumos constantes da planilha orçamentária são mais bem representados pela média, ou mediana, e não pelo menor dos preços pesquisados no mercado</w:t>
      </w:r>
    </w:p>
    <w:p w:rsidR="00D8231F" w:rsidRPr="000F518B" w:rsidRDefault="002C7039" w:rsidP="000F518B">
      <w:pPr>
        <w:pStyle w:val="TCU-RelVoto-demais"/>
        <w:spacing w:after="0"/>
        <w:rPr>
          <w:sz w:val="22"/>
        </w:rPr>
      </w:pPr>
      <w:r>
        <w:rPr>
          <w:sz w:val="22"/>
        </w:rPr>
        <w:t>Ao apreciar relatório de</w:t>
      </w:r>
      <w:r w:rsidR="00E906B5" w:rsidRPr="000F518B">
        <w:rPr>
          <w:sz w:val="22"/>
        </w:rPr>
        <w:t xml:space="preserve"> auditoria </w:t>
      </w:r>
      <w:r>
        <w:rPr>
          <w:sz w:val="22"/>
        </w:rPr>
        <w:t xml:space="preserve">realizada </w:t>
      </w:r>
      <w:r w:rsidR="00E906B5" w:rsidRPr="000F518B">
        <w:rPr>
          <w:sz w:val="22"/>
        </w:rPr>
        <w:t xml:space="preserve">nas obras de construção do edifício-sede do </w:t>
      </w:r>
      <w:r w:rsidR="002F1E15">
        <w:rPr>
          <w:sz w:val="22"/>
        </w:rPr>
        <w:t xml:space="preserve">Tribunal Regional do Trabalho da 17ª Região – </w:t>
      </w:r>
      <w:r w:rsidR="00E906B5" w:rsidRPr="000F518B">
        <w:rPr>
          <w:sz w:val="22"/>
        </w:rPr>
        <w:t xml:space="preserve">TRT/ES, cujo escopo abrangeu o exame de contratos e processos licitatórios, dentre eles a </w:t>
      </w:r>
      <w:r>
        <w:rPr>
          <w:sz w:val="22"/>
        </w:rPr>
        <w:t>C</w:t>
      </w:r>
      <w:r w:rsidR="00E906B5" w:rsidRPr="000F518B">
        <w:rPr>
          <w:sz w:val="22"/>
        </w:rPr>
        <w:t>oncorrência n</w:t>
      </w:r>
      <w:r w:rsidR="00DA012A">
        <w:rPr>
          <w:sz w:val="22"/>
        </w:rPr>
        <w:t>.</w:t>
      </w:r>
      <w:r w:rsidR="00E906B5" w:rsidRPr="000F518B">
        <w:rPr>
          <w:sz w:val="22"/>
        </w:rPr>
        <w:t>º 1/2009</w:t>
      </w:r>
      <w:r>
        <w:rPr>
          <w:sz w:val="22"/>
        </w:rPr>
        <w:t xml:space="preserve">, o Tribunal, por meio do </w:t>
      </w:r>
      <w:r w:rsidRPr="000F518B">
        <w:rPr>
          <w:sz w:val="22"/>
        </w:rPr>
        <w:t xml:space="preserve">Acórdão </w:t>
      </w:r>
      <w:r w:rsidR="003E7E96">
        <w:rPr>
          <w:sz w:val="22"/>
        </w:rPr>
        <w:t xml:space="preserve">n.º </w:t>
      </w:r>
      <w:r w:rsidRPr="000F518B">
        <w:rPr>
          <w:sz w:val="22"/>
        </w:rPr>
        <w:t>896/2010</w:t>
      </w:r>
      <w:r>
        <w:rPr>
          <w:sz w:val="22"/>
        </w:rPr>
        <w:t>-</w:t>
      </w:r>
      <w:r w:rsidRPr="000F518B">
        <w:rPr>
          <w:sz w:val="22"/>
        </w:rPr>
        <w:t>Plenário</w:t>
      </w:r>
      <w:r>
        <w:rPr>
          <w:sz w:val="22"/>
        </w:rPr>
        <w:t>, formulou determinações àquele órgão</w:t>
      </w:r>
      <w:r w:rsidR="00E906B5" w:rsidRPr="000F518B">
        <w:rPr>
          <w:sz w:val="22"/>
        </w:rPr>
        <w:t xml:space="preserve">. </w:t>
      </w:r>
      <w:r>
        <w:rPr>
          <w:sz w:val="22"/>
        </w:rPr>
        <w:t>Contra o aludido acórdão, foi interposto pedido de reexame.</w:t>
      </w:r>
      <w:r w:rsidR="00E906B5" w:rsidRPr="000F518B">
        <w:rPr>
          <w:sz w:val="22"/>
        </w:rPr>
        <w:t xml:space="preserve"> </w:t>
      </w:r>
      <w:r>
        <w:rPr>
          <w:sz w:val="22"/>
        </w:rPr>
        <w:t>U</w:t>
      </w:r>
      <w:r w:rsidR="00E906B5" w:rsidRPr="000F518B">
        <w:rPr>
          <w:sz w:val="22"/>
        </w:rPr>
        <w:t>m dos questionamentos apresentados pelos responsáveis do TRT/ES referia-se à determinação para que</w:t>
      </w:r>
      <w:r>
        <w:rPr>
          <w:sz w:val="22"/>
        </w:rPr>
        <w:t xml:space="preserve"> fosse alterada</w:t>
      </w:r>
      <w:r w:rsidR="00E906B5" w:rsidRPr="000F518B">
        <w:rPr>
          <w:sz w:val="22"/>
        </w:rPr>
        <w:t xml:space="preserve"> “</w:t>
      </w:r>
      <w:r w:rsidR="00E906B5" w:rsidRPr="000F518B">
        <w:rPr>
          <w:i/>
          <w:sz w:val="22"/>
        </w:rPr>
        <w:t>a planilha orçamentária de forma a utilizar os menores preços, e não os preços medianos para os diversos insumos cotados no mercado</w:t>
      </w:r>
      <w:r w:rsidR="00E906B5" w:rsidRPr="000F518B">
        <w:rPr>
          <w:sz w:val="22"/>
        </w:rPr>
        <w:t xml:space="preserve">”. Tais insumos não teriam cotação no Sistema Nacional de Pesquisa de Custos e Índices da Construção Civil (SINAPI), mantido e divulgado, na </w:t>
      </w:r>
      <w:r w:rsidR="00E906B5" w:rsidRPr="000F518B">
        <w:rPr>
          <w:b/>
          <w:sz w:val="22"/>
        </w:rPr>
        <w:t>intern</w:t>
      </w:r>
      <w:r w:rsidR="004362F5" w:rsidRPr="000F518B">
        <w:rPr>
          <w:b/>
          <w:sz w:val="22"/>
        </w:rPr>
        <w:t>et</w:t>
      </w:r>
      <w:r w:rsidR="004362F5" w:rsidRPr="000F518B">
        <w:rPr>
          <w:sz w:val="22"/>
        </w:rPr>
        <w:t xml:space="preserve">, pela Caixa Econômica Federal, razão pela qual os gestores utilizaram como referência os preços medianos, quando havia pelo menos três propostas, e o menor preço nos demais casos. As unidades técnicas do Tribunal responsáveis pela instrução concluíram pela adequabilidade da determinação anterior, sugerindo, então, que se mantivesse a utilização da menor cotação dos preços na orçamentação da obra, em detrimento da mediana utilizada pelo TRT/ES. O relator, porém, divergiu da proposta apresentada. Em seu voto, enfatizou que a Lei </w:t>
      </w:r>
      <w:r w:rsidR="003E7E96">
        <w:rPr>
          <w:sz w:val="22"/>
        </w:rPr>
        <w:t xml:space="preserve">n.º </w:t>
      </w:r>
      <w:r w:rsidR="004362F5" w:rsidRPr="000F518B">
        <w:rPr>
          <w:sz w:val="22"/>
        </w:rPr>
        <w:t>8.666/1993 “</w:t>
      </w:r>
      <w:r w:rsidR="004362F5" w:rsidRPr="000F518B">
        <w:rPr>
          <w:i/>
          <w:sz w:val="22"/>
        </w:rPr>
        <w:t>não prescreve como deve ser realizado este orçamento</w:t>
      </w:r>
      <w:r w:rsidR="004362F5" w:rsidRPr="000F518B">
        <w:rPr>
          <w:sz w:val="22"/>
        </w:rPr>
        <w:t>”. Já a Lei de Diretrizes Orçamentárias (LDO) “</w:t>
      </w:r>
      <w:r w:rsidR="004362F5" w:rsidRPr="000F518B">
        <w:rPr>
          <w:i/>
          <w:sz w:val="22"/>
        </w:rPr>
        <w:t>não prevê a forma pela qual será realizada a cotação de preços quando ausente o insumo no SINAPI e inexistente a tabela de referência formalmente aprovada por órgão ou entidade da administração pública federal</w:t>
      </w:r>
      <w:r w:rsidR="004362F5" w:rsidRPr="000F518B">
        <w:rPr>
          <w:sz w:val="22"/>
        </w:rPr>
        <w:t>”. Assim, para o relator, não seria razoável “</w:t>
      </w:r>
      <w:r w:rsidR="004362F5" w:rsidRPr="000F518B">
        <w:rPr>
          <w:i/>
          <w:sz w:val="22"/>
        </w:rPr>
        <w:t>a exigência de que a orçamentação, nestes casos, deva sempre considerar o menor preço cotado no mercado</w:t>
      </w:r>
      <w:r w:rsidR="004362F5" w:rsidRPr="000F518B">
        <w:rPr>
          <w:sz w:val="22"/>
        </w:rPr>
        <w:t>”. Desse modo, entendeu que “</w:t>
      </w:r>
      <w:r w:rsidR="004362F5" w:rsidRPr="000F518B">
        <w:rPr>
          <w:i/>
          <w:sz w:val="22"/>
        </w:rPr>
        <w:t>a utilização de preços médios ou da mediana, além de bem refletir os preços praticados no mercado, não implica ofensa à Lei de Licitações, à LDO/2009 ou aos princípios gerais da Administração Pública</w:t>
      </w:r>
      <w:r w:rsidR="004362F5" w:rsidRPr="000F518B">
        <w:rPr>
          <w:sz w:val="22"/>
        </w:rPr>
        <w:t xml:space="preserve">.” </w:t>
      </w:r>
      <w:r w:rsidR="00C42CFB" w:rsidRPr="000F518B">
        <w:rPr>
          <w:sz w:val="22"/>
        </w:rPr>
        <w:t>C</w:t>
      </w:r>
      <w:r w:rsidR="004362F5" w:rsidRPr="000F518B">
        <w:rPr>
          <w:sz w:val="22"/>
        </w:rPr>
        <w:t xml:space="preserve">oncluiu o relator que </w:t>
      </w:r>
      <w:r w:rsidR="00C42CFB" w:rsidRPr="000F518B">
        <w:rPr>
          <w:sz w:val="22"/>
        </w:rPr>
        <w:t>“</w:t>
      </w:r>
      <w:r w:rsidR="00C42CFB" w:rsidRPr="000F518B">
        <w:rPr>
          <w:i/>
          <w:sz w:val="22"/>
        </w:rPr>
        <w:t>o preço de mercado é mais bem representado pela média ou mediana uma vez que constituem medidas de tendência central e, dessa forma, representam de uma forma mais robusta os preços praticados no mercado</w:t>
      </w:r>
      <w:r w:rsidR="00C42CFB" w:rsidRPr="000F518B">
        <w:rPr>
          <w:sz w:val="22"/>
        </w:rPr>
        <w:t xml:space="preserve">”. </w:t>
      </w:r>
      <w:r w:rsidR="002F1E15">
        <w:rPr>
          <w:sz w:val="22"/>
        </w:rPr>
        <w:t>Ao final</w:t>
      </w:r>
      <w:r w:rsidR="00C42CFB" w:rsidRPr="000F518B">
        <w:rPr>
          <w:sz w:val="22"/>
        </w:rPr>
        <w:t xml:space="preserve">, votou </w:t>
      </w:r>
      <w:r w:rsidR="003B5F82">
        <w:rPr>
          <w:sz w:val="22"/>
        </w:rPr>
        <w:t xml:space="preserve">pelo </w:t>
      </w:r>
      <w:r w:rsidR="00C42CFB" w:rsidRPr="000F518B">
        <w:rPr>
          <w:sz w:val="22"/>
        </w:rPr>
        <w:t>provimento do pedido de reexame, com a consequente exclusão das deliberações anteriores do TCU</w:t>
      </w:r>
      <w:r w:rsidR="00CC7E96" w:rsidRPr="000F518B">
        <w:rPr>
          <w:sz w:val="22"/>
        </w:rPr>
        <w:t>.</w:t>
      </w:r>
      <w:r w:rsidR="002F1E15">
        <w:rPr>
          <w:sz w:val="22"/>
        </w:rPr>
        <w:t xml:space="preserve"> O Plenário acolheu o voto do relator.</w:t>
      </w:r>
      <w:r w:rsidR="00CC7E96" w:rsidRPr="000F518B">
        <w:rPr>
          <w:i/>
          <w:sz w:val="22"/>
        </w:rPr>
        <w:t xml:space="preserve"> </w:t>
      </w:r>
      <w:r w:rsidR="00D8231F" w:rsidRPr="000F518B">
        <w:rPr>
          <w:b/>
          <w:i/>
          <w:sz w:val="22"/>
        </w:rPr>
        <w:t xml:space="preserve">Acórdão n.º </w:t>
      </w:r>
      <w:r w:rsidR="00C913DC" w:rsidRPr="000F518B">
        <w:rPr>
          <w:b/>
          <w:i/>
          <w:sz w:val="22"/>
        </w:rPr>
        <w:t>3068</w:t>
      </w:r>
      <w:r w:rsidR="00D8231F" w:rsidRPr="000F518B">
        <w:rPr>
          <w:b/>
          <w:i/>
          <w:sz w:val="22"/>
        </w:rPr>
        <w:t>/2010-Plenário, TC-0</w:t>
      </w:r>
      <w:r w:rsidR="00C913DC" w:rsidRPr="000F518B">
        <w:rPr>
          <w:b/>
          <w:i/>
          <w:sz w:val="22"/>
        </w:rPr>
        <w:t>24</w:t>
      </w:r>
      <w:r w:rsidR="00D8231F" w:rsidRPr="000F518B">
        <w:rPr>
          <w:b/>
          <w:i/>
          <w:sz w:val="22"/>
        </w:rPr>
        <w:t>.</w:t>
      </w:r>
      <w:r w:rsidR="00C913DC" w:rsidRPr="000F518B">
        <w:rPr>
          <w:b/>
          <w:i/>
          <w:sz w:val="22"/>
        </w:rPr>
        <w:t>376</w:t>
      </w:r>
      <w:r w:rsidR="00D8231F" w:rsidRPr="000F518B">
        <w:rPr>
          <w:b/>
          <w:i/>
          <w:sz w:val="22"/>
        </w:rPr>
        <w:t>/2008-</w:t>
      </w:r>
      <w:r w:rsidR="00C913DC" w:rsidRPr="000F518B">
        <w:rPr>
          <w:b/>
          <w:i/>
          <w:sz w:val="22"/>
        </w:rPr>
        <w:t>6</w:t>
      </w:r>
      <w:r w:rsidR="00D8231F" w:rsidRPr="000F518B">
        <w:rPr>
          <w:b/>
          <w:i/>
          <w:sz w:val="22"/>
        </w:rPr>
        <w:t xml:space="preserve">, rel. Min. Benjamin Zymler, </w:t>
      </w:r>
      <w:r w:rsidR="00C913DC" w:rsidRPr="000F518B">
        <w:rPr>
          <w:b/>
          <w:i/>
          <w:sz w:val="22"/>
        </w:rPr>
        <w:t>17</w:t>
      </w:r>
      <w:r w:rsidR="00D8231F" w:rsidRPr="000F518B">
        <w:rPr>
          <w:b/>
          <w:i/>
          <w:sz w:val="22"/>
        </w:rPr>
        <w:t>.11.2010</w:t>
      </w:r>
      <w:r w:rsidR="00D8231F" w:rsidRPr="000F518B">
        <w:rPr>
          <w:sz w:val="22"/>
        </w:rPr>
        <w:t>.</w:t>
      </w:r>
    </w:p>
    <w:p w:rsidR="00D8231F" w:rsidRPr="002F1E15" w:rsidRDefault="00D8231F" w:rsidP="000F518B">
      <w:pPr>
        <w:pStyle w:val="Pargrafo"/>
        <w:jc w:val="both"/>
        <w:rPr>
          <w:sz w:val="22"/>
          <w:szCs w:val="22"/>
        </w:rPr>
      </w:pPr>
    </w:p>
    <w:p w:rsidR="002E3028" w:rsidRPr="00861535" w:rsidRDefault="00861535" w:rsidP="000F518B">
      <w:pPr>
        <w:spacing w:after="0"/>
        <w:ind w:left="0"/>
        <w:rPr>
          <w:b/>
          <w:sz w:val="22"/>
          <w:szCs w:val="22"/>
        </w:rPr>
      </w:pPr>
      <w:r w:rsidRPr="00861535">
        <w:rPr>
          <w:b/>
          <w:sz w:val="22"/>
          <w:szCs w:val="22"/>
        </w:rPr>
        <w:t xml:space="preserve">Na composição da planilha orçamentária, devem ser considerados possíveis descontos em </w:t>
      </w:r>
      <w:r w:rsidR="00906754">
        <w:rPr>
          <w:b/>
          <w:sz w:val="22"/>
          <w:szCs w:val="22"/>
        </w:rPr>
        <w:t>razão</w:t>
      </w:r>
      <w:r w:rsidRPr="00861535">
        <w:rPr>
          <w:b/>
          <w:sz w:val="22"/>
          <w:szCs w:val="22"/>
        </w:rPr>
        <w:t xml:space="preserve"> da escala da contratação</w:t>
      </w:r>
    </w:p>
    <w:p w:rsidR="001922E8" w:rsidRPr="000F518B" w:rsidRDefault="004F5666" w:rsidP="000F518B">
      <w:pPr>
        <w:spacing w:after="0"/>
        <w:ind w:left="0"/>
        <w:rPr>
          <w:snapToGrid w:val="0"/>
          <w:sz w:val="22"/>
          <w:szCs w:val="22"/>
        </w:rPr>
      </w:pPr>
      <w:r w:rsidRPr="000F518B">
        <w:rPr>
          <w:sz w:val="22"/>
          <w:szCs w:val="22"/>
        </w:rPr>
        <w:t xml:space="preserve">Mediante pedidos de reexame, recorrentes demonstraram seu inconformismo </w:t>
      </w:r>
      <w:r w:rsidR="00621858">
        <w:rPr>
          <w:sz w:val="22"/>
          <w:szCs w:val="22"/>
        </w:rPr>
        <w:t xml:space="preserve">com </w:t>
      </w:r>
      <w:r w:rsidRPr="000F518B">
        <w:rPr>
          <w:sz w:val="22"/>
          <w:szCs w:val="22"/>
        </w:rPr>
        <w:t>o subitem 9.3 do Acórdão nº</w:t>
      </w:r>
      <w:r w:rsidR="00906754">
        <w:rPr>
          <w:sz w:val="22"/>
          <w:szCs w:val="22"/>
        </w:rPr>
        <w:t xml:space="preserve"> </w:t>
      </w:r>
      <w:r w:rsidRPr="000F518B">
        <w:rPr>
          <w:sz w:val="22"/>
          <w:szCs w:val="22"/>
        </w:rPr>
        <w:t xml:space="preserve">2.710/2009-Plenário, por meio do qual o Tribunal determinou à Companhia Pernambucana de Saneamento (Compesa) que, no prazo de 30 dias, promovesse a repactuação do Contrato nº CT.OS.07.0.0467, de forma a adequar preços unitários </w:t>
      </w:r>
      <w:r w:rsidR="00906754">
        <w:rPr>
          <w:sz w:val="22"/>
          <w:szCs w:val="22"/>
        </w:rPr>
        <w:t>–</w:t>
      </w:r>
      <w:r w:rsidRPr="000F518B">
        <w:rPr>
          <w:sz w:val="22"/>
          <w:szCs w:val="22"/>
        </w:rPr>
        <w:t xml:space="preserve"> para os quais a unidade técnica responsável pela instrução inicial houvera detectado sobrepreço de R$ 65.724.719,60 (94,5% do sobrepreço total)</w:t>
      </w:r>
      <w:r w:rsidR="00906754">
        <w:rPr>
          <w:sz w:val="22"/>
          <w:szCs w:val="22"/>
        </w:rPr>
        <w:t xml:space="preserve"> –</w:t>
      </w:r>
      <w:r w:rsidRPr="000F518B">
        <w:rPr>
          <w:sz w:val="22"/>
          <w:szCs w:val="22"/>
        </w:rPr>
        <w:t xml:space="preserve"> mediante comparação </w:t>
      </w:r>
      <w:r w:rsidR="00906754">
        <w:rPr>
          <w:sz w:val="22"/>
          <w:szCs w:val="22"/>
        </w:rPr>
        <w:t>com</w:t>
      </w:r>
      <w:r w:rsidRPr="000F518B">
        <w:rPr>
          <w:sz w:val="22"/>
          <w:szCs w:val="22"/>
        </w:rPr>
        <w:t xml:space="preserve"> preços praticados pela Companhia de Desenvolvimento dos Vales do São Francisco e do Parnaíba </w:t>
      </w:r>
      <w:r w:rsidR="005A5F4A">
        <w:rPr>
          <w:sz w:val="22"/>
          <w:szCs w:val="22"/>
        </w:rPr>
        <w:t>(</w:t>
      </w:r>
      <w:r w:rsidRPr="000F518B">
        <w:rPr>
          <w:sz w:val="22"/>
          <w:szCs w:val="22"/>
        </w:rPr>
        <w:t>Codevasf</w:t>
      </w:r>
      <w:r w:rsidR="005A5F4A">
        <w:rPr>
          <w:sz w:val="22"/>
          <w:szCs w:val="22"/>
        </w:rPr>
        <w:t>)</w:t>
      </w:r>
      <w:r w:rsidRPr="000F518B">
        <w:rPr>
          <w:sz w:val="22"/>
          <w:szCs w:val="22"/>
        </w:rPr>
        <w:t xml:space="preserve">. </w:t>
      </w:r>
      <w:r w:rsidR="00906754">
        <w:rPr>
          <w:sz w:val="22"/>
          <w:szCs w:val="22"/>
        </w:rPr>
        <w:t>Q</w:t>
      </w:r>
      <w:r w:rsidR="005A5F4A">
        <w:rPr>
          <w:sz w:val="22"/>
          <w:szCs w:val="22"/>
        </w:rPr>
        <w:t>uando da apreciação anterior do processo</w:t>
      </w:r>
      <w:r w:rsidR="00962244" w:rsidRPr="000F518B">
        <w:rPr>
          <w:sz w:val="22"/>
          <w:szCs w:val="22"/>
        </w:rPr>
        <w:t>, considerou-se que a Compesa falhou ao deixar de promover exame criterioso para fins de definição dos preços dos tubos de aço</w:t>
      </w:r>
      <w:r w:rsidR="00621858">
        <w:rPr>
          <w:sz w:val="22"/>
          <w:szCs w:val="22"/>
        </w:rPr>
        <w:t>-</w:t>
      </w:r>
      <w:r w:rsidR="00962244" w:rsidRPr="000F518B">
        <w:rPr>
          <w:sz w:val="22"/>
          <w:szCs w:val="22"/>
        </w:rPr>
        <w:t>carbono e de ferro fundido</w:t>
      </w:r>
      <w:r w:rsidR="00906754">
        <w:rPr>
          <w:sz w:val="22"/>
          <w:szCs w:val="22"/>
        </w:rPr>
        <w:t xml:space="preserve">, </w:t>
      </w:r>
      <w:r w:rsidR="00621858">
        <w:rPr>
          <w:sz w:val="22"/>
          <w:szCs w:val="22"/>
        </w:rPr>
        <w:t>isso porque</w:t>
      </w:r>
      <w:r w:rsidR="00962244" w:rsidRPr="000F518B">
        <w:rPr>
          <w:sz w:val="22"/>
          <w:szCs w:val="22"/>
        </w:rPr>
        <w:t xml:space="preserve"> a definição dos preços no orçamento-base </w:t>
      </w:r>
      <w:r w:rsidR="00621858">
        <w:rPr>
          <w:sz w:val="22"/>
          <w:szCs w:val="22"/>
        </w:rPr>
        <w:t xml:space="preserve">deveria </w:t>
      </w:r>
      <w:r w:rsidR="00962244" w:rsidRPr="000F518B">
        <w:rPr>
          <w:sz w:val="22"/>
          <w:szCs w:val="22"/>
        </w:rPr>
        <w:t xml:space="preserve">necessariamente </w:t>
      </w:r>
      <w:r w:rsidR="00621858">
        <w:rPr>
          <w:sz w:val="22"/>
          <w:szCs w:val="22"/>
        </w:rPr>
        <w:t xml:space="preserve">passar </w:t>
      </w:r>
      <w:r w:rsidR="00962244" w:rsidRPr="000F518B">
        <w:rPr>
          <w:sz w:val="22"/>
          <w:szCs w:val="22"/>
        </w:rPr>
        <w:t>pela aplicação de descontos em relação às fontes de pesquisa consultadas, em razão da economia de escala gerada pela aquisição de grandes quantidades de tubos.</w:t>
      </w:r>
      <w:r w:rsidR="005A570F" w:rsidRPr="000F518B">
        <w:rPr>
          <w:sz w:val="22"/>
          <w:szCs w:val="22"/>
        </w:rPr>
        <w:t xml:space="preserve"> Já n</w:t>
      </w:r>
      <w:r w:rsidRPr="000F518B">
        <w:rPr>
          <w:sz w:val="22"/>
          <w:szCs w:val="22"/>
        </w:rPr>
        <w:t xml:space="preserve">esta </w:t>
      </w:r>
      <w:r w:rsidR="005A5F4A">
        <w:rPr>
          <w:sz w:val="22"/>
          <w:szCs w:val="22"/>
        </w:rPr>
        <w:t xml:space="preserve">fase </w:t>
      </w:r>
      <w:r w:rsidR="005A570F" w:rsidRPr="000F518B">
        <w:rPr>
          <w:sz w:val="22"/>
          <w:szCs w:val="22"/>
        </w:rPr>
        <w:t>processual</w:t>
      </w:r>
      <w:r w:rsidRPr="000F518B">
        <w:rPr>
          <w:sz w:val="22"/>
          <w:szCs w:val="22"/>
        </w:rPr>
        <w:t>, o relator</w:t>
      </w:r>
      <w:r w:rsidR="00906754">
        <w:rPr>
          <w:sz w:val="22"/>
          <w:szCs w:val="22"/>
        </w:rPr>
        <w:t>,</w:t>
      </w:r>
      <w:r w:rsidRPr="000F518B">
        <w:rPr>
          <w:sz w:val="22"/>
          <w:szCs w:val="22"/>
        </w:rPr>
        <w:t xml:space="preserve"> em seu voto, ao concordar com as análises promovidas pela unidade instrutiva, </w:t>
      </w:r>
      <w:r w:rsidR="00962244" w:rsidRPr="000F518B">
        <w:rPr>
          <w:sz w:val="22"/>
          <w:szCs w:val="22"/>
        </w:rPr>
        <w:t>destacou que “</w:t>
      </w:r>
      <w:r w:rsidR="00962244" w:rsidRPr="000F518B">
        <w:rPr>
          <w:i/>
          <w:sz w:val="22"/>
          <w:szCs w:val="22"/>
        </w:rPr>
        <w:t>o caso fático ora enfrentado consiste na suposta omissão da Compesa, no momento de definição de seu orçamento-base, na busca por informações mais precisas junto ao mercado sobre os preços unitários dos tubos de aço-carbono e de ferro fundido</w:t>
      </w:r>
      <w:r w:rsidR="00962244" w:rsidRPr="000F518B">
        <w:rPr>
          <w:sz w:val="22"/>
          <w:szCs w:val="22"/>
        </w:rPr>
        <w:t xml:space="preserve">”. Citando decisão proferida </w:t>
      </w:r>
      <w:r w:rsidR="005A570F" w:rsidRPr="000F518B">
        <w:rPr>
          <w:sz w:val="22"/>
          <w:szCs w:val="22"/>
        </w:rPr>
        <w:t xml:space="preserve">anteriormente </w:t>
      </w:r>
      <w:r w:rsidR="00962244" w:rsidRPr="000F518B">
        <w:rPr>
          <w:sz w:val="22"/>
          <w:szCs w:val="22"/>
        </w:rPr>
        <w:t>pelo T</w:t>
      </w:r>
      <w:r w:rsidR="005A570F" w:rsidRPr="000F518B">
        <w:rPr>
          <w:sz w:val="22"/>
          <w:szCs w:val="22"/>
        </w:rPr>
        <w:t>ribunal</w:t>
      </w:r>
      <w:r w:rsidR="00962244" w:rsidRPr="000F518B">
        <w:rPr>
          <w:sz w:val="22"/>
          <w:szCs w:val="22"/>
        </w:rPr>
        <w:t xml:space="preserve">, </w:t>
      </w:r>
      <w:r w:rsidR="005A570F" w:rsidRPr="000F518B">
        <w:rPr>
          <w:sz w:val="22"/>
          <w:szCs w:val="22"/>
        </w:rPr>
        <w:t>o relator apontou que, “a</w:t>
      </w:r>
      <w:r w:rsidR="005A570F" w:rsidRPr="000F518B">
        <w:rPr>
          <w:i/>
          <w:sz w:val="22"/>
          <w:szCs w:val="22"/>
        </w:rPr>
        <w:t>o elaborar o orçamento que servirá de base para o procedimento licitatório, o gestor tem o dever de se balizar em pesquisas do mercado local, considerando adequadamente os descontos possíveis em face da escala da obra</w:t>
      </w:r>
      <w:r w:rsidR="005A570F" w:rsidRPr="000F518B">
        <w:rPr>
          <w:sz w:val="22"/>
          <w:szCs w:val="22"/>
        </w:rPr>
        <w:t>”, e que, portanto,</w:t>
      </w:r>
      <w:r w:rsidR="005A570F" w:rsidRPr="000F518B">
        <w:rPr>
          <w:i/>
          <w:sz w:val="22"/>
          <w:szCs w:val="22"/>
        </w:rPr>
        <w:t xml:space="preserve"> “há que se considerar a natural ausência de um ‘redutor’ (descontos para compras em grande escala) em qualquer sistema de preços referenciais unitários”.</w:t>
      </w:r>
      <w:r w:rsidR="009B3200" w:rsidRPr="000F518B">
        <w:rPr>
          <w:i/>
          <w:sz w:val="22"/>
          <w:szCs w:val="22"/>
        </w:rPr>
        <w:t xml:space="preserve"> </w:t>
      </w:r>
      <w:r w:rsidR="009B3200" w:rsidRPr="000F518B">
        <w:rPr>
          <w:sz w:val="22"/>
          <w:szCs w:val="22"/>
        </w:rPr>
        <w:t>Para o relator, “</w:t>
      </w:r>
      <w:r w:rsidR="009B3200" w:rsidRPr="000F518B">
        <w:rPr>
          <w:i/>
          <w:sz w:val="22"/>
          <w:szCs w:val="22"/>
        </w:rPr>
        <w:t>foram identificadas graves deficiências no orçamento, em virtude de este não considerar adequadamente os ganhos de escala, ignorando as possibilidades de significativas reduções nos custos de fornecimento de materiais e equipamentos, oriundas de negociações diretas com fabricantes ou grande revendedores. A falta de coerência não estaria, portanto, em qualquer sistema de referência que fosse adotado, mas sim no fato de que o gestor demonstra não entender as limitações de aplicação de tais sistemas, tratando a elaboração do orçamento de uma grande obra como se fosse o de uma obra de menor porte. Tal procedimento é inaceitável do ponto de vista técnico-econômico e jurídico</w:t>
      </w:r>
      <w:r w:rsidR="009B3200" w:rsidRPr="000F518B">
        <w:rPr>
          <w:sz w:val="22"/>
          <w:szCs w:val="22"/>
        </w:rPr>
        <w:t>”</w:t>
      </w:r>
      <w:r w:rsidR="009B3200" w:rsidRPr="000F518B">
        <w:rPr>
          <w:i/>
          <w:sz w:val="22"/>
          <w:szCs w:val="22"/>
        </w:rPr>
        <w:t xml:space="preserve">. </w:t>
      </w:r>
      <w:r w:rsidR="00621858">
        <w:rPr>
          <w:sz w:val="22"/>
          <w:szCs w:val="22"/>
        </w:rPr>
        <w:t>Considerando que a</w:t>
      </w:r>
      <w:r w:rsidR="009B3200" w:rsidRPr="000F518B">
        <w:rPr>
          <w:sz w:val="22"/>
          <w:szCs w:val="22"/>
        </w:rPr>
        <w:t>s circunstâncias fáticas geraram um orçamento-base superestimado</w:t>
      </w:r>
      <w:r w:rsidR="00621858">
        <w:rPr>
          <w:sz w:val="22"/>
          <w:szCs w:val="22"/>
        </w:rPr>
        <w:t xml:space="preserve">, o relator </w:t>
      </w:r>
      <w:r w:rsidR="009B3200" w:rsidRPr="000F518B">
        <w:rPr>
          <w:sz w:val="22"/>
          <w:szCs w:val="22"/>
        </w:rPr>
        <w:t xml:space="preserve">votou pela negativa de provimento aos pedidos de reexame apresentados, o que foi acolhido pelo Plenário. </w:t>
      </w:r>
      <w:r w:rsidR="005A570F" w:rsidRPr="000F518B">
        <w:rPr>
          <w:sz w:val="22"/>
          <w:szCs w:val="22"/>
        </w:rPr>
        <w:t>Precedente citado: Acórdão</w:t>
      </w:r>
      <w:r w:rsidR="001922E8" w:rsidRPr="000F518B">
        <w:rPr>
          <w:sz w:val="22"/>
          <w:szCs w:val="22"/>
        </w:rPr>
        <w:t xml:space="preserve"> </w:t>
      </w:r>
      <w:r w:rsidR="001922E8" w:rsidRPr="000F518B">
        <w:rPr>
          <w:sz w:val="22"/>
          <w:szCs w:val="22"/>
          <w:lang w:val="pt-PT" w:eastAsia="pt-PT"/>
        </w:rPr>
        <w:t xml:space="preserve">nº </w:t>
      </w:r>
      <w:r w:rsidR="005A570F" w:rsidRPr="000F518B">
        <w:rPr>
          <w:sz w:val="22"/>
          <w:szCs w:val="22"/>
        </w:rPr>
        <w:t>157</w:t>
      </w:r>
      <w:r w:rsidR="00E25764" w:rsidRPr="000F518B">
        <w:rPr>
          <w:sz w:val="22"/>
          <w:szCs w:val="22"/>
        </w:rPr>
        <w:t>/200</w:t>
      </w:r>
      <w:r w:rsidR="005A570F" w:rsidRPr="000F518B">
        <w:rPr>
          <w:sz w:val="22"/>
          <w:szCs w:val="22"/>
        </w:rPr>
        <w:t>9</w:t>
      </w:r>
      <w:r w:rsidR="00621858">
        <w:rPr>
          <w:sz w:val="22"/>
          <w:szCs w:val="22"/>
        </w:rPr>
        <w:t>-</w:t>
      </w:r>
      <w:r w:rsidR="00E25764" w:rsidRPr="000F518B">
        <w:rPr>
          <w:sz w:val="22"/>
          <w:szCs w:val="22"/>
        </w:rPr>
        <w:t>Plenário</w:t>
      </w:r>
      <w:r w:rsidR="001922E8" w:rsidRPr="000F518B">
        <w:rPr>
          <w:sz w:val="22"/>
          <w:szCs w:val="22"/>
        </w:rPr>
        <w:t xml:space="preserve">. </w:t>
      </w:r>
      <w:r w:rsidR="001922E8" w:rsidRPr="000F518B">
        <w:rPr>
          <w:b/>
          <w:i/>
          <w:sz w:val="22"/>
          <w:szCs w:val="22"/>
        </w:rPr>
        <w:t xml:space="preserve">Acórdão n.º </w:t>
      </w:r>
      <w:r w:rsidRPr="000F518B">
        <w:rPr>
          <w:b/>
          <w:i/>
          <w:sz w:val="22"/>
          <w:szCs w:val="22"/>
        </w:rPr>
        <w:t>3059</w:t>
      </w:r>
      <w:r w:rsidR="001922E8" w:rsidRPr="000F518B">
        <w:rPr>
          <w:b/>
          <w:i/>
          <w:sz w:val="22"/>
          <w:szCs w:val="22"/>
        </w:rPr>
        <w:t>/2010-Plenário, TC-</w:t>
      </w:r>
      <w:r w:rsidRPr="000F518B">
        <w:rPr>
          <w:b/>
          <w:i/>
          <w:sz w:val="22"/>
          <w:szCs w:val="22"/>
        </w:rPr>
        <w:t>00</w:t>
      </w:r>
      <w:r w:rsidR="001922E8" w:rsidRPr="000F518B">
        <w:rPr>
          <w:b/>
          <w:i/>
          <w:sz w:val="22"/>
          <w:szCs w:val="22"/>
        </w:rPr>
        <w:t>7.</w:t>
      </w:r>
      <w:r w:rsidRPr="000F518B">
        <w:rPr>
          <w:b/>
          <w:i/>
          <w:sz w:val="22"/>
          <w:szCs w:val="22"/>
        </w:rPr>
        <w:t>657</w:t>
      </w:r>
      <w:r w:rsidR="00377522" w:rsidRPr="000F518B">
        <w:rPr>
          <w:b/>
          <w:i/>
          <w:sz w:val="22"/>
          <w:szCs w:val="22"/>
        </w:rPr>
        <w:t>/200</w:t>
      </w:r>
      <w:r w:rsidRPr="000F518B">
        <w:rPr>
          <w:b/>
          <w:i/>
          <w:sz w:val="22"/>
          <w:szCs w:val="22"/>
        </w:rPr>
        <w:t>8</w:t>
      </w:r>
      <w:r w:rsidR="00377522" w:rsidRPr="000F518B">
        <w:rPr>
          <w:b/>
          <w:i/>
          <w:sz w:val="22"/>
          <w:szCs w:val="22"/>
        </w:rPr>
        <w:t>-</w:t>
      </w:r>
      <w:r w:rsidRPr="000F518B">
        <w:rPr>
          <w:b/>
          <w:i/>
          <w:sz w:val="22"/>
          <w:szCs w:val="22"/>
        </w:rPr>
        <w:t>3</w:t>
      </w:r>
      <w:r w:rsidR="001922E8" w:rsidRPr="000F518B">
        <w:rPr>
          <w:b/>
          <w:i/>
          <w:sz w:val="22"/>
          <w:szCs w:val="22"/>
        </w:rPr>
        <w:t xml:space="preserve">, rel. Min. </w:t>
      </w:r>
      <w:r w:rsidRPr="000F518B">
        <w:rPr>
          <w:b/>
          <w:i/>
          <w:sz w:val="22"/>
          <w:szCs w:val="22"/>
        </w:rPr>
        <w:t>Augusto Nardes</w:t>
      </w:r>
      <w:r w:rsidR="001922E8" w:rsidRPr="000F518B">
        <w:rPr>
          <w:b/>
          <w:i/>
          <w:sz w:val="22"/>
          <w:szCs w:val="22"/>
        </w:rPr>
        <w:t xml:space="preserve">, </w:t>
      </w:r>
      <w:r w:rsidRPr="000F518B">
        <w:rPr>
          <w:b/>
          <w:i/>
          <w:sz w:val="22"/>
          <w:szCs w:val="22"/>
        </w:rPr>
        <w:t>17</w:t>
      </w:r>
      <w:r w:rsidR="001922E8" w:rsidRPr="000F518B">
        <w:rPr>
          <w:b/>
          <w:i/>
          <w:sz w:val="22"/>
          <w:szCs w:val="22"/>
        </w:rPr>
        <w:t>.11.2010</w:t>
      </w:r>
      <w:r w:rsidR="001922E8" w:rsidRPr="000F518B">
        <w:rPr>
          <w:sz w:val="22"/>
          <w:szCs w:val="22"/>
        </w:rPr>
        <w:t>.</w:t>
      </w:r>
    </w:p>
    <w:p w:rsidR="00DD6D17" w:rsidRPr="00906754" w:rsidRDefault="00DD6D17" w:rsidP="000F518B">
      <w:pPr>
        <w:spacing w:after="0"/>
        <w:ind w:left="0"/>
        <w:rPr>
          <w:b/>
          <w:sz w:val="22"/>
          <w:szCs w:val="22"/>
        </w:rPr>
      </w:pPr>
    </w:p>
    <w:p w:rsidR="00A71325" w:rsidRPr="003B7746" w:rsidRDefault="003B7746" w:rsidP="000F518B">
      <w:pPr>
        <w:spacing w:after="0"/>
        <w:ind w:left="0"/>
        <w:rPr>
          <w:b/>
          <w:sz w:val="22"/>
          <w:szCs w:val="22"/>
        </w:rPr>
      </w:pPr>
      <w:r w:rsidRPr="003B7746">
        <w:rPr>
          <w:b/>
          <w:sz w:val="22"/>
          <w:szCs w:val="22"/>
        </w:rPr>
        <w:t>Uso indevido do convênio quando o objeto levaria à celebração de contrato</w:t>
      </w:r>
    </w:p>
    <w:p w:rsidR="00A71325" w:rsidRPr="003B7746" w:rsidRDefault="00A71325" w:rsidP="00FE1894">
      <w:pPr>
        <w:tabs>
          <w:tab w:val="left" w:pos="1134"/>
        </w:tabs>
        <w:spacing w:after="0"/>
        <w:ind w:left="0"/>
        <w:rPr>
          <w:snapToGrid w:val="0"/>
          <w:sz w:val="22"/>
          <w:szCs w:val="22"/>
        </w:rPr>
      </w:pPr>
      <w:r w:rsidRPr="003B7746">
        <w:rPr>
          <w:sz w:val="22"/>
          <w:szCs w:val="22"/>
        </w:rPr>
        <w:t xml:space="preserve">Por intermédio de pedido de reexame, </w:t>
      </w:r>
      <w:r w:rsidR="00B75D52" w:rsidRPr="003B7746">
        <w:rPr>
          <w:sz w:val="22"/>
          <w:szCs w:val="22"/>
        </w:rPr>
        <w:t>a recorrente pretend</w:t>
      </w:r>
      <w:r w:rsidR="00E92011">
        <w:rPr>
          <w:sz w:val="22"/>
          <w:szCs w:val="22"/>
        </w:rPr>
        <w:t>ia</w:t>
      </w:r>
      <w:r w:rsidR="00B75D52" w:rsidRPr="003B7746">
        <w:rPr>
          <w:sz w:val="22"/>
          <w:szCs w:val="22"/>
        </w:rPr>
        <w:t xml:space="preserve"> desconstituir </w:t>
      </w:r>
      <w:r w:rsidRPr="003B7746">
        <w:rPr>
          <w:sz w:val="22"/>
          <w:szCs w:val="22"/>
        </w:rPr>
        <w:t xml:space="preserve">irregularidade </w:t>
      </w:r>
      <w:r w:rsidR="00B75D52" w:rsidRPr="003B7746">
        <w:rPr>
          <w:sz w:val="22"/>
          <w:szCs w:val="22"/>
        </w:rPr>
        <w:t xml:space="preserve">que lhe fora </w:t>
      </w:r>
      <w:r w:rsidRPr="003B7746">
        <w:rPr>
          <w:sz w:val="22"/>
          <w:szCs w:val="22"/>
        </w:rPr>
        <w:t xml:space="preserve">atribuída </w:t>
      </w:r>
      <w:r w:rsidR="00B75D52" w:rsidRPr="003B7746">
        <w:rPr>
          <w:sz w:val="22"/>
          <w:szCs w:val="22"/>
        </w:rPr>
        <w:t>anteriormente, em período no qual respondia como C</w:t>
      </w:r>
      <w:r w:rsidRPr="003B7746">
        <w:rPr>
          <w:sz w:val="22"/>
          <w:szCs w:val="22"/>
        </w:rPr>
        <w:t xml:space="preserve">hefe do Departamento de Planejamento e Avaliação do Turismo </w:t>
      </w:r>
      <w:r w:rsidR="00E167B5" w:rsidRPr="003B7746">
        <w:rPr>
          <w:sz w:val="22"/>
          <w:szCs w:val="22"/>
        </w:rPr>
        <w:t>(</w:t>
      </w:r>
      <w:r w:rsidRPr="003B7746">
        <w:rPr>
          <w:sz w:val="22"/>
          <w:szCs w:val="22"/>
        </w:rPr>
        <w:t>Depat</w:t>
      </w:r>
      <w:r w:rsidR="00E167B5" w:rsidRPr="003B7746">
        <w:rPr>
          <w:sz w:val="22"/>
          <w:szCs w:val="22"/>
        </w:rPr>
        <w:t>)</w:t>
      </w:r>
      <w:r w:rsidRPr="003B7746">
        <w:rPr>
          <w:sz w:val="22"/>
          <w:szCs w:val="22"/>
        </w:rPr>
        <w:t xml:space="preserve">, da Secretaria Nacional de Políticas de Turismo do Ministério do Turismo </w:t>
      </w:r>
      <w:r w:rsidR="00E167B5" w:rsidRPr="003B7746">
        <w:rPr>
          <w:sz w:val="22"/>
          <w:szCs w:val="22"/>
        </w:rPr>
        <w:t>(</w:t>
      </w:r>
      <w:r w:rsidRPr="003B7746">
        <w:rPr>
          <w:sz w:val="22"/>
          <w:szCs w:val="22"/>
        </w:rPr>
        <w:t>MTur</w:t>
      </w:r>
      <w:r w:rsidR="00E167B5" w:rsidRPr="003B7746">
        <w:rPr>
          <w:sz w:val="22"/>
          <w:szCs w:val="22"/>
        </w:rPr>
        <w:t>)</w:t>
      </w:r>
      <w:r w:rsidRPr="003B7746">
        <w:rPr>
          <w:sz w:val="22"/>
          <w:szCs w:val="22"/>
        </w:rPr>
        <w:t xml:space="preserve">. A </w:t>
      </w:r>
      <w:r w:rsidR="00B75D52" w:rsidRPr="003B7746">
        <w:rPr>
          <w:sz w:val="22"/>
          <w:szCs w:val="22"/>
        </w:rPr>
        <w:t xml:space="preserve">responsável </w:t>
      </w:r>
      <w:r w:rsidRPr="003B7746">
        <w:rPr>
          <w:sz w:val="22"/>
          <w:szCs w:val="22"/>
        </w:rPr>
        <w:t>manifesta</w:t>
      </w:r>
      <w:r w:rsidR="00E92011">
        <w:rPr>
          <w:sz w:val="22"/>
          <w:szCs w:val="22"/>
        </w:rPr>
        <w:t>ra-se</w:t>
      </w:r>
      <w:r w:rsidRPr="003B7746">
        <w:rPr>
          <w:sz w:val="22"/>
          <w:szCs w:val="22"/>
        </w:rPr>
        <w:t xml:space="preserve"> favoravelmente à celebração de convênio entre o Ministério do Turismo e a Sociedade Sul-Riograndense de Apoio ao Desenvolvimento de Software, quando o instrumento correto a ser aplicado era o contrato, a ser celebrado após regular licitação</w:t>
      </w:r>
      <w:r w:rsidR="00B75D52" w:rsidRPr="003B7746">
        <w:rPr>
          <w:sz w:val="22"/>
          <w:szCs w:val="22"/>
        </w:rPr>
        <w:t>, conforme decidido pelo Tribunal</w:t>
      </w:r>
      <w:r w:rsidRPr="003B7746">
        <w:rPr>
          <w:sz w:val="22"/>
          <w:szCs w:val="22"/>
        </w:rPr>
        <w:t xml:space="preserve">. A </w:t>
      </w:r>
      <w:r w:rsidR="00B75D52" w:rsidRPr="003B7746">
        <w:rPr>
          <w:sz w:val="22"/>
          <w:szCs w:val="22"/>
        </w:rPr>
        <w:t xml:space="preserve">referida </w:t>
      </w:r>
      <w:r w:rsidRPr="003B7746">
        <w:rPr>
          <w:sz w:val="22"/>
          <w:szCs w:val="22"/>
        </w:rPr>
        <w:t>responsável assim procedeu</w:t>
      </w:r>
      <w:r w:rsidR="00B75D52" w:rsidRPr="003B7746">
        <w:rPr>
          <w:sz w:val="22"/>
          <w:szCs w:val="22"/>
        </w:rPr>
        <w:t>,</w:t>
      </w:r>
      <w:r w:rsidRPr="003B7746">
        <w:rPr>
          <w:sz w:val="22"/>
          <w:szCs w:val="22"/>
        </w:rPr>
        <w:t xml:space="preserve"> mesmo diante de manife</w:t>
      </w:r>
      <w:r w:rsidR="00B75D52" w:rsidRPr="003B7746">
        <w:rPr>
          <w:sz w:val="22"/>
          <w:szCs w:val="22"/>
        </w:rPr>
        <w:t>stação da área de convênios do M</w:t>
      </w:r>
      <w:r w:rsidRPr="003B7746">
        <w:rPr>
          <w:sz w:val="22"/>
          <w:szCs w:val="22"/>
        </w:rPr>
        <w:t>inistério</w:t>
      </w:r>
      <w:r w:rsidR="00B75D52" w:rsidRPr="003B7746">
        <w:rPr>
          <w:sz w:val="22"/>
          <w:szCs w:val="22"/>
        </w:rPr>
        <w:t>,</w:t>
      </w:r>
      <w:r w:rsidRPr="003B7746">
        <w:rPr>
          <w:sz w:val="22"/>
          <w:szCs w:val="22"/>
        </w:rPr>
        <w:t xml:space="preserve"> </w:t>
      </w:r>
      <w:r w:rsidR="00E92011">
        <w:rPr>
          <w:sz w:val="22"/>
          <w:szCs w:val="22"/>
        </w:rPr>
        <w:t>apontando</w:t>
      </w:r>
      <w:r w:rsidRPr="003B7746">
        <w:rPr>
          <w:sz w:val="22"/>
          <w:szCs w:val="22"/>
        </w:rPr>
        <w:t xml:space="preserve"> a impropriedade desse instrumento para a aquisição pretendida. </w:t>
      </w:r>
      <w:r w:rsidR="00B75D52" w:rsidRPr="003B7746">
        <w:rPr>
          <w:sz w:val="22"/>
          <w:szCs w:val="22"/>
        </w:rPr>
        <w:t>Nesta fase processual, o relator, ao examinar os argumentos apresentados pela recorrente, expôs que a figura do convênio seria “</w:t>
      </w:r>
      <w:r w:rsidR="00B75D52" w:rsidRPr="003B7746">
        <w:rPr>
          <w:i/>
          <w:sz w:val="22"/>
          <w:szCs w:val="22"/>
        </w:rPr>
        <w:t>visivelmente imprópria para abrigar o relacionamento que prevaleceu entre as partes, que objetivou, basicamente, o desenvolvimento de sistema informatizado para gestão e acompanhamento do Plano Nacional de Turismo</w:t>
      </w:r>
      <w:r w:rsidR="00B75D52" w:rsidRPr="003B7746">
        <w:rPr>
          <w:sz w:val="22"/>
          <w:szCs w:val="22"/>
        </w:rPr>
        <w:t>”. Além disso, “</w:t>
      </w:r>
      <w:r w:rsidR="00B75D52" w:rsidRPr="003B7746">
        <w:rPr>
          <w:i/>
          <w:sz w:val="22"/>
          <w:szCs w:val="22"/>
        </w:rPr>
        <w:t>o instrumento do convênio é aplicável nos casos de apoio que a administração deseja prestar a ações desenvolvidas pelos convenentes no seio da própria sociedade, pela sua relevância e utilidade. Não se presta à criação de ‘ferramenta gerencial’, no dizer da recorrente, de uso exclusivo do MTur</w:t>
      </w:r>
      <w:r w:rsidR="00B75D52" w:rsidRPr="003B7746">
        <w:rPr>
          <w:sz w:val="22"/>
          <w:szCs w:val="22"/>
        </w:rPr>
        <w:t xml:space="preserve">”. </w:t>
      </w:r>
      <w:r w:rsidR="00E167B5" w:rsidRPr="003B7746">
        <w:rPr>
          <w:sz w:val="22"/>
          <w:szCs w:val="22"/>
        </w:rPr>
        <w:t xml:space="preserve">Ainda para o relator, na espécie, </w:t>
      </w:r>
      <w:r w:rsidR="00FE1894" w:rsidRPr="003B7746">
        <w:rPr>
          <w:sz w:val="22"/>
          <w:szCs w:val="22"/>
        </w:rPr>
        <w:t>“</w:t>
      </w:r>
      <w:r w:rsidR="00E167B5" w:rsidRPr="003B7746">
        <w:rPr>
          <w:i/>
          <w:sz w:val="22"/>
          <w:szCs w:val="22"/>
        </w:rPr>
        <w:t>o que houve foi a terceirização do gerenciamento do conjunto de ações previstas no objeto do convênio, grande parte delas executadas mediante subcontratação de outros prestadores de serviços</w:t>
      </w:r>
      <w:r w:rsidR="00FE1894" w:rsidRPr="003B7746">
        <w:rPr>
          <w:sz w:val="22"/>
          <w:szCs w:val="22"/>
        </w:rPr>
        <w:t>”</w:t>
      </w:r>
      <w:r w:rsidR="00E167B5" w:rsidRPr="003B7746">
        <w:rPr>
          <w:sz w:val="22"/>
          <w:szCs w:val="22"/>
        </w:rPr>
        <w:t xml:space="preserve">. </w:t>
      </w:r>
      <w:r w:rsidR="008E5CD4">
        <w:rPr>
          <w:sz w:val="22"/>
          <w:szCs w:val="22"/>
        </w:rPr>
        <w:t>Segundo</w:t>
      </w:r>
      <w:r w:rsidR="00FE1894" w:rsidRPr="003B7746">
        <w:rPr>
          <w:sz w:val="22"/>
          <w:szCs w:val="22"/>
        </w:rPr>
        <w:t xml:space="preserve"> o relator, a contratação da </w:t>
      </w:r>
      <w:r w:rsidR="00E167B5" w:rsidRPr="003B7746">
        <w:rPr>
          <w:sz w:val="22"/>
          <w:szCs w:val="22"/>
        </w:rPr>
        <w:t>gerenciadora</w:t>
      </w:r>
      <w:r w:rsidR="00E92011" w:rsidRPr="00E92011">
        <w:rPr>
          <w:sz w:val="22"/>
          <w:szCs w:val="22"/>
        </w:rPr>
        <w:t xml:space="preserve"> </w:t>
      </w:r>
      <w:r w:rsidR="00E92011" w:rsidRPr="003B7746">
        <w:rPr>
          <w:sz w:val="22"/>
          <w:szCs w:val="22"/>
        </w:rPr>
        <w:t>tratou-se</w:t>
      </w:r>
      <w:r w:rsidR="00FE1894" w:rsidRPr="003B7746">
        <w:rPr>
          <w:sz w:val="22"/>
          <w:szCs w:val="22"/>
        </w:rPr>
        <w:t>,</w:t>
      </w:r>
      <w:r w:rsidR="00E167B5" w:rsidRPr="003B7746">
        <w:rPr>
          <w:sz w:val="22"/>
          <w:szCs w:val="22"/>
        </w:rPr>
        <w:t xml:space="preserve"> na verdade</w:t>
      </w:r>
      <w:r w:rsidR="00FE1894" w:rsidRPr="003B7746">
        <w:rPr>
          <w:sz w:val="22"/>
          <w:szCs w:val="22"/>
        </w:rPr>
        <w:t>,</w:t>
      </w:r>
      <w:r w:rsidR="00E167B5" w:rsidRPr="003B7746">
        <w:rPr>
          <w:sz w:val="22"/>
          <w:szCs w:val="22"/>
        </w:rPr>
        <w:t xml:space="preserve"> de dispensa de licitação imotivada. </w:t>
      </w:r>
      <w:r w:rsidR="00FE1894" w:rsidRPr="003B7746">
        <w:rPr>
          <w:sz w:val="22"/>
          <w:szCs w:val="22"/>
        </w:rPr>
        <w:t xml:space="preserve">Neste ponto, votou </w:t>
      </w:r>
      <w:r w:rsidR="00E92011" w:rsidRPr="003B7746">
        <w:rPr>
          <w:sz w:val="22"/>
          <w:szCs w:val="22"/>
        </w:rPr>
        <w:t>pelo não provimento do recurso</w:t>
      </w:r>
      <w:r w:rsidR="00FE1894" w:rsidRPr="003B7746">
        <w:rPr>
          <w:sz w:val="22"/>
          <w:szCs w:val="22"/>
        </w:rPr>
        <w:t xml:space="preserve">, </w:t>
      </w:r>
      <w:r w:rsidR="00E92011">
        <w:rPr>
          <w:sz w:val="22"/>
          <w:szCs w:val="22"/>
        </w:rPr>
        <w:t>no que foi acompanhado pelos demais ministros</w:t>
      </w:r>
      <w:r w:rsidR="00FE1894" w:rsidRPr="003B7746">
        <w:rPr>
          <w:sz w:val="22"/>
          <w:szCs w:val="22"/>
        </w:rPr>
        <w:t xml:space="preserve">. </w:t>
      </w:r>
      <w:r w:rsidRPr="003B7746">
        <w:rPr>
          <w:b/>
          <w:i/>
          <w:sz w:val="22"/>
          <w:szCs w:val="22"/>
        </w:rPr>
        <w:t>Acórdão n.º 30</w:t>
      </w:r>
      <w:r w:rsidR="000D680E">
        <w:rPr>
          <w:b/>
          <w:i/>
          <w:sz w:val="22"/>
          <w:szCs w:val="22"/>
        </w:rPr>
        <w:t>74</w:t>
      </w:r>
      <w:r w:rsidRPr="003B7746">
        <w:rPr>
          <w:b/>
          <w:i/>
          <w:sz w:val="22"/>
          <w:szCs w:val="22"/>
        </w:rPr>
        <w:t>/2010-Plenário, TC-016.581/2006-6, rel. Min. Augusto Nardes, 17.11.2010</w:t>
      </w:r>
      <w:r w:rsidRPr="003B7746">
        <w:rPr>
          <w:sz w:val="22"/>
          <w:szCs w:val="22"/>
        </w:rPr>
        <w:t>.</w:t>
      </w:r>
    </w:p>
    <w:p w:rsidR="00A71325" w:rsidRPr="00E92011" w:rsidRDefault="00A71325" w:rsidP="00FE1894">
      <w:pPr>
        <w:spacing w:after="0"/>
        <w:ind w:left="0"/>
        <w:rPr>
          <w:b/>
          <w:sz w:val="22"/>
          <w:szCs w:val="22"/>
        </w:rPr>
      </w:pPr>
    </w:p>
    <w:p w:rsidR="00DD6D17" w:rsidRPr="00FC712C" w:rsidRDefault="00FC712C" w:rsidP="00FE1894">
      <w:pPr>
        <w:spacing w:after="0"/>
        <w:ind w:left="0"/>
        <w:rPr>
          <w:b/>
          <w:sz w:val="22"/>
          <w:szCs w:val="22"/>
        </w:rPr>
      </w:pPr>
      <w:r w:rsidRPr="00FC712C">
        <w:rPr>
          <w:b/>
          <w:sz w:val="22"/>
          <w:szCs w:val="22"/>
        </w:rPr>
        <w:t>A exigência de certidão negativa de débitos salariais, para fim de habilitação, não encontra amparo legal</w:t>
      </w:r>
    </w:p>
    <w:p w:rsidR="00DD6D17" w:rsidRPr="000F518B" w:rsidRDefault="00DE5344" w:rsidP="00FE1894">
      <w:pPr>
        <w:tabs>
          <w:tab w:val="left" w:pos="1134"/>
        </w:tabs>
        <w:spacing w:after="0"/>
        <w:ind w:left="0"/>
        <w:rPr>
          <w:snapToGrid w:val="0"/>
          <w:sz w:val="22"/>
          <w:szCs w:val="22"/>
        </w:rPr>
      </w:pPr>
      <w:r w:rsidRPr="000F518B">
        <w:rPr>
          <w:sz w:val="22"/>
          <w:szCs w:val="22"/>
        </w:rPr>
        <w:t xml:space="preserve">Representação </w:t>
      </w:r>
      <w:r w:rsidR="002A6BDE">
        <w:rPr>
          <w:sz w:val="22"/>
          <w:szCs w:val="22"/>
        </w:rPr>
        <w:t>formulada</w:t>
      </w:r>
      <w:r w:rsidRPr="000F518B">
        <w:rPr>
          <w:sz w:val="22"/>
          <w:szCs w:val="22"/>
        </w:rPr>
        <w:t xml:space="preserve"> </w:t>
      </w:r>
      <w:r w:rsidR="00FE1894">
        <w:rPr>
          <w:sz w:val="22"/>
          <w:szCs w:val="22"/>
        </w:rPr>
        <w:t xml:space="preserve">ao TCU </w:t>
      </w:r>
      <w:r w:rsidRPr="000F518B">
        <w:rPr>
          <w:sz w:val="22"/>
          <w:szCs w:val="22"/>
        </w:rPr>
        <w:t xml:space="preserve">indicou possíveis irregularidades </w:t>
      </w:r>
      <w:r w:rsidR="002A6BDE">
        <w:rPr>
          <w:sz w:val="22"/>
          <w:szCs w:val="22"/>
        </w:rPr>
        <w:t>perpetradas</w:t>
      </w:r>
      <w:r w:rsidRPr="000F518B">
        <w:rPr>
          <w:sz w:val="22"/>
          <w:szCs w:val="22"/>
        </w:rPr>
        <w:t xml:space="preserve"> pela Superintendência Regional da Conab do Rio Grande do Norte </w:t>
      </w:r>
      <w:r w:rsidR="002A6BDE">
        <w:rPr>
          <w:sz w:val="22"/>
          <w:szCs w:val="22"/>
        </w:rPr>
        <w:t>–</w:t>
      </w:r>
      <w:r w:rsidR="00FE1894">
        <w:rPr>
          <w:sz w:val="22"/>
          <w:szCs w:val="22"/>
        </w:rPr>
        <w:t xml:space="preserve"> </w:t>
      </w:r>
      <w:r w:rsidRPr="000F518B">
        <w:rPr>
          <w:sz w:val="22"/>
          <w:szCs w:val="22"/>
        </w:rPr>
        <w:t>C</w:t>
      </w:r>
      <w:r w:rsidR="00FE1894">
        <w:rPr>
          <w:sz w:val="22"/>
          <w:szCs w:val="22"/>
        </w:rPr>
        <w:t>onab</w:t>
      </w:r>
      <w:r w:rsidR="002A6BDE">
        <w:rPr>
          <w:sz w:val="22"/>
          <w:szCs w:val="22"/>
        </w:rPr>
        <w:t>/RN</w:t>
      </w:r>
      <w:r w:rsidRPr="000F518B">
        <w:rPr>
          <w:sz w:val="22"/>
          <w:szCs w:val="22"/>
        </w:rPr>
        <w:t>, na condução do Pregão Eletrônico CONAB/SUREG-RN nº 06/2010, em razão da inabilitação da representante por descumprimento de exigência editalícia</w:t>
      </w:r>
      <w:r w:rsidR="002A6BDE">
        <w:rPr>
          <w:sz w:val="22"/>
          <w:szCs w:val="22"/>
        </w:rPr>
        <w:t xml:space="preserve"> indevida</w:t>
      </w:r>
      <w:r w:rsidRPr="000F518B">
        <w:rPr>
          <w:sz w:val="22"/>
          <w:szCs w:val="22"/>
        </w:rPr>
        <w:t>, qual seja, a apresentação de certidão negativa de débito salarial. O relator, ao acolher a análise empreendida pela unidade técnica, destacou que “</w:t>
      </w:r>
      <w:r w:rsidRPr="000F518B">
        <w:rPr>
          <w:i/>
          <w:sz w:val="22"/>
          <w:szCs w:val="22"/>
        </w:rPr>
        <w:t>a exigência da certidão negativa de débitos salariais não possui amparo legal, conforme entendimento deste Tribunal</w:t>
      </w:r>
      <w:r w:rsidRPr="000F518B">
        <w:rPr>
          <w:sz w:val="22"/>
          <w:szCs w:val="22"/>
        </w:rPr>
        <w:t xml:space="preserve">”. Todavia, considerando </w:t>
      </w:r>
      <w:r w:rsidR="007A3939" w:rsidRPr="000F518B">
        <w:rPr>
          <w:sz w:val="22"/>
          <w:szCs w:val="22"/>
        </w:rPr>
        <w:t xml:space="preserve">a informação prestada pelo </w:t>
      </w:r>
      <w:r w:rsidR="002A6BDE">
        <w:rPr>
          <w:sz w:val="22"/>
          <w:szCs w:val="22"/>
        </w:rPr>
        <w:t>d</w:t>
      </w:r>
      <w:r w:rsidR="007A3939" w:rsidRPr="000F518B">
        <w:rPr>
          <w:sz w:val="22"/>
          <w:szCs w:val="22"/>
        </w:rPr>
        <w:t>irigente da C</w:t>
      </w:r>
      <w:r w:rsidR="00A205B5">
        <w:rPr>
          <w:sz w:val="22"/>
          <w:szCs w:val="22"/>
        </w:rPr>
        <w:t>onab</w:t>
      </w:r>
      <w:r w:rsidR="007A3939" w:rsidRPr="000F518B">
        <w:rPr>
          <w:sz w:val="22"/>
          <w:szCs w:val="22"/>
        </w:rPr>
        <w:t xml:space="preserve">/RN </w:t>
      </w:r>
      <w:r w:rsidR="00A205B5">
        <w:rPr>
          <w:sz w:val="22"/>
          <w:szCs w:val="22"/>
        </w:rPr>
        <w:t xml:space="preserve">de que </w:t>
      </w:r>
      <w:r w:rsidR="007A3939" w:rsidRPr="000F518B">
        <w:rPr>
          <w:sz w:val="22"/>
          <w:szCs w:val="22"/>
        </w:rPr>
        <w:t xml:space="preserve">o modelo de edital utilizado </w:t>
      </w:r>
      <w:r w:rsidR="009E3787">
        <w:rPr>
          <w:sz w:val="22"/>
          <w:szCs w:val="22"/>
        </w:rPr>
        <w:t>fora</w:t>
      </w:r>
      <w:r w:rsidR="007A3939" w:rsidRPr="000F518B">
        <w:rPr>
          <w:sz w:val="22"/>
          <w:szCs w:val="22"/>
        </w:rPr>
        <w:t xml:space="preserve"> extraído do </w:t>
      </w:r>
      <w:r w:rsidR="007A3939" w:rsidRPr="000F518B">
        <w:rPr>
          <w:b/>
          <w:sz w:val="22"/>
          <w:szCs w:val="22"/>
        </w:rPr>
        <w:t>site</w:t>
      </w:r>
      <w:r w:rsidR="007A3939" w:rsidRPr="000F518B">
        <w:rPr>
          <w:sz w:val="22"/>
          <w:szCs w:val="22"/>
        </w:rPr>
        <w:t xml:space="preserve"> da </w:t>
      </w:r>
      <w:r w:rsidR="009E3787">
        <w:rPr>
          <w:sz w:val="22"/>
          <w:szCs w:val="22"/>
        </w:rPr>
        <w:t xml:space="preserve">própria </w:t>
      </w:r>
      <w:r w:rsidR="007A3939" w:rsidRPr="000F518B">
        <w:rPr>
          <w:sz w:val="22"/>
          <w:szCs w:val="22"/>
        </w:rPr>
        <w:t xml:space="preserve">Companhia, a partir de certame licitatório promovido anteriormente, o relator concluiu </w:t>
      </w:r>
      <w:r w:rsidR="009E3787">
        <w:rPr>
          <w:sz w:val="22"/>
          <w:szCs w:val="22"/>
        </w:rPr>
        <w:t>pela ausência de</w:t>
      </w:r>
      <w:r w:rsidR="007A3939" w:rsidRPr="000F518B">
        <w:rPr>
          <w:sz w:val="22"/>
          <w:szCs w:val="22"/>
        </w:rPr>
        <w:t xml:space="preserve"> má-fé do referido dirigente. Assim, votou pela expedição de alerta à Conab para futuros procedimentos licitatórios, o que foi acolhido pelo Plenário. </w:t>
      </w:r>
      <w:r w:rsidRPr="000F518B">
        <w:rPr>
          <w:sz w:val="22"/>
          <w:szCs w:val="22"/>
        </w:rPr>
        <w:t xml:space="preserve">Precedentes citados: Acórdãos </w:t>
      </w:r>
      <w:r w:rsidRPr="000F518B">
        <w:rPr>
          <w:sz w:val="22"/>
          <w:szCs w:val="22"/>
          <w:lang w:val="pt-PT" w:eastAsia="pt-PT"/>
        </w:rPr>
        <w:t>n</w:t>
      </w:r>
      <w:r w:rsidR="002A6BDE">
        <w:rPr>
          <w:sz w:val="22"/>
          <w:szCs w:val="22"/>
          <w:lang w:val="pt-PT" w:eastAsia="pt-PT"/>
        </w:rPr>
        <w:t>.</w:t>
      </w:r>
      <w:r w:rsidR="002A6BDE" w:rsidRPr="002A6BDE">
        <w:rPr>
          <w:sz w:val="22"/>
          <w:szCs w:val="22"/>
          <w:vertAlign w:val="superscript"/>
          <w:lang w:val="pt-PT" w:eastAsia="pt-PT"/>
        </w:rPr>
        <w:t>os</w:t>
      </w:r>
      <w:r w:rsidRPr="000F518B">
        <w:rPr>
          <w:sz w:val="22"/>
          <w:szCs w:val="22"/>
          <w:lang w:val="pt-PT" w:eastAsia="pt-PT"/>
        </w:rPr>
        <w:t xml:space="preserve"> 697/2006</w:t>
      </w:r>
      <w:r w:rsidR="002A6BDE">
        <w:rPr>
          <w:sz w:val="22"/>
          <w:szCs w:val="22"/>
          <w:lang w:val="pt-PT" w:eastAsia="pt-PT"/>
        </w:rPr>
        <w:t>-</w:t>
      </w:r>
      <w:r w:rsidRPr="000F518B">
        <w:rPr>
          <w:sz w:val="22"/>
          <w:szCs w:val="22"/>
          <w:lang w:val="pt-PT" w:eastAsia="pt-PT"/>
        </w:rPr>
        <w:t>Plenário e 434/2010</w:t>
      </w:r>
      <w:r w:rsidR="002A6BDE">
        <w:rPr>
          <w:sz w:val="22"/>
          <w:szCs w:val="22"/>
          <w:lang w:val="pt-PT" w:eastAsia="pt-PT"/>
        </w:rPr>
        <w:t>-</w:t>
      </w:r>
      <w:r w:rsidRPr="000F518B">
        <w:rPr>
          <w:sz w:val="22"/>
          <w:szCs w:val="22"/>
          <w:lang w:val="pt-PT" w:eastAsia="pt-PT"/>
        </w:rPr>
        <w:t xml:space="preserve">2ª Câmara. </w:t>
      </w:r>
      <w:r w:rsidR="00DD6D17" w:rsidRPr="000F518B">
        <w:rPr>
          <w:b/>
          <w:i/>
          <w:sz w:val="22"/>
          <w:szCs w:val="22"/>
        </w:rPr>
        <w:t xml:space="preserve">Acórdão n.º </w:t>
      </w:r>
      <w:r w:rsidRPr="000F518B">
        <w:rPr>
          <w:b/>
          <w:i/>
          <w:sz w:val="22"/>
          <w:szCs w:val="22"/>
        </w:rPr>
        <w:t>3088/2010-Plenário, TC-026</w:t>
      </w:r>
      <w:r w:rsidR="00DD6D17" w:rsidRPr="000F518B">
        <w:rPr>
          <w:b/>
          <w:i/>
          <w:sz w:val="22"/>
          <w:szCs w:val="22"/>
        </w:rPr>
        <w:t>.</w:t>
      </w:r>
      <w:r w:rsidRPr="000F518B">
        <w:rPr>
          <w:b/>
          <w:i/>
          <w:sz w:val="22"/>
          <w:szCs w:val="22"/>
        </w:rPr>
        <w:t>076</w:t>
      </w:r>
      <w:r w:rsidR="00DD6D17" w:rsidRPr="000F518B">
        <w:rPr>
          <w:b/>
          <w:i/>
          <w:sz w:val="22"/>
          <w:szCs w:val="22"/>
        </w:rPr>
        <w:t>/2010-</w:t>
      </w:r>
      <w:r w:rsidRPr="000F518B">
        <w:rPr>
          <w:b/>
          <w:i/>
          <w:sz w:val="22"/>
          <w:szCs w:val="22"/>
        </w:rPr>
        <w:t>1</w:t>
      </w:r>
      <w:r w:rsidR="00DD6D17" w:rsidRPr="000F518B">
        <w:rPr>
          <w:b/>
          <w:i/>
          <w:sz w:val="22"/>
          <w:szCs w:val="22"/>
        </w:rPr>
        <w:t xml:space="preserve">, rel. Min. Raimundo Carreiro, </w:t>
      </w:r>
      <w:r w:rsidR="00FD716A">
        <w:rPr>
          <w:b/>
          <w:i/>
          <w:sz w:val="22"/>
          <w:szCs w:val="22"/>
        </w:rPr>
        <w:t>17</w:t>
      </w:r>
      <w:r w:rsidR="00DD6D17" w:rsidRPr="000F518B">
        <w:rPr>
          <w:b/>
          <w:i/>
          <w:sz w:val="22"/>
          <w:szCs w:val="22"/>
        </w:rPr>
        <w:t>.11.2010</w:t>
      </w:r>
      <w:r w:rsidR="00DD6D17" w:rsidRPr="000F518B">
        <w:rPr>
          <w:sz w:val="22"/>
          <w:szCs w:val="22"/>
        </w:rPr>
        <w:t>.</w:t>
      </w:r>
    </w:p>
    <w:p w:rsidR="001922E8" w:rsidRPr="009E3787" w:rsidRDefault="001922E8" w:rsidP="000F518B">
      <w:pPr>
        <w:pStyle w:val="Pargrafo"/>
        <w:jc w:val="both"/>
        <w:rPr>
          <w:sz w:val="22"/>
          <w:szCs w:val="22"/>
        </w:rPr>
      </w:pPr>
    </w:p>
    <w:p w:rsidR="00191894" w:rsidRPr="00525A49" w:rsidRDefault="00525A49" w:rsidP="000F518B">
      <w:pPr>
        <w:pStyle w:val="indice"/>
        <w:tabs>
          <w:tab w:val="left" w:pos="567"/>
        </w:tabs>
        <w:spacing w:line="240" w:lineRule="auto"/>
        <w:rPr>
          <w:b/>
          <w:color w:val="auto"/>
        </w:rPr>
      </w:pPr>
      <w:r w:rsidRPr="00525A49">
        <w:rPr>
          <w:b/>
          <w:color w:val="auto"/>
        </w:rPr>
        <w:t>A “reserva técnica” é admissível na planilha de preços, desde que limitada ao percentual de 2,5%</w:t>
      </w:r>
    </w:p>
    <w:p w:rsidR="00191894" w:rsidRPr="000F518B" w:rsidRDefault="000E29D6" w:rsidP="000F518B">
      <w:pPr>
        <w:pStyle w:val="TCU-RelVoto-demais"/>
        <w:spacing w:after="0"/>
        <w:rPr>
          <w:sz w:val="22"/>
        </w:rPr>
      </w:pPr>
      <w:r w:rsidRPr="000F518B">
        <w:rPr>
          <w:sz w:val="22"/>
        </w:rPr>
        <w:t>R</w:t>
      </w:r>
      <w:r w:rsidR="00191894" w:rsidRPr="000F518B">
        <w:rPr>
          <w:sz w:val="22"/>
        </w:rPr>
        <w:t xml:space="preserve">epresentação </w:t>
      </w:r>
      <w:r w:rsidR="00525A49">
        <w:rPr>
          <w:sz w:val="22"/>
        </w:rPr>
        <w:t>oferecida</w:t>
      </w:r>
      <w:r w:rsidRPr="000F518B">
        <w:rPr>
          <w:sz w:val="22"/>
        </w:rPr>
        <w:t xml:space="preserve"> ao TCU </w:t>
      </w:r>
      <w:r w:rsidR="00525A49">
        <w:rPr>
          <w:sz w:val="22"/>
        </w:rPr>
        <w:t>noticiou supostas</w:t>
      </w:r>
      <w:r w:rsidR="00800700" w:rsidRPr="000F518B">
        <w:rPr>
          <w:sz w:val="22"/>
        </w:rPr>
        <w:t xml:space="preserve"> irregularidades na condução da Concorrência Pública </w:t>
      </w:r>
      <w:r w:rsidR="00525A49">
        <w:rPr>
          <w:sz w:val="22"/>
        </w:rPr>
        <w:t xml:space="preserve">n.º </w:t>
      </w:r>
      <w:r w:rsidR="00800700" w:rsidRPr="000F518B">
        <w:rPr>
          <w:sz w:val="22"/>
        </w:rPr>
        <w:t xml:space="preserve">80/2006, </w:t>
      </w:r>
      <w:r w:rsidRPr="000F518B">
        <w:rPr>
          <w:sz w:val="22"/>
        </w:rPr>
        <w:t>realizada pelo Departamento Nacional de Infraestrutura de Transportes</w:t>
      </w:r>
      <w:r w:rsidR="00800700" w:rsidRPr="000F518B">
        <w:rPr>
          <w:sz w:val="22"/>
        </w:rPr>
        <w:t xml:space="preserve"> </w:t>
      </w:r>
      <w:r w:rsidR="00525A49">
        <w:rPr>
          <w:sz w:val="22"/>
        </w:rPr>
        <w:t xml:space="preserve">– </w:t>
      </w:r>
      <w:r w:rsidR="00800700" w:rsidRPr="000F518B">
        <w:rPr>
          <w:sz w:val="22"/>
        </w:rPr>
        <w:t>D</w:t>
      </w:r>
      <w:r w:rsidR="009D0DF9">
        <w:rPr>
          <w:sz w:val="22"/>
        </w:rPr>
        <w:t>NIT</w:t>
      </w:r>
      <w:r w:rsidRPr="000F518B">
        <w:rPr>
          <w:sz w:val="22"/>
        </w:rPr>
        <w:t>,</w:t>
      </w:r>
      <w:r w:rsidR="00800700" w:rsidRPr="000F518B">
        <w:rPr>
          <w:sz w:val="22"/>
        </w:rPr>
        <w:t xml:space="preserve"> </w:t>
      </w:r>
      <w:r w:rsidRPr="000F518B">
        <w:rPr>
          <w:sz w:val="22"/>
        </w:rPr>
        <w:t>cujo objeto constituiu-se na</w:t>
      </w:r>
      <w:r w:rsidR="00800700" w:rsidRPr="000F518B">
        <w:rPr>
          <w:sz w:val="22"/>
        </w:rPr>
        <w:t xml:space="preserve"> contratação de empresa especializada na execução de serviços de engenharia nas atividades de assessoria e suporte técnico, operação, implantação e manutenção dos sistemas e equipamentos de telecomunicação, sistema de som e imagem e sistema de captação e de distribuição de som e imagem de TV.</w:t>
      </w:r>
      <w:r w:rsidRPr="000F518B">
        <w:rPr>
          <w:sz w:val="22"/>
        </w:rPr>
        <w:t xml:space="preserve"> Dentre tais irregularidades, constou a presença d</w:t>
      </w:r>
      <w:r w:rsidR="009D0DF9">
        <w:rPr>
          <w:sz w:val="22"/>
        </w:rPr>
        <w:t>o</w:t>
      </w:r>
      <w:r w:rsidRPr="000F518B">
        <w:rPr>
          <w:sz w:val="22"/>
        </w:rPr>
        <w:t xml:space="preserve"> item de custo denominado “reserva técnica” na planilha de composição de preços, o que, </w:t>
      </w:r>
      <w:r w:rsidR="009D0DF9">
        <w:rPr>
          <w:sz w:val="22"/>
        </w:rPr>
        <w:t>de acordo com</w:t>
      </w:r>
      <w:r w:rsidR="00525A49">
        <w:rPr>
          <w:sz w:val="22"/>
        </w:rPr>
        <w:t xml:space="preserve"> </w:t>
      </w:r>
      <w:r w:rsidRPr="000F518B">
        <w:rPr>
          <w:sz w:val="22"/>
        </w:rPr>
        <w:t>a unidade técnica, teria ocasionado</w:t>
      </w:r>
      <w:r w:rsidR="00525A49">
        <w:rPr>
          <w:sz w:val="22"/>
        </w:rPr>
        <w:t>,</w:t>
      </w:r>
      <w:r w:rsidR="00525A49" w:rsidRPr="00525A49">
        <w:rPr>
          <w:sz w:val="22"/>
        </w:rPr>
        <w:t xml:space="preserve"> </w:t>
      </w:r>
      <w:r w:rsidR="00525A49">
        <w:rPr>
          <w:sz w:val="22"/>
        </w:rPr>
        <w:t>junto com</w:t>
      </w:r>
      <w:r w:rsidR="00525A49" w:rsidRPr="000F518B">
        <w:rPr>
          <w:sz w:val="22"/>
        </w:rPr>
        <w:t xml:space="preserve"> outros fatores, </w:t>
      </w:r>
      <w:r w:rsidRPr="000F518B">
        <w:rPr>
          <w:sz w:val="22"/>
        </w:rPr>
        <w:t>superfaturamento no contrato</w:t>
      </w:r>
      <w:r w:rsidR="009D0DF9">
        <w:rPr>
          <w:sz w:val="22"/>
        </w:rPr>
        <w:t xml:space="preserve"> celebrado</w:t>
      </w:r>
      <w:r w:rsidRPr="000F518B">
        <w:rPr>
          <w:sz w:val="22"/>
        </w:rPr>
        <w:t xml:space="preserve">. </w:t>
      </w:r>
      <w:r w:rsidR="005A0C15" w:rsidRPr="000F518B">
        <w:rPr>
          <w:sz w:val="22"/>
        </w:rPr>
        <w:t xml:space="preserve">Desse modo, propôs a unidade instrutiva que o TCU determinasse ao DNIT </w:t>
      </w:r>
      <w:r w:rsidR="00525A49">
        <w:rPr>
          <w:sz w:val="22"/>
        </w:rPr>
        <w:t>que se abstivesse</w:t>
      </w:r>
      <w:r w:rsidR="005A0C15" w:rsidRPr="00525A49">
        <w:rPr>
          <w:sz w:val="22"/>
        </w:rPr>
        <w:t xml:space="preserve"> de prever, ou mesmo aceitar, propostas de preços </w:t>
      </w:r>
      <w:r w:rsidR="00525A49">
        <w:rPr>
          <w:sz w:val="22"/>
        </w:rPr>
        <w:t>contendo</w:t>
      </w:r>
      <w:r w:rsidR="005A0C15" w:rsidRPr="00525A49">
        <w:rPr>
          <w:sz w:val="22"/>
        </w:rPr>
        <w:t xml:space="preserve"> custos relativos a esse item</w:t>
      </w:r>
      <w:r w:rsidR="005A0C15" w:rsidRPr="000F518B">
        <w:rPr>
          <w:sz w:val="22"/>
        </w:rPr>
        <w:t>. O relator discordou da proposta</w:t>
      </w:r>
      <w:r w:rsidR="00525A49">
        <w:rPr>
          <w:sz w:val="22"/>
        </w:rPr>
        <w:t xml:space="preserve"> técnica, uma vez que</w:t>
      </w:r>
      <w:r w:rsidR="005A0C15" w:rsidRPr="000F518B">
        <w:rPr>
          <w:sz w:val="22"/>
        </w:rPr>
        <w:t xml:space="preserve">, </w:t>
      </w:r>
      <w:r w:rsidR="00525A49">
        <w:rPr>
          <w:sz w:val="22"/>
        </w:rPr>
        <w:t>“</w:t>
      </w:r>
      <w:r w:rsidR="005A0C15" w:rsidRPr="000F518B">
        <w:rPr>
          <w:i/>
          <w:sz w:val="22"/>
        </w:rPr>
        <w:t xml:space="preserve">segundo define a </w:t>
      </w:r>
      <w:r w:rsidR="005A0C15" w:rsidRPr="000F518B">
        <w:rPr>
          <w:i/>
          <w:color w:val="000000"/>
          <w:sz w:val="22"/>
        </w:rPr>
        <w:t xml:space="preserve">IN nº 02/08, da </w:t>
      </w:r>
      <w:r w:rsidR="005A0C15" w:rsidRPr="000F518B">
        <w:rPr>
          <w:bCs/>
          <w:i/>
          <w:color w:val="000000"/>
          <w:sz w:val="22"/>
        </w:rPr>
        <w:t>Secretaria de Logística e Tecnologia da Informação</w:t>
      </w:r>
      <w:r w:rsidR="009D0DF9">
        <w:rPr>
          <w:bCs/>
          <w:i/>
          <w:color w:val="000000"/>
          <w:sz w:val="22"/>
        </w:rPr>
        <w:t xml:space="preserve"> </w:t>
      </w:r>
      <w:r w:rsidR="005A0C15" w:rsidRPr="000F518B">
        <w:rPr>
          <w:bCs/>
          <w:i/>
          <w:color w:val="000000"/>
          <w:sz w:val="22"/>
        </w:rPr>
        <w:t>-</w:t>
      </w:r>
      <w:r w:rsidR="009D0DF9">
        <w:rPr>
          <w:bCs/>
          <w:i/>
          <w:color w:val="000000"/>
          <w:sz w:val="22"/>
        </w:rPr>
        <w:t xml:space="preserve"> </w:t>
      </w:r>
      <w:r w:rsidR="005A0C15" w:rsidRPr="000F518B">
        <w:rPr>
          <w:i/>
          <w:color w:val="000000"/>
          <w:sz w:val="22"/>
        </w:rPr>
        <w:t>MPOG, a constituição de reserva técnica se presta para arcar com possíveis</w:t>
      </w:r>
      <w:r w:rsidR="005A0C15" w:rsidRPr="000F518B">
        <w:rPr>
          <w:i/>
          <w:sz w:val="22"/>
        </w:rPr>
        <w:t xml:space="preserve"> custos decorrentes de substituição de mão-de-obra quando da ocorrência de atrasos ou faltas que não sejam amparadas por dispositivo legal e, ainda, abonos e outros, de forma a assegurar a perfeita execução contratual. Este custo é calculado para cobertura não discriminada no cálculo da remuneração mediante incidência percentual sobre o somatório da remuneração, encargos sociais e trabalhistas e insumos de mão-de-obra</w:t>
      </w:r>
      <w:r w:rsidR="005A0C15" w:rsidRPr="000F518B">
        <w:rPr>
          <w:sz w:val="22"/>
        </w:rPr>
        <w:t xml:space="preserve">”. Nesse sentido, ainda conforme o relator, </w:t>
      </w:r>
      <w:r w:rsidR="005A0C15" w:rsidRPr="000F518B">
        <w:rPr>
          <w:color w:val="000000"/>
          <w:sz w:val="22"/>
        </w:rPr>
        <w:t xml:space="preserve">estudos conduzidos pelo TCU admitiram a presença desse item na formação dos custos, desde que no </w:t>
      </w:r>
      <w:r w:rsidR="009D0DF9">
        <w:rPr>
          <w:color w:val="000000"/>
          <w:sz w:val="22"/>
        </w:rPr>
        <w:t xml:space="preserve">percentual </w:t>
      </w:r>
      <w:r w:rsidR="005A0C15" w:rsidRPr="000F518B">
        <w:rPr>
          <w:color w:val="000000"/>
          <w:sz w:val="22"/>
        </w:rPr>
        <w:t>máximo</w:t>
      </w:r>
      <w:r w:rsidR="009D0DF9">
        <w:rPr>
          <w:color w:val="000000"/>
          <w:sz w:val="22"/>
        </w:rPr>
        <w:t xml:space="preserve"> de</w:t>
      </w:r>
      <w:r w:rsidR="005A0C15" w:rsidRPr="000F518B">
        <w:rPr>
          <w:color w:val="000000"/>
          <w:sz w:val="22"/>
        </w:rPr>
        <w:t xml:space="preserve"> 2,5% e destinado a gastos com pagamento de férias, aviso prévio e décimo terceiro salário para substitutos; encargos sociais incidentes sobre remuneração dos empregados habituais no caso de recebimento de auxílio enfermidade ou auxílio acidente de trabalho, por mais de </w:t>
      </w:r>
      <w:r w:rsidR="009D0DF9">
        <w:rPr>
          <w:color w:val="000000"/>
          <w:sz w:val="22"/>
        </w:rPr>
        <w:t>quinze</w:t>
      </w:r>
      <w:r w:rsidR="005A0C15" w:rsidRPr="000F518B">
        <w:rPr>
          <w:color w:val="000000"/>
          <w:sz w:val="22"/>
        </w:rPr>
        <w:t xml:space="preserve"> dias; encargos sociais incidentes sobre remuneração das empregadas habituais beneficiárias do auxílio maternidade; indenização adicional dos substitutos; e FGTS nas rescisões sem justa causa dos substitutos. </w:t>
      </w:r>
      <w:r w:rsidR="0046754E">
        <w:rPr>
          <w:color w:val="000000"/>
          <w:sz w:val="22"/>
        </w:rPr>
        <w:t>Todavia, c</w:t>
      </w:r>
      <w:r w:rsidR="005A0C15" w:rsidRPr="000F518B">
        <w:rPr>
          <w:color w:val="000000"/>
          <w:sz w:val="22"/>
        </w:rPr>
        <w:t>omo no caso do contrato do DNIT</w:t>
      </w:r>
      <w:r w:rsidR="009D0DF9">
        <w:rPr>
          <w:color w:val="000000"/>
          <w:sz w:val="22"/>
        </w:rPr>
        <w:t>,</w:t>
      </w:r>
      <w:r w:rsidR="005A0C15" w:rsidRPr="000F518B">
        <w:rPr>
          <w:color w:val="000000"/>
          <w:sz w:val="22"/>
        </w:rPr>
        <w:t xml:space="preserve"> </w:t>
      </w:r>
      <w:r w:rsidR="0046754E">
        <w:rPr>
          <w:color w:val="000000"/>
          <w:sz w:val="22"/>
        </w:rPr>
        <w:t xml:space="preserve">o percentual do item </w:t>
      </w:r>
      <w:r w:rsidR="009D0DF9">
        <w:rPr>
          <w:color w:val="000000"/>
          <w:sz w:val="22"/>
        </w:rPr>
        <w:t>“</w:t>
      </w:r>
      <w:r w:rsidR="0046754E">
        <w:rPr>
          <w:color w:val="000000"/>
          <w:sz w:val="22"/>
        </w:rPr>
        <w:t>reserva técnica</w:t>
      </w:r>
      <w:r w:rsidR="009D0DF9">
        <w:rPr>
          <w:color w:val="000000"/>
          <w:sz w:val="22"/>
        </w:rPr>
        <w:t>”</w:t>
      </w:r>
      <w:r w:rsidR="0046754E">
        <w:rPr>
          <w:color w:val="000000"/>
          <w:sz w:val="22"/>
        </w:rPr>
        <w:t xml:space="preserve"> </w:t>
      </w:r>
      <w:r w:rsidR="005A0C15" w:rsidRPr="000F518B">
        <w:rPr>
          <w:color w:val="000000"/>
          <w:sz w:val="22"/>
        </w:rPr>
        <w:t xml:space="preserve">fora de 5,4%, o relator </w:t>
      </w:r>
      <w:r w:rsidR="0046754E">
        <w:rPr>
          <w:color w:val="000000"/>
          <w:sz w:val="22"/>
        </w:rPr>
        <w:t>votou</w:t>
      </w:r>
      <w:r w:rsidR="007A3939" w:rsidRPr="000F518B">
        <w:rPr>
          <w:color w:val="000000"/>
          <w:sz w:val="22"/>
        </w:rPr>
        <w:t xml:space="preserve"> por que se </w:t>
      </w:r>
      <w:r w:rsidR="005A0C15" w:rsidRPr="000F518B">
        <w:rPr>
          <w:color w:val="000000"/>
          <w:sz w:val="22"/>
        </w:rPr>
        <w:t>determina</w:t>
      </w:r>
      <w:r w:rsidR="007A3939" w:rsidRPr="000F518B">
        <w:rPr>
          <w:color w:val="000000"/>
          <w:sz w:val="22"/>
        </w:rPr>
        <w:t>sse</w:t>
      </w:r>
      <w:r w:rsidR="005A0C15" w:rsidRPr="000F518B">
        <w:rPr>
          <w:color w:val="000000"/>
          <w:sz w:val="22"/>
        </w:rPr>
        <w:t xml:space="preserve"> à </w:t>
      </w:r>
      <w:r w:rsidR="009D0DF9">
        <w:rPr>
          <w:color w:val="000000"/>
          <w:sz w:val="22"/>
        </w:rPr>
        <w:t>entidade</w:t>
      </w:r>
      <w:r w:rsidR="005A0C15" w:rsidRPr="000F518B">
        <w:rPr>
          <w:color w:val="000000"/>
          <w:sz w:val="22"/>
        </w:rPr>
        <w:t xml:space="preserve"> que, </w:t>
      </w:r>
      <w:r w:rsidR="008E621D" w:rsidRPr="000F518B">
        <w:rPr>
          <w:color w:val="000000"/>
          <w:sz w:val="22"/>
        </w:rPr>
        <w:t>“</w:t>
      </w:r>
      <w:r w:rsidR="005A0C15" w:rsidRPr="000F518B">
        <w:rPr>
          <w:i/>
          <w:color w:val="000000"/>
          <w:sz w:val="22"/>
        </w:rPr>
        <w:t>caso decida pela manutenção dessa parcela específica de custo em suas contratações de serviços terceirizados, ajuste o seu percent</w:t>
      </w:r>
      <w:r w:rsidR="008E621D" w:rsidRPr="000F518B">
        <w:rPr>
          <w:i/>
          <w:color w:val="000000"/>
          <w:sz w:val="22"/>
        </w:rPr>
        <w:t>ual ao patamar máximo mencionado</w:t>
      </w:r>
      <w:r w:rsidR="008E621D" w:rsidRPr="000F518B">
        <w:rPr>
          <w:color w:val="000000"/>
          <w:sz w:val="22"/>
        </w:rPr>
        <w:t xml:space="preserve">”, </w:t>
      </w:r>
      <w:r w:rsidR="0046754E">
        <w:rPr>
          <w:color w:val="000000"/>
          <w:sz w:val="22"/>
        </w:rPr>
        <w:t>n</w:t>
      </w:r>
      <w:r w:rsidR="008E621D" w:rsidRPr="000F518B">
        <w:rPr>
          <w:color w:val="000000"/>
          <w:sz w:val="22"/>
        </w:rPr>
        <w:t>o que contou com a anuência do Plenário</w:t>
      </w:r>
      <w:r w:rsidR="005A0C15" w:rsidRPr="000F518B">
        <w:rPr>
          <w:color w:val="000000"/>
          <w:sz w:val="22"/>
        </w:rPr>
        <w:t>.</w:t>
      </w:r>
      <w:r w:rsidR="00D8231F" w:rsidRPr="009D0DF9">
        <w:rPr>
          <w:sz w:val="22"/>
        </w:rPr>
        <w:t xml:space="preserve"> </w:t>
      </w:r>
      <w:r w:rsidR="00800700" w:rsidRPr="000F518B">
        <w:rPr>
          <w:sz w:val="22"/>
        </w:rPr>
        <w:t>Precedentes citados:</w:t>
      </w:r>
      <w:r w:rsidR="00800700" w:rsidRPr="009D0DF9">
        <w:rPr>
          <w:sz w:val="22"/>
        </w:rPr>
        <w:t xml:space="preserve"> </w:t>
      </w:r>
      <w:r w:rsidR="00800700" w:rsidRPr="000F518B">
        <w:rPr>
          <w:sz w:val="22"/>
        </w:rPr>
        <w:t>Acórdão</w:t>
      </w:r>
      <w:r w:rsidR="009D0DF9">
        <w:rPr>
          <w:sz w:val="22"/>
        </w:rPr>
        <w:t>s</w:t>
      </w:r>
      <w:r w:rsidR="00800700" w:rsidRPr="000F518B">
        <w:rPr>
          <w:sz w:val="22"/>
        </w:rPr>
        <w:t xml:space="preserve"> </w:t>
      </w:r>
      <w:r w:rsidR="009D0DF9">
        <w:rPr>
          <w:sz w:val="22"/>
        </w:rPr>
        <w:t>n.</w:t>
      </w:r>
      <w:r w:rsidR="009D0DF9" w:rsidRPr="009D0DF9">
        <w:rPr>
          <w:sz w:val="22"/>
          <w:vertAlign w:val="superscript"/>
        </w:rPr>
        <w:t>os</w:t>
      </w:r>
      <w:r w:rsidR="009D0DF9">
        <w:rPr>
          <w:sz w:val="22"/>
        </w:rPr>
        <w:t xml:space="preserve"> </w:t>
      </w:r>
      <w:r w:rsidR="00800700" w:rsidRPr="000F518B">
        <w:rPr>
          <w:sz w:val="22"/>
        </w:rPr>
        <w:t>1753/2008</w:t>
      </w:r>
      <w:r w:rsidR="009D0DF9">
        <w:rPr>
          <w:sz w:val="22"/>
        </w:rPr>
        <w:t>-</w:t>
      </w:r>
      <w:r w:rsidR="00800700" w:rsidRPr="000F518B">
        <w:rPr>
          <w:sz w:val="22"/>
        </w:rPr>
        <w:t>Plenário e 1851/2008</w:t>
      </w:r>
      <w:r w:rsidR="009D0DF9">
        <w:rPr>
          <w:sz w:val="22"/>
        </w:rPr>
        <w:t>-</w:t>
      </w:r>
      <w:r w:rsidR="00800700" w:rsidRPr="000F518B">
        <w:rPr>
          <w:sz w:val="22"/>
        </w:rPr>
        <w:t xml:space="preserve">2ª Câmara. </w:t>
      </w:r>
      <w:r w:rsidR="00191894" w:rsidRPr="000F518B">
        <w:rPr>
          <w:b/>
          <w:i/>
          <w:sz w:val="22"/>
        </w:rPr>
        <w:t xml:space="preserve">Acórdão n.º </w:t>
      </w:r>
      <w:r w:rsidR="00800700" w:rsidRPr="000F518B">
        <w:rPr>
          <w:b/>
          <w:i/>
          <w:sz w:val="22"/>
        </w:rPr>
        <w:t>3092</w:t>
      </w:r>
      <w:r w:rsidR="00191894" w:rsidRPr="000F518B">
        <w:rPr>
          <w:b/>
          <w:i/>
          <w:sz w:val="22"/>
        </w:rPr>
        <w:t>/2010-Plenário, TC-0</w:t>
      </w:r>
      <w:r w:rsidR="00800700" w:rsidRPr="000F518B">
        <w:rPr>
          <w:b/>
          <w:i/>
          <w:sz w:val="22"/>
        </w:rPr>
        <w:t>26</w:t>
      </w:r>
      <w:r w:rsidR="00191894" w:rsidRPr="000F518B">
        <w:rPr>
          <w:b/>
          <w:i/>
          <w:sz w:val="22"/>
        </w:rPr>
        <w:t>.</w:t>
      </w:r>
      <w:r w:rsidR="00800700" w:rsidRPr="000F518B">
        <w:rPr>
          <w:b/>
          <w:i/>
          <w:sz w:val="22"/>
        </w:rPr>
        <w:t>790</w:t>
      </w:r>
      <w:r w:rsidR="00191894" w:rsidRPr="000F518B">
        <w:rPr>
          <w:b/>
          <w:i/>
          <w:sz w:val="22"/>
        </w:rPr>
        <w:t>/200</w:t>
      </w:r>
      <w:r w:rsidR="00800700" w:rsidRPr="000F518B">
        <w:rPr>
          <w:b/>
          <w:i/>
          <w:sz w:val="22"/>
        </w:rPr>
        <w:t>6</w:t>
      </w:r>
      <w:r w:rsidR="00191894" w:rsidRPr="000F518B">
        <w:rPr>
          <w:b/>
          <w:i/>
          <w:sz w:val="22"/>
        </w:rPr>
        <w:t>-</w:t>
      </w:r>
      <w:r w:rsidR="00800700" w:rsidRPr="000F518B">
        <w:rPr>
          <w:b/>
          <w:i/>
          <w:sz w:val="22"/>
        </w:rPr>
        <w:t>0</w:t>
      </w:r>
      <w:r w:rsidR="00191894" w:rsidRPr="000F518B">
        <w:rPr>
          <w:b/>
          <w:i/>
          <w:sz w:val="22"/>
        </w:rPr>
        <w:t xml:space="preserve">, rel. Min. </w:t>
      </w:r>
      <w:r w:rsidR="00800700" w:rsidRPr="000F518B">
        <w:rPr>
          <w:b/>
          <w:i/>
          <w:sz w:val="22"/>
        </w:rPr>
        <w:t>José Jorge</w:t>
      </w:r>
      <w:r w:rsidR="00191894" w:rsidRPr="000F518B">
        <w:rPr>
          <w:b/>
          <w:i/>
          <w:sz w:val="22"/>
        </w:rPr>
        <w:t xml:space="preserve">, </w:t>
      </w:r>
      <w:r w:rsidR="00800700" w:rsidRPr="000F518B">
        <w:rPr>
          <w:b/>
          <w:i/>
          <w:sz w:val="22"/>
        </w:rPr>
        <w:t>17</w:t>
      </w:r>
      <w:r w:rsidR="00191894" w:rsidRPr="000F518B">
        <w:rPr>
          <w:b/>
          <w:i/>
          <w:sz w:val="22"/>
        </w:rPr>
        <w:t>.11.2010</w:t>
      </w:r>
      <w:r w:rsidR="00191894" w:rsidRPr="000F518B">
        <w:rPr>
          <w:sz w:val="22"/>
        </w:rPr>
        <w:t>.</w:t>
      </w:r>
    </w:p>
    <w:p w:rsidR="000F518B" w:rsidRPr="000F518B" w:rsidRDefault="000F518B" w:rsidP="000F518B">
      <w:pPr>
        <w:pStyle w:val="enter-3pt"/>
        <w:spacing w:line="240" w:lineRule="auto"/>
        <w:rPr>
          <w:sz w:val="22"/>
          <w:szCs w:val="22"/>
        </w:rPr>
      </w:pPr>
    </w:p>
    <w:p w:rsidR="000F518B" w:rsidRPr="000F518B" w:rsidRDefault="000F518B" w:rsidP="0046754E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0F518B">
        <w:rPr>
          <w:rFonts w:ascii="Cambria" w:hAnsi="Cambria"/>
          <w:b/>
          <w:bCs/>
          <w:smallCaps/>
          <w:sz w:val="22"/>
          <w:szCs w:val="22"/>
        </w:rPr>
        <w:t>PRIMEIRA CÂMARA</w:t>
      </w:r>
    </w:p>
    <w:p w:rsidR="000F518B" w:rsidRPr="000F518B" w:rsidRDefault="000F518B" w:rsidP="0046754E">
      <w:pPr>
        <w:pStyle w:val="Pargrafo"/>
        <w:jc w:val="both"/>
        <w:rPr>
          <w:b/>
          <w:sz w:val="22"/>
          <w:szCs w:val="22"/>
        </w:rPr>
      </w:pPr>
    </w:p>
    <w:p w:rsidR="000F518B" w:rsidRPr="0046754E" w:rsidRDefault="00E0733C" w:rsidP="0046754E">
      <w:pPr>
        <w:pStyle w:val="Pargraf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Possibilidade d</w:t>
      </w:r>
      <w:r w:rsidR="008D0B6A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aproveitamento de licitação anterior</w:t>
      </w:r>
    </w:p>
    <w:p w:rsidR="000F518B" w:rsidRPr="0046754E" w:rsidRDefault="000F518B" w:rsidP="0046754E">
      <w:pPr>
        <w:tabs>
          <w:tab w:val="left" w:pos="1134"/>
        </w:tabs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 w:rsidRPr="0046754E">
        <w:rPr>
          <w:sz w:val="22"/>
          <w:szCs w:val="22"/>
        </w:rPr>
        <w:t xml:space="preserve">Representação formulada ao Tribunal </w:t>
      </w:r>
      <w:r w:rsidR="00697D90">
        <w:rPr>
          <w:sz w:val="22"/>
          <w:szCs w:val="22"/>
        </w:rPr>
        <w:t>apontou</w:t>
      </w:r>
      <w:r w:rsidRPr="0046754E">
        <w:rPr>
          <w:sz w:val="22"/>
          <w:szCs w:val="22"/>
        </w:rPr>
        <w:t xml:space="preserve"> possíveis irregularidades na execução de obras rodoviárias no Estado do Paraná, a cargo do Departamento Nacional de Infraestrutura d</w:t>
      </w:r>
      <w:r w:rsidR="00CB7D4D">
        <w:rPr>
          <w:sz w:val="22"/>
          <w:szCs w:val="22"/>
        </w:rPr>
        <w:t>e</w:t>
      </w:r>
      <w:r w:rsidRPr="0046754E">
        <w:rPr>
          <w:sz w:val="22"/>
          <w:szCs w:val="22"/>
        </w:rPr>
        <w:t xml:space="preserve"> Transportes </w:t>
      </w:r>
      <w:r w:rsidR="00697D90">
        <w:rPr>
          <w:sz w:val="22"/>
          <w:szCs w:val="22"/>
        </w:rPr>
        <w:t>–</w:t>
      </w:r>
      <w:r w:rsidR="0046754E">
        <w:rPr>
          <w:sz w:val="22"/>
          <w:szCs w:val="22"/>
        </w:rPr>
        <w:t xml:space="preserve"> </w:t>
      </w:r>
      <w:r w:rsidRPr="0046754E">
        <w:rPr>
          <w:sz w:val="22"/>
          <w:szCs w:val="22"/>
        </w:rPr>
        <w:t xml:space="preserve">DNIT. Dentre elas, constou o aproveitamento de licitação anterior (Concorrência Internacional nº 2/1999), cuja contratação não chegou a se concretizar. Para a unidade técnica, o procedimento estaria à margem da </w:t>
      </w:r>
      <w:r w:rsidR="00697D90">
        <w:rPr>
          <w:sz w:val="22"/>
          <w:szCs w:val="22"/>
        </w:rPr>
        <w:t>l</w:t>
      </w:r>
      <w:r w:rsidRPr="0046754E">
        <w:rPr>
          <w:sz w:val="22"/>
          <w:szCs w:val="22"/>
        </w:rPr>
        <w:t xml:space="preserve">ei, não havendo justificativas para tanto. Em </w:t>
      </w:r>
      <w:r w:rsidR="00697D90">
        <w:rPr>
          <w:sz w:val="22"/>
          <w:szCs w:val="22"/>
        </w:rPr>
        <w:t>consequência</w:t>
      </w:r>
      <w:r w:rsidRPr="0046754E">
        <w:rPr>
          <w:sz w:val="22"/>
          <w:szCs w:val="22"/>
        </w:rPr>
        <w:t xml:space="preserve">, propôs aplicação de multa aos responsáveis, proposta da qual dissentiu o relator, </w:t>
      </w:r>
      <w:r w:rsidR="00697D90">
        <w:rPr>
          <w:sz w:val="22"/>
          <w:szCs w:val="22"/>
        </w:rPr>
        <w:t>por</w:t>
      </w:r>
      <w:r w:rsidRPr="0046754E">
        <w:rPr>
          <w:sz w:val="22"/>
          <w:szCs w:val="22"/>
        </w:rPr>
        <w:t xml:space="preserve"> não </w:t>
      </w:r>
      <w:r w:rsidRPr="0046754E">
        <w:rPr>
          <w:iCs/>
          <w:sz w:val="22"/>
          <w:szCs w:val="22"/>
        </w:rPr>
        <w:t xml:space="preserve">estar plenamente convicto da gravidade do </w:t>
      </w:r>
      <w:r w:rsidR="00697D90">
        <w:rPr>
          <w:iCs/>
          <w:sz w:val="22"/>
          <w:szCs w:val="22"/>
        </w:rPr>
        <w:t>fato</w:t>
      </w:r>
      <w:r w:rsidRPr="0046754E">
        <w:rPr>
          <w:iCs/>
          <w:sz w:val="22"/>
          <w:szCs w:val="22"/>
        </w:rPr>
        <w:t>. Para ele, “</w:t>
      </w:r>
      <w:r w:rsidRPr="0046754E">
        <w:rPr>
          <w:i/>
          <w:iCs/>
          <w:sz w:val="22"/>
          <w:szCs w:val="22"/>
        </w:rPr>
        <w:t>não se trata do procedimento ideal, pois o mais adequado seria a realização de uma nova licitação</w:t>
      </w:r>
      <w:r w:rsidRPr="0046754E">
        <w:rPr>
          <w:iCs/>
          <w:sz w:val="22"/>
          <w:szCs w:val="22"/>
        </w:rPr>
        <w:t>”. Entretanto, ponderou que “</w:t>
      </w:r>
      <w:r w:rsidRPr="0046754E">
        <w:rPr>
          <w:i/>
          <w:iCs/>
          <w:sz w:val="22"/>
          <w:szCs w:val="22"/>
        </w:rPr>
        <w:t>o aproveitamento dos procedimentos do certame não pode ser de todo condenável</w:t>
      </w:r>
      <w:r w:rsidRPr="0046754E">
        <w:rPr>
          <w:iCs/>
          <w:sz w:val="22"/>
          <w:szCs w:val="22"/>
        </w:rPr>
        <w:t>”. Considerou, ainda, que a medida pode até ser vista como “</w:t>
      </w:r>
      <w:r w:rsidRPr="0046754E">
        <w:rPr>
          <w:i/>
          <w:iCs/>
          <w:sz w:val="22"/>
          <w:szCs w:val="22"/>
        </w:rPr>
        <w:t>uma iniciativa aceitável e bastante razoável, tendo em vista: i. a a</w:t>
      </w:r>
      <w:r w:rsidRPr="0046754E">
        <w:rPr>
          <w:i/>
          <w:sz w:val="22"/>
          <w:szCs w:val="22"/>
        </w:rPr>
        <w:t>usência de óbice legal</w:t>
      </w:r>
      <w:r w:rsidRPr="0046754E">
        <w:rPr>
          <w:i/>
          <w:iCs/>
          <w:sz w:val="22"/>
          <w:szCs w:val="22"/>
        </w:rPr>
        <w:t xml:space="preserve">; ii. o fato de a obra estar concluída; iii. não ter havido qualquer manifestação contrária por parte de outras firmas interessadas; iv. não ter resultado, dessa ação, prejuízo ao erário; v. ter sido expedido o devido parecer favorável do órgão jurídico para o aproveitamento do certame; vi. ter ocorrido a emissão de nova autorização do ordenador de despesa em face à </w:t>
      </w:r>
      <w:r w:rsidRPr="0046754E">
        <w:rPr>
          <w:i/>
          <w:sz w:val="22"/>
          <w:szCs w:val="22"/>
        </w:rPr>
        <w:t>existência de recursos suficientes no orçamento</w:t>
      </w:r>
      <w:r w:rsidRPr="0046754E">
        <w:rPr>
          <w:sz w:val="22"/>
          <w:szCs w:val="22"/>
        </w:rPr>
        <w:t>”. Acresceu que “</w:t>
      </w:r>
      <w:r w:rsidRPr="0046754E">
        <w:rPr>
          <w:i/>
          <w:sz w:val="22"/>
          <w:szCs w:val="22"/>
        </w:rPr>
        <w:t>se, porventura, houve ofensa aos princípios da legalidade, da isonomia e da transparência, como assevera a unidade técnica</w:t>
      </w:r>
      <w:r w:rsidR="00697D90">
        <w:rPr>
          <w:i/>
          <w:sz w:val="22"/>
          <w:szCs w:val="22"/>
        </w:rPr>
        <w:t>”</w:t>
      </w:r>
      <w:r w:rsidR="00697D90">
        <w:rPr>
          <w:sz w:val="22"/>
          <w:szCs w:val="22"/>
        </w:rPr>
        <w:t>,</w:t>
      </w:r>
      <w:r w:rsidRPr="00697D90">
        <w:rPr>
          <w:sz w:val="22"/>
          <w:szCs w:val="22"/>
        </w:rPr>
        <w:t xml:space="preserve"> por outro lado,</w:t>
      </w:r>
      <w:r w:rsidRPr="0046754E">
        <w:rPr>
          <w:i/>
          <w:sz w:val="22"/>
          <w:szCs w:val="22"/>
        </w:rPr>
        <w:t xml:space="preserve"> </w:t>
      </w:r>
      <w:r w:rsidR="00697D90">
        <w:rPr>
          <w:i/>
          <w:sz w:val="22"/>
          <w:szCs w:val="22"/>
        </w:rPr>
        <w:t>“</w:t>
      </w:r>
      <w:r w:rsidRPr="0046754E">
        <w:rPr>
          <w:i/>
          <w:sz w:val="22"/>
          <w:szCs w:val="22"/>
        </w:rPr>
        <w:t>outros princípios de igual relevância foram preservados, como os da economicidade, da razoabilidade e da finalidade, princípio este, aliás, pelo qual se entende que a norma administrativa, no caso, o estatuto das licitações, deve ser interpretada e aplicada d</w:t>
      </w:r>
      <w:r w:rsidR="0046754E">
        <w:rPr>
          <w:i/>
          <w:sz w:val="22"/>
          <w:szCs w:val="22"/>
        </w:rPr>
        <w:t>e</w:t>
      </w:r>
      <w:r w:rsidRPr="0046754E">
        <w:rPr>
          <w:i/>
          <w:sz w:val="22"/>
          <w:szCs w:val="22"/>
        </w:rPr>
        <w:t xml:space="preserve"> forma que melhor garanta a realização do fim público a que se dirige</w:t>
      </w:r>
      <w:r w:rsidRPr="0046754E">
        <w:rPr>
          <w:sz w:val="22"/>
          <w:szCs w:val="22"/>
        </w:rPr>
        <w:t xml:space="preserve">”. </w:t>
      </w:r>
      <w:r w:rsidR="00697D90">
        <w:rPr>
          <w:sz w:val="22"/>
          <w:szCs w:val="22"/>
        </w:rPr>
        <w:t>Ao final</w:t>
      </w:r>
      <w:r w:rsidRPr="0046754E">
        <w:rPr>
          <w:sz w:val="22"/>
          <w:szCs w:val="22"/>
        </w:rPr>
        <w:t xml:space="preserve">, </w:t>
      </w:r>
      <w:r w:rsidR="00D66FEC">
        <w:rPr>
          <w:sz w:val="22"/>
          <w:szCs w:val="22"/>
        </w:rPr>
        <w:t xml:space="preserve">o relator </w:t>
      </w:r>
      <w:r w:rsidRPr="0046754E">
        <w:rPr>
          <w:sz w:val="22"/>
          <w:szCs w:val="22"/>
        </w:rPr>
        <w:t xml:space="preserve">votou pela improcedência da representação, no que foi acompanhado pelos demais </w:t>
      </w:r>
      <w:r w:rsidR="00D66FEC">
        <w:rPr>
          <w:sz w:val="22"/>
          <w:szCs w:val="22"/>
        </w:rPr>
        <w:t>ministros</w:t>
      </w:r>
      <w:r w:rsidRPr="0046754E">
        <w:rPr>
          <w:sz w:val="22"/>
          <w:szCs w:val="22"/>
        </w:rPr>
        <w:t xml:space="preserve">. </w:t>
      </w:r>
      <w:r w:rsidRPr="0046754E">
        <w:rPr>
          <w:b/>
          <w:i/>
          <w:sz w:val="22"/>
          <w:szCs w:val="22"/>
        </w:rPr>
        <w:t>Acórdão n.º 7669/2010-1ª Câmara, TC-013.354/2006-4, rel. Min. Augusto Nardes, 16.11.2010</w:t>
      </w:r>
      <w:r w:rsidRPr="0046754E">
        <w:rPr>
          <w:sz w:val="22"/>
          <w:szCs w:val="22"/>
        </w:rPr>
        <w:t>.</w:t>
      </w:r>
    </w:p>
    <w:p w:rsidR="000F518B" w:rsidRPr="0046754E" w:rsidRDefault="000F518B" w:rsidP="0046754E">
      <w:pPr>
        <w:pStyle w:val="enter-3pt"/>
        <w:spacing w:line="240" w:lineRule="auto"/>
        <w:rPr>
          <w:sz w:val="22"/>
          <w:szCs w:val="22"/>
        </w:rPr>
      </w:pPr>
    </w:p>
    <w:p w:rsidR="000F518B" w:rsidRPr="003C1588" w:rsidRDefault="003C1588" w:rsidP="0046754E">
      <w:pPr>
        <w:pStyle w:val="Pargrafo"/>
        <w:jc w:val="both"/>
        <w:rPr>
          <w:b/>
          <w:sz w:val="22"/>
          <w:szCs w:val="22"/>
        </w:rPr>
      </w:pPr>
      <w:r w:rsidRPr="003C1588">
        <w:rPr>
          <w:b/>
          <w:sz w:val="22"/>
          <w:szCs w:val="22"/>
        </w:rPr>
        <w:t>Contrato de depósito e caracterização de pagamento antecipado</w:t>
      </w:r>
    </w:p>
    <w:p w:rsidR="000F518B" w:rsidRPr="00E0733C" w:rsidRDefault="000F518B" w:rsidP="000F518B">
      <w:pPr>
        <w:widowControl w:val="0"/>
        <w:spacing w:after="0"/>
        <w:ind w:left="0"/>
        <w:rPr>
          <w:sz w:val="22"/>
          <w:szCs w:val="22"/>
        </w:rPr>
      </w:pPr>
      <w:r w:rsidRPr="00E0733C">
        <w:rPr>
          <w:sz w:val="22"/>
          <w:szCs w:val="22"/>
        </w:rPr>
        <w:t xml:space="preserve">Mediante recurso de reconsideração, ex-Prefeito de Parnaíba-PI demonstrou sua irresignação </w:t>
      </w:r>
      <w:r w:rsidR="00A0419E">
        <w:rPr>
          <w:sz w:val="22"/>
          <w:szCs w:val="22"/>
        </w:rPr>
        <w:t>com</w:t>
      </w:r>
      <w:r w:rsidRPr="00E0733C">
        <w:rPr>
          <w:sz w:val="22"/>
          <w:szCs w:val="22"/>
        </w:rPr>
        <w:t xml:space="preserve"> o Acórdão nº 1.029/2008-1ª Câmara, proferido em sede de tomada de contas especial, </w:t>
      </w:r>
      <w:r w:rsidR="00A0419E">
        <w:rPr>
          <w:sz w:val="22"/>
          <w:szCs w:val="22"/>
        </w:rPr>
        <w:t>julgadas irregulares</w:t>
      </w:r>
      <w:r w:rsidRPr="00E0733C">
        <w:rPr>
          <w:sz w:val="22"/>
          <w:szCs w:val="22"/>
        </w:rPr>
        <w:t xml:space="preserve"> em </w:t>
      </w:r>
      <w:r w:rsidR="003C1588">
        <w:rPr>
          <w:sz w:val="22"/>
          <w:szCs w:val="22"/>
        </w:rPr>
        <w:t>razão</w:t>
      </w:r>
      <w:r w:rsidRPr="00E0733C">
        <w:rPr>
          <w:sz w:val="22"/>
          <w:szCs w:val="22"/>
        </w:rPr>
        <w:t xml:space="preserve"> de diversas impropriedades na execução do Convênio nº 1750/1994, cujo objetivo era dar apoio técnico e financeiro à implementação do Programa de Atendimento aos Desnutridos e às Gestantes de Risco Nutricional. Naquela oportunidade, verificou-se que o aludido responsável autorizou o pagamento antecipado da íntegra do valor contratado, após assinatura de “termo de fiel depositário”, baseado no art. 1.265 do Código Civil vigente à época. Na presente etapa processual, os argumentos apresentados pelo ex-Prefeito, </w:t>
      </w:r>
      <w:r w:rsidR="003C1588">
        <w:rPr>
          <w:sz w:val="22"/>
          <w:szCs w:val="22"/>
        </w:rPr>
        <w:t xml:space="preserve">segundo </w:t>
      </w:r>
      <w:r w:rsidRPr="00E0733C">
        <w:rPr>
          <w:sz w:val="22"/>
          <w:szCs w:val="22"/>
        </w:rPr>
        <w:t xml:space="preserve">o relator, não foram suficientes para justificar a alteração da decisão anteriormente proferida pelo Tribunal. </w:t>
      </w:r>
      <w:r w:rsidR="00A0419E">
        <w:rPr>
          <w:sz w:val="22"/>
          <w:szCs w:val="22"/>
        </w:rPr>
        <w:t>Ainda para</w:t>
      </w:r>
      <w:r w:rsidRPr="00E0733C">
        <w:rPr>
          <w:sz w:val="22"/>
          <w:szCs w:val="22"/>
        </w:rPr>
        <w:t xml:space="preserve"> o relator, “</w:t>
      </w:r>
      <w:r w:rsidRPr="00E0733C">
        <w:rPr>
          <w:i/>
          <w:sz w:val="22"/>
          <w:szCs w:val="22"/>
        </w:rPr>
        <w:t>o contrato de depósito não configura meio adequado para assegurar o adimplemento do convencionado com a Administração Pública”,</w:t>
      </w:r>
      <w:r w:rsidRPr="00E0733C">
        <w:rPr>
          <w:sz w:val="22"/>
          <w:szCs w:val="22"/>
        </w:rPr>
        <w:t xml:space="preserve"> sendo que a jurisprudência do TCU é no sentido de “</w:t>
      </w:r>
      <w:r w:rsidRPr="00E0733C">
        <w:rPr>
          <w:i/>
          <w:sz w:val="22"/>
          <w:szCs w:val="22"/>
        </w:rPr>
        <w:t>considerar ilegal esse procedimento, visto que caracteriza a ocorrência de liquidação sem o efetivo recebimento do bem, contrariando o disposto no art. 63, § 2º, inciso III, da Lei nº 4.320/1964, que estabelece ser indispensável a comprovação da entrega do material para que haja a liquidação da despesa por fornecimentos feitos</w:t>
      </w:r>
      <w:r w:rsidRPr="00E0733C">
        <w:rPr>
          <w:sz w:val="22"/>
          <w:szCs w:val="22"/>
        </w:rPr>
        <w:t>.”. Tal procedimento “</w:t>
      </w:r>
      <w:r w:rsidRPr="00E0733C">
        <w:rPr>
          <w:i/>
          <w:sz w:val="22"/>
          <w:szCs w:val="22"/>
        </w:rPr>
        <w:t>é vantajoso apenas para o fornecedor, que recebe o pagamento sem contrapartida alguma. Para o Poder Público, resta somente o dispêndio e o ônus de, eventualmente, ter que ingressar com ação no Judiciário para coagir o contratado a cumprir a obrigação estabelecida</w:t>
      </w:r>
      <w:r w:rsidRPr="00E0733C">
        <w:rPr>
          <w:sz w:val="22"/>
          <w:szCs w:val="22"/>
        </w:rPr>
        <w:t xml:space="preserve"> (...)</w:t>
      </w:r>
      <w:r w:rsidR="003C1588">
        <w:rPr>
          <w:sz w:val="22"/>
          <w:szCs w:val="22"/>
        </w:rPr>
        <w:t>.</w:t>
      </w:r>
      <w:r w:rsidRPr="00E0733C">
        <w:rPr>
          <w:sz w:val="22"/>
          <w:szCs w:val="22"/>
        </w:rPr>
        <w:t xml:space="preserve"> </w:t>
      </w:r>
      <w:r w:rsidRPr="00E0733C">
        <w:rPr>
          <w:i/>
          <w:sz w:val="22"/>
          <w:szCs w:val="22"/>
        </w:rPr>
        <w:t>Em nada colabora com os objetivos do programa nutricional pagar de antemão por alimento não transferido, independentemente de haver garantias para entrega futura. Ao contrário, isso cria riscos e ônus desnecessários ao município</w:t>
      </w:r>
      <w:r w:rsidRPr="00E0733C">
        <w:rPr>
          <w:sz w:val="22"/>
          <w:szCs w:val="22"/>
        </w:rPr>
        <w:t>”. Assim</w:t>
      </w:r>
      <w:r w:rsidR="00A0419E">
        <w:rPr>
          <w:sz w:val="22"/>
          <w:szCs w:val="22"/>
        </w:rPr>
        <w:t xml:space="preserve"> sendo</w:t>
      </w:r>
      <w:r w:rsidRPr="00E0733C">
        <w:rPr>
          <w:sz w:val="22"/>
          <w:szCs w:val="22"/>
        </w:rPr>
        <w:t xml:space="preserve">, </w:t>
      </w:r>
      <w:r w:rsidR="003C1588">
        <w:rPr>
          <w:sz w:val="22"/>
          <w:szCs w:val="22"/>
        </w:rPr>
        <w:t xml:space="preserve">o relator </w:t>
      </w:r>
      <w:r w:rsidRPr="00E0733C">
        <w:rPr>
          <w:sz w:val="22"/>
          <w:szCs w:val="22"/>
        </w:rPr>
        <w:t>votou</w:t>
      </w:r>
      <w:r w:rsidR="003C1588">
        <w:rPr>
          <w:sz w:val="22"/>
          <w:szCs w:val="22"/>
        </w:rPr>
        <w:t xml:space="preserve"> </w:t>
      </w:r>
      <w:r w:rsidRPr="00E0733C">
        <w:rPr>
          <w:sz w:val="22"/>
          <w:szCs w:val="22"/>
        </w:rPr>
        <w:t>pelo não provimento do recurso</w:t>
      </w:r>
      <w:r w:rsidR="003C1588">
        <w:rPr>
          <w:sz w:val="22"/>
          <w:szCs w:val="22"/>
        </w:rPr>
        <w:t>, o que contou com a anuência do Colegiado</w:t>
      </w:r>
      <w:r w:rsidRPr="00E0733C">
        <w:rPr>
          <w:sz w:val="22"/>
          <w:szCs w:val="22"/>
        </w:rPr>
        <w:t xml:space="preserve">. </w:t>
      </w:r>
      <w:r w:rsidRPr="00E0733C">
        <w:rPr>
          <w:b/>
          <w:i/>
          <w:sz w:val="22"/>
          <w:szCs w:val="22"/>
        </w:rPr>
        <w:t>Acórdão n.º 7673/2010-1ª Câmara, TC-005.680/2005-8, rel. Min. José Múcio, 16.11.2010</w:t>
      </w:r>
      <w:r w:rsidRPr="00E0733C">
        <w:rPr>
          <w:sz w:val="22"/>
          <w:szCs w:val="22"/>
        </w:rPr>
        <w:t>.</w:t>
      </w:r>
    </w:p>
    <w:p w:rsidR="000F518B" w:rsidRPr="00E0733C" w:rsidRDefault="000F518B" w:rsidP="000F518B">
      <w:pPr>
        <w:pStyle w:val="enter-3pt"/>
        <w:spacing w:line="240" w:lineRule="auto"/>
        <w:rPr>
          <w:sz w:val="22"/>
          <w:szCs w:val="22"/>
        </w:rPr>
      </w:pPr>
    </w:p>
    <w:p w:rsidR="000F518B" w:rsidRPr="000F518B" w:rsidRDefault="000F518B" w:rsidP="000F518B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0F518B">
        <w:rPr>
          <w:rFonts w:ascii="Cambria" w:hAnsi="Cambria"/>
          <w:b/>
          <w:bCs/>
          <w:smallCaps/>
          <w:sz w:val="22"/>
          <w:szCs w:val="22"/>
        </w:rPr>
        <w:t>SEGUNDA CÂMARA</w:t>
      </w:r>
    </w:p>
    <w:p w:rsidR="000F518B" w:rsidRPr="00E0733C" w:rsidRDefault="000F518B" w:rsidP="00E0733C">
      <w:pPr>
        <w:pStyle w:val="Pargrafo"/>
        <w:jc w:val="both"/>
        <w:rPr>
          <w:b/>
          <w:sz w:val="22"/>
          <w:szCs w:val="22"/>
        </w:rPr>
      </w:pPr>
    </w:p>
    <w:p w:rsidR="000F518B" w:rsidRPr="00021211" w:rsidRDefault="00021211" w:rsidP="00E0733C">
      <w:pPr>
        <w:pStyle w:val="Pargrafo"/>
        <w:jc w:val="both"/>
        <w:rPr>
          <w:b/>
          <w:sz w:val="22"/>
          <w:szCs w:val="22"/>
        </w:rPr>
      </w:pPr>
      <w:r w:rsidRPr="00021211">
        <w:rPr>
          <w:b/>
          <w:sz w:val="22"/>
          <w:szCs w:val="22"/>
        </w:rPr>
        <w:t>A não verificação da regularidade dos documentos apresentados pelos licitantes pode dar ensejo à responsabilização dos membros da comissão de licitação</w:t>
      </w:r>
    </w:p>
    <w:p w:rsidR="000F518B" w:rsidRPr="000F518B" w:rsidRDefault="00E0733C" w:rsidP="00E0733C">
      <w:pPr>
        <w:pStyle w:val="TCU-Epgrafe"/>
        <w:tabs>
          <w:tab w:val="left" w:pos="1134"/>
        </w:tabs>
        <w:ind w:left="0"/>
        <w:rPr>
          <w:sz w:val="22"/>
          <w:szCs w:val="22"/>
        </w:rPr>
      </w:pPr>
      <w:r w:rsidRPr="00522E4F">
        <w:rPr>
          <w:sz w:val="22"/>
          <w:szCs w:val="22"/>
        </w:rPr>
        <w:t>Em sede de t</w:t>
      </w:r>
      <w:r w:rsidR="000F518B" w:rsidRPr="00522E4F">
        <w:rPr>
          <w:sz w:val="22"/>
          <w:szCs w:val="22"/>
        </w:rPr>
        <w:t xml:space="preserve">omada de contas especial instaurada pela </w:t>
      </w:r>
      <w:r w:rsidR="00522E4F" w:rsidRPr="00522E4F">
        <w:rPr>
          <w:sz w:val="22"/>
          <w:szCs w:val="22"/>
        </w:rPr>
        <w:t xml:space="preserve">Fundação Nacional de Saúde </w:t>
      </w:r>
      <w:r w:rsidR="00522E4F">
        <w:rPr>
          <w:sz w:val="22"/>
          <w:szCs w:val="22"/>
        </w:rPr>
        <w:t>(</w:t>
      </w:r>
      <w:r w:rsidR="000F518B" w:rsidRPr="00522E4F">
        <w:rPr>
          <w:sz w:val="22"/>
          <w:szCs w:val="22"/>
        </w:rPr>
        <w:t>Funasa</w:t>
      </w:r>
      <w:r w:rsidR="00522E4F">
        <w:rPr>
          <w:sz w:val="22"/>
          <w:szCs w:val="22"/>
        </w:rPr>
        <w:t>),</w:t>
      </w:r>
      <w:r w:rsidR="000F518B" w:rsidRPr="004E500E">
        <w:rPr>
          <w:sz w:val="22"/>
          <w:szCs w:val="22"/>
        </w:rPr>
        <w:t xml:space="preserve"> </w:t>
      </w:r>
      <w:r w:rsidRPr="004E500E">
        <w:rPr>
          <w:sz w:val="22"/>
          <w:szCs w:val="22"/>
        </w:rPr>
        <w:t xml:space="preserve">foram apuradas possíveis </w:t>
      </w:r>
      <w:r w:rsidR="000F518B" w:rsidRPr="004E500E">
        <w:rPr>
          <w:sz w:val="22"/>
          <w:szCs w:val="22"/>
        </w:rPr>
        <w:t xml:space="preserve">irregularidades na execução de convênio firmado com o </w:t>
      </w:r>
      <w:r w:rsidR="00F66CB7">
        <w:rPr>
          <w:sz w:val="22"/>
          <w:szCs w:val="22"/>
        </w:rPr>
        <w:t>M</w:t>
      </w:r>
      <w:r w:rsidR="000F518B" w:rsidRPr="004E500E">
        <w:rPr>
          <w:sz w:val="22"/>
          <w:szCs w:val="22"/>
        </w:rPr>
        <w:t xml:space="preserve">unicípio de Santana/AP, </w:t>
      </w:r>
      <w:r w:rsidRPr="004E500E">
        <w:rPr>
          <w:sz w:val="22"/>
          <w:szCs w:val="22"/>
        </w:rPr>
        <w:t>cujo objeto consistiu na</w:t>
      </w:r>
      <w:r w:rsidR="000F518B" w:rsidRPr="004E500E">
        <w:rPr>
          <w:sz w:val="22"/>
          <w:szCs w:val="22"/>
        </w:rPr>
        <w:t xml:space="preserve"> implementação de ações de controle </w:t>
      </w:r>
      <w:r w:rsidR="000F518B" w:rsidRPr="001158D1">
        <w:rPr>
          <w:sz w:val="22"/>
          <w:szCs w:val="22"/>
        </w:rPr>
        <w:t>da malária</w:t>
      </w:r>
      <w:r w:rsidRPr="001158D1">
        <w:rPr>
          <w:sz w:val="22"/>
          <w:szCs w:val="22"/>
        </w:rPr>
        <w:t>.</w:t>
      </w:r>
      <w:r w:rsidR="000F518B" w:rsidRPr="001158D1">
        <w:rPr>
          <w:sz w:val="22"/>
          <w:szCs w:val="22"/>
        </w:rPr>
        <w:t xml:space="preserve"> </w:t>
      </w:r>
      <w:r w:rsidR="001158D1" w:rsidRPr="001158D1">
        <w:rPr>
          <w:sz w:val="22"/>
          <w:szCs w:val="22"/>
        </w:rPr>
        <w:t>N</w:t>
      </w:r>
      <w:r w:rsidR="000F518B" w:rsidRPr="001158D1">
        <w:rPr>
          <w:sz w:val="22"/>
          <w:szCs w:val="22"/>
        </w:rPr>
        <w:t>a citação</w:t>
      </w:r>
      <w:r w:rsidRPr="001158D1">
        <w:rPr>
          <w:sz w:val="22"/>
          <w:szCs w:val="22"/>
        </w:rPr>
        <w:t xml:space="preserve"> dos três </w:t>
      </w:r>
      <w:r w:rsidR="00F66CB7">
        <w:rPr>
          <w:sz w:val="22"/>
          <w:szCs w:val="22"/>
        </w:rPr>
        <w:t>ex-</w:t>
      </w:r>
      <w:r w:rsidRPr="001158D1">
        <w:rPr>
          <w:sz w:val="22"/>
          <w:szCs w:val="22"/>
        </w:rPr>
        <w:t xml:space="preserve">membros da Comissão Permanente de Licitação </w:t>
      </w:r>
      <w:r w:rsidR="00F66CB7">
        <w:rPr>
          <w:sz w:val="22"/>
          <w:szCs w:val="22"/>
        </w:rPr>
        <w:t>(</w:t>
      </w:r>
      <w:r w:rsidR="000F518B" w:rsidRPr="001158D1">
        <w:rPr>
          <w:sz w:val="22"/>
          <w:szCs w:val="22"/>
        </w:rPr>
        <w:t>CPL</w:t>
      </w:r>
      <w:r w:rsidR="00F66CB7">
        <w:rPr>
          <w:sz w:val="22"/>
          <w:szCs w:val="22"/>
        </w:rPr>
        <w:t>)</w:t>
      </w:r>
      <w:r w:rsidR="000F518B" w:rsidRPr="001158D1">
        <w:rPr>
          <w:sz w:val="22"/>
          <w:szCs w:val="22"/>
        </w:rPr>
        <w:t xml:space="preserve"> </w:t>
      </w:r>
      <w:r w:rsidRPr="001158D1">
        <w:rPr>
          <w:sz w:val="22"/>
          <w:szCs w:val="22"/>
        </w:rPr>
        <w:t xml:space="preserve">do município, </w:t>
      </w:r>
      <w:r w:rsidR="001158D1" w:rsidRPr="001158D1">
        <w:rPr>
          <w:sz w:val="22"/>
          <w:szCs w:val="22"/>
        </w:rPr>
        <w:t>questionou-se, dentre outros atos, o aceite de document</w:t>
      </w:r>
      <w:r w:rsidR="001158D1">
        <w:rPr>
          <w:sz w:val="22"/>
          <w:szCs w:val="22"/>
        </w:rPr>
        <w:t xml:space="preserve">os </w:t>
      </w:r>
      <w:r w:rsidR="001158D1" w:rsidRPr="001158D1">
        <w:rPr>
          <w:sz w:val="22"/>
          <w:szCs w:val="22"/>
        </w:rPr>
        <w:t>com data de vigência expirada</w:t>
      </w:r>
      <w:r w:rsidR="001158D1">
        <w:rPr>
          <w:sz w:val="22"/>
          <w:szCs w:val="22"/>
        </w:rPr>
        <w:t xml:space="preserve"> ou </w:t>
      </w:r>
      <w:r w:rsidR="001158D1" w:rsidRPr="001158D1">
        <w:rPr>
          <w:sz w:val="22"/>
          <w:szCs w:val="22"/>
        </w:rPr>
        <w:t>com infringência a dispositivos da Lei nº 8.666</w:t>
      </w:r>
      <w:r w:rsidR="00F66CB7">
        <w:rPr>
          <w:sz w:val="22"/>
          <w:szCs w:val="22"/>
        </w:rPr>
        <w:t>/</w:t>
      </w:r>
      <w:r w:rsidR="001158D1" w:rsidRPr="001158D1">
        <w:rPr>
          <w:sz w:val="22"/>
          <w:szCs w:val="22"/>
        </w:rPr>
        <w:t>1993</w:t>
      </w:r>
      <w:r w:rsidR="001158D1">
        <w:rPr>
          <w:sz w:val="22"/>
          <w:szCs w:val="22"/>
        </w:rPr>
        <w:t>.</w:t>
      </w:r>
      <w:r w:rsidR="001158D1" w:rsidRPr="001158D1">
        <w:rPr>
          <w:sz w:val="22"/>
          <w:szCs w:val="22"/>
        </w:rPr>
        <w:t xml:space="preserve"> </w:t>
      </w:r>
      <w:r w:rsidR="001158D1">
        <w:rPr>
          <w:sz w:val="22"/>
          <w:szCs w:val="22"/>
        </w:rPr>
        <w:t>A</w:t>
      </w:r>
      <w:r w:rsidR="000F518B" w:rsidRPr="001158D1">
        <w:rPr>
          <w:sz w:val="22"/>
          <w:szCs w:val="22"/>
        </w:rPr>
        <w:t xml:space="preserve">penas um </w:t>
      </w:r>
      <w:r w:rsidR="001158D1">
        <w:rPr>
          <w:sz w:val="22"/>
          <w:szCs w:val="22"/>
        </w:rPr>
        <w:t>do</w:t>
      </w:r>
      <w:r w:rsidR="000F518B" w:rsidRPr="001158D1">
        <w:rPr>
          <w:sz w:val="22"/>
          <w:szCs w:val="22"/>
        </w:rPr>
        <w:t xml:space="preserve">s </w:t>
      </w:r>
      <w:r w:rsidR="001158D1">
        <w:rPr>
          <w:sz w:val="22"/>
          <w:szCs w:val="22"/>
        </w:rPr>
        <w:t xml:space="preserve">citados </w:t>
      </w:r>
      <w:r w:rsidR="000F518B" w:rsidRPr="001158D1">
        <w:rPr>
          <w:sz w:val="22"/>
          <w:szCs w:val="22"/>
        </w:rPr>
        <w:t>apresentou alegações de defesa, a partir das quais o relator, ao analisar, individualmente, a grav</w:t>
      </w:r>
      <w:r w:rsidR="00F66CB7">
        <w:rPr>
          <w:sz w:val="22"/>
          <w:szCs w:val="22"/>
        </w:rPr>
        <w:t>i</w:t>
      </w:r>
      <w:r w:rsidR="000F518B" w:rsidRPr="001158D1">
        <w:rPr>
          <w:sz w:val="22"/>
          <w:szCs w:val="22"/>
        </w:rPr>
        <w:t>dade das condutas, enfatizou que</w:t>
      </w:r>
      <w:r w:rsidR="00F66CB7">
        <w:rPr>
          <w:sz w:val="22"/>
          <w:szCs w:val="22"/>
        </w:rPr>
        <w:t>,</w:t>
      </w:r>
      <w:r w:rsidR="000F518B" w:rsidRPr="001158D1">
        <w:rPr>
          <w:sz w:val="22"/>
          <w:szCs w:val="22"/>
        </w:rPr>
        <w:t xml:space="preserve"> “</w:t>
      </w:r>
      <w:r w:rsidR="000F518B" w:rsidRPr="001158D1">
        <w:rPr>
          <w:i/>
          <w:sz w:val="22"/>
          <w:szCs w:val="22"/>
        </w:rPr>
        <w:t>muito embora</w:t>
      </w:r>
      <w:r w:rsidR="000F518B" w:rsidRPr="004E500E">
        <w:rPr>
          <w:i/>
          <w:sz w:val="22"/>
          <w:szCs w:val="22"/>
        </w:rPr>
        <w:t xml:space="preserve"> não se pudesse exigir desses gestores, na qualidade de membros</w:t>
      </w:r>
      <w:r w:rsidRPr="004E500E">
        <w:rPr>
          <w:i/>
          <w:sz w:val="22"/>
          <w:szCs w:val="22"/>
        </w:rPr>
        <w:t xml:space="preserve"> da CPL</w:t>
      </w:r>
      <w:r w:rsidR="000F518B" w:rsidRPr="004E500E">
        <w:rPr>
          <w:i/>
          <w:sz w:val="22"/>
          <w:szCs w:val="22"/>
        </w:rPr>
        <w:t>, a responsabilidade por atos relativos à elaboração do convite e de seus anexos, não se pode desconsiderar o fato de eles terem habilitado empresas que apresentaram documentação com prazo de validade expirado, pois, uma vez compondo o quorum da comissão, passavam a incidir sobre cada um deles responsabilidades inerentes à função, dentre elas a de verificar a regularidade da documentação apresentada pelos licitantes</w:t>
      </w:r>
      <w:r w:rsidR="000F518B" w:rsidRPr="004E500E">
        <w:rPr>
          <w:sz w:val="22"/>
          <w:szCs w:val="22"/>
        </w:rPr>
        <w:t>”. Todavia, deixou</w:t>
      </w:r>
      <w:r w:rsidRPr="004E500E">
        <w:rPr>
          <w:sz w:val="22"/>
          <w:szCs w:val="22"/>
        </w:rPr>
        <w:t xml:space="preserve"> o relator</w:t>
      </w:r>
      <w:r w:rsidR="000F518B" w:rsidRPr="004E500E">
        <w:rPr>
          <w:sz w:val="22"/>
          <w:szCs w:val="22"/>
        </w:rPr>
        <w:t xml:space="preserve"> de propor aplicação de sanç</w:t>
      </w:r>
      <w:r w:rsidR="00F66CB7">
        <w:rPr>
          <w:sz w:val="22"/>
          <w:szCs w:val="22"/>
        </w:rPr>
        <w:t>ão</w:t>
      </w:r>
      <w:r w:rsidR="000F518B" w:rsidRPr="004E500E">
        <w:rPr>
          <w:sz w:val="22"/>
          <w:szCs w:val="22"/>
        </w:rPr>
        <w:t xml:space="preserve"> a um dos ex-membros da CPL, </w:t>
      </w:r>
      <w:r w:rsidR="00B64935">
        <w:rPr>
          <w:sz w:val="22"/>
          <w:szCs w:val="22"/>
        </w:rPr>
        <w:t>eis que</w:t>
      </w:r>
      <w:r w:rsidR="000F518B" w:rsidRPr="004E500E">
        <w:rPr>
          <w:sz w:val="22"/>
          <w:szCs w:val="22"/>
        </w:rPr>
        <w:t xml:space="preserve"> responsável por apenas uma das nove irregularidades examinadas, sendo esta, </w:t>
      </w:r>
      <w:r w:rsidRPr="004E500E">
        <w:rPr>
          <w:sz w:val="22"/>
          <w:szCs w:val="22"/>
        </w:rPr>
        <w:t xml:space="preserve">ainda conforme </w:t>
      </w:r>
      <w:r w:rsidR="000F518B" w:rsidRPr="004E500E">
        <w:rPr>
          <w:sz w:val="22"/>
          <w:szCs w:val="22"/>
        </w:rPr>
        <w:t>o relator, de menor gravidade. Quanto aos outros dois ex-membros da CPL, entendeu que, pela conduta observada, deveriam ter suas contas julgadas irregulares</w:t>
      </w:r>
      <w:r w:rsidR="00B64935">
        <w:rPr>
          <w:sz w:val="22"/>
          <w:szCs w:val="22"/>
        </w:rPr>
        <w:t xml:space="preserve"> e</w:t>
      </w:r>
      <w:r w:rsidRPr="004E500E">
        <w:rPr>
          <w:sz w:val="22"/>
          <w:szCs w:val="22"/>
        </w:rPr>
        <w:t xml:space="preserve"> </w:t>
      </w:r>
      <w:r w:rsidR="00B64935">
        <w:rPr>
          <w:sz w:val="22"/>
          <w:szCs w:val="22"/>
        </w:rPr>
        <w:t xml:space="preserve">ser </w:t>
      </w:r>
      <w:r w:rsidR="000F518B" w:rsidRPr="004E500E">
        <w:rPr>
          <w:sz w:val="22"/>
          <w:szCs w:val="22"/>
        </w:rPr>
        <w:t xml:space="preserve">apenados com multa, </w:t>
      </w:r>
      <w:r w:rsidR="00F66CB7">
        <w:rPr>
          <w:sz w:val="22"/>
          <w:szCs w:val="22"/>
        </w:rPr>
        <w:t>o que foi acolhido pelo</w:t>
      </w:r>
      <w:r w:rsidR="000F518B" w:rsidRPr="004E500E">
        <w:rPr>
          <w:sz w:val="22"/>
          <w:szCs w:val="22"/>
        </w:rPr>
        <w:t xml:space="preserve"> Colegiado. </w:t>
      </w:r>
      <w:r w:rsidR="000F518B" w:rsidRPr="004E500E">
        <w:rPr>
          <w:b/>
          <w:i/>
          <w:sz w:val="22"/>
          <w:szCs w:val="22"/>
        </w:rPr>
        <w:t>Acórdão n.º 6802/2010-2ª Câmara, TC-015.303/2004-8, rel. Min. André Luís de Carvalho, 16.11.2010</w:t>
      </w:r>
      <w:r w:rsidR="000F518B" w:rsidRPr="004E500E">
        <w:rPr>
          <w:sz w:val="22"/>
          <w:szCs w:val="22"/>
        </w:rPr>
        <w:t>.</w:t>
      </w:r>
    </w:p>
    <w:p w:rsidR="000F518B" w:rsidRPr="000F518B" w:rsidRDefault="000F518B" w:rsidP="000F518B">
      <w:pPr>
        <w:pStyle w:val="TCU-Epgrafe"/>
        <w:tabs>
          <w:tab w:val="left" w:pos="1134"/>
        </w:tabs>
        <w:ind w:left="0"/>
        <w:rPr>
          <w:sz w:val="22"/>
          <w:szCs w:val="22"/>
        </w:rPr>
      </w:pPr>
    </w:p>
    <w:p w:rsidR="000F518B" w:rsidRPr="007C2A55" w:rsidRDefault="007C2A55" w:rsidP="000F518B">
      <w:pPr>
        <w:pStyle w:val="Pargrafo"/>
        <w:jc w:val="both"/>
        <w:rPr>
          <w:b/>
          <w:sz w:val="22"/>
          <w:szCs w:val="22"/>
        </w:rPr>
      </w:pPr>
      <w:r w:rsidRPr="007C2A55">
        <w:rPr>
          <w:b/>
          <w:sz w:val="22"/>
          <w:szCs w:val="22"/>
        </w:rPr>
        <w:t>A inexigibilidade de licitação em razão de fornecedor exclusivo não exime a Administração Pública do dever de justificar o preço contratado</w:t>
      </w:r>
    </w:p>
    <w:p w:rsidR="000F518B" w:rsidRPr="000F518B" w:rsidRDefault="000F518B" w:rsidP="000F518B">
      <w:pPr>
        <w:pStyle w:val="TCU-Epgrafe"/>
        <w:tabs>
          <w:tab w:val="left" w:pos="1134"/>
        </w:tabs>
        <w:ind w:left="0"/>
        <w:rPr>
          <w:sz w:val="22"/>
          <w:szCs w:val="22"/>
        </w:rPr>
      </w:pPr>
      <w:r w:rsidRPr="000F518B">
        <w:rPr>
          <w:sz w:val="22"/>
          <w:szCs w:val="22"/>
        </w:rPr>
        <w:t xml:space="preserve">Em sede de tomada de contas especial, restaram configuradas </w:t>
      </w:r>
      <w:r w:rsidR="004E500E">
        <w:rPr>
          <w:sz w:val="22"/>
          <w:szCs w:val="22"/>
        </w:rPr>
        <w:t xml:space="preserve">possíveis </w:t>
      </w:r>
      <w:r w:rsidRPr="000F518B">
        <w:rPr>
          <w:sz w:val="22"/>
          <w:szCs w:val="22"/>
        </w:rPr>
        <w:t xml:space="preserve">irregularidades no âmbito </w:t>
      </w:r>
      <w:r w:rsidR="00F7214D">
        <w:rPr>
          <w:sz w:val="22"/>
          <w:szCs w:val="22"/>
        </w:rPr>
        <w:t xml:space="preserve">da </w:t>
      </w:r>
      <w:r w:rsidRPr="000F518B">
        <w:rPr>
          <w:sz w:val="22"/>
          <w:szCs w:val="22"/>
        </w:rPr>
        <w:t xml:space="preserve">Secretaria de Educação e Cultura do Estado do Tocantins </w:t>
      </w:r>
      <w:r w:rsidR="00F7214D">
        <w:rPr>
          <w:sz w:val="22"/>
          <w:szCs w:val="22"/>
        </w:rPr>
        <w:t>(</w:t>
      </w:r>
      <w:r w:rsidRPr="000F518B">
        <w:rPr>
          <w:sz w:val="22"/>
          <w:szCs w:val="22"/>
        </w:rPr>
        <w:t>Seduc/TO</w:t>
      </w:r>
      <w:r w:rsidR="00F7214D">
        <w:rPr>
          <w:sz w:val="22"/>
          <w:szCs w:val="22"/>
        </w:rPr>
        <w:t>)</w:t>
      </w:r>
      <w:r w:rsidRPr="000F518B">
        <w:rPr>
          <w:sz w:val="22"/>
          <w:szCs w:val="22"/>
        </w:rPr>
        <w:t xml:space="preserve">, no exercício de 2003, notadamente no que se refere à aquisição de material didático </w:t>
      </w:r>
      <w:r w:rsidR="00F7214D">
        <w:rPr>
          <w:sz w:val="22"/>
          <w:szCs w:val="22"/>
        </w:rPr>
        <w:t xml:space="preserve">– </w:t>
      </w:r>
      <w:r w:rsidRPr="000F518B">
        <w:rPr>
          <w:sz w:val="22"/>
          <w:szCs w:val="22"/>
        </w:rPr>
        <w:t xml:space="preserve">com recursos federais oriundos do Programa de Apoio aos Sistemas de Ensino para Atendimento à Educação de Jovens e Adultos </w:t>
      </w:r>
      <w:r w:rsidR="00F7214D">
        <w:rPr>
          <w:sz w:val="22"/>
          <w:szCs w:val="22"/>
        </w:rPr>
        <w:t>(</w:t>
      </w:r>
      <w:r w:rsidRPr="000F518B">
        <w:rPr>
          <w:sz w:val="22"/>
          <w:szCs w:val="22"/>
        </w:rPr>
        <w:t>PEJA</w:t>
      </w:r>
      <w:r w:rsidR="00F7214D">
        <w:rPr>
          <w:sz w:val="22"/>
          <w:szCs w:val="22"/>
        </w:rPr>
        <w:t>) – por</w:t>
      </w:r>
      <w:r w:rsidR="004E500E">
        <w:rPr>
          <w:sz w:val="22"/>
          <w:szCs w:val="22"/>
        </w:rPr>
        <w:t xml:space="preserve"> inexigibilidade de licitação, com base no art. 25, inc. I, da Lei 8.666/1993 (fornecedor exclusivo). </w:t>
      </w:r>
      <w:r w:rsidRPr="000F518B">
        <w:rPr>
          <w:sz w:val="22"/>
          <w:szCs w:val="22"/>
        </w:rPr>
        <w:t>O relator, a despeito de entender não haver irregularidade na aquisição de livros por inexigibilidade de licitação</w:t>
      </w:r>
      <w:r w:rsidR="004E500E">
        <w:rPr>
          <w:sz w:val="22"/>
          <w:szCs w:val="22"/>
        </w:rPr>
        <w:t xml:space="preserve"> com base no fundamento legal utilizado</w:t>
      </w:r>
      <w:r w:rsidRPr="000F518B">
        <w:rPr>
          <w:sz w:val="22"/>
          <w:szCs w:val="22"/>
        </w:rPr>
        <w:t>, ressaltou que “</w:t>
      </w:r>
      <w:r w:rsidRPr="000F518B">
        <w:rPr>
          <w:i/>
          <w:sz w:val="22"/>
          <w:szCs w:val="22"/>
        </w:rPr>
        <w:t>tal condição não é suficiente para dispensar o gestor da justificativa para os preços contratados</w:t>
      </w:r>
      <w:r w:rsidRPr="000F518B">
        <w:rPr>
          <w:sz w:val="22"/>
          <w:szCs w:val="22"/>
        </w:rPr>
        <w:t>”, em face do que determina o art. 26, inciso III, do mesmo diploma legal. Para ele, “</w:t>
      </w:r>
      <w:r w:rsidRPr="000F518B">
        <w:rPr>
          <w:i/>
          <w:sz w:val="22"/>
          <w:szCs w:val="22"/>
        </w:rPr>
        <w:t>apesar de os fornecedores de material didático terem sido contratados em função de exclusividade relativa, nada impedia a Seduc/TO de efetuar pesquisa de preços em outras praças, ou até mesmo em outros órgãos públicos, já que os livros adquiridos no âmbito do mencionado programa educacional têm distribuição em todo o território nacional. E, nesse sentido, cai por terra a argumentação apresentada pelos defendentes de que a mera exclusividade do fornecedor constituiria obstáculo à realização de tal pesquisa</w:t>
      </w:r>
      <w:r w:rsidRPr="000F518B">
        <w:rPr>
          <w:sz w:val="22"/>
          <w:szCs w:val="22"/>
        </w:rPr>
        <w:t xml:space="preserve">”. Desse modo, </w:t>
      </w:r>
      <w:r w:rsidR="00F7214D">
        <w:rPr>
          <w:sz w:val="22"/>
          <w:szCs w:val="22"/>
        </w:rPr>
        <w:t xml:space="preserve">o relator </w:t>
      </w:r>
      <w:r w:rsidRPr="000F518B">
        <w:rPr>
          <w:sz w:val="22"/>
          <w:szCs w:val="22"/>
        </w:rPr>
        <w:t xml:space="preserve">propôs a irregularidade das contas dos gestores envolvidos, bem </w:t>
      </w:r>
      <w:r w:rsidR="00F7214D">
        <w:rPr>
          <w:sz w:val="22"/>
          <w:szCs w:val="22"/>
        </w:rPr>
        <w:t xml:space="preserve">como a </w:t>
      </w:r>
      <w:r w:rsidRPr="000F518B">
        <w:rPr>
          <w:sz w:val="22"/>
          <w:szCs w:val="22"/>
        </w:rPr>
        <w:t xml:space="preserve">aplicação de multa, o que contou com a anuência do </w:t>
      </w:r>
      <w:r w:rsidR="00F7214D">
        <w:rPr>
          <w:sz w:val="22"/>
          <w:szCs w:val="22"/>
        </w:rPr>
        <w:t>C</w:t>
      </w:r>
      <w:r w:rsidRPr="000F518B">
        <w:rPr>
          <w:sz w:val="22"/>
          <w:szCs w:val="22"/>
        </w:rPr>
        <w:t xml:space="preserve">olegiado. </w:t>
      </w:r>
      <w:r w:rsidRPr="000F518B">
        <w:rPr>
          <w:b/>
          <w:i/>
          <w:sz w:val="22"/>
          <w:szCs w:val="22"/>
        </w:rPr>
        <w:t>Acórdão n.º 6803/2010-2ª Câmara, TC-020.500/2006-4, rel. Min. André Luís de Carvalho, 16.11.2010</w:t>
      </w:r>
      <w:r w:rsidRPr="000F518B">
        <w:rPr>
          <w:sz w:val="22"/>
          <w:szCs w:val="22"/>
        </w:rPr>
        <w:t>.</w:t>
      </w:r>
    </w:p>
    <w:p w:rsidR="0055716D" w:rsidRPr="007C2A55" w:rsidRDefault="0055716D" w:rsidP="007C2A55">
      <w:pPr>
        <w:pStyle w:val="enter-3pt"/>
        <w:spacing w:line="240" w:lineRule="auto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1"/>
      </w:tblGrid>
      <w:tr w:rsidR="00BE6A12" w:rsidRPr="007C2A55" w:rsidTr="007E60D5">
        <w:trPr>
          <w:trHeight w:val="779"/>
          <w:jc w:val="center"/>
        </w:trPr>
        <w:tc>
          <w:tcPr>
            <w:tcW w:w="0" w:type="auto"/>
            <w:vAlign w:val="center"/>
          </w:tcPr>
          <w:p w:rsidR="00BE6A12" w:rsidRPr="007C2A55" w:rsidRDefault="00BE6A12" w:rsidP="007E60D5">
            <w:pPr>
              <w:pStyle w:val="enter-3pt"/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7C2A55">
              <w:rPr>
                <w:b/>
                <w:i/>
                <w:sz w:val="18"/>
                <w:szCs w:val="18"/>
              </w:rPr>
              <w:t>Responsáveis pelo Informativo:</w:t>
            </w:r>
          </w:p>
          <w:p w:rsidR="00BE6A12" w:rsidRPr="007C2A55" w:rsidRDefault="00BE6A12" w:rsidP="007E60D5">
            <w:pPr>
              <w:pStyle w:val="enter-3pt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7C2A55">
              <w:rPr>
                <w:b/>
                <w:i/>
                <w:sz w:val="18"/>
                <w:szCs w:val="18"/>
              </w:rPr>
              <w:t>Elaboração:</w:t>
            </w:r>
            <w:r w:rsidRPr="007C2A55">
              <w:rPr>
                <w:i/>
                <w:sz w:val="18"/>
                <w:szCs w:val="18"/>
              </w:rPr>
              <w:t xml:space="preserve"> Sandro Henrique Maciel Bernardes, Assessor em substituição da Secretaria das Sessões</w:t>
            </w:r>
            <w:r w:rsidR="001158D1" w:rsidRPr="007C2A55">
              <w:rPr>
                <w:i/>
                <w:sz w:val="18"/>
                <w:szCs w:val="18"/>
              </w:rPr>
              <w:t>.</w:t>
            </w:r>
          </w:p>
          <w:p w:rsidR="001158D1" w:rsidRPr="007C2A55" w:rsidRDefault="001158D1" w:rsidP="001158D1">
            <w:pPr>
              <w:pStyle w:val="enter-3pt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7C2A55">
              <w:rPr>
                <w:b/>
                <w:i/>
                <w:sz w:val="18"/>
                <w:szCs w:val="18"/>
              </w:rPr>
              <w:t>Revisão:</w:t>
            </w:r>
            <w:r w:rsidRPr="007C2A55">
              <w:rPr>
                <w:i/>
                <w:sz w:val="18"/>
                <w:szCs w:val="18"/>
              </w:rPr>
              <w:t xml:space="preserve"> Odilon Cavallari de Oliveira, Secretário das Sessões.</w:t>
            </w:r>
          </w:p>
          <w:p w:rsidR="00BE6A12" w:rsidRPr="007C2A55" w:rsidRDefault="00BE6A12" w:rsidP="007E60D5">
            <w:pPr>
              <w:pStyle w:val="enter-3pt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7C2A55">
              <w:rPr>
                <w:b/>
                <w:i/>
                <w:sz w:val="18"/>
                <w:szCs w:val="18"/>
              </w:rPr>
              <w:t xml:space="preserve">Contato: </w:t>
            </w:r>
            <w:hyperlink r:id="rId7" w:history="1">
              <w:r w:rsidRPr="007C2A55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BE6A12" w:rsidRPr="007C2A55" w:rsidRDefault="00BE6A12" w:rsidP="00BE6A12">
      <w:pPr>
        <w:pStyle w:val="enter-3pt"/>
        <w:spacing w:line="240" w:lineRule="auto"/>
        <w:jc w:val="center"/>
        <w:rPr>
          <w:b/>
          <w:sz w:val="22"/>
          <w:szCs w:val="22"/>
        </w:rPr>
      </w:pPr>
    </w:p>
    <w:sectPr w:rsidR="00BE6A12" w:rsidRPr="007C2A55" w:rsidSect="00337E16">
      <w:headerReference w:type="default" r:id="rId8"/>
      <w:footerReference w:type="default" r:id="rId9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D3" w:rsidRDefault="003563D3" w:rsidP="008B0547">
      <w:pPr>
        <w:spacing w:after="0"/>
      </w:pPr>
      <w:r>
        <w:separator/>
      </w:r>
    </w:p>
  </w:endnote>
  <w:endnote w:type="continuationSeparator" w:id="0">
    <w:p w:rsidR="003563D3" w:rsidRDefault="003563D3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Pr="00C906CD" w:rsidRDefault="00C906CD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0C744F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D3" w:rsidRDefault="003563D3" w:rsidP="008B0547">
      <w:pPr>
        <w:spacing w:after="0"/>
      </w:pPr>
      <w:r>
        <w:separator/>
      </w:r>
    </w:p>
  </w:footnote>
  <w:footnote w:type="continuationSeparator" w:id="0">
    <w:p w:rsidR="003563D3" w:rsidRDefault="003563D3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Default="002A0FAE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547">
      <w:rPr>
        <w:rFonts w:ascii="Arial" w:hAnsi="Arial" w:cs="Arial"/>
        <w:b/>
      </w:rPr>
      <w:t>TRIBUNAL DE CONTAS DA UNIÃO</w:t>
    </w:r>
  </w:p>
  <w:p w:rsidR="008B0547" w:rsidRPr="00515E7B" w:rsidRDefault="002A0FAE" w:rsidP="00080148">
    <w:pPr>
      <w:spacing w:after="0"/>
      <w:rPr>
        <w:rFonts w:ascii="Arial" w:hAnsi="Arial" w:cs="Arial"/>
        <w:b/>
      </w:rPr>
    </w:pPr>
    <w:r w:rsidRPr="00515E7B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D504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TIwZ&#10;YtsAAAAHAQAADwAAAAAAAAAAAAAAAABrBAAAZHJzL2Rvd25yZXYueG1sUEsFBgAAAAAEAAQA8wAA&#10;AHMFAAAAAA==&#10;">
              <w10:wrap anchorx="margin"/>
            </v:line>
          </w:pict>
        </mc:Fallback>
      </mc:AlternateContent>
    </w:r>
    <w:r w:rsidR="00515E7B" w:rsidRPr="00515E7B">
      <w:rPr>
        <w:rFonts w:ascii="Arial" w:hAnsi="Arial" w:cs="Arial"/>
        <w:noProof/>
        <w:lang w:eastAsia="pt-BR"/>
      </w:rPr>
      <w:t>Info</w:t>
    </w:r>
    <w:r w:rsidR="006F4DE0">
      <w:rPr>
        <w:rFonts w:ascii="Arial" w:hAnsi="Arial" w:cs="Arial"/>
        <w:noProof/>
        <w:lang w:eastAsia="pt-BR"/>
      </w:rPr>
      <w:t>rmativo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de Jurisprudência sobre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L</w:t>
    </w:r>
    <w:r w:rsidR="00515E7B" w:rsidRPr="00515E7B">
      <w:rPr>
        <w:rFonts w:ascii="Arial" w:hAnsi="Arial" w:cs="Arial"/>
        <w:noProof/>
        <w:lang w:eastAsia="pt-BR"/>
      </w:rPr>
      <w:t xml:space="preserve">icitações e </w:t>
    </w:r>
    <w:r w:rsidR="002810D9">
      <w:rPr>
        <w:rFonts w:ascii="Arial" w:hAnsi="Arial" w:cs="Arial"/>
        <w:noProof/>
        <w:lang w:eastAsia="pt-BR"/>
      </w:rPr>
      <w:t>C</w:t>
    </w:r>
    <w:r w:rsidR="00515E7B" w:rsidRPr="00515E7B">
      <w:rPr>
        <w:rFonts w:ascii="Arial" w:hAnsi="Arial" w:cs="Arial"/>
        <w:noProof/>
        <w:lang w:eastAsia="pt-BR"/>
      </w:rPr>
      <w:t>ontratos</w:t>
    </w:r>
    <w:r w:rsidR="00FF7C62">
      <w:rPr>
        <w:rFonts w:ascii="Arial" w:hAnsi="Arial" w:cs="Arial"/>
        <w:noProof/>
        <w:lang w:eastAsia="pt-BR"/>
      </w:rPr>
      <w:t xml:space="preserve"> nº </w:t>
    </w:r>
    <w:r w:rsidR="004B6B81">
      <w:rPr>
        <w:rFonts w:ascii="Arial" w:hAnsi="Arial" w:cs="Arial"/>
        <w:noProof/>
        <w:lang w:eastAsia="pt-BR"/>
      </w:rPr>
      <w:t>4</w:t>
    </w:r>
    <w:r w:rsidR="000C3861">
      <w:rPr>
        <w:rFonts w:ascii="Arial" w:hAnsi="Arial" w:cs="Arial"/>
        <w:noProof/>
        <w:lang w:eastAsia="pt-BR"/>
      </w:rPr>
      <w:t>3</w:t>
    </w:r>
  </w:p>
  <w:p w:rsidR="008B0547" w:rsidRDefault="008B05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8010A"/>
    <w:multiLevelType w:val="hybridMultilevel"/>
    <w:tmpl w:val="087E3884"/>
    <w:lvl w:ilvl="0" w:tplc="D81EB728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3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9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9282D4B"/>
    <w:multiLevelType w:val="hybridMultilevel"/>
    <w:tmpl w:val="FA9E460C"/>
    <w:lvl w:ilvl="0" w:tplc="8C3C7376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17"/>
  </w:num>
  <w:num w:numId="8">
    <w:abstractNumId w:val="15"/>
  </w:num>
  <w:num w:numId="9">
    <w:abstractNumId w:val="12"/>
  </w:num>
  <w:num w:numId="10">
    <w:abstractNumId w:val="4"/>
  </w:num>
  <w:num w:numId="11">
    <w:abstractNumId w:val="18"/>
  </w:num>
  <w:num w:numId="12">
    <w:abstractNumId w:val="3"/>
  </w:num>
  <w:num w:numId="13">
    <w:abstractNumId w:val="9"/>
  </w:num>
  <w:num w:numId="14">
    <w:abstractNumId w:val="16"/>
  </w:num>
  <w:num w:numId="15">
    <w:abstractNumId w:val="8"/>
  </w:num>
  <w:num w:numId="16">
    <w:abstractNumId w:val="1"/>
  </w:num>
  <w:num w:numId="17">
    <w:abstractNumId w:val="7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605"/>
    <w:rsid w:val="00000865"/>
    <w:rsid w:val="00003CEA"/>
    <w:rsid w:val="00004614"/>
    <w:rsid w:val="00004ED4"/>
    <w:rsid w:val="00005435"/>
    <w:rsid w:val="00005E1E"/>
    <w:rsid w:val="00012468"/>
    <w:rsid w:val="0001636D"/>
    <w:rsid w:val="00021211"/>
    <w:rsid w:val="00023D72"/>
    <w:rsid w:val="00026EA5"/>
    <w:rsid w:val="000271FA"/>
    <w:rsid w:val="00032198"/>
    <w:rsid w:val="000411E4"/>
    <w:rsid w:val="00041450"/>
    <w:rsid w:val="0004660A"/>
    <w:rsid w:val="0005011C"/>
    <w:rsid w:val="00051442"/>
    <w:rsid w:val="00052B15"/>
    <w:rsid w:val="00054432"/>
    <w:rsid w:val="000562CD"/>
    <w:rsid w:val="00056D51"/>
    <w:rsid w:val="0006028E"/>
    <w:rsid w:val="000607C4"/>
    <w:rsid w:val="00061C2E"/>
    <w:rsid w:val="0006274B"/>
    <w:rsid w:val="00065E95"/>
    <w:rsid w:val="00066F28"/>
    <w:rsid w:val="000673A2"/>
    <w:rsid w:val="00073D80"/>
    <w:rsid w:val="00080148"/>
    <w:rsid w:val="00084727"/>
    <w:rsid w:val="0009133A"/>
    <w:rsid w:val="00092C2E"/>
    <w:rsid w:val="000A2C56"/>
    <w:rsid w:val="000B0ECB"/>
    <w:rsid w:val="000B0FEA"/>
    <w:rsid w:val="000B2AFA"/>
    <w:rsid w:val="000C3861"/>
    <w:rsid w:val="000C744F"/>
    <w:rsid w:val="000D1FD7"/>
    <w:rsid w:val="000D6418"/>
    <w:rsid w:val="000D680E"/>
    <w:rsid w:val="000D7DB6"/>
    <w:rsid w:val="000D7DED"/>
    <w:rsid w:val="000E29D6"/>
    <w:rsid w:val="000E3B31"/>
    <w:rsid w:val="000E63B7"/>
    <w:rsid w:val="000E6BB3"/>
    <w:rsid w:val="000F518B"/>
    <w:rsid w:val="000F6D85"/>
    <w:rsid w:val="000F7CEE"/>
    <w:rsid w:val="00105847"/>
    <w:rsid w:val="001104BA"/>
    <w:rsid w:val="001116C2"/>
    <w:rsid w:val="00112676"/>
    <w:rsid w:val="0011373A"/>
    <w:rsid w:val="00113987"/>
    <w:rsid w:val="00114511"/>
    <w:rsid w:val="001149CE"/>
    <w:rsid w:val="001158D1"/>
    <w:rsid w:val="00124350"/>
    <w:rsid w:val="00125BF0"/>
    <w:rsid w:val="00126026"/>
    <w:rsid w:val="00133EA9"/>
    <w:rsid w:val="00141D7A"/>
    <w:rsid w:val="001420D1"/>
    <w:rsid w:val="001444A2"/>
    <w:rsid w:val="00151F92"/>
    <w:rsid w:val="0015258E"/>
    <w:rsid w:val="00152ECC"/>
    <w:rsid w:val="001532E4"/>
    <w:rsid w:val="00156995"/>
    <w:rsid w:val="00156A48"/>
    <w:rsid w:val="00157AFE"/>
    <w:rsid w:val="00157C0F"/>
    <w:rsid w:val="00172915"/>
    <w:rsid w:val="001744E7"/>
    <w:rsid w:val="00176375"/>
    <w:rsid w:val="00177900"/>
    <w:rsid w:val="00191894"/>
    <w:rsid w:val="001922E8"/>
    <w:rsid w:val="001A330B"/>
    <w:rsid w:val="001A60A2"/>
    <w:rsid w:val="001B0889"/>
    <w:rsid w:val="001B32E8"/>
    <w:rsid w:val="001B3E8E"/>
    <w:rsid w:val="001B452D"/>
    <w:rsid w:val="001B4F90"/>
    <w:rsid w:val="001C0575"/>
    <w:rsid w:val="001C437E"/>
    <w:rsid w:val="001D03C7"/>
    <w:rsid w:val="001D1478"/>
    <w:rsid w:val="001D74CE"/>
    <w:rsid w:val="001E0BF1"/>
    <w:rsid w:val="001E1E28"/>
    <w:rsid w:val="001E2620"/>
    <w:rsid w:val="001E4147"/>
    <w:rsid w:val="001E6F03"/>
    <w:rsid w:val="001E7C3D"/>
    <w:rsid w:val="001F00DF"/>
    <w:rsid w:val="001F30A9"/>
    <w:rsid w:val="002002CE"/>
    <w:rsid w:val="0020066F"/>
    <w:rsid w:val="00203A6F"/>
    <w:rsid w:val="00207B22"/>
    <w:rsid w:val="00211816"/>
    <w:rsid w:val="00211E33"/>
    <w:rsid w:val="00215DFA"/>
    <w:rsid w:val="00226D9D"/>
    <w:rsid w:val="00232158"/>
    <w:rsid w:val="002328F9"/>
    <w:rsid w:val="00233CE3"/>
    <w:rsid w:val="00237A1C"/>
    <w:rsid w:val="0024146C"/>
    <w:rsid w:val="0024593F"/>
    <w:rsid w:val="002476B6"/>
    <w:rsid w:val="002522F9"/>
    <w:rsid w:val="00252623"/>
    <w:rsid w:val="00253470"/>
    <w:rsid w:val="00254590"/>
    <w:rsid w:val="0026362E"/>
    <w:rsid w:val="002649A7"/>
    <w:rsid w:val="00265B6F"/>
    <w:rsid w:val="002663B7"/>
    <w:rsid w:val="00271D81"/>
    <w:rsid w:val="00273E72"/>
    <w:rsid w:val="00274E13"/>
    <w:rsid w:val="00276751"/>
    <w:rsid w:val="00276DC0"/>
    <w:rsid w:val="00277EF9"/>
    <w:rsid w:val="002810D9"/>
    <w:rsid w:val="00281830"/>
    <w:rsid w:val="0029043B"/>
    <w:rsid w:val="00290A06"/>
    <w:rsid w:val="0029211E"/>
    <w:rsid w:val="0029450E"/>
    <w:rsid w:val="002A0F56"/>
    <w:rsid w:val="002A0FAE"/>
    <w:rsid w:val="002A190F"/>
    <w:rsid w:val="002A3B3F"/>
    <w:rsid w:val="002A6BDE"/>
    <w:rsid w:val="002B52E8"/>
    <w:rsid w:val="002B71BA"/>
    <w:rsid w:val="002C7039"/>
    <w:rsid w:val="002C7B61"/>
    <w:rsid w:val="002C7B6D"/>
    <w:rsid w:val="002C7EF7"/>
    <w:rsid w:val="002D0768"/>
    <w:rsid w:val="002D314E"/>
    <w:rsid w:val="002D35F5"/>
    <w:rsid w:val="002D47FE"/>
    <w:rsid w:val="002D739A"/>
    <w:rsid w:val="002D76AB"/>
    <w:rsid w:val="002E3028"/>
    <w:rsid w:val="002E361C"/>
    <w:rsid w:val="002E3943"/>
    <w:rsid w:val="002E4254"/>
    <w:rsid w:val="002F1E15"/>
    <w:rsid w:val="002F2FE7"/>
    <w:rsid w:val="002F5F3B"/>
    <w:rsid w:val="002F693C"/>
    <w:rsid w:val="003020F4"/>
    <w:rsid w:val="00304A73"/>
    <w:rsid w:val="003069F9"/>
    <w:rsid w:val="003077BE"/>
    <w:rsid w:val="00310208"/>
    <w:rsid w:val="0031058F"/>
    <w:rsid w:val="0031089E"/>
    <w:rsid w:val="00310D69"/>
    <w:rsid w:val="003147B7"/>
    <w:rsid w:val="003173AA"/>
    <w:rsid w:val="00317CF4"/>
    <w:rsid w:val="00317E59"/>
    <w:rsid w:val="00322AE7"/>
    <w:rsid w:val="003275E4"/>
    <w:rsid w:val="00337E16"/>
    <w:rsid w:val="00340E66"/>
    <w:rsid w:val="00340F10"/>
    <w:rsid w:val="0034486B"/>
    <w:rsid w:val="00344D92"/>
    <w:rsid w:val="003455A2"/>
    <w:rsid w:val="00350394"/>
    <w:rsid w:val="00350E87"/>
    <w:rsid w:val="00353B7C"/>
    <w:rsid w:val="0035438E"/>
    <w:rsid w:val="003549D1"/>
    <w:rsid w:val="00355373"/>
    <w:rsid w:val="00355828"/>
    <w:rsid w:val="003563D3"/>
    <w:rsid w:val="00357CBE"/>
    <w:rsid w:val="00361661"/>
    <w:rsid w:val="00377522"/>
    <w:rsid w:val="003824E4"/>
    <w:rsid w:val="00385DAB"/>
    <w:rsid w:val="0038696B"/>
    <w:rsid w:val="00392509"/>
    <w:rsid w:val="003943E5"/>
    <w:rsid w:val="0039686C"/>
    <w:rsid w:val="00397D8E"/>
    <w:rsid w:val="003A2222"/>
    <w:rsid w:val="003A5479"/>
    <w:rsid w:val="003A5C1B"/>
    <w:rsid w:val="003A7C7F"/>
    <w:rsid w:val="003B0304"/>
    <w:rsid w:val="003B043F"/>
    <w:rsid w:val="003B1BE7"/>
    <w:rsid w:val="003B2E10"/>
    <w:rsid w:val="003B33CE"/>
    <w:rsid w:val="003B343D"/>
    <w:rsid w:val="003B56D7"/>
    <w:rsid w:val="003B5F82"/>
    <w:rsid w:val="003B7746"/>
    <w:rsid w:val="003C1588"/>
    <w:rsid w:val="003C1B4F"/>
    <w:rsid w:val="003C2288"/>
    <w:rsid w:val="003C2D50"/>
    <w:rsid w:val="003C6DEB"/>
    <w:rsid w:val="003C7A5C"/>
    <w:rsid w:val="003D3B68"/>
    <w:rsid w:val="003D73BD"/>
    <w:rsid w:val="003D7CCE"/>
    <w:rsid w:val="003E1B68"/>
    <w:rsid w:val="003E65D7"/>
    <w:rsid w:val="003E7E96"/>
    <w:rsid w:val="003F413A"/>
    <w:rsid w:val="003F54FB"/>
    <w:rsid w:val="003F6D1F"/>
    <w:rsid w:val="00401539"/>
    <w:rsid w:val="00411094"/>
    <w:rsid w:val="004110E3"/>
    <w:rsid w:val="0041493F"/>
    <w:rsid w:val="004169D8"/>
    <w:rsid w:val="00417586"/>
    <w:rsid w:val="004201AF"/>
    <w:rsid w:val="00425FF9"/>
    <w:rsid w:val="00427105"/>
    <w:rsid w:val="0042756B"/>
    <w:rsid w:val="00427B3B"/>
    <w:rsid w:val="00427EBF"/>
    <w:rsid w:val="00432585"/>
    <w:rsid w:val="004362AB"/>
    <w:rsid w:val="004362F5"/>
    <w:rsid w:val="004415FB"/>
    <w:rsid w:val="00441CE3"/>
    <w:rsid w:val="0044434A"/>
    <w:rsid w:val="00445E76"/>
    <w:rsid w:val="00452C60"/>
    <w:rsid w:val="0046384E"/>
    <w:rsid w:val="00463F17"/>
    <w:rsid w:val="0046706B"/>
    <w:rsid w:val="0046754E"/>
    <w:rsid w:val="00471284"/>
    <w:rsid w:val="00473696"/>
    <w:rsid w:val="0047491E"/>
    <w:rsid w:val="004837C6"/>
    <w:rsid w:val="00483998"/>
    <w:rsid w:val="00484E4C"/>
    <w:rsid w:val="004906BD"/>
    <w:rsid w:val="00491438"/>
    <w:rsid w:val="00492D23"/>
    <w:rsid w:val="00492E3F"/>
    <w:rsid w:val="00493F5C"/>
    <w:rsid w:val="004A171B"/>
    <w:rsid w:val="004B1DC3"/>
    <w:rsid w:val="004B6B81"/>
    <w:rsid w:val="004C1DE4"/>
    <w:rsid w:val="004C2755"/>
    <w:rsid w:val="004C51D4"/>
    <w:rsid w:val="004C5FF6"/>
    <w:rsid w:val="004C780C"/>
    <w:rsid w:val="004D5460"/>
    <w:rsid w:val="004D708E"/>
    <w:rsid w:val="004E254C"/>
    <w:rsid w:val="004E357A"/>
    <w:rsid w:val="004E500E"/>
    <w:rsid w:val="004E65EB"/>
    <w:rsid w:val="004F5666"/>
    <w:rsid w:val="004F7174"/>
    <w:rsid w:val="0050355D"/>
    <w:rsid w:val="005055B5"/>
    <w:rsid w:val="00511BBF"/>
    <w:rsid w:val="00515E7B"/>
    <w:rsid w:val="005217F8"/>
    <w:rsid w:val="0052267A"/>
    <w:rsid w:val="00522E4F"/>
    <w:rsid w:val="00525A49"/>
    <w:rsid w:val="00525C45"/>
    <w:rsid w:val="00526260"/>
    <w:rsid w:val="00531143"/>
    <w:rsid w:val="00533E30"/>
    <w:rsid w:val="00536332"/>
    <w:rsid w:val="00543EB8"/>
    <w:rsid w:val="00546FD7"/>
    <w:rsid w:val="00554A33"/>
    <w:rsid w:val="0055716D"/>
    <w:rsid w:val="00557953"/>
    <w:rsid w:val="00560E55"/>
    <w:rsid w:val="0056301A"/>
    <w:rsid w:val="005640E1"/>
    <w:rsid w:val="00564EA1"/>
    <w:rsid w:val="0056534C"/>
    <w:rsid w:val="00567CEE"/>
    <w:rsid w:val="005713F4"/>
    <w:rsid w:val="00571E64"/>
    <w:rsid w:val="00573C27"/>
    <w:rsid w:val="00580F26"/>
    <w:rsid w:val="0058427E"/>
    <w:rsid w:val="005876B5"/>
    <w:rsid w:val="00590907"/>
    <w:rsid w:val="005A0C15"/>
    <w:rsid w:val="005A570F"/>
    <w:rsid w:val="005A5F4A"/>
    <w:rsid w:val="005A72F2"/>
    <w:rsid w:val="005B2194"/>
    <w:rsid w:val="005B2BC3"/>
    <w:rsid w:val="005B4CFA"/>
    <w:rsid w:val="005B6CB5"/>
    <w:rsid w:val="005C1A79"/>
    <w:rsid w:val="005E269C"/>
    <w:rsid w:val="005E3586"/>
    <w:rsid w:val="005E4DEE"/>
    <w:rsid w:val="005E5FF1"/>
    <w:rsid w:val="005F01CE"/>
    <w:rsid w:val="005F70B6"/>
    <w:rsid w:val="0060427D"/>
    <w:rsid w:val="00604DBE"/>
    <w:rsid w:val="006063E1"/>
    <w:rsid w:val="006065E4"/>
    <w:rsid w:val="0061032A"/>
    <w:rsid w:val="00612045"/>
    <w:rsid w:val="00613AC9"/>
    <w:rsid w:val="00620E86"/>
    <w:rsid w:val="00621858"/>
    <w:rsid w:val="006219DD"/>
    <w:rsid w:val="006254B9"/>
    <w:rsid w:val="00632ACC"/>
    <w:rsid w:val="0063461C"/>
    <w:rsid w:val="0064312A"/>
    <w:rsid w:val="0064475B"/>
    <w:rsid w:val="00650463"/>
    <w:rsid w:val="00651660"/>
    <w:rsid w:val="00652171"/>
    <w:rsid w:val="006530D9"/>
    <w:rsid w:val="00664980"/>
    <w:rsid w:val="00667848"/>
    <w:rsid w:val="00670FEA"/>
    <w:rsid w:val="0067353C"/>
    <w:rsid w:val="00676163"/>
    <w:rsid w:val="00677C22"/>
    <w:rsid w:val="006808CC"/>
    <w:rsid w:val="006825D6"/>
    <w:rsid w:val="00685899"/>
    <w:rsid w:val="00692D30"/>
    <w:rsid w:val="00697477"/>
    <w:rsid w:val="00697D90"/>
    <w:rsid w:val="006A037E"/>
    <w:rsid w:val="006A420B"/>
    <w:rsid w:val="006A45B2"/>
    <w:rsid w:val="006A7796"/>
    <w:rsid w:val="006B0495"/>
    <w:rsid w:val="006B07E3"/>
    <w:rsid w:val="006B0DCB"/>
    <w:rsid w:val="006B2408"/>
    <w:rsid w:val="006B3AF9"/>
    <w:rsid w:val="006B414C"/>
    <w:rsid w:val="006B4B0F"/>
    <w:rsid w:val="006B633B"/>
    <w:rsid w:val="006C351F"/>
    <w:rsid w:val="006C6767"/>
    <w:rsid w:val="006D3784"/>
    <w:rsid w:val="006F0216"/>
    <w:rsid w:val="006F4DE0"/>
    <w:rsid w:val="006F7332"/>
    <w:rsid w:val="006F7B80"/>
    <w:rsid w:val="0070385B"/>
    <w:rsid w:val="0070494F"/>
    <w:rsid w:val="00705758"/>
    <w:rsid w:val="0070717A"/>
    <w:rsid w:val="00713DE5"/>
    <w:rsid w:val="007174DA"/>
    <w:rsid w:val="00720910"/>
    <w:rsid w:val="00720F29"/>
    <w:rsid w:val="007224C2"/>
    <w:rsid w:val="00737FEC"/>
    <w:rsid w:val="00740BAE"/>
    <w:rsid w:val="00742835"/>
    <w:rsid w:val="007438D0"/>
    <w:rsid w:val="00744814"/>
    <w:rsid w:val="00753540"/>
    <w:rsid w:val="00756AA0"/>
    <w:rsid w:val="00757CE6"/>
    <w:rsid w:val="007615E7"/>
    <w:rsid w:val="007671B6"/>
    <w:rsid w:val="007671DA"/>
    <w:rsid w:val="007719A8"/>
    <w:rsid w:val="00771F88"/>
    <w:rsid w:val="00774593"/>
    <w:rsid w:val="00774801"/>
    <w:rsid w:val="00777599"/>
    <w:rsid w:val="00785CF8"/>
    <w:rsid w:val="00796CC0"/>
    <w:rsid w:val="007A0B3F"/>
    <w:rsid w:val="007A1A35"/>
    <w:rsid w:val="007A38E9"/>
    <w:rsid w:val="007A3939"/>
    <w:rsid w:val="007A5922"/>
    <w:rsid w:val="007B0329"/>
    <w:rsid w:val="007B259B"/>
    <w:rsid w:val="007B5018"/>
    <w:rsid w:val="007C2A55"/>
    <w:rsid w:val="007C670D"/>
    <w:rsid w:val="007D09C6"/>
    <w:rsid w:val="007D0ED0"/>
    <w:rsid w:val="007D4A4A"/>
    <w:rsid w:val="007D4CB9"/>
    <w:rsid w:val="007E0E05"/>
    <w:rsid w:val="007E1DD3"/>
    <w:rsid w:val="007E209F"/>
    <w:rsid w:val="007E359F"/>
    <w:rsid w:val="007E4655"/>
    <w:rsid w:val="007E55E0"/>
    <w:rsid w:val="007E5C50"/>
    <w:rsid w:val="007E60D5"/>
    <w:rsid w:val="007F22A5"/>
    <w:rsid w:val="00800700"/>
    <w:rsid w:val="00810CC2"/>
    <w:rsid w:val="0081324B"/>
    <w:rsid w:val="00815738"/>
    <w:rsid w:val="00816193"/>
    <w:rsid w:val="008165E4"/>
    <w:rsid w:val="00824725"/>
    <w:rsid w:val="00825155"/>
    <w:rsid w:val="00825EB9"/>
    <w:rsid w:val="008303E2"/>
    <w:rsid w:val="008341F8"/>
    <w:rsid w:val="008359F3"/>
    <w:rsid w:val="00835DB6"/>
    <w:rsid w:val="00836356"/>
    <w:rsid w:val="00836AC2"/>
    <w:rsid w:val="00844C5B"/>
    <w:rsid w:val="008501A4"/>
    <w:rsid w:val="008505A1"/>
    <w:rsid w:val="00850817"/>
    <w:rsid w:val="008530C8"/>
    <w:rsid w:val="0086124E"/>
    <w:rsid w:val="00861535"/>
    <w:rsid w:val="008652C9"/>
    <w:rsid w:val="00866992"/>
    <w:rsid w:val="00870986"/>
    <w:rsid w:val="00875991"/>
    <w:rsid w:val="00877FDD"/>
    <w:rsid w:val="00880FED"/>
    <w:rsid w:val="008841C8"/>
    <w:rsid w:val="00892BB8"/>
    <w:rsid w:val="00893014"/>
    <w:rsid w:val="00896755"/>
    <w:rsid w:val="008A1A62"/>
    <w:rsid w:val="008A2417"/>
    <w:rsid w:val="008A5D49"/>
    <w:rsid w:val="008A751E"/>
    <w:rsid w:val="008B0547"/>
    <w:rsid w:val="008B11A3"/>
    <w:rsid w:val="008B1FE5"/>
    <w:rsid w:val="008B434A"/>
    <w:rsid w:val="008B7B55"/>
    <w:rsid w:val="008C3A5B"/>
    <w:rsid w:val="008D0B6A"/>
    <w:rsid w:val="008D6F5D"/>
    <w:rsid w:val="008E003A"/>
    <w:rsid w:val="008E15E3"/>
    <w:rsid w:val="008E4C62"/>
    <w:rsid w:val="008E5CD4"/>
    <w:rsid w:val="008E621D"/>
    <w:rsid w:val="008E727E"/>
    <w:rsid w:val="008F2902"/>
    <w:rsid w:val="008F660B"/>
    <w:rsid w:val="009005CE"/>
    <w:rsid w:val="00901376"/>
    <w:rsid w:val="009021A4"/>
    <w:rsid w:val="00906754"/>
    <w:rsid w:val="00907EC0"/>
    <w:rsid w:val="0091511B"/>
    <w:rsid w:val="009239AA"/>
    <w:rsid w:val="009245B5"/>
    <w:rsid w:val="00925974"/>
    <w:rsid w:val="009339B0"/>
    <w:rsid w:val="00935D76"/>
    <w:rsid w:val="0093795C"/>
    <w:rsid w:val="009444E6"/>
    <w:rsid w:val="00944A8E"/>
    <w:rsid w:val="009455E6"/>
    <w:rsid w:val="00947F98"/>
    <w:rsid w:val="00952B4A"/>
    <w:rsid w:val="00956BA7"/>
    <w:rsid w:val="00956FD8"/>
    <w:rsid w:val="009575F7"/>
    <w:rsid w:val="0096021A"/>
    <w:rsid w:val="00960F73"/>
    <w:rsid w:val="00962244"/>
    <w:rsid w:val="00971139"/>
    <w:rsid w:val="0097401F"/>
    <w:rsid w:val="00981FA0"/>
    <w:rsid w:val="00983A93"/>
    <w:rsid w:val="00984366"/>
    <w:rsid w:val="00984E80"/>
    <w:rsid w:val="0098690F"/>
    <w:rsid w:val="00987EE5"/>
    <w:rsid w:val="009923C2"/>
    <w:rsid w:val="00997C8A"/>
    <w:rsid w:val="009A1339"/>
    <w:rsid w:val="009A3006"/>
    <w:rsid w:val="009A3994"/>
    <w:rsid w:val="009B1616"/>
    <w:rsid w:val="009B3200"/>
    <w:rsid w:val="009B62AF"/>
    <w:rsid w:val="009D0DF9"/>
    <w:rsid w:val="009D1B99"/>
    <w:rsid w:val="009D4CCB"/>
    <w:rsid w:val="009D5445"/>
    <w:rsid w:val="009D565F"/>
    <w:rsid w:val="009D65B9"/>
    <w:rsid w:val="009E04DC"/>
    <w:rsid w:val="009E0FB3"/>
    <w:rsid w:val="009E3787"/>
    <w:rsid w:val="009E5105"/>
    <w:rsid w:val="009F015F"/>
    <w:rsid w:val="009F1E67"/>
    <w:rsid w:val="00A0244C"/>
    <w:rsid w:val="00A033FF"/>
    <w:rsid w:val="00A0419E"/>
    <w:rsid w:val="00A1329C"/>
    <w:rsid w:val="00A14E25"/>
    <w:rsid w:val="00A16A60"/>
    <w:rsid w:val="00A17A3D"/>
    <w:rsid w:val="00A205B5"/>
    <w:rsid w:val="00A2062A"/>
    <w:rsid w:val="00A219B4"/>
    <w:rsid w:val="00A21E19"/>
    <w:rsid w:val="00A30683"/>
    <w:rsid w:val="00A3115F"/>
    <w:rsid w:val="00A33030"/>
    <w:rsid w:val="00A378A2"/>
    <w:rsid w:val="00A60F52"/>
    <w:rsid w:val="00A63B4C"/>
    <w:rsid w:val="00A664E7"/>
    <w:rsid w:val="00A66E7F"/>
    <w:rsid w:val="00A71325"/>
    <w:rsid w:val="00A75C52"/>
    <w:rsid w:val="00A76182"/>
    <w:rsid w:val="00A7619D"/>
    <w:rsid w:val="00A767B2"/>
    <w:rsid w:val="00A774C5"/>
    <w:rsid w:val="00A82B9E"/>
    <w:rsid w:val="00A84186"/>
    <w:rsid w:val="00A85B14"/>
    <w:rsid w:val="00A9375D"/>
    <w:rsid w:val="00A944D7"/>
    <w:rsid w:val="00A9704A"/>
    <w:rsid w:val="00A97AD0"/>
    <w:rsid w:val="00AA1244"/>
    <w:rsid w:val="00AA1377"/>
    <w:rsid w:val="00AA49AF"/>
    <w:rsid w:val="00AA57CE"/>
    <w:rsid w:val="00AA7540"/>
    <w:rsid w:val="00AB30C8"/>
    <w:rsid w:val="00AC0BAE"/>
    <w:rsid w:val="00AC126F"/>
    <w:rsid w:val="00AE1128"/>
    <w:rsid w:val="00AE1AB0"/>
    <w:rsid w:val="00AE2609"/>
    <w:rsid w:val="00AE439A"/>
    <w:rsid w:val="00AF09C7"/>
    <w:rsid w:val="00B03D35"/>
    <w:rsid w:val="00B05065"/>
    <w:rsid w:val="00B05194"/>
    <w:rsid w:val="00B17303"/>
    <w:rsid w:val="00B2328D"/>
    <w:rsid w:val="00B25143"/>
    <w:rsid w:val="00B2585D"/>
    <w:rsid w:val="00B27359"/>
    <w:rsid w:val="00B321B3"/>
    <w:rsid w:val="00B33FC2"/>
    <w:rsid w:val="00B347F1"/>
    <w:rsid w:val="00B3502B"/>
    <w:rsid w:val="00B35C3E"/>
    <w:rsid w:val="00B36473"/>
    <w:rsid w:val="00B44029"/>
    <w:rsid w:val="00B44FA4"/>
    <w:rsid w:val="00B45FD8"/>
    <w:rsid w:val="00B47943"/>
    <w:rsid w:val="00B50446"/>
    <w:rsid w:val="00B530FD"/>
    <w:rsid w:val="00B54650"/>
    <w:rsid w:val="00B5639B"/>
    <w:rsid w:val="00B57CB0"/>
    <w:rsid w:val="00B60C3E"/>
    <w:rsid w:val="00B64775"/>
    <w:rsid w:val="00B64935"/>
    <w:rsid w:val="00B67B4F"/>
    <w:rsid w:val="00B75D52"/>
    <w:rsid w:val="00B81718"/>
    <w:rsid w:val="00B86AF6"/>
    <w:rsid w:val="00B86E2A"/>
    <w:rsid w:val="00B951C1"/>
    <w:rsid w:val="00B96EA4"/>
    <w:rsid w:val="00B97198"/>
    <w:rsid w:val="00B97A3E"/>
    <w:rsid w:val="00BA2FFD"/>
    <w:rsid w:val="00BB227D"/>
    <w:rsid w:val="00BB37AF"/>
    <w:rsid w:val="00BB4C08"/>
    <w:rsid w:val="00BC5737"/>
    <w:rsid w:val="00BD0BA7"/>
    <w:rsid w:val="00BD3C68"/>
    <w:rsid w:val="00BD421D"/>
    <w:rsid w:val="00BE0777"/>
    <w:rsid w:val="00BE1B8E"/>
    <w:rsid w:val="00BE4614"/>
    <w:rsid w:val="00BE4E6F"/>
    <w:rsid w:val="00BE529D"/>
    <w:rsid w:val="00BE6637"/>
    <w:rsid w:val="00BE6A12"/>
    <w:rsid w:val="00BF0EB2"/>
    <w:rsid w:val="00BF10E8"/>
    <w:rsid w:val="00BF3158"/>
    <w:rsid w:val="00BF79D3"/>
    <w:rsid w:val="00C028E2"/>
    <w:rsid w:val="00C03A04"/>
    <w:rsid w:val="00C046F7"/>
    <w:rsid w:val="00C10C0B"/>
    <w:rsid w:val="00C1776A"/>
    <w:rsid w:val="00C202E7"/>
    <w:rsid w:val="00C22519"/>
    <w:rsid w:val="00C2305C"/>
    <w:rsid w:val="00C233D0"/>
    <w:rsid w:val="00C24162"/>
    <w:rsid w:val="00C2509D"/>
    <w:rsid w:val="00C34ABD"/>
    <w:rsid w:val="00C35F43"/>
    <w:rsid w:val="00C42CFB"/>
    <w:rsid w:val="00C44A07"/>
    <w:rsid w:val="00C44BDC"/>
    <w:rsid w:val="00C45BFB"/>
    <w:rsid w:val="00C54B14"/>
    <w:rsid w:val="00C6352A"/>
    <w:rsid w:val="00C65B2D"/>
    <w:rsid w:val="00C65C5D"/>
    <w:rsid w:val="00C70657"/>
    <w:rsid w:val="00C711E5"/>
    <w:rsid w:val="00C733F0"/>
    <w:rsid w:val="00C83AEE"/>
    <w:rsid w:val="00C85AC7"/>
    <w:rsid w:val="00C906CD"/>
    <w:rsid w:val="00C913DC"/>
    <w:rsid w:val="00CA6716"/>
    <w:rsid w:val="00CB7D4D"/>
    <w:rsid w:val="00CC14B7"/>
    <w:rsid w:val="00CC42D4"/>
    <w:rsid w:val="00CC47AE"/>
    <w:rsid w:val="00CC7E96"/>
    <w:rsid w:val="00CD2536"/>
    <w:rsid w:val="00CF230D"/>
    <w:rsid w:val="00CF2804"/>
    <w:rsid w:val="00CF5489"/>
    <w:rsid w:val="00CF7615"/>
    <w:rsid w:val="00D003F8"/>
    <w:rsid w:val="00D024B0"/>
    <w:rsid w:val="00D10769"/>
    <w:rsid w:val="00D116C7"/>
    <w:rsid w:val="00D13AC5"/>
    <w:rsid w:val="00D14E5F"/>
    <w:rsid w:val="00D2041E"/>
    <w:rsid w:val="00D22A8F"/>
    <w:rsid w:val="00D32EAB"/>
    <w:rsid w:val="00D341C9"/>
    <w:rsid w:val="00D3447D"/>
    <w:rsid w:val="00D3488B"/>
    <w:rsid w:val="00D361DE"/>
    <w:rsid w:val="00D3771F"/>
    <w:rsid w:val="00D46C12"/>
    <w:rsid w:val="00D46C4C"/>
    <w:rsid w:val="00D51F18"/>
    <w:rsid w:val="00D55020"/>
    <w:rsid w:val="00D564BB"/>
    <w:rsid w:val="00D565FA"/>
    <w:rsid w:val="00D568ED"/>
    <w:rsid w:val="00D6014E"/>
    <w:rsid w:val="00D630E7"/>
    <w:rsid w:val="00D66FEC"/>
    <w:rsid w:val="00D700E5"/>
    <w:rsid w:val="00D7048E"/>
    <w:rsid w:val="00D75469"/>
    <w:rsid w:val="00D76186"/>
    <w:rsid w:val="00D8231F"/>
    <w:rsid w:val="00D86DD4"/>
    <w:rsid w:val="00D90984"/>
    <w:rsid w:val="00D92529"/>
    <w:rsid w:val="00DA012A"/>
    <w:rsid w:val="00DA5AAB"/>
    <w:rsid w:val="00DA6858"/>
    <w:rsid w:val="00DB1CD7"/>
    <w:rsid w:val="00DB2651"/>
    <w:rsid w:val="00DB4717"/>
    <w:rsid w:val="00DC6F31"/>
    <w:rsid w:val="00DD6D17"/>
    <w:rsid w:val="00DD6D82"/>
    <w:rsid w:val="00DE045E"/>
    <w:rsid w:val="00DE23D6"/>
    <w:rsid w:val="00DE2CB6"/>
    <w:rsid w:val="00DE2DDE"/>
    <w:rsid w:val="00DE5344"/>
    <w:rsid w:val="00DE5414"/>
    <w:rsid w:val="00DF0C37"/>
    <w:rsid w:val="00DF2506"/>
    <w:rsid w:val="00DF301A"/>
    <w:rsid w:val="00DF31D7"/>
    <w:rsid w:val="00DF3469"/>
    <w:rsid w:val="00DF3BE2"/>
    <w:rsid w:val="00DF4E2C"/>
    <w:rsid w:val="00DF75EC"/>
    <w:rsid w:val="00DF7CB1"/>
    <w:rsid w:val="00E0733C"/>
    <w:rsid w:val="00E079C6"/>
    <w:rsid w:val="00E13BB4"/>
    <w:rsid w:val="00E146CF"/>
    <w:rsid w:val="00E167B5"/>
    <w:rsid w:val="00E201F4"/>
    <w:rsid w:val="00E23C05"/>
    <w:rsid w:val="00E247E2"/>
    <w:rsid w:val="00E25764"/>
    <w:rsid w:val="00E304EB"/>
    <w:rsid w:val="00E329D0"/>
    <w:rsid w:val="00E33746"/>
    <w:rsid w:val="00E36B53"/>
    <w:rsid w:val="00E37585"/>
    <w:rsid w:val="00E45EE9"/>
    <w:rsid w:val="00E469D5"/>
    <w:rsid w:val="00E46CD5"/>
    <w:rsid w:val="00E47F90"/>
    <w:rsid w:val="00E500D9"/>
    <w:rsid w:val="00E51AB5"/>
    <w:rsid w:val="00E52345"/>
    <w:rsid w:val="00E52694"/>
    <w:rsid w:val="00E52763"/>
    <w:rsid w:val="00E563AE"/>
    <w:rsid w:val="00E607C0"/>
    <w:rsid w:val="00E63136"/>
    <w:rsid w:val="00E662CD"/>
    <w:rsid w:val="00E67B62"/>
    <w:rsid w:val="00E73271"/>
    <w:rsid w:val="00E74214"/>
    <w:rsid w:val="00E74D52"/>
    <w:rsid w:val="00E75855"/>
    <w:rsid w:val="00E86458"/>
    <w:rsid w:val="00E86566"/>
    <w:rsid w:val="00E875F5"/>
    <w:rsid w:val="00E87C16"/>
    <w:rsid w:val="00E906B5"/>
    <w:rsid w:val="00E92011"/>
    <w:rsid w:val="00E92527"/>
    <w:rsid w:val="00E97045"/>
    <w:rsid w:val="00EA270C"/>
    <w:rsid w:val="00EA445E"/>
    <w:rsid w:val="00EA5CF4"/>
    <w:rsid w:val="00EB09B9"/>
    <w:rsid w:val="00EB7CB1"/>
    <w:rsid w:val="00EC0445"/>
    <w:rsid w:val="00EC1C35"/>
    <w:rsid w:val="00ED0557"/>
    <w:rsid w:val="00ED34D4"/>
    <w:rsid w:val="00ED70D1"/>
    <w:rsid w:val="00EE30EE"/>
    <w:rsid w:val="00EE4BD9"/>
    <w:rsid w:val="00EE5656"/>
    <w:rsid w:val="00EE6DE6"/>
    <w:rsid w:val="00EF057C"/>
    <w:rsid w:val="00EF1D14"/>
    <w:rsid w:val="00EF25FB"/>
    <w:rsid w:val="00F01B31"/>
    <w:rsid w:val="00F03AB9"/>
    <w:rsid w:val="00F0466F"/>
    <w:rsid w:val="00F06479"/>
    <w:rsid w:val="00F076C5"/>
    <w:rsid w:val="00F120D9"/>
    <w:rsid w:val="00F124BE"/>
    <w:rsid w:val="00F217E7"/>
    <w:rsid w:val="00F24C67"/>
    <w:rsid w:val="00F26AE3"/>
    <w:rsid w:val="00F27170"/>
    <w:rsid w:val="00F30016"/>
    <w:rsid w:val="00F31C75"/>
    <w:rsid w:val="00F341CC"/>
    <w:rsid w:val="00F40CAB"/>
    <w:rsid w:val="00F47C5C"/>
    <w:rsid w:val="00F53E20"/>
    <w:rsid w:val="00F54856"/>
    <w:rsid w:val="00F64F51"/>
    <w:rsid w:val="00F66CB7"/>
    <w:rsid w:val="00F7214D"/>
    <w:rsid w:val="00F765E8"/>
    <w:rsid w:val="00F86D88"/>
    <w:rsid w:val="00F8741B"/>
    <w:rsid w:val="00F87FA7"/>
    <w:rsid w:val="00F9473C"/>
    <w:rsid w:val="00FA0BEB"/>
    <w:rsid w:val="00FA1F86"/>
    <w:rsid w:val="00FA40A3"/>
    <w:rsid w:val="00FB3BA6"/>
    <w:rsid w:val="00FB40F7"/>
    <w:rsid w:val="00FB4D65"/>
    <w:rsid w:val="00FB5954"/>
    <w:rsid w:val="00FB5A53"/>
    <w:rsid w:val="00FB76EE"/>
    <w:rsid w:val="00FB7C09"/>
    <w:rsid w:val="00FC0CDF"/>
    <w:rsid w:val="00FC183A"/>
    <w:rsid w:val="00FC1C7C"/>
    <w:rsid w:val="00FC1D17"/>
    <w:rsid w:val="00FC3D1C"/>
    <w:rsid w:val="00FC5D80"/>
    <w:rsid w:val="00FC712C"/>
    <w:rsid w:val="00FD08A7"/>
    <w:rsid w:val="00FD2E55"/>
    <w:rsid w:val="00FD2FA9"/>
    <w:rsid w:val="00FD716A"/>
    <w:rsid w:val="00FE1894"/>
    <w:rsid w:val="00FE4B60"/>
    <w:rsid w:val="00FF025A"/>
    <w:rsid w:val="00FF088B"/>
    <w:rsid w:val="00FF10AF"/>
    <w:rsid w:val="00FF334E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DE54F93-6270-4092-A8DC-DA348FF6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semiHidden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75855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36356"/>
    <w:pPr>
      <w:ind w:left="720"/>
      <w:contextualSpacing/>
    </w:pPr>
    <w:rPr>
      <w:rFonts w:eastAsia="Times New Roman"/>
    </w:rPr>
  </w:style>
  <w:style w:type="paragraph" w:customStyle="1" w:styleId="TCU-Ac-item9-">
    <w:name w:val="TCU - Ac - item 9 - §§"/>
    <w:basedOn w:val="TCU-RelVoto-1"/>
    <w:qFormat/>
    <w:rsid w:val="00FC5D80"/>
    <w:pPr>
      <w:spacing w:after="0"/>
    </w:pPr>
  </w:style>
  <w:style w:type="paragraph" w:customStyle="1" w:styleId="TCU-SemRecuo">
    <w:name w:val="TCU - Sem Recuo"/>
    <w:basedOn w:val="Normal"/>
    <w:rsid w:val="00AB30C8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Corpo">
    <w:name w:val="Corpo"/>
    <w:basedOn w:val="Normal"/>
    <w:rsid w:val="00AB30C8"/>
    <w:pPr>
      <w:tabs>
        <w:tab w:val="left" w:pos="2268"/>
      </w:tabs>
      <w:spacing w:before="284" w:after="0"/>
      <w:ind w:left="0" w:firstLine="1418"/>
    </w:pPr>
    <w:rPr>
      <w:rFonts w:eastAsia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juris@tcu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3403</Words>
  <Characters>18377</Characters>
  <Application>Microsoft Office Word</Application>
  <DocSecurity>4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Sessões: 16 e 17 de novembro de 2010</vt:lpstr>
    </vt:vector>
  </TitlesOfParts>
  <Company>TCU</Company>
  <LinksUpToDate>false</LinksUpToDate>
  <CharactersWithSpaces>21737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Sessões: 16 e 17 de novembro de 2010</dc:title>
  <dc:subject/>
  <dc:creator>Eduardo Porto</dc:creator>
  <cp:keywords/>
  <dc:description/>
  <cp:lastModifiedBy>LUIZ FELYPE TABOSA PORTO</cp:lastModifiedBy>
  <cp:revision>2</cp:revision>
  <cp:lastPrinted>2010-12-04T12:32:00Z</cp:lastPrinted>
  <dcterms:created xsi:type="dcterms:W3CDTF">2015-05-07T12:34:00Z</dcterms:created>
  <dcterms:modified xsi:type="dcterms:W3CDTF">2015-05-07T12:34:00Z</dcterms:modified>
</cp:coreProperties>
</file>