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337E16"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337E16">
        <w:rPr>
          <w:rFonts w:ascii="Times New Roman" w:hAnsi="Times New Roman"/>
          <w:b/>
          <w:i w:val="0"/>
          <w:sz w:val="22"/>
          <w:szCs w:val="22"/>
        </w:rPr>
        <w:t xml:space="preserve">Sessões: </w:t>
      </w:r>
      <w:r w:rsidR="00781534">
        <w:rPr>
          <w:rFonts w:ascii="Times New Roman" w:hAnsi="Times New Roman"/>
          <w:b/>
          <w:i w:val="0"/>
          <w:sz w:val="22"/>
          <w:szCs w:val="22"/>
        </w:rPr>
        <w:t>9</w:t>
      </w:r>
      <w:r w:rsidR="00F01B31" w:rsidRPr="00337E16">
        <w:rPr>
          <w:rFonts w:ascii="Times New Roman" w:hAnsi="Times New Roman"/>
          <w:b/>
          <w:i w:val="0"/>
          <w:sz w:val="22"/>
          <w:szCs w:val="22"/>
        </w:rPr>
        <w:t xml:space="preserve"> e </w:t>
      </w:r>
      <w:r w:rsidR="00835DB6">
        <w:rPr>
          <w:rFonts w:ascii="Times New Roman" w:hAnsi="Times New Roman"/>
          <w:b/>
          <w:i w:val="0"/>
          <w:sz w:val="22"/>
          <w:szCs w:val="22"/>
        </w:rPr>
        <w:t>1</w:t>
      </w:r>
      <w:r w:rsidR="00781534">
        <w:rPr>
          <w:rFonts w:ascii="Times New Roman" w:hAnsi="Times New Roman"/>
          <w:b/>
          <w:i w:val="0"/>
          <w:sz w:val="22"/>
          <w:szCs w:val="22"/>
        </w:rPr>
        <w:t>0</w:t>
      </w:r>
      <w:r w:rsidRPr="00337E16">
        <w:rPr>
          <w:rFonts w:ascii="Times New Roman" w:hAnsi="Times New Roman"/>
          <w:b/>
          <w:i w:val="0"/>
          <w:sz w:val="22"/>
          <w:szCs w:val="22"/>
        </w:rPr>
        <w:t xml:space="preserve"> de </w:t>
      </w:r>
      <w:r w:rsidR="00781534">
        <w:rPr>
          <w:rFonts w:ascii="Times New Roman" w:hAnsi="Times New Roman"/>
          <w:b/>
          <w:i w:val="0"/>
          <w:sz w:val="22"/>
          <w:szCs w:val="22"/>
        </w:rPr>
        <w:t>novembro</w:t>
      </w:r>
      <w:r w:rsidRPr="00337E16">
        <w:rPr>
          <w:rFonts w:ascii="Times New Roman" w:hAnsi="Times New Roman"/>
          <w:b/>
          <w:i w:val="0"/>
          <w:sz w:val="22"/>
          <w:szCs w:val="22"/>
        </w:rPr>
        <w:t xml:space="preserve"> de 2010</w:t>
      </w:r>
    </w:p>
    <w:p w:rsidR="002D35F5" w:rsidRPr="00337E16" w:rsidRDefault="002D35F5" w:rsidP="00337E16">
      <w:pPr>
        <w:pStyle w:val="Corpodetexto2"/>
        <w:spacing w:after="0" w:line="240" w:lineRule="auto"/>
        <w:ind w:left="0"/>
        <w:rPr>
          <w:sz w:val="22"/>
          <w:szCs w:val="22"/>
        </w:rPr>
      </w:pPr>
      <w:r w:rsidRPr="00337E16">
        <w:rPr>
          <w:sz w:val="22"/>
          <w:szCs w:val="22"/>
        </w:rPr>
        <w:t>Este Informativo, elaborado a partir das deliberações tomadas pelo Tribunal nas sessões de julgamento das Câmaras e do Plenário, contém resumos de algumas decisões proferidas na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data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xml:space="preserve"> acima indicada</w:t>
      </w:r>
      <w:r w:rsidR="000562CD" w:rsidRPr="00337E16">
        <w:rPr>
          <w:sz w:val="22"/>
          <w:szCs w:val="22"/>
        </w:rPr>
        <w:t>(</w:t>
      </w:r>
      <w:r w:rsidRPr="00337E16">
        <w:rPr>
          <w:sz w:val="22"/>
          <w:szCs w:val="22"/>
        </w:rPr>
        <w:t>s</w:t>
      </w:r>
      <w:r w:rsidR="000562CD" w:rsidRPr="00337E16">
        <w:rPr>
          <w:sz w:val="22"/>
          <w:szCs w:val="22"/>
        </w:rPr>
        <w:t>)</w:t>
      </w:r>
      <w:r w:rsidRPr="00337E16">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337E16" w:rsidRDefault="00FF7C62" w:rsidP="00337E16">
      <w:pPr>
        <w:pStyle w:val="Corpodetexto2"/>
        <w:spacing w:after="0" w:line="240" w:lineRule="auto"/>
        <w:ind w:left="0"/>
        <w:rPr>
          <w:sz w:val="22"/>
          <w:szCs w:val="22"/>
        </w:rPr>
      </w:pPr>
    </w:p>
    <w:p w:rsidR="002D35F5" w:rsidRPr="00337E16" w:rsidRDefault="002D35F5"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S</w:t>
      </w:r>
      <w:r w:rsidR="00FF7C62" w:rsidRPr="00337E16">
        <w:rPr>
          <w:rFonts w:ascii="Cambria" w:hAnsi="Cambria"/>
          <w:b/>
          <w:bCs/>
          <w:smallCaps/>
          <w:sz w:val="22"/>
          <w:szCs w:val="22"/>
        </w:rPr>
        <w:t>UMÁRIO</w:t>
      </w:r>
    </w:p>
    <w:p w:rsidR="009444E6" w:rsidRPr="00337E16" w:rsidRDefault="009444E6" w:rsidP="00337E16">
      <w:pPr>
        <w:pStyle w:val="tita"/>
        <w:spacing w:before="45" w:after="0" w:line="240" w:lineRule="auto"/>
        <w:jc w:val="both"/>
        <w:rPr>
          <w:i w:val="0"/>
          <w:iCs w:val="0"/>
          <w:sz w:val="22"/>
          <w:szCs w:val="22"/>
        </w:rPr>
      </w:pPr>
      <w:r w:rsidRPr="00337E16">
        <w:rPr>
          <w:i w:val="0"/>
          <w:iCs w:val="0"/>
          <w:sz w:val="22"/>
          <w:szCs w:val="22"/>
        </w:rPr>
        <w:t>Plenário</w:t>
      </w:r>
    </w:p>
    <w:p w:rsidR="00EB7CB1" w:rsidRPr="00337E16" w:rsidRDefault="00FC399F" w:rsidP="0058427E">
      <w:pPr>
        <w:pStyle w:val="indice"/>
        <w:spacing w:before="60" w:line="240" w:lineRule="auto"/>
      </w:pPr>
      <w:r>
        <w:t>Planilha de custos e formação de preços</w:t>
      </w:r>
      <w:r w:rsidR="00EB7CB1" w:rsidRPr="00337E16">
        <w:t>:</w:t>
      </w:r>
    </w:p>
    <w:p w:rsidR="00EB7CB1" w:rsidRPr="00337E16" w:rsidRDefault="00EB7CB1" w:rsidP="0058427E">
      <w:pPr>
        <w:pStyle w:val="indice"/>
        <w:tabs>
          <w:tab w:val="left" w:pos="567"/>
        </w:tabs>
        <w:spacing w:before="60" w:line="240" w:lineRule="auto"/>
      </w:pPr>
      <w:r w:rsidRPr="00337E16">
        <w:tab/>
        <w:t xml:space="preserve">1 </w:t>
      </w:r>
      <w:r w:rsidR="00E247E2">
        <w:t>-</w:t>
      </w:r>
      <w:r w:rsidRPr="00337E16">
        <w:t xml:space="preserve"> </w:t>
      </w:r>
      <w:r w:rsidR="00FC399F">
        <w:t>Previsão</w:t>
      </w:r>
      <w:r w:rsidR="00E247E2">
        <w:t xml:space="preserve"> </w:t>
      </w:r>
      <w:r w:rsidR="00FC399F">
        <w:t>do pagamento de salários superiores aos fixados pela convenção coletiva de trabalho da categoria</w:t>
      </w:r>
      <w:r w:rsidRPr="00337E16">
        <w:t>;</w:t>
      </w:r>
    </w:p>
    <w:p w:rsidR="00DA6858" w:rsidRDefault="00DA6858" w:rsidP="0058427E">
      <w:pPr>
        <w:pStyle w:val="indice"/>
        <w:tabs>
          <w:tab w:val="left" w:pos="567"/>
        </w:tabs>
        <w:spacing w:before="60" w:line="240" w:lineRule="auto"/>
      </w:pPr>
      <w:r>
        <w:tab/>
      </w:r>
      <w:r w:rsidR="00176375">
        <w:t>2</w:t>
      </w:r>
      <w:r>
        <w:t xml:space="preserve"> </w:t>
      </w:r>
      <w:r w:rsidR="00FC399F">
        <w:t>-</w:t>
      </w:r>
      <w:r>
        <w:t xml:space="preserve"> </w:t>
      </w:r>
      <w:r w:rsidR="00FC399F">
        <w:t>Possibilidade da constituição</w:t>
      </w:r>
      <w:r w:rsidR="00E247E2">
        <w:t xml:space="preserve"> </w:t>
      </w:r>
      <w:r w:rsidR="009E5105">
        <w:t xml:space="preserve">de </w:t>
      </w:r>
      <w:r w:rsidR="00FC399F">
        <w:t>reserva técnica;</w:t>
      </w:r>
    </w:p>
    <w:p w:rsidR="006808CC" w:rsidRDefault="006808CC" w:rsidP="0058427E">
      <w:pPr>
        <w:pStyle w:val="indice"/>
        <w:tabs>
          <w:tab w:val="left" w:pos="567"/>
        </w:tabs>
        <w:spacing w:before="60" w:line="240" w:lineRule="auto"/>
      </w:pPr>
      <w:r>
        <w:tab/>
        <w:t xml:space="preserve">3 </w:t>
      </w:r>
      <w:r w:rsidR="005B0BFD">
        <w:t>-</w:t>
      </w:r>
      <w:r>
        <w:t xml:space="preserve"> </w:t>
      </w:r>
      <w:r w:rsidR="005B0BFD">
        <w:t>Considera-se integralmente pago, no primeiro ano do contrato, o</w:t>
      </w:r>
      <w:r>
        <w:t xml:space="preserve"> </w:t>
      </w:r>
      <w:r w:rsidR="00FC399F">
        <w:t xml:space="preserve">percentual </w:t>
      </w:r>
      <w:r w:rsidR="005B0BFD">
        <w:t>relativo</w:t>
      </w:r>
      <w:r w:rsidR="00FC399F">
        <w:t xml:space="preserve"> ao aviso prévio trabalhado;</w:t>
      </w:r>
    </w:p>
    <w:p w:rsidR="006808CC" w:rsidRDefault="00FC399F" w:rsidP="0058427E">
      <w:pPr>
        <w:pStyle w:val="indice"/>
        <w:tabs>
          <w:tab w:val="left" w:pos="567"/>
        </w:tabs>
        <w:spacing w:before="60" w:line="240" w:lineRule="auto"/>
      </w:pPr>
      <w:r>
        <w:tab/>
        <w:t>4 - Inclusão de percentual destinado a despesas com seleção e treinamento;</w:t>
      </w:r>
    </w:p>
    <w:p w:rsidR="006808CC" w:rsidRDefault="00FC399F" w:rsidP="0058427E">
      <w:pPr>
        <w:pStyle w:val="indice"/>
        <w:tabs>
          <w:tab w:val="left" w:pos="567"/>
        </w:tabs>
        <w:spacing w:before="60" w:line="240" w:lineRule="auto"/>
      </w:pPr>
      <w:r>
        <w:tab/>
        <w:t xml:space="preserve">5 - </w:t>
      </w:r>
      <w:r w:rsidR="001A3EAA">
        <w:t>É</w:t>
      </w:r>
      <w:r>
        <w:t xml:space="preserve"> </w:t>
      </w:r>
      <w:r w:rsidR="001A3EAA">
        <w:t>de responsabilidade da</w:t>
      </w:r>
      <w:r>
        <w:t xml:space="preserve"> empresa </w:t>
      </w:r>
      <w:r w:rsidR="00F111D9">
        <w:t>licitante</w:t>
      </w:r>
      <w:r>
        <w:t xml:space="preserve"> </w:t>
      </w:r>
      <w:r w:rsidR="001A3EAA">
        <w:t>a definição</w:t>
      </w:r>
      <w:r>
        <w:t xml:space="preserve"> </w:t>
      </w:r>
      <w:r w:rsidR="001A3EAA">
        <w:t>d</w:t>
      </w:r>
      <w:r>
        <w:t xml:space="preserve">o </w:t>
      </w:r>
      <w:r w:rsidR="001A3EAA">
        <w:t>número</w:t>
      </w:r>
      <w:r>
        <w:t xml:space="preserve"> </w:t>
      </w:r>
      <w:r w:rsidR="001A3EAA">
        <w:t xml:space="preserve">de empregados </w:t>
      </w:r>
      <w:r>
        <w:t xml:space="preserve">necessário </w:t>
      </w:r>
      <w:r w:rsidR="001A3EAA">
        <w:t>à</w:t>
      </w:r>
      <w:r>
        <w:t xml:space="preserve"> realização dos serviços.</w:t>
      </w:r>
    </w:p>
    <w:p w:rsidR="00FC399F" w:rsidRDefault="00F70BF7" w:rsidP="0058427E">
      <w:pPr>
        <w:pStyle w:val="indice"/>
        <w:tabs>
          <w:tab w:val="left" w:pos="567"/>
        </w:tabs>
        <w:spacing w:before="60" w:line="240" w:lineRule="auto"/>
      </w:pPr>
      <w:r>
        <w:t>Utilização, em caráter excepcional, de minuta-padrão de contrato, previamente aprovada pela assessoria jurídica.</w:t>
      </w:r>
    </w:p>
    <w:p w:rsidR="00EF7515" w:rsidRDefault="00EF7515" w:rsidP="0058427E">
      <w:pPr>
        <w:pStyle w:val="indice"/>
        <w:tabs>
          <w:tab w:val="left" w:pos="567"/>
        </w:tabs>
        <w:spacing w:before="60" w:line="240" w:lineRule="auto"/>
      </w:pPr>
      <w:r>
        <w:t>Responsabilidade do pregoeiro pela pesquisa de preço</w:t>
      </w:r>
      <w:r w:rsidR="00F92185">
        <w:t>s</w:t>
      </w:r>
      <w:r>
        <w:t xml:space="preserve"> sem a obtenção de, no mínimo, três orçamentos de fornecedores distintos.</w:t>
      </w:r>
    </w:p>
    <w:p w:rsidR="009E5105" w:rsidRPr="004952D5" w:rsidRDefault="004952D5" w:rsidP="0058427E">
      <w:pPr>
        <w:pStyle w:val="indice"/>
        <w:tabs>
          <w:tab w:val="left" w:pos="567"/>
        </w:tabs>
        <w:spacing w:before="60" w:line="240" w:lineRule="auto"/>
      </w:pPr>
      <w:r w:rsidRPr="004952D5">
        <w:t>A declaração de inidoneidade produz efeito</w:t>
      </w:r>
      <w:r>
        <w:t>s</w:t>
      </w:r>
      <w:r w:rsidRPr="004952D5">
        <w:t xml:space="preserve"> para o futuro, não alcançando os contratos </w:t>
      </w:r>
      <w:r w:rsidR="00731CA4">
        <w:t xml:space="preserve">já </w:t>
      </w:r>
      <w:r w:rsidRPr="004952D5">
        <w:t>celebrados</w:t>
      </w:r>
      <w:r w:rsidR="00646795">
        <w:t xml:space="preserve"> com a empresa sancionada</w:t>
      </w:r>
      <w:r w:rsidR="003E7ABC" w:rsidRPr="004952D5">
        <w:t>.</w:t>
      </w:r>
    </w:p>
    <w:p w:rsidR="00BC5737" w:rsidRPr="00337E16" w:rsidRDefault="00BC5737" w:rsidP="00BC5737">
      <w:pPr>
        <w:pStyle w:val="tita"/>
        <w:spacing w:before="60" w:after="0" w:line="240" w:lineRule="auto"/>
        <w:jc w:val="both"/>
        <w:rPr>
          <w:i w:val="0"/>
          <w:iCs w:val="0"/>
          <w:sz w:val="22"/>
          <w:szCs w:val="22"/>
        </w:rPr>
      </w:pPr>
      <w:r>
        <w:rPr>
          <w:i w:val="0"/>
          <w:iCs w:val="0"/>
          <w:sz w:val="22"/>
          <w:szCs w:val="22"/>
        </w:rPr>
        <w:t>Segunda</w:t>
      </w:r>
      <w:r w:rsidRPr="00337E16">
        <w:rPr>
          <w:i w:val="0"/>
          <w:iCs w:val="0"/>
          <w:sz w:val="22"/>
          <w:szCs w:val="22"/>
        </w:rPr>
        <w:t xml:space="preserve"> Câmara</w:t>
      </w:r>
    </w:p>
    <w:p w:rsidR="00BC5737" w:rsidRPr="00337E16" w:rsidRDefault="000623BF" w:rsidP="00BC5737">
      <w:pPr>
        <w:pStyle w:val="enter-3pt"/>
        <w:spacing w:before="60" w:line="240" w:lineRule="auto"/>
        <w:rPr>
          <w:sz w:val="22"/>
          <w:szCs w:val="22"/>
        </w:rPr>
      </w:pPr>
      <w:r>
        <w:rPr>
          <w:sz w:val="22"/>
          <w:szCs w:val="22"/>
        </w:rPr>
        <w:t xml:space="preserve">A indevida habilitação da licitante vencedora não necessariamente </w:t>
      </w:r>
      <w:r w:rsidR="008279A1">
        <w:rPr>
          <w:sz w:val="22"/>
          <w:szCs w:val="22"/>
        </w:rPr>
        <w:t>implica a</w:t>
      </w:r>
      <w:r>
        <w:rPr>
          <w:sz w:val="22"/>
          <w:szCs w:val="22"/>
        </w:rPr>
        <w:t xml:space="preserve"> nulidade do contrato com ela celebrado</w:t>
      </w:r>
      <w:r w:rsidR="00BC5737">
        <w:rPr>
          <w:sz w:val="22"/>
          <w:szCs w:val="22"/>
        </w:rPr>
        <w:t>.</w:t>
      </w:r>
    </w:p>
    <w:p w:rsidR="003C6DEB" w:rsidRPr="00337E16" w:rsidRDefault="003C6DEB" w:rsidP="00337E16">
      <w:pPr>
        <w:pStyle w:val="indice"/>
        <w:spacing w:line="240" w:lineRule="auto"/>
      </w:pPr>
    </w:p>
    <w:p w:rsidR="003C6DEB" w:rsidRPr="00337E16" w:rsidRDefault="003C6DEB" w:rsidP="00337E16">
      <w:pPr>
        <w:pBdr>
          <w:top w:val="threeDEmboss" w:sz="24" w:space="0" w:color="auto"/>
        </w:pBdr>
        <w:tabs>
          <w:tab w:val="left" w:pos="284"/>
        </w:tabs>
        <w:spacing w:after="0"/>
        <w:ind w:left="0"/>
        <w:jc w:val="center"/>
        <w:rPr>
          <w:rFonts w:ascii="Cambria" w:hAnsi="Cambria"/>
          <w:b/>
          <w:bCs/>
          <w:smallCaps/>
          <w:sz w:val="22"/>
          <w:szCs w:val="22"/>
        </w:rPr>
      </w:pPr>
      <w:r w:rsidRPr="00337E16">
        <w:rPr>
          <w:rFonts w:ascii="Cambria" w:hAnsi="Cambria"/>
          <w:b/>
          <w:bCs/>
          <w:smallCaps/>
          <w:sz w:val="22"/>
          <w:szCs w:val="22"/>
        </w:rPr>
        <w:t>PLENÁRIO</w:t>
      </w:r>
    </w:p>
    <w:p w:rsidR="003C6DEB" w:rsidRDefault="003C6DEB" w:rsidP="00337E16">
      <w:pPr>
        <w:pStyle w:val="tita"/>
        <w:spacing w:before="0" w:after="0" w:line="240" w:lineRule="auto"/>
        <w:jc w:val="both"/>
        <w:rPr>
          <w:i w:val="0"/>
          <w:iCs w:val="0"/>
          <w:sz w:val="22"/>
          <w:szCs w:val="22"/>
        </w:rPr>
      </w:pPr>
    </w:p>
    <w:p w:rsidR="00FC399F" w:rsidRPr="00611C54" w:rsidRDefault="00FC399F" w:rsidP="00FC399F">
      <w:pPr>
        <w:pStyle w:val="indice"/>
        <w:spacing w:before="60" w:line="240" w:lineRule="auto"/>
        <w:rPr>
          <w:b/>
        </w:rPr>
      </w:pPr>
      <w:r w:rsidRPr="00611C54">
        <w:rPr>
          <w:b/>
        </w:rPr>
        <w:t>Planilha de custos e formação de preços: 1 - Previsão do pagamento de salários superiores aos fixados pela convenção coletiva de trabalho da categoria</w:t>
      </w:r>
    </w:p>
    <w:p w:rsidR="00611C54" w:rsidRPr="00337E16" w:rsidRDefault="006C21B1" w:rsidP="00611C54">
      <w:pPr>
        <w:pStyle w:val="Pargrafo"/>
        <w:jc w:val="both"/>
        <w:rPr>
          <w:sz w:val="22"/>
          <w:szCs w:val="22"/>
        </w:rPr>
      </w:pPr>
      <w:r>
        <w:rPr>
          <w:sz w:val="22"/>
          <w:szCs w:val="22"/>
        </w:rPr>
        <w:t>R</w:t>
      </w:r>
      <w:r w:rsidR="00DF7C54" w:rsidRPr="00DF7C54">
        <w:rPr>
          <w:sz w:val="22"/>
          <w:szCs w:val="22"/>
        </w:rPr>
        <w:t xml:space="preserve">epresentação </w:t>
      </w:r>
      <w:r>
        <w:rPr>
          <w:sz w:val="22"/>
          <w:szCs w:val="22"/>
        </w:rPr>
        <w:t>oferecida ao TCU apontou</w:t>
      </w:r>
      <w:r w:rsidR="00DF7C54" w:rsidRPr="00DF7C54">
        <w:rPr>
          <w:sz w:val="22"/>
          <w:szCs w:val="22"/>
        </w:rPr>
        <w:t xml:space="preserve"> possíveis irregularidades no Pregão Eletrônico n</w:t>
      </w:r>
      <w:r>
        <w:rPr>
          <w:sz w:val="22"/>
          <w:szCs w:val="22"/>
        </w:rPr>
        <w:t>.</w:t>
      </w:r>
      <w:r w:rsidR="00DF7C54" w:rsidRPr="00DF7C54">
        <w:rPr>
          <w:sz w:val="22"/>
          <w:szCs w:val="22"/>
        </w:rPr>
        <w:t xml:space="preserve">º 076/2006, promovido </w:t>
      </w:r>
      <w:r>
        <w:rPr>
          <w:sz w:val="22"/>
          <w:szCs w:val="22"/>
        </w:rPr>
        <w:t>pelo</w:t>
      </w:r>
      <w:r w:rsidR="00DF7C54" w:rsidRPr="00DF7C54">
        <w:rPr>
          <w:sz w:val="22"/>
          <w:szCs w:val="22"/>
        </w:rPr>
        <w:t xml:space="preserve"> Núcleo Estadual do Ministério da Saúde no Estado do Rio de Janeiro</w:t>
      </w:r>
      <w:r>
        <w:rPr>
          <w:sz w:val="22"/>
          <w:szCs w:val="22"/>
        </w:rPr>
        <w:t xml:space="preserve"> – </w:t>
      </w:r>
      <w:r w:rsidR="00DF7C54" w:rsidRPr="00DF7C54">
        <w:rPr>
          <w:sz w:val="22"/>
          <w:szCs w:val="22"/>
        </w:rPr>
        <w:t xml:space="preserve">NERJ/MS, </w:t>
      </w:r>
      <w:r w:rsidR="000138F0">
        <w:rPr>
          <w:sz w:val="22"/>
          <w:szCs w:val="22"/>
        </w:rPr>
        <w:t xml:space="preserve">cujo </w:t>
      </w:r>
      <w:r w:rsidR="00DF7C54" w:rsidRPr="00DF7C54">
        <w:rPr>
          <w:sz w:val="22"/>
          <w:szCs w:val="22"/>
        </w:rPr>
        <w:t xml:space="preserve">objeto </w:t>
      </w:r>
      <w:r w:rsidR="000138F0">
        <w:rPr>
          <w:sz w:val="22"/>
          <w:szCs w:val="22"/>
        </w:rPr>
        <w:t xml:space="preserve">era </w:t>
      </w:r>
      <w:r w:rsidR="00DF7C54" w:rsidRPr="00DF7C54">
        <w:rPr>
          <w:sz w:val="22"/>
          <w:szCs w:val="22"/>
        </w:rPr>
        <w:t>a contratação de empresa prestadora de serviços de tratamento de acervos arquivísticos</w:t>
      </w:r>
      <w:r>
        <w:rPr>
          <w:sz w:val="22"/>
          <w:szCs w:val="22"/>
        </w:rPr>
        <w:t xml:space="preserve"> </w:t>
      </w:r>
      <w:r w:rsidR="00DF7C54" w:rsidRPr="00DF7C54">
        <w:rPr>
          <w:sz w:val="22"/>
          <w:szCs w:val="22"/>
        </w:rPr>
        <w:t>–</w:t>
      </w:r>
      <w:r>
        <w:rPr>
          <w:sz w:val="22"/>
          <w:szCs w:val="22"/>
        </w:rPr>
        <w:t xml:space="preserve"> </w:t>
      </w:r>
      <w:r w:rsidR="00DF7C54" w:rsidRPr="00DF7C54">
        <w:rPr>
          <w:sz w:val="22"/>
          <w:szCs w:val="22"/>
        </w:rPr>
        <w:t>microfilmagem, acondicionamento e arquivamento</w:t>
      </w:r>
      <w:r>
        <w:rPr>
          <w:sz w:val="22"/>
          <w:szCs w:val="22"/>
        </w:rPr>
        <w:t xml:space="preserve"> </w:t>
      </w:r>
      <w:r w:rsidR="00DF7C54" w:rsidRPr="00DF7C54">
        <w:rPr>
          <w:sz w:val="22"/>
          <w:szCs w:val="22"/>
        </w:rPr>
        <w:t>–</w:t>
      </w:r>
      <w:r>
        <w:rPr>
          <w:sz w:val="22"/>
          <w:szCs w:val="22"/>
        </w:rPr>
        <w:t xml:space="preserve"> </w:t>
      </w:r>
      <w:r w:rsidR="00DF7C54" w:rsidRPr="00DF7C54">
        <w:rPr>
          <w:sz w:val="22"/>
          <w:szCs w:val="22"/>
        </w:rPr>
        <w:t>no Centro de Microfilmagem e Digitalização</w:t>
      </w:r>
      <w:r>
        <w:rPr>
          <w:sz w:val="22"/>
          <w:szCs w:val="22"/>
        </w:rPr>
        <w:t xml:space="preserve"> </w:t>
      </w:r>
      <w:r w:rsidR="00DF7C54" w:rsidRPr="00DF7C54">
        <w:rPr>
          <w:sz w:val="22"/>
          <w:szCs w:val="22"/>
        </w:rPr>
        <w:t>–</w:t>
      </w:r>
      <w:r>
        <w:rPr>
          <w:sz w:val="22"/>
          <w:szCs w:val="22"/>
        </w:rPr>
        <w:t xml:space="preserve"> </w:t>
      </w:r>
      <w:r w:rsidR="00DF7C54" w:rsidRPr="00DF7C54">
        <w:rPr>
          <w:sz w:val="22"/>
          <w:szCs w:val="22"/>
        </w:rPr>
        <w:t>CMD/RJ.</w:t>
      </w:r>
      <w:r>
        <w:rPr>
          <w:sz w:val="22"/>
          <w:szCs w:val="22"/>
        </w:rPr>
        <w:t xml:space="preserve"> </w:t>
      </w:r>
      <w:r w:rsidR="008A12B2">
        <w:rPr>
          <w:sz w:val="22"/>
          <w:szCs w:val="22"/>
        </w:rPr>
        <w:t xml:space="preserve">De acordo com </w:t>
      </w:r>
      <w:r w:rsidR="006559EB">
        <w:rPr>
          <w:sz w:val="22"/>
          <w:szCs w:val="22"/>
        </w:rPr>
        <w:t xml:space="preserve">o </w:t>
      </w:r>
      <w:r w:rsidR="000138F0">
        <w:rPr>
          <w:sz w:val="22"/>
          <w:szCs w:val="22"/>
        </w:rPr>
        <w:t xml:space="preserve">Auditor Federal </w:t>
      </w:r>
      <w:r w:rsidR="006559EB">
        <w:rPr>
          <w:sz w:val="22"/>
          <w:szCs w:val="22"/>
        </w:rPr>
        <w:t>responsável pela instrução</w:t>
      </w:r>
      <w:r w:rsidR="008A12B2">
        <w:rPr>
          <w:sz w:val="22"/>
          <w:szCs w:val="22"/>
        </w:rPr>
        <w:t>, o</w:t>
      </w:r>
      <w:r w:rsidR="00DF7C54" w:rsidRPr="00DF7C54">
        <w:rPr>
          <w:sz w:val="22"/>
          <w:szCs w:val="22"/>
        </w:rPr>
        <w:t xml:space="preserve"> NERJ</w:t>
      </w:r>
      <w:r w:rsidR="000138F0">
        <w:rPr>
          <w:sz w:val="22"/>
          <w:szCs w:val="22"/>
        </w:rPr>
        <w:t>/MS</w:t>
      </w:r>
      <w:r w:rsidR="00DF7C54" w:rsidRPr="00DF7C54">
        <w:rPr>
          <w:sz w:val="22"/>
          <w:szCs w:val="22"/>
        </w:rPr>
        <w:t xml:space="preserve"> estabelece</w:t>
      </w:r>
      <w:r w:rsidR="008A12B2">
        <w:rPr>
          <w:sz w:val="22"/>
          <w:szCs w:val="22"/>
        </w:rPr>
        <w:t>ra,</w:t>
      </w:r>
      <w:r w:rsidR="00DF7C54" w:rsidRPr="00DF7C54">
        <w:rPr>
          <w:sz w:val="22"/>
          <w:szCs w:val="22"/>
        </w:rPr>
        <w:t xml:space="preserve"> no </w:t>
      </w:r>
      <w:r w:rsidR="008A12B2">
        <w:rPr>
          <w:sz w:val="22"/>
          <w:szCs w:val="22"/>
        </w:rPr>
        <w:t>e</w:t>
      </w:r>
      <w:r w:rsidR="00DF7C54" w:rsidRPr="00DF7C54">
        <w:rPr>
          <w:sz w:val="22"/>
          <w:szCs w:val="22"/>
        </w:rPr>
        <w:t>dital</w:t>
      </w:r>
      <w:r w:rsidR="008A12B2">
        <w:rPr>
          <w:sz w:val="22"/>
          <w:szCs w:val="22"/>
        </w:rPr>
        <w:t>,</w:t>
      </w:r>
      <w:r w:rsidR="00DF7C54" w:rsidRPr="00DF7C54">
        <w:rPr>
          <w:sz w:val="22"/>
          <w:szCs w:val="22"/>
        </w:rPr>
        <w:t xml:space="preserve"> a previsão d</w:t>
      </w:r>
      <w:r w:rsidR="008A12B2">
        <w:rPr>
          <w:sz w:val="22"/>
          <w:szCs w:val="22"/>
        </w:rPr>
        <w:t>o</w:t>
      </w:r>
      <w:r w:rsidR="00DF7C54" w:rsidRPr="00DF7C54">
        <w:rPr>
          <w:sz w:val="22"/>
          <w:szCs w:val="22"/>
        </w:rPr>
        <w:t xml:space="preserve"> pagamento de 2,7 salários de referência para a função de Técnico de Microfilmagem</w:t>
      </w:r>
      <w:r w:rsidR="008A12B2">
        <w:rPr>
          <w:sz w:val="22"/>
          <w:szCs w:val="22"/>
        </w:rPr>
        <w:t xml:space="preserve">, bem como de </w:t>
      </w:r>
      <w:r w:rsidR="00DF7C54" w:rsidRPr="00DF7C54">
        <w:rPr>
          <w:sz w:val="22"/>
          <w:szCs w:val="22"/>
        </w:rPr>
        <w:t>5</w:t>
      </w:r>
      <w:r w:rsidR="008A12B2">
        <w:rPr>
          <w:sz w:val="22"/>
          <w:szCs w:val="22"/>
        </w:rPr>
        <w:t xml:space="preserve">,0 </w:t>
      </w:r>
      <w:r w:rsidR="00DF7C54" w:rsidRPr="00DF7C54">
        <w:rPr>
          <w:sz w:val="22"/>
          <w:szCs w:val="22"/>
        </w:rPr>
        <w:t xml:space="preserve">salários para a de Arquivista, </w:t>
      </w:r>
      <w:r w:rsidR="008A12B2" w:rsidRPr="008A12B2">
        <w:rPr>
          <w:i/>
          <w:sz w:val="22"/>
          <w:szCs w:val="22"/>
        </w:rPr>
        <w:t xml:space="preserve">“em </w:t>
      </w:r>
      <w:r w:rsidR="00DF7C54" w:rsidRPr="008A12B2">
        <w:rPr>
          <w:i/>
          <w:sz w:val="22"/>
          <w:szCs w:val="22"/>
        </w:rPr>
        <w:t>desacordo com o art. 40, inciso X, da Lei nº 8.666/93, que veda a fixação de preços mínimos como critério de aceitabilidade dos preços unitários e global nas licitações públicas</w:t>
      </w:r>
      <w:r w:rsidR="008A12B2" w:rsidRPr="008A12B2">
        <w:rPr>
          <w:i/>
          <w:sz w:val="22"/>
          <w:szCs w:val="22"/>
        </w:rPr>
        <w:t>”</w:t>
      </w:r>
      <w:r w:rsidR="00DF7C54" w:rsidRPr="00DF7C54">
        <w:rPr>
          <w:sz w:val="22"/>
          <w:szCs w:val="22"/>
        </w:rPr>
        <w:t>.</w:t>
      </w:r>
      <w:r w:rsidR="008A12B2">
        <w:rPr>
          <w:sz w:val="22"/>
          <w:szCs w:val="22"/>
        </w:rPr>
        <w:t xml:space="preserve"> </w:t>
      </w:r>
      <w:r w:rsidR="000138F0">
        <w:rPr>
          <w:sz w:val="22"/>
          <w:szCs w:val="22"/>
        </w:rPr>
        <w:t>D</w:t>
      </w:r>
      <w:r w:rsidR="008A12B2">
        <w:rPr>
          <w:sz w:val="22"/>
          <w:szCs w:val="22"/>
        </w:rPr>
        <w:t>estacou</w:t>
      </w:r>
      <w:r w:rsidR="000138F0">
        <w:rPr>
          <w:sz w:val="22"/>
          <w:szCs w:val="22"/>
        </w:rPr>
        <w:t>, ainda,</w:t>
      </w:r>
      <w:r w:rsidR="008A12B2">
        <w:rPr>
          <w:sz w:val="22"/>
          <w:szCs w:val="22"/>
        </w:rPr>
        <w:t xml:space="preserve"> que o </w:t>
      </w:r>
      <w:r w:rsidR="000138F0">
        <w:rPr>
          <w:sz w:val="22"/>
          <w:szCs w:val="22"/>
        </w:rPr>
        <w:t>TCU</w:t>
      </w:r>
      <w:r w:rsidR="00C1520D">
        <w:rPr>
          <w:sz w:val="22"/>
          <w:szCs w:val="22"/>
        </w:rPr>
        <w:t>, por meio d</w:t>
      </w:r>
      <w:r w:rsidR="00DF7C54" w:rsidRPr="00DF7C54">
        <w:rPr>
          <w:sz w:val="22"/>
          <w:szCs w:val="22"/>
        </w:rPr>
        <w:t>o Acórdão n</w:t>
      </w:r>
      <w:r w:rsidR="008A12B2">
        <w:rPr>
          <w:sz w:val="22"/>
          <w:szCs w:val="22"/>
        </w:rPr>
        <w:t>.</w:t>
      </w:r>
      <w:r w:rsidR="00DF7C54" w:rsidRPr="00DF7C54">
        <w:rPr>
          <w:sz w:val="22"/>
          <w:szCs w:val="22"/>
        </w:rPr>
        <w:t xml:space="preserve">º 614/2008-Plenário, </w:t>
      </w:r>
      <w:r w:rsidR="00C1520D">
        <w:rPr>
          <w:sz w:val="22"/>
          <w:szCs w:val="22"/>
        </w:rPr>
        <w:t>firm</w:t>
      </w:r>
      <w:r w:rsidR="00B42FCB">
        <w:rPr>
          <w:sz w:val="22"/>
          <w:szCs w:val="22"/>
        </w:rPr>
        <w:t>ara</w:t>
      </w:r>
      <w:r w:rsidR="00C1520D">
        <w:rPr>
          <w:sz w:val="22"/>
          <w:szCs w:val="22"/>
        </w:rPr>
        <w:t xml:space="preserve"> </w:t>
      </w:r>
      <w:r w:rsidR="00C7768B">
        <w:rPr>
          <w:sz w:val="22"/>
          <w:szCs w:val="22"/>
        </w:rPr>
        <w:t xml:space="preserve">o </w:t>
      </w:r>
      <w:r w:rsidR="00C1520D">
        <w:rPr>
          <w:sz w:val="22"/>
          <w:szCs w:val="22"/>
        </w:rPr>
        <w:t>entendimento</w:t>
      </w:r>
      <w:r w:rsidR="00DF7C54" w:rsidRPr="00DF7C54">
        <w:rPr>
          <w:sz w:val="22"/>
          <w:szCs w:val="22"/>
        </w:rPr>
        <w:t xml:space="preserve"> </w:t>
      </w:r>
      <w:r w:rsidR="00C7768B">
        <w:rPr>
          <w:sz w:val="22"/>
          <w:szCs w:val="22"/>
        </w:rPr>
        <w:t xml:space="preserve">de </w:t>
      </w:r>
      <w:r w:rsidR="00DF7C54" w:rsidRPr="00DF7C54">
        <w:rPr>
          <w:sz w:val="22"/>
          <w:szCs w:val="22"/>
        </w:rPr>
        <w:t>que</w:t>
      </w:r>
      <w:r w:rsidR="00453D08">
        <w:rPr>
          <w:sz w:val="22"/>
          <w:szCs w:val="22"/>
        </w:rPr>
        <w:t>,</w:t>
      </w:r>
      <w:r w:rsidR="00DF7C54" w:rsidRPr="00DF7C54">
        <w:rPr>
          <w:sz w:val="22"/>
          <w:szCs w:val="22"/>
        </w:rPr>
        <w:t xml:space="preserve"> </w:t>
      </w:r>
      <w:r w:rsidR="00453D08">
        <w:rPr>
          <w:sz w:val="22"/>
          <w:szCs w:val="22"/>
        </w:rPr>
        <w:t>“</w:t>
      </w:r>
      <w:r w:rsidR="00DF7C54" w:rsidRPr="00DF7C54">
        <w:rPr>
          <w:i/>
          <w:sz w:val="22"/>
          <w:szCs w:val="22"/>
        </w:rPr>
        <w:t xml:space="preserve">para modelos de execução indireta de serviços, inclusive os baseados na alocação de postos de trabalho, se a categoria profissional requerida se encontra amparada por convenção coletiva de trabalho, ou outra norma coletiva aplicável a toda a categoria, determinando o respectivo </w:t>
      </w:r>
      <w:r w:rsidR="00DF7C54" w:rsidRPr="00DF7C54">
        <w:rPr>
          <w:i/>
          <w:sz w:val="22"/>
          <w:szCs w:val="22"/>
        </w:rPr>
        <w:lastRenderedPageBreak/>
        <w:t>valor salarial mínimo, esse pacto laboral deve ser rigorosamente observado nas licitações efetivadas pela Administração Pública e nas contratações delas decorrentes</w:t>
      </w:r>
      <w:r w:rsidR="00453D08">
        <w:rPr>
          <w:i/>
          <w:sz w:val="22"/>
          <w:szCs w:val="22"/>
        </w:rPr>
        <w:t>”</w:t>
      </w:r>
      <w:r w:rsidR="00DF7C54" w:rsidRPr="00DF7C54">
        <w:rPr>
          <w:sz w:val="22"/>
          <w:szCs w:val="22"/>
        </w:rPr>
        <w:t>.</w:t>
      </w:r>
      <w:r w:rsidR="00453D08">
        <w:rPr>
          <w:sz w:val="22"/>
          <w:szCs w:val="22"/>
        </w:rPr>
        <w:t xml:space="preserve"> </w:t>
      </w:r>
      <w:r w:rsidR="00C7768B">
        <w:rPr>
          <w:sz w:val="22"/>
          <w:szCs w:val="22"/>
        </w:rPr>
        <w:t>Ao se manifestar nos autos,</w:t>
      </w:r>
      <w:r w:rsidR="006559EB">
        <w:rPr>
          <w:sz w:val="22"/>
          <w:szCs w:val="22"/>
        </w:rPr>
        <w:t xml:space="preserve"> o</w:t>
      </w:r>
      <w:r w:rsidR="00DF7C54" w:rsidRPr="00DF7C54">
        <w:rPr>
          <w:sz w:val="22"/>
          <w:szCs w:val="22"/>
        </w:rPr>
        <w:t xml:space="preserve"> </w:t>
      </w:r>
      <w:r w:rsidR="006559EB">
        <w:rPr>
          <w:sz w:val="22"/>
          <w:szCs w:val="22"/>
        </w:rPr>
        <w:t>titular</w:t>
      </w:r>
      <w:r w:rsidR="00DF7C54" w:rsidRPr="00DF7C54">
        <w:rPr>
          <w:sz w:val="22"/>
          <w:szCs w:val="22"/>
        </w:rPr>
        <w:t xml:space="preserve"> da </w:t>
      </w:r>
      <w:r w:rsidR="006559EB">
        <w:rPr>
          <w:sz w:val="22"/>
          <w:szCs w:val="22"/>
        </w:rPr>
        <w:t>unidade técnica</w:t>
      </w:r>
      <w:r w:rsidR="00C7768B">
        <w:rPr>
          <w:sz w:val="22"/>
          <w:szCs w:val="22"/>
        </w:rPr>
        <w:t xml:space="preserve"> ressaltou que</w:t>
      </w:r>
      <w:r w:rsidR="006559EB">
        <w:rPr>
          <w:sz w:val="22"/>
          <w:szCs w:val="22"/>
        </w:rPr>
        <w:t>, e</w:t>
      </w:r>
      <w:r w:rsidR="00C7768B">
        <w:rPr>
          <w:sz w:val="22"/>
          <w:szCs w:val="22"/>
        </w:rPr>
        <w:t>mbora o referido acórdão</w:t>
      </w:r>
      <w:r w:rsidR="00DF7C54" w:rsidRPr="0008791C">
        <w:rPr>
          <w:sz w:val="22"/>
          <w:szCs w:val="22"/>
        </w:rPr>
        <w:t xml:space="preserve"> aponte no sentido da impossibilidade de tal previsão, o </w:t>
      </w:r>
      <w:r w:rsidR="00C7768B">
        <w:rPr>
          <w:sz w:val="22"/>
          <w:szCs w:val="22"/>
        </w:rPr>
        <w:t xml:space="preserve">próprio </w:t>
      </w:r>
      <w:r w:rsidR="00DF7C54" w:rsidRPr="0008791C">
        <w:rPr>
          <w:sz w:val="22"/>
          <w:szCs w:val="22"/>
        </w:rPr>
        <w:t xml:space="preserve">Tribunal decidiu, posteriormente, </w:t>
      </w:r>
      <w:r w:rsidR="00C7768B">
        <w:rPr>
          <w:sz w:val="22"/>
          <w:szCs w:val="22"/>
        </w:rPr>
        <w:t xml:space="preserve">por intermédio do </w:t>
      </w:r>
      <w:r w:rsidR="00C7768B" w:rsidRPr="0008791C">
        <w:rPr>
          <w:sz w:val="22"/>
          <w:szCs w:val="22"/>
        </w:rPr>
        <w:t xml:space="preserve">Acórdão </w:t>
      </w:r>
      <w:bookmarkStart w:id="1" w:name="Hit1"/>
      <w:r w:rsidR="00C7768B" w:rsidRPr="00DF7C54">
        <w:rPr>
          <w:sz w:val="22"/>
          <w:szCs w:val="22"/>
        </w:rPr>
        <w:t>n</w:t>
      </w:r>
      <w:r w:rsidR="00C7768B">
        <w:rPr>
          <w:sz w:val="22"/>
          <w:szCs w:val="22"/>
        </w:rPr>
        <w:t>.</w:t>
      </w:r>
      <w:r w:rsidR="00C7768B" w:rsidRPr="00DF7C54">
        <w:rPr>
          <w:sz w:val="22"/>
          <w:szCs w:val="22"/>
        </w:rPr>
        <w:t xml:space="preserve">º </w:t>
      </w:r>
      <w:r w:rsidR="00C7768B" w:rsidRPr="0008791C">
        <w:rPr>
          <w:sz w:val="22"/>
          <w:szCs w:val="22"/>
        </w:rPr>
        <w:t>1122/2008</w:t>
      </w:r>
      <w:bookmarkEnd w:id="1"/>
      <w:r w:rsidR="00C7768B">
        <w:rPr>
          <w:sz w:val="22"/>
          <w:szCs w:val="22"/>
        </w:rPr>
        <w:t>-</w:t>
      </w:r>
      <w:r w:rsidR="00C7768B" w:rsidRPr="0008791C">
        <w:rPr>
          <w:sz w:val="22"/>
          <w:szCs w:val="22"/>
        </w:rPr>
        <w:t>Plenário</w:t>
      </w:r>
      <w:r w:rsidR="00C7768B">
        <w:rPr>
          <w:sz w:val="22"/>
          <w:szCs w:val="22"/>
        </w:rPr>
        <w:t>,</w:t>
      </w:r>
      <w:r w:rsidR="00C7768B" w:rsidRPr="0008791C">
        <w:rPr>
          <w:sz w:val="22"/>
          <w:szCs w:val="22"/>
        </w:rPr>
        <w:t xml:space="preserve"> </w:t>
      </w:r>
      <w:r w:rsidR="00DF7C54" w:rsidRPr="0008791C">
        <w:rPr>
          <w:sz w:val="22"/>
          <w:szCs w:val="22"/>
        </w:rPr>
        <w:t xml:space="preserve">que </w:t>
      </w:r>
      <w:r w:rsidR="0024307E">
        <w:rPr>
          <w:sz w:val="22"/>
          <w:szCs w:val="22"/>
        </w:rPr>
        <w:t>ess</w:t>
      </w:r>
      <w:r w:rsidR="00DF7C54" w:rsidRPr="0008791C">
        <w:rPr>
          <w:sz w:val="22"/>
          <w:szCs w:val="22"/>
        </w:rPr>
        <w:t>a regra admite exceção, desde que devidamente justificada.</w:t>
      </w:r>
      <w:r w:rsidR="00287CF9">
        <w:rPr>
          <w:sz w:val="22"/>
          <w:szCs w:val="22"/>
        </w:rPr>
        <w:t xml:space="preserve"> Segundo o titular da unidade instrutiva, </w:t>
      </w:r>
      <w:r w:rsidR="00DF7C54" w:rsidRPr="0008791C">
        <w:rPr>
          <w:sz w:val="22"/>
          <w:szCs w:val="22"/>
        </w:rPr>
        <w:t>há situações em que se necessita de profissionais com habilitação/experiência superior à</w:t>
      </w:r>
      <w:r w:rsidR="00C7768B">
        <w:rPr>
          <w:sz w:val="22"/>
          <w:szCs w:val="22"/>
        </w:rPr>
        <w:t xml:space="preserve"> da</w:t>
      </w:r>
      <w:r w:rsidR="00DF7C54" w:rsidRPr="0008791C">
        <w:rPr>
          <w:sz w:val="22"/>
          <w:szCs w:val="22"/>
        </w:rPr>
        <w:t xml:space="preserve">queles que, no mercado, são remunerados pelo piso salarial da categoria. A utilização </w:t>
      </w:r>
      <w:r w:rsidR="0024307E">
        <w:rPr>
          <w:sz w:val="22"/>
          <w:szCs w:val="22"/>
        </w:rPr>
        <w:t>do</w:t>
      </w:r>
      <w:r w:rsidR="00DF7C54" w:rsidRPr="0008791C">
        <w:rPr>
          <w:sz w:val="22"/>
          <w:szCs w:val="22"/>
        </w:rPr>
        <w:t xml:space="preserve"> piso como referência, nessas situações, </w:t>
      </w:r>
      <w:r w:rsidR="00287CF9" w:rsidRPr="00287CF9">
        <w:rPr>
          <w:i/>
          <w:sz w:val="22"/>
          <w:szCs w:val="22"/>
        </w:rPr>
        <w:t>“</w:t>
      </w:r>
      <w:r w:rsidR="00DF7C54" w:rsidRPr="00287CF9">
        <w:rPr>
          <w:i/>
          <w:sz w:val="22"/>
          <w:szCs w:val="22"/>
        </w:rPr>
        <w:t xml:space="preserve">acaba por gerar para </w:t>
      </w:r>
      <w:r w:rsidR="00E02C05">
        <w:rPr>
          <w:i/>
          <w:sz w:val="22"/>
          <w:szCs w:val="22"/>
        </w:rPr>
        <w:t xml:space="preserve">a </w:t>
      </w:r>
      <w:r w:rsidR="00DF7C54" w:rsidRPr="00287CF9">
        <w:rPr>
          <w:i/>
          <w:sz w:val="22"/>
          <w:szCs w:val="22"/>
        </w:rPr>
        <w:t>Administração, em vez de economia, problemas operacionais, em função da alocação de profissionais despreparados ou não capacitados e da rotatividade de mão</w:t>
      </w:r>
      <w:r w:rsidR="00287CF9">
        <w:rPr>
          <w:i/>
          <w:sz w:val="22"/>
          <w:szCs w:val="22"/>
        </w:rPr>
        <w:t xml:space="preserve"> </w:t>
      </w:r>
      <w:r w:rsidR="00DF7C54" w:rsidRPr="00287CF9">
        <w:rPr>
          <w:i/>
          <w:sz w:val="22"/>
          <w:szCs w:val="22"/>
        </w:rPr>
        <w:t>de</w:t>
      </w:r>
      <w:r w:rsidR="00287CF9">
        <w:rPr>
          <w:i/>
          <w:sz w:val="22"/>
          <w:szCs w:val="22"/>
        </w:rPr>
        <w:t xml:space="preserve"> </w:t>
      </w:r>
      <w:r w:rsidR="00DF7C54" w:rsidRPr="00287CF9">
        <w:rPr>
          <w:i/>
          <w:sz w:val="22"/>
          <w:szCs w:val="22"/>
        </w:rPr>
        <w:t>obra</w:t>
      </w:r>
      <w:r w:rsidR="00287CF9">
        <w:rPr>
          <w:sz w:val="22"/>
          <w:szCs w:val="22"/>
        </w:rPr>
        <w:t>”</w:t>
      </w:r>
      <w:r w:rsidR="00DF7C54" w:rsidRPr="0008791C">
        <w:rPr>
          <w:sz w:val="22"/>
          <w:szCs w:val="22"/>
        </w:rPr>
        <w:t>.</w:t>
      </w:r>
      <w:r w:rsidR="00287CF9">
        <w:rPr>
          <w:sz w:val="22"/>
          <w:szCs w:val="22"/>
        </w:rPr>
        <w:t xml:space="preserve"> Para ele, poderia haver </w:t>
      </w:r>
      <w:r w:rsidR="00DF7C54" w:rsidRPr="0008791C">
        <w:rPr>
          <w:sz w:val="22"/>
          <w:szCs w:val="22"/>
        </w:rPr>
        <w:t>justificativa para o ato, porém tal não constou do processo licitatório</w:t>
      </w:r>
      <w:r w:rsidR="00287CF9">
        <w:rPr>
          <w:sz w:val="22"/>
          <w:szCs w:val="22"/>
        </w:rPr>
        <w:t xml:space="preserve">, o que </w:t>
      </w:r>
      <w:r w:rsidR="00287CF9" w:rsidRPr="00287CF9">
        <w:rPr>
          <w:i/>
          <w:sz w:val="22"/>
          <w:szCs w:val="22"/>
        </w:rPr>
        <w:t>“</w:t>
      </w:r>
      <w:r w:rsidR="00DF7C54" w:rsidRPr="00287CF9">
        <w:rPr>
          <w:i/>
          <w:sz w:val="22"/>
          <w:szCs w:val="22"/>
        </w:rPr>
        <w:t>caracteriza falha, independente das necessidades existentes e da aceitação ou não das justificativas posteriormente apresentadas</w:t>
      </w:r>
      <w:r w:rsidR="00287CF9" w:rsidRPr="00287CF9">
        <w:rPr>
          <w:i/>
          <w:sz w:val="22"/>
          <w:szCs w:val="22"/>
        </w:rPr>
        <w:t>”</w:t>
      </w:r>
      <w:r w:rsidR="00DF7C54" w:rsidRPr="0008791C">
        <w:rPr>
          <w:sz w:val="22"/>
          <w:szCs w:val="22"/>
        </w:rPr>
        <w:t>.</w:t>
      </w:r>
      <w:r w:rsidR="00DA6A92">
        <w:rPr>
          <w:sz w:val="22"/>
          <w:szCs w:val="22"/>
        </w:rPr>
        <w:t xml:space="preserve"> </w:t>
      </w:r>
      <w:r w:rsidR="00650F30">
        <w:rPr>
          <w:sz w:val="22"/>
          <w:szCs w:val="22"/>
        </w:rPr>
        <w:t xml:space="preserve">Em consequência, </w:t>
      </w:r>
      <w:r w:rsidR="0024307E">
        <w:rPr>
          <w:sz w:val="22"/>
          <w:szCs w:val="22"/>
        </w:rPr>
        <w:t>propôs</w:t>
      </w:r>
      <w:r w:rsidR="00650F30">
        <w:rPr>
          <w:sz w:val="22"/>
          <w:szCs w:val="22"/>
        </w:rPr>
        <w:t xml:space="preserve"> a expedição de alerta ao </w:t>
      </w:r>
      <w:r w:rsidR="00650F30" w:rsidRPr="00DF7C54">
        <w:rPr>
          <w:sz w:val="22"/>
          <w:szCs w:val="22"/>
        </w:rPr>
        <w:t xml:space="preserve">NERJ/MS quanto </w:t>
      </w:r>
      <w:r w:rsidR="00650F30">
        <w:rPr>
          <w:sz w:val="22"/>
          <w:szCs w:val="22"/>
        </w:rPr>
        <w:t xml:space="preserve">à </w:t>
      </w:r>
      <w:r w:rsidR="00650F30" w:rsidRPr="00650F30">
        <w:rPr>
          <w:i/>
          <w:sz w:val="22"/>
          <w:szCs w:val="22"/>
        </w:rPr>
        <w:t>“previsão de pagamento de salários superiores aos fixados pela Convenção Coletiva de Trabalho da Categoria, sem a formalização, no processo licitatório, da devida fundamentação, em descumprimento ao art. 40, inciso X, da Lei n.º 8.666/93, e entendimento deste Tribunal firmado pelo Acórdão TCU n.º 1.122/2008-Plenário”</w:t>
      </w:r>
      <w:r w:rsidR="00650F30">
        <w:rPr>
          <w:sz w:val="22"/>
          <w:szCs w:val="22"/>
        </w:rPr>
        <w:t xml:space="preserve">. </w:t>
      </w:r>
      <w:r w:rsidR="0024307E">
        <w:rPr>
          <w:sz w:val="22"/>
          <w:szCs w:val="22"/>
        </w:rPr>
        <w:t>Em seu voto, o</w:t>
      </w:r>
      <w:r w:rsidR="00DA6A92">
        <w:rPr>
          <w:sz w:val="22"/>
          <w:szCs w:val="22"/>
        </w:rPr>
        <w:t xml:space="preserve"> relator considerou</w:t>
      </w:r>
      <w:r w:rsidR="00DF7C54" w:rsidRPr="00DF7C54">
        <w:rPr>
          <w:sz w:val="22"/>
          <w:szCs w:val="22"/>
        </w:rPr>
        <w:t xml:space="preserve"> </w:t>
      </w:r>
      <w:r w:rsidR="000C07EB">
        <w:rPr>
          <w:sz w:val="22"/>
          <w:szCs w:val="22"/>
        </w:rPr>
        <w:t>adequado</w:t>
      </w:r>
      <w:r w:rsidR="00DF7C54" w:rsidRPr="00DF7C54">
        <w:rPr>
          <w:sz w:val="22"/>
          <w:szCs w:val="22"/>
        </w:rPr>
        <w:t xml:space="preserve"> o encaminhamento proposto</w:t>
      </w:r>
      <w:r w:rsidR="00650F30">
        <w:rPr>
          <w:sz w:val="22"/>
          <w:szCs w:val="22"/>
        </w:rPr>
        <w:t>, no que foi acompanhado pelos demais ministros</w:t>
      </w:r>
      <w:r w:rsidR="00DF7C54" w:rsidRPr="00DF7C54">
        <w:rPr>
          <w:sz w:val="22"/>
          <w:szCs w:val="22"/>
        </w:rPr>
        <w:t>.</w:t>
      </w:r>
      <w:r w:rsidR="00C63918">
        <w:rPr>
          <w:sz w:val="22"/>
          <w:szCs w:val="22"/>
        </w:rPr>
        <w:t xml:space="preserve"> </w:t>
      </w:r>
      <w:r w:rsidR="00611C54" w:rsidRPr="00337E16">
        <w:rPr>
          <w:b/>
          <w:i/>
          <w:sz w:val="22"/>
          <w:szCs w:val="22"/>
        </w:rPr>
        <w:t xml:space="preserve">Acórdão n.º </w:t>
      </w:r>
      <w:r w:rsidR="0008791C">
        <w:rPr>
          <w:b/>
          <w:i/>
          <w:sz w:val="22"/>
          <w:szCs w:val="22"/>
        </w:rPr>
        <w:t>3006</w:t>
      </w:r>
      <w:r w:rsidR="00611C54" w:rsidRPr="00337E16">
        <w:rPr>
          <w:b/>
          <w:i/>
          <w:sz w:val="22"/>
          <w:szCs w:val="22"/>
        </w:rPr>
        <w:t>/2010</w:t>
      </w:r>
      <w:r w:rsidR="00611C54">
        <w:rPr>
          <w:b/>
          <w:i/>
          <w:sz w:val="22"/>
          <w:szCs w:val="22"/>
        </w:rPr>
        <w:t>-Plenário</w:t>
      </w:r>
      <w:r w:rsidR="00611C54" w:rsidRPr="00337E16">
        <w:rPr>
          <w:b/>
          <w:i/>
          <w:sz w:val="22"/>
          <w:szCs w:val="22"/>
        </w:rPr>
        <w:t>, TC-0</w:t>
      </w:r>
      <w:r w:rsidR="00611C54">
        <w:rPr>
          <w:b/>
          <w:i/>
          <w:sz w:val="22"/>
          <w:szCs w:val="22"/>
        </w:rPr>
        <w:t>0</w:t>
      </w:r>
      <w:r w:rsidR="0008791C">
        <w:rPr>
          <w:b/>
          <w:i/>
          <w:sz w:val="22"/>
          <w:szCs w:val="22"/>
        </w:rPr>
        <w:t>1</w:t>
      </w:r>
      <w:r w:rsidR="00611C54" w:rsidRPr="00337E16">
        <w:rPr>
          <w:b/>
          <w:i/>
          <w:sz w:val="22"/>
          <w:szCs w:val="22"/>
        </w:rPr>
        <w:t>.</w:t>
      </w:r>
      <w:r w:rsidR="0008791C">
        <w:rPr>
          <w:b/>
          <w:i/>
          <w:sz w:val="22"/>
          <w:szCs w:val="22"/>
        </w:rPr>
        <w:t>225</w:t>
      </w:r>
      <w:r w:rsidR="00611C54" w:rsidRPr="00337E16">
        <w:rPr>
          <w:b/>
          <w:i/>
          <w:sz w:val="22"/>
          <w:szCs w:val="22"/>
        </w:rPr>
        <w:t>/20</w:t>
      </w:r>
      <w:r w:rsidR="0008791C">
        <w:rPr>
          <w:b/>
          <w:i/>
          <w:sz w:val="22"/>
          <w:szCs w:val="22"/>
        </w:rPr>
        <w:t>08</w:t>
      </w:r>
      <w:r w:rsidR="00611C54" w:rsidRPr="00337E16">
        <w:rPr>
          <w:b/>
          <w:i/>
          <w:sz w:val="22"/>
          <w:szCs w:val="22"/>
        </w:rPr>
        <w:t>-</w:t>
      </w:r>
      <w:r w:rsidR="0008791C">
        <w:rPr>
          <w:b/>
          <w:i/>
          <w:sz w:val="22"/>
          <w:szCs w:val="22"/>
        </w:rPr>
        <w:t>0</w:t>
      </w:r>
      <w:r w:rsidR="00611C54" w:rsidRPr="00337E16">
        <w:rPr>
          <w:b/>
          <w:i/>
          <w:sz w:val="22"/>
          <w:szCs w:val="22"/>
        </w:rPr>
        <w:t>, rel. Min</w:t>
      </w:r>
      <w:r w:rsidR="00611C54">
        <w:rPr>
          <w:b/>
          <w:i/>
          <w:sz w:val="22"/>
          <w:szCs w:val="22"/>
        </w:rPr>
        <w:t>. Valmir Campelo</w:t>
      </w:r>
      <w:r w:rsidR="00611C54" w:rsidRPr="00337E16">
        <w:rPr>
          <w:b/>
          <w:i/>
          <w:sz w:val="22"/>
          <w:szCs w:val="22"/>
        </w:rPr>
        <w:t xml:space="preserve">, </w:t>
      </w:r>
      <w:r w:rsidR="0008791C">
        <w:rPr>
          <w:b/>
          <w:i/>
          <w:sz w:val="22"/>
          <w:szCs w:val="22"/>
        </w:rPr>
        <w:t>10</w:t>
      </w:r>
      <w:r w:rsidR="00611C54" w:rsidRPr="00337E16">
        <w:rPr>
          <w:b/>
          <w:i/>
          <w:sz w:val="22"/>
          <w:szCs w:val="22"/>
        </w:rPr>
        <w:t>.</w:t>
      </w:r>
      <w:r w:rsidR="0008791C">
        <w:rPr>
          <w:b/>
          <w:i/>
          <w:sz w:val="22"/>
          <w:szCs w:val="22"/>
        </w:rPr>
        <w:t>11</w:t>
      </w:r>
      <w:r w:rsidR="00611C54" w:rsidRPr="00337E16">
        <w:rPr>
          <w:b/>
          <w:i/>
          <w:sz w:val="22"/>
          <w:szCs w:val="22"/>
        </w:rPr>
        <w:t>.2010</w:t>
      </w:r>
      <w:r w:rsidR="00611C54" w:rsidRPr="00337E16">
        <w:rPr>
          <w:sz w:val="22"/>
          <w:szCs w:val="22"/>
        </w:rPr>
        <w:t>.</w:t>
      </w:r>
    </w:p>
    <w:p w:rsidR="00FC399F" w:rsidRPr="00337E16" w:rsidRDefault="00FC399F" w:rsidP="00FC399F">
      <w:pPr>
        <w:pStyle w:val="indice"/>
        <w:tabs>
          <w:tab w:val="left" w:pos="567"/>
        </w:tabs>
        <w:spacing w:before="60" w:line="240" w:lineRule="auto"/>
      </w:pPr>
    </w:p>
    <w:p w:rsidR="00FC399F" w:rsidRPr="00611C54" w:rsidRDefault="00FC399F" w:rsidP="00FC399F">
      <w:pPr>
        <w:pStyle w:val="indice"/>
        <w:spacing w:before="60" w:line="240" w:lineRule="auto"/>
        <w:rPr>
          <w:b/>
        </w:rPr>
      </w:pPr>
      <w:r w:rsidRPr="00611C54">
        <w:rPr>
          <w:b/>
        </w:rPr>
        <w:t>Planilha de custos e formação de preços: 2 - Possibilidade da constituição de reserva t</w:t>
      </w:r>
      <w:r w:rsidR="00F70BF7">
        <w:rPr>
          <w:b/>
        </w:rPr>
        <w:t>écnica</w:t>
      </w:r>
    </w:p>
    <w:p w:rsidR="0008791C" w:rsidRPr="00337E16" w:rsidRDefault="0009794F" w:rsidP="0008791C">
      <w:pPr>
        <w:pStyle w:val="Pargrafo"/>
        <w:jc w:val="both"/>
        <w:rPr>
          <w:sz w:val="22"/>
          <w:szCs w:val="22"/>
        </w:rPr>
      </w:pPr>
      <w:r>
        <w:rPr>
          <w:sz w:val="22"/>
          <w:szCs w:val="22"/>
        </w:rPr>
        <w:t xml:space="preserve">Outra </w:t>
      </w:r>
      <w:r w:rsidR="00264F28">
        <w:rPr>
          <w:sz w:val="22"/>
          <w:szCs w:val="22"/>
        </w:rPr>
        <w:t>possível irregularidade</w:t>
      </w:r>
      <w:r w:rsidRPr="00DF7C54">
        <w:rPr>
          <w:sz w:val="22"/>
          <w:szCs w:val="22"/>
        </w:rPr>
        <w:t xml:space="preserve"> </w:t>
      </w:r>
      <w:r>
        <w:rPr>
          <w:sz w:val="22"/>
          <w:szCs w:val="22"/>
        </w:rPr>
        <w:t>apontada no âmbito do</w:t>
      </w:r>
      <w:r w:rsidRPr="00DF7C54">
        <w:rPr>
          <w:sz w:val="22"/>
          <w:szCs w:val="22"/>
        </w:rPr>
        <w:t xml:space="preserve"> Pregão Eletrônico n</w:t>
      </w:r>
      <w:r>
        <w:rPr>
          <w:sz w:val="22"/>
          <w:szCs w:val="22"/>
        </w:rPr>
        <w:t>.</w:t>
      </w:r>
      <w:r w:rsidRPr="00DF7C54">
        <w:rPr>
          <w:sz w:val="22"/>
          <w:szCs w:val="22"/>
        </w:rPr>
        <w:t xml:space="preserve">º 076/2006, promovido </w:t>
      </w:r>
      <w:r>
        <w:rPr>
          <w:sz w:val="22"/>
          <w:szCs w:val="22"/>
        </w:rPr>
        <w:t>pelo</w:t>
      </w:r>
      <w:r w:rsidRPr="00DF7C54">
        <w:rPr>
          <w:sz w:val="22"/>
          <w:szCs w:val="22"/>
        </w:rPr>
        <w:t xml:space="preserve"> Núcleo Estadual do Ministério da Saúde no Estado do Rio de Janeiro</w:t>
      </w:r>
      <w:r>
        <w:rPr>
          <w:sz w:val="22"/>
          <w:szCs w:val="22"/>
        </w:rPr>
        <w:t xml:space="preserve"> – </w:t>
      </w:r>
      <w:r w:rsidRPr="00DF7C54">
        <w:rPr>
          <w:sz w:val="22"/>
          <w:szCs w:val="22"/>
        </w:rPr>
        <w:t>NERJ/MS, tendo por objeto a contratação de empresa prestadora de serviços de tratamento de acervos arquivísticos</w:t>
      </w:r>
      <w:r>
        <w:rPr>
          <w:sz w:val="22"/>
          <w:szCs w:val="22"/>
        </w:rPr>
        <w:t xml:space="preserve"> </w:t>
      </w:r>
      <w:r w:rsidRPr="00DF7C54">
        <w:rPr>
          <w:sz w:val="22"/>
          <w:szCs w:val="22"/>
        </w:rPr>
        <w:t>–</w:t>
      </w:r>
      <w:r>
        <w:rPr>
          <w:sz w:val="22"/>
          <w:szCs w:val="22"/>
        </w:rPr>
        <w:t xml:space="preserve"> </w:t>
      </w:r>
      <w:r w:rsidRPr="00DF7C54">
        <w:rPr>
          <w:sz w:val="22"/>
          <w:szCs w:val="22"/>
        </w:rPr>
        <w:t>microfilmagem, acondicionamento e arquivamento</w:t>
      </w:r>
      <w:r>
        <w:rPr>
          <w:sz w:val="22"/>
          <w:szCs w:val="22"/>
        </w:rPr>
        <w:t xml:space="preserve"> </w:t>
      </w:r>
      <w:r w:rsidRPr="00DF7C54">
        <w:rPr>
          <w:sz w:val="22"/>
          <w:szCs w:val="22"/>
        </w:rPr>
        <w:t>–</w:t>
      </w:r>
      <w:r>
        <w:rPr>
          <w:sz w:val="22"/>
          <w:szCs w:val="22"/>
        </w:rPr>
        <w:t xml:space="preserve"> </w:t>
      </w:r>
      <w:r w:rsidRPr="00DF7C54">
        <w:rPr>
          <w:sz w:val="22"/>
          <w:szCs w:val="22"/>
        </w:rPr>
        <w:t>no Centro de Microfilmagem e Digitalização</w:t>
      </w:r>
      <w:r>
        <w:rPr>
          <w:sz w:val="22"/>
          <w:szCs w:val="22"/>
        </w:rPr>
        <w:t xml:space="preserve"> </w:t>
      </w:r>
      <w:r w:rsidRPr="00DF7C54">
        <w:rPr>
          <w:sz w:val="22"/>
          <w:szCs w:val="22"/>
        </w:rPr>
        <w:t>–</w:t>
      </w:r>
      <w:r>
        <w:rPr>
          <w:sz w:val="22"/>
          <w:szCs w:val="22"/>
        </w:rPr>
        <w:t xml:space="preserve"> </w:t>
      </w:r>
      <w:r w:rsidRPr="00DF7C54">
        <w:rPr>
          <w:sz w:val="22"/>
          <w:szCs w:val="22"/>
        </w:rPr>
        <w:t>CMD/RJ</w:t>
      </w:r>
      <w:r>
        <w:rPr>
          <w:sz w:val="22"/>
          <w:szCs w:val="22"/>
        </w:rPr>
        <w:t>, fo</w:t>
      </w:r>
      <w:r w:rsidR="00CE151E">
        <w:rPr>
          <w:sz w:val="22"/>
          <w:szCs w:val="22"/>
        </w:rPr>
        <w:t>i</w:t>
      </w:r>
      <w:r>
        <w:rPr>
          <w:sz w:val="22"/>
          <w:szCs w:val="22"/>
        </w:rPr>
        <w:t xml:space="preserve"> </w:t>
      </w:r>
      <w:r w:rsidR="004F5E2D">
        <w:rPr>
          <w:sz w:val="22"/>
          <w:szCs w:val="22"/>
        </w:rPr>
        <w:t xml:space="preserve">a </w:t>
      </w:r>
      <w:r w:rsidR="00541592" w:rsidRPr="00541592">
        <w:rPr>
          <w:i/>
          <w:sz w:val="22"/>
          <w:szCs w:val="22"/>
        </w:rPr>
        <w:t>“constituição de reserva técnica (15% sobre o salário de cada posto de trabalho)”</w:t>
      </w:r>
      <w:r w:rsidRPr="00DF7C54">
        <w:rPr>
          <w:sz w:val="22"/>
          <w:szCs w:val="22"/>
        </w:rPr>
        <w:t>.</w:t>
      </w:r>
      <w:r>
        <w:rPr>
          <w:sz w:val="22"/>
          <w:szCs w:val="22"/>
        </w:rPr>
        <w:t xml:space="preserve"> De acordo com a unidade </w:t>
      </w:r>
      <w:r w:rsidR="00F61307">
        <w:rPr>
          <w:sz w:val="22"/>
          <w:szCs w:val="22"/>
        </w:rPr>
        <w:t>instrutiva</w:t>
      </w:r>
      <w:r>
        <w:rPr>
          <w:sz w:val="22"/>
          <w:szCs w:val="22"/>
        </w:rPr>
        <w:t xml:space="preserve">, a </w:t>
      </w:r>
      <w:r w:rsidR="001A3ED3" w:rsidRPr="001A3ED3">
        <w:rPr>
          <w:sz w:val="22"/>
          <w:szCs w:val="22"/>
        </w:rPr>
        <w:t>previsão de “Reserva Técnica” não se justifica</w:t>
      </w:r>
      <w:r>
        <w:rPr>
          <w:sz w:val="22"/>
          <w:szCs w:val="22"/>
        </w:rPr>
        <w:t>ria</w:t>
      </w:r>
      <w:r w:rsidR="001A3ED3" w:rsidRPr="001A3ED3">
        <w:rPr>
          <w:sz w:val="22"/>
          <w:szCs w:val="22"/>
        </w:rPr>
        <w:t xml:space="preserve"> no contexto dos serviços contratados, </w:t>
      </w:r>
      <w:r w:rsidR="00F61307">
        <w:rPr>
          <w:sz w:val="22"/>
          <w:szCs w:val="22"/>
        </w:rPr>
        <w:t>uma vez que</w:t>
      </w:r>
      <w:r w:rsidR="001A3ED3" w:rsidRPr="001A3ED3">
        <w:rPr>
          <w:sz w:val="22"/>
          <w:szCs w:val="22"/>
        </w:rPr>
        <w:t xml:space="preserve"> os custos de substituição de mão de obra pela contratada</w:t>
      </w:r>
      <w:r w:rsidR="00F61307">
        <w:rPr>
          <w:sz w:val="22"/>
          <w:szCs w:val="22"/>
        </w:rPr>
        <w:t>,</w:t>
      </w:r>
      <w:r w:rsidR="001A3ED3" w:rsidRPr="001A3ED3">
        <w:rPr>
          <w:sz w:val="22"/>
          <w:szCs w:val="22"/>
        </w:rPr>
        <w:t xml:space="preserve"> </w:t>
      </w:r>
      <w:r w:rsidR="00CE151E">
        <w:rPr>
          <w:sz w:val="22"/>
          <w:szCs w:val="22"/>
        </w:rPr>
        <w:t>nas</w:t>
      </w:r>
      <w:r w:rsidR="001A3ED3" w:rsidRPr="001A3ED3">
        <w:rPr>
          <w:sz w:val="22"/>
          <w:szCs w:val="22"/>
        </w:rPr>
        <w:t xml:space="preserve"> ausência</w:t>
      </w:r>
      <w:r w:rsidR="00CE151E">
        <w:rPr>
          <w:sz w:val="22"/>
          <w:szCs w:val="22"/>
        </w:rPr>
        <w:t>s</w:t>
      </w:r>
      <w:r w:rsidR="001A3ED3" w:rsidRPr="001A3ED3">
        <w:rPr>
          <w:sz w:val="22"/>
          <w:szCs w:val="22"/>
        </w:rPr>
        <w:t xml:space="preserve"> do</w:t>
      </w:r>
      <w:r w:rsidR="00CE151E">
        <w:rPr>
          <w:sz w:val="22"/>
          <w:szCs w:val="22"/>
        </w:rPr>
        <w:t>s</w:t>
      </w:r>
      <w:r w:rsidR="001A3ED3" w:rsidRPr="001A3ED3">
        <w:rPr>
          <w:sz w:val="22"/>
          <w:szCs w:val="22"/>
        </w:rPr>
        <w:t xml:space="preserve"> </w:t>
      </w:r>
      <w:r w:rsidR="00F61307">
        <w:rPr>
          <w:sz w:val="22"/>
          <w:szCs w:val="22"/>
        </w:rPr>
        <w:t>empregado</w:t>
      </w:r>
      <w:r w:rsidR="00CE151E">
        <w:rPr>
          <w:sz w:val="22"/>
          <w:szCs w:val="22"/>
        </w:rPr>
        <w:t>s</w:t>
      </w:r>
      <w:r w:rsidR="007C136E">
        <w:rPr>
          <w:sz w:val="22"/>
          <w:szCs w:val="22"/>
        </w:rPr>
        <w:t xml:space="preserve"> (</w:t>
      </w:r>
      <w:r w:rsidR="007C136E" w:rsidRPr="001A3ED3">
        <w:rPr>
          <w:sz w:val="22"/>
          <w:szCs w:val="22"/>
        </w:rPr>
        <w:t xml:space="preserve">afastamentos legais </w:t>
      </w:r>
      <w:r w:rsidR="007C136E">
        <w:rPr>
          <w:sz w:val="22"/>
          <w:szCs w:val="22"/>
        </w:rPr>
        <w:t>por motivo de</w:t>
      </w:r>
      <w:r w:rsidR="007C136E" w:rsidRPr="001A3ED3">
        <w:rPr>
          <w:sz w:val="22"/>
          <w:szCs w:val="22"/>
        </w:rPr>
        <w:t xml:space="preserve"> férias, doença, licenças, faltas, etc</w:t>
      </w:r>
      <w:r w:rsidR="007C136E">
        <w:rPr>
          <w:sz w:val="22"/>
          <w:szCs w:val="22"/>
        </w:rPr>
        <w:t>.)</w:t>
      </w:r>
      <w:r w:rsidR="001A3ED3" w:rsidRPr="001A3ED3">
        <w:rPr>
          <w:sz w:val="22"/>
          <w:szCs w:val="22"/>
        </w:rPr>
        <w:t xml:space="preserve"> já </w:t>
      </w:r>
      <w:r>
        <w:rPr>
          <w:sz w:val="22"/>
          <w:szCs w:val="22"/>
        </w:rPr>
        <w:t>seriam</w:t>
      </w:r>
      <w:r w:rsidR="001A3ED3" w:rsidRPr="001A3ED3">
        <w:rPr>
          <w:sz w:val="22"/>
          <w:szCs w:val="22"/>
        </w:rPr>
        <w:t xml:space="preserve"> absorvidos pelos percentuais estabelecidos no </w:t>
      </w:r>
      <w:r w:rsidR="00F61307">
        <w:rPr>
          <w:sz w:val="22"/>
          <w:szCs w:val="22"/>
        </w:rPr>
        <w:t>‘</w:t>
      </w:r>
      <w:r w:rsidR="001A3ED3" w:rsidRPr="001A3ED3">
        <w:rPr>
          <w:sz w:val="22"/>
          <w:szCs w:val="22"/>
        </w:rPr>
        <w:t>Grupo B</w:t>
      </w:r>
      <w:r w:rsidR="00F61307">
        <w:rPr>
          <w:sz w:val="22"/>
          <w:szCs w:val="22"/>
        </w:rPr>
        <w:t>’</w:t>
      </w:r>
      <w:r w:rsidR="001A3ED3" w:rsidRPr="001A3ED3">
        <w:rPr>
          <w:sz w:val="22"/>
          <w:szCs w:val="22"/>
        </w:rPr>
        <w:t xml:space="preserve"> das planilhas. </w:t>
      </w:r>
      <w:r w:rsidR="005422B5">
        <w:rPr>
          <w:sz w:val="22"/>
          <w:szCs w:val="22"/>
        </w:rPr>
        <w:t>A</w:t>
      </w:r>
      <w:r>
        <w:rPr>
          <w:sz w:val="22"/>
          <w:szCs w:val="22"/>
        </w:rPr>
        <w:t xml:space="preserve"> </w:t>
      </w:r>
      <w:r w:rsidR="00541592">
        <w:rPr>
          <w:sz w:val="22"/>
          <w:szCs w:val="22"/>
        </w:rPr>
        <w:t>unidade</w:t>
      </w:r>
      <w:r>
        <w:rPr>
          <w:sz w:val="22"/>
          <w:szCs w:val="22"/>
        </w:rPr>
        <w:t xml:space="preserve"> </w:t>
      </w:r>
      <w:r w:rsidR="00A8667B">
        <w:rPr>
          <w:sz w:val="22"/>
          <w:szCs w:val="22"/>
        </w:rPr>
        <w:t>instrutiva</w:t>
      </w:r>
      <w:r w:rsidR="005422B5">
        <w:rPr>
          <w:sz w:val="22"/>
          <w:szCs w:val="22"/>
        </w:rPr>
        <w:t xml:space="preserve"> r</w:t>
      </w:r>
      <w:r>
        <w:rPr>
          <w:sz w:val="22"/>
          <w:szCs w:val="22"/>
        </w:rPr>
        <w:t xml:space="preserve">egistrou, ainda, </w:t>
      </w:r>
      <w:r w:rsidR="00150096">
        <w:rPr>
          <w:sz w:val="22"/>
          <w:szCs w:val="22"/>
        </w:rPr>
        <w:t xml:space="preserve">que </w:t>
      </w:r>
      <w:r w:rsidR="001A3ED3" w:rsidRPr="001A3ED3">
        <w:rPr>
          <w:sz w:val="22"/>
          <w:szCs w:val="22"/>
        </w:rPr>
        <w:t xml:space="preserve">o Tribunal já se manifestou contrariamente à previsão de reserva técnica, sem indicação expressa dos custos correspondentes </w:t>
      </w:r>
      <w:r w:rsidR="00150096">
        <w:rPr>
          <w:sz w:val="22"/>
          <w:szCs w:val="22"/>
        </w:rPr>
        <w:t>a serem</w:t>
      </w:r>
      <w:r w:rsidR="001A3ED3" w:rsidRPr="001A3ED3">
        <w:rPr>
          <w:sz w:val="22"/>
          <w:szCs w:val="22"/>
        </w:rPr>
        <w:t xml:space="preserve"> cobertos por esse item</w:t>
      </w:r>
      <w:r>
        <w:rPr>
          <w:sz w:val="22"/>
          <w:szCs w:val="22"/>
        </w:rPr>
        <w:t>.</w:t>
      </w:r>
      <w:r w:rsidR="00541592">
        <w:rPr>
          <w:sz w:val="22"/>
          <w:szCs w:val="22"/>
        </w:rPr>
        <w:t xml:space="preserve"> Para a unidade técnica,</w:t>
      </w:r>
      <w:r w:rsidR="00150096">
        <w:rPr>
          <w:sz w:val="22"/>
          <w:szCs w:val="22"/>
        </w:rPr>
        <w:t xml:space="preserve"> no entanto,</w:t>
      </w:r>
      <w:r w:rsidR="00541592">
        <w:rPr>
          <w:sz w:val="22"/>
          <w:szCs w:val="22"/>
        </w:rPr>
        <w:t xml:space="preserve"> não se devia </w:t>
      </w:r>
      <w:r w:rsidR="001A3ED3" w:rsidRPr="001A3ED3">
        <w:rPr>
          <w:sz w:val="22"/>
          <w:szCs w:val="22"/>
        </w:rPr>
        <w:t>exigir</w:t>
      </w:r>
      <w:r w:rsidR="00DC0BF7">
        <w:rPr>
          <w:sz w:val="22"/>
          <w:szCs w:val="22"/>
        </w:rPr>
        <w:t>, no caso concreto,</w:t>
      </w:r>
      <w:r w:rsidR="001A3ED3" w:rsidRPr="001A3ED3">
        <w:rPr>
          <w:sz w:val="22"/>
          <w:szCs w:val="22"/>
        </w:rPr>
        <w:t xml:space="preserve"> a devolução dos valores, tendo em vista que a antiga IN/MARE </w:t>
      </w:r>
      <w:r w:rsidR="00443BAD">
        <w:rPr>
          <w:sz w:val="22"/>
          <w:szCs w:val="22"/>
        </w:rPr>
        <w:t xml:space="preserve">n.º </w:t>
      </w:r>
      <w:r w:rsidR="001A3ED3" w:rsidRPr="001A3ED3">
        <w:rPr>
          <w:sz w:val="22"/>
          <w:szCs w:val="22"/>
        </w:rPr>
        <w:t>18/</w:t>
      </w:r>
      <w:r w:rsidR="00443BAD">
        <w:rPr>
          <w:sz w:val="22"/>
          <w:szCs w:val="22"/>
        </w:rPr>
        <w:t>19</w:t>
      </w:r>
      <w:r w:rsidR="001A3ED3" w:rsidRPr="001A3ED3">
        <w:rPr>
          <w:sz w:val="22"/>
          <w:szCs w:val="22"/>
        </w:rPr>
        <w:t xml:space="preserve">97 admitia </w:t>
      </w:r>
      <w:r w:rsidR="00150096">
        <w:rPr>
          <w:sz w:val="22"/>
          <w:szCs w:val="22"/>
        </w:rPr>
        <w:t>a estimativa de reserva técnica</w:t>
      </w:r>
      <w:r w:rsidR="001A3ED3" w:rsidRPr="001A3ED3">
        <w:rPr>
          <w:sz w:val="22"/>
          <w:szCs w:val="22"/>
        </w:rPr>
        <w:t>. Além disso, a atual IN/SLTI nº 2/</w:t>
      </w:r>
      <w:r w:rsidR="00443BAD">
        <w:rPr>
          <w:sz w:val="22"/>
          <w:szCs w:val="22"/>
        </w:rPr>
        <w:t>200</w:t>
      </w:r>
      <w:r w:rsidR="001A3ED3" w:rsidRPr="001A3ED3">
        <w:rPr>
          <w:sz w:val="22"/>
          <w:szCs w:val="22"/>
        </w:rPr>
        <w:t>8, que revogou a norma anterior, manteve a previsão para reserva técnica nos editais, definindo-a como custos decorrentes de substituição de mão de obra quando da ocorrência de atrasos ou faltas não amparadas por dispositivo legal e, ainda, abonos e outros.</w:t>
      </w:r>
      <w:r w:rsidR="00541592">
        <w:rPr>
          <w:sz w:val="22"/>
          <w:szCs w:val="22"/>
        </w:rPr>
        <w:t xml:space="preserve"> </w:t>
      </w:r>
      <w:r w:rsidR="001A3ED3" w:rsidRPr="001A3ED3">
        <w:rPr>
          <w:sz w:val="22"/>
          <w:szCs w:val="22"/>
        </w:rPr>
        <w:t>No entanto, como a definição de reserva técnica, sem comprovação dos custos correspondentes, pode caracterizar lucro disfarçado,</w:t>
      </w:r>
      <w:r w:rsidR="00A8667B">
        <w:rPr>
          <w:sz w:val="22"/>
          <w:szCs w:val="22"/>
        </w:rPr>
        <w:t xml:space="preserve"> o Plenário</w:t>
      </w:r>
      <w:r w:rsidR="005422B5">
        <w:rPr>
          <w:sz w:val="22"/>
          <w:szCs w:val="22"/>
        </w:rPr>
        <w:t xml:space="preserve"> decidiu</w:t>
      </w:r>
      <w:r w:rsidR="00A8667B">
        <w:rPr>
          <w:sz w:val="22"/>
          <w:szCs w:val="22"/>
        </w:rPr>
        <w:t>, n</w:t>
      </w:r>
      <w:r w:rsidR="00541592">
        <w:rPr>
          <w:sz w:val="22"/>
          <w:szCs w:val="22"/>
        </w:rPr>
        <w:t xml:space="preserve">os termos do voto do relator, </w:t>
      </w:r>
      <w:r w:rsidR="001A3ED3" w:rsidRPr="001A3ED3">
        <w:rPr>
          <w:sz w:val="22"/>
          <w:szCs w:val="22"/>
        </w:rPr>
        <w:t xml:space="preserve">assinar prazo para que o NERJ/MS </w:t>
      </w:r>
      <w:r w:rsidR="009E43A7" w:rsidRPr="009E43A7">
        <w:rPr>
          <w:i/>
          <w:sz w:val="22"/>
          <w:szCs w:val="22"/>
        </w:rPr>
        <w:t>“</w:t>
      </w:r>
      <w:r w:rsidR="001A3ED3" w:rsidRPr="009E43A7">
        <w:rPr>
          <w:i/>
          <w:sz w:val="22"/>
          <w:szCs w:val="22"/>
        </w:rPr>
        <w:t>adote as providências necessárias ao exato cumprimento da lei, de forma a promover a repactuação do Contrato nº 174/2006, firmado com a empresa MGI Tecnogin Micrográfica no Gerenciamento da Informação Ltda., a fim de adequar as planilhas de custos dos serviços contratados, bem como proceder ao ajuste de contas, nas futuras faturas, entre os valores efetivamente pagos e os decorrentes da repactuação ora determinada</w:t>
      </w:r>
      <w:r w:rsidR="009E43A7" w:rsidRPr="009E43A7">
        <w:rPr>
          <w:i/>
          <w:sz w:val="22"/>
          <w:szCs w:val="22"/>
        </w:rPr>
        <w:t>”</w:t>
      </w:r>
      <w:r w:rsidR="001A3ED3" w:rsidRPr="001A3ED3">
        <w:rPr>
          <w:sz w:val="22"/>
          <w:szCs w:val="22"/>
        </w:rPr>
        <w:t xml:space="preserve">, em relação </w:t>
      </w:r>
      <w:r w:rsidR="009E43A7">
        <w:rPr>
          <w:sz w:val="22"/>
          <w:szCs w:val="22"/>
        </w:rPr>
        <w:t xml:space="preserve">à </w:t>
      </w:r>
      <w:r w:rsidR="009E43A7" w:rsidRPr="009E43A7">
        <w:rPr>
          <w:i/>
          <w:sz w:val="22"/>
          <w:szCs w:val="22"/>
        </w:rPr>
        <w:t>“</w:t>
      </w:r>
      <w:r w:rsidR="001A3ED3" w:rsidRPr="009E43A7">
        <w:rPr>
          <w:i/>
          <w:sz w:val="22"/>
          <w:szCs w:val="22"/>
        </w:rPr>
        <w:t>comprovação dos custos correspondentes que são cobertos pela reserva técnica ou supressão do referido item das planilhas de custos dos serviços contratados, nos termos dos Acórdãos TCU nºs 1179/2008, 645/2009, 727/2009 e 2060/2009, todos do Plenário;</w:t>
      </w:r>
      <w:r w:rsidR="009E43A7">
        <w:rPr>
          <w:i/>
          <w:sz w:val="22"/>
          <w:szCs w:val="22"/>
        </w:rPr>
        <w:t>”</w:t>
      </w:r>
      <w:r w:rsidR="009E43A7">
        <w:rPr>
          <w:sz w:val="22"/>
          <w:szCs w:val="22"/>
        </w:rPr>
        <w:t xml:space="preserve">. </w:t>
      </w:r>
      <w:r w:rsidR="0008791C" w:rsidRPr="00337E16">
        <w:rPr>
          <w:b/>
          <w:i/>
          <w:sz w:val="22"/>
          <w:szCs w:val="22"/>
        </w:rPr>
        <w:t xml:space="preserve">Acórdão n.º </w:t>
      </w:r>
      <w:r w:rsidR="0008791C">
        <w:rPr>
          <w:b/>
          <w:i/>
          <w:sz w:val="22"/>
          <w:szCs w:val="22"/>
        </w:rPr>
        <w:t>3006</w:t>
      </w:r>
      <w:r w:rsidR="0008791C" w:rsidRPr="00337E16">
        <w:rPr>
          <w:b/>
          <w:i/>
          <w:sz w:val="22"/>
          <w:szCs w:val="22"/>
        </w:rPr>
        <w:t>/2010</w:t>
      </w:r>
      <w:r w:rsidR="0008791C">
        <w:rPr>
          <w:b/>
          <w:i/>
          <w:sz w:val="22"/>
          <w:szCs w:val="22"/>
        </w:rPr>
        <w:t>-Plenário</w:t>
      </w:r>
      <w:r w:rsidR="0008791C" w:rsidRPr="00337E16">
        <w:rPr>
          <w:b/>
          <w:i/>
          <w:sz w:val="22"/>
          <w:szCs w:val="22"/>
        </w:rPr>
        <w:t>, TC-0</w:t>
      </w:r>
      <w:r w:rsidR="0008791C">
        <w:rPr>
          <w:b/>
          <w:i/>
          <w:sz w:val="22"/>
          <w:szCs w:val="22"/>
        </w:rPr>
        <w:t>01</w:t>
      </w:r>
      <w:r w:rsidR="0008791C" w:rsidRPr="00337E16">
        <w:rPr>
          <w:b/>
          <w:i/>
          <w:sz w:val="22"/>
          <w:szCs w:val="22"/>
        </w:rPr>
        <w:t>.</w:t>
      </w:r>
      <w:r w:rsidR="0008791C">
        <w:rPr>
          <w:b/>
          <w:i/>
          <w:sz w:val="22"/>
          <w:szCs w:val="22"/>
        </w:rPr>
        <w:t>225</w:t>
      </w:r>
      <w:r w:rsidR="0008791C" w:rsidRPr="00337E16">
        <w:rPr>
          <w:b/>
          <w:i/>
          <w:sz w:val="22"/>
          <w:szCs w:val="22"/>
        </w:rPr>
        <w:t>/20</w:t>
      </w:r>
      <w:r w:rsidR="0008791C">
        <w:rPr>
          <w:b/>
          <w:i/>
          <w:sz w:val="22"/>
          <w:szCs w:val="22"/>
        </w:rPr>
        <w:t>08</w:t>
      </w:r>
      <w:r w:rsidR="0008791C" w:rsidRPr="00337E16">
        <w:rPr>
          <w:b/>
          <w:i/>
          <w:sz w:val="22"/>
          <w:szCs w:val="22"/>
        </w:rPr>
        <w:t>-</w:t>
      </w:r>
      <w:r w:rsidR="0008791C">
        <w:rPr>
          <w:b/>
          <w:i/>
          <w:sz w:val="22"/>
          <w:szCs w:val="22"/>
        </w:rPr>
        <w:t>0</w:t>
      </w:r>
      <w:r w:rsidR="0008791C" w:rsidRPr="00337E16">
        <w:rPr>
          <w:b/>
          <w:i/>
          <w:sz w:val="22"/>
          <w:szCs w:val="22"/>
        </w:rPr>
        <w:t>, rel. Min</w:t>
      </w:r>
      <w:r w:rsidR="0008791C">
        <w:rPr>
          <w:b/>
          <w:i/>
          <w:sz w:val="22"/>
          <w:szCs w:val="22"/>
        </w:rPr>
        <w:t>. Valmir Campelo</w:t>
      </w:r>
      <w:r w:rsidR="0008791C" w:rsidRPr="00337E16">
        <w:rPr>
          <w:b/>
          <w:i/>
          <w:sz w:val="22"/>
          <w:szCs w:val="22"/>
        </w:rPr>
        <w:t xml:space="preserve">, </w:t>
      </w:r>
      <w:r w:rsidR="0008791C">
        <w:rPr>
          <w:b/>
          <w:i/>
          <w:sz w:val="22"/>
          <w:szCs w:val="22"/>
        </w:rPr>
        <w:t>10</w:t>
      </w:r>
      <w:r w:rsidR="0008791C" w:rsidRPr="00337E16">
        <w:rPr>
          <w:b/>
          <w:i/>
          <w:sz w:val="22"/>
          <w:szCs w:val="22"/>
        </w:rPr>
        <w:t>.</w:t>
      </w:r>
      <w:r w:rsidR="0008791C">
        <w:rPr>
          <w:b/>
          <w:i/>
          <w:sz w:val="22"/>
          <w:szCs w:val="22"/>
        </w:rPr>
        <w:t>11</w:t>
      </w:r>
      <w:r w:rsidR="0008791C" w:rsidRPr="00337E16">
        <w:rPr>
          <w:b/>
          <w:i/>
          <w:sz w:val="22"/>
          <w:szCs w:val="22"/>
        </w:rPr>
        <w:t>.2010</w:t>
      </w:r>
      <w:r w:rsidR="0008791C" w:rsidRPr="00337E16">
        <w:rPr>
          <w:sz w:val="22"/>
          <w:szCs w:val="22"/>
        </w:rPr>
        <w:t>.</w:t>
      </w:r>
    </w:p>
    <w:p w:rsidR="00FC399F" w:rsidRDefault="00FC399F" w:rsidP="00FC399F">
      <w:pPr>
        <w:pStyle w:val="indice"/>
        <w:tabs>
          <w:tab w:val="left" w:pos="567"/>
        </w:tabs>
        <w:spacing w:before="60" w:line="240" w:lineRule="auto"/>
      </w:pPr>
    </w:p>
    <w:p w:rsidR="00FC399F" w:rsidRPr="005B0BFD" w:rsidRDefault="00FC399F" w:rsidP="00FC399F">
      <w:pPr>
        <w:pStyle w:val="indice"/>
        <w:spacing w:before="60" w:line="240" w:lineRule="auto"/>
        <w:rPr>
          <w:b/>
        </w:rPr>
      </w:pPr>
      <w:r w:rsidRPr="005B0BFD">
        <w:rPr>
          <w:b/>
        </w:rPr>
        <w:t xml:space="preserve">Planilha de custos e formação de preços: 3 - </w:t>
      </w:r>
      <w:r w:rsidR="005B0BFD" w:rsidRPr="005B0BFD">
        <w:rPr>
          <w:b/>
        </w:rPr>
        <w:t>Considera-se integralmente pago, no primeiro ano do contrato, o percentual relativo ao aviso prévio trabalhado</w:t>
      </w:r>
    </w:p>
    <w:p w:rsidR="003F6C82" w:rsidRPr="00337E16" w:rsidRDefault="004F5E2D" w:rsidP="003F6C82">
      <w:pPr>
        <w:pStyle w:val="Pargrafo"/>
        <w:jc w:val="both"/>
        <w:rPr>
          <w:sz w:val="22"/>
          <w:szCs w:val="22"/>
        </w:rPr>
      </w:pPr>
      <w:r>
        <w:rPr>
          <w:sz w:val="22"/>
          <w:szCs w:val="22"/>
        </w:rPr>
        <w:lastRenderedPageBreak/>
        <w:t xml:space="preserve">Outra </w:t>
      </w:r>
      <w:r w:rsidR="00D023D6">
        <w:rPr>
          <w:sz w:val="22"/>
          <w:szCs w:val="22"/>
        </w:rPr>
        <w:t>suposta</w:t>
      </w:r>
      <w:r w:rsidR="00264F28">
        <w:rPr>
          <w:sz w:val="22"/>
          <w:szCs w:val="22"/>
        </w:rPr>
        <w:t xml:space="preserve"> irregularidade</w:t>
      </w:r>
      <w:r w:rsidR="00264F28" w:rsidRPr="00DF7C54">
        <w:rPr>
          <w:sz w:val="22"/>
          <w:szCs w:val="22"/>
        </w:rPr>
        <w:t xml:space="preserve"> </w:t>
      </w:r>
      <w:r>
        <w:rPr>
          <w:sz w:val="22"/>
          <w:szCs w:val="22"/>
        </w:rPr>
        <w:t xml:space="preserve">apontada no </w:t>
      </w:r>
      <w:r w:rsidR="00054902" w:rsidRPr="00054902">
        <w:rPr>
          <w:sz w:val="22"/>
          <w:szCs w:val="22"/>
        </w:rPr>
        <w:t>Contrato n</w:t>
      </w:r>
      <w:r w:rsidR="00054902">
        <w:rPr>
          <w:sz w:val="22"/>
          <w:szCs w:val="22"/>
        </w:rPr>
        <w:t>.</w:t>
      </w:r>
      <w:r w:rsidR="00054902" w:rsidRPr="00054902">
        <w:rPr>
          <w:sz w:val="22"/>
          <w:szCs w:val="22"/>
        </w:rPr>
        <w:t>º 174/2006</w:t>
      </w:r>
      <w:r w:rsidR="00054902">
        <w:rPr>
          <w:sz w:val="22"/>
          <w:szCs w:val="22"/>
        </w:rPr>
        <w:t>, celebrado</w:t>
      </w:r>
      <w:r w:rsidRPr="00DF7C54">
        <w:rPr>
          <w:sz w:val="22"/>
          <w:szCs w:val="22"/>
        </w:rPr>
        <w:t xml:space="preserve"> </w:t>
      </w:r>
      <w:r>
        <w:rPr>
          <w:sz w:val="22"/>
          <w:szCs w:val="22"/>
        </w:rPr>
        <w:t>pelo</w:t>
      </w:r>
      <w:r w:rsidRPr="00DF7C54">
        <w:rPr>
          <w:sz w:val="22"/>
          <w:szCs w:val="22"/>
        </w:rPr>
        <w:t xml:space="preserve"> Núcleo Estadual do Ministério da Saúde no Estado do Rio de Janeiro</w:t>
      </w:r>
      <w:r>
        <w:rPr>
          <w:sz w:val="22"/>
          <w:szCs w:val="22"/>
        </w:rPr>
        <w:t xml:space="preserve"> – </w:t>
      </w:r>
      <w:r w:rsidRPr="00DF7C54">
        <w:rPr>
          <w:sz w:val="22"/>
          <w:szCs w:val="22"/>
        </w:rPr>
        <w:t xml:space="preserve">NERJ/MS, </w:t>
      </w:r>
      <w:r w:rsidR="00263B6A">
        <w:rPr>
          <w:sz w:val="22"/>
          <w:szCs w:val="22"/>
        </w:rPr>
        <w:t>cujo</w:t>
      </w:r>
      <w:r w:rsidR="00054902">
        <w:rPr>
          <w:sz w:val="22"/>
          <w:szCs w:val="22"/>
        </w:rPr>
        <w:t xml:space="preserve"> objeto </w:t>
      </w:r>
      <w:r w:rsidR="00263B6A">
        <w:rPr>
          <w:sz w:val="22"/>
          <w:szCs w:val="22"/>
        </w:rPr>
        <w:t xml:space="preserve">era </w:t>
      </w:r>
      <w:r w:rsidR="00054902">
        <w:rPr>
          <w:sz w:val="22"/>
          <w:szCs w:val="22"/>
        </w:rPr>
        <w:t>a prestação</w:t>
      </w:r>
      <w:r w:rsidRPr="00DF7C54">
        <w:rPr>
          <w:sz w:val="22"/>
          <w:szCs w:val="22"/>
        </w:rPr>
        <w:t xml:space="preserve"> de serviços de tratamento de acervos arquivísticos</w:t>
      </w:r>
      <w:r>
        <w:rPr>
          <w:sz w:val="22"/>
          <w:szCs w:val="22"/>
        </w:rPr>
        <w:t xml:space="preserve"> </w:t>
      </w:r>
      <w:r w:rsidRPr="00DF7C54">
        <w:rPr>
          <w:sz w:val="22"/>
          <w:szCs w:val="22"/>
        </w:rPr>
        <w:t>–</w:t>
      </w:r>
      <w:r>
        <w:rPr>
          <w:sz w:val="22"/>
          <w:szCs w:val="22"/>
        </w:rPr>
        <w:t xml:space="preserve"> </w:t>
      </w:r>
      <w:r w:rsidRPr="00DF7C54">
        <w:rPr>
          <w:sz w:val="22"/>
          <w:szCs w:val="22"/>
        </w:rPr>
        <w:t>microfilmagem, acondicionamento e arquivamento</w:t>
      </w:r>
      <w:r>
        <w:rPr>
          <w:sz w:val="22"/>
          <w:szCs w:val="22"/>
        </w:rPr>
        <w:t xml:space="preserve"> </w:t>
      </w:r>
      <w:r w:rsidRPr="00DF7C54">
        <w:rPr>
          <w:sz w:val="22"/>
          <w:szCs w:val="22"/>
        </w:rPr>
        <w:t>–</w:t>
      </w:r>
      <w:r>
        <w:rPr>
          <w:sz w:val="22"/>
          <w:szCs w:val="22"/>
        </w:rPr>
        <w:t xml:space="preserve"> </w:t>
      </w:r>
      <w:r w:rsidRPr="00DF7C54">
        <w:rPr>
          <w:sz w:val="22"/>
          <w:szCs w:val="22"/>
        </w:rPr>
        <w:t>no Centro de Microfilmagem e Digitalização</w:t>
      </w:r>
      <w:r>
        <w:rPr>
          <w:sz w:val="22"/>
          <w:szCs w:val="22"/>
        </w:rPr>
        <w:t xml:space="preserve"> </w:t>
      </w:r>
      <w:r w:rsidRPr="00DF7C54">
        <w:rPr>
          <w:sz w:val="22"/>
          <w:szCs w:val="22"/>
        </w:rPr>
        <w:t>–</w:t>
      </w:r>
      <w:r>
        <w:rPr>
          <w:sz w:val="22"/>
          <w:szCs w:val="22"/>
        </w:rPr>
        <w:t xml:space="preserve"> </w:t>
      </w:r>
      <w:r w:rsidRPr="00DF7C54">
        <w:rPr>
          <w:sz w:val="22"/>
          <w:szCs w:val="22"/>
        </w:rPr>
        <w:t>CMD/RJ</w:t>
      </w:r>
      <w:r>
        <w:rPr>
          <w:sz w:val="22"/>
          <w:szCs w:val="22"/>
        </w:rPr>
        <w:t xml:space="preserve">, </w:t>
      </w:r>
      <w:r w:rsidR="00263B6A">
        <w:rPr>
          <w:sz w:val="22"/>
          <w:szCs w:val="22"/>
        </w:rPr>
        <w:t xml:space="preserve">envolveu </w:t>
      </w:r>
      <w:r>
        <w:rPr>
          <w:sz w:val="22"/>
          <w:szCs w:val="22"/>
        </w:rPr>
        <w:t xml:space="preserve">o fato de o </w:t>
      </w:r>
      <w:r w:rsidRPr="003F6C82">
        <w:rPr>
          <w:sz w:val="22"/>
          <w:szCs w:val="22"/>
        </w:rPr>
        <w:t xml:space="preserve">percentual de 1,94% da </w:t>
      </w:r>
      <w:r>
        <w:rPr>
          <w:sz w:val="22"/>
          <w:szCs w:val="22"/>
        </w:rPr>
        <w:t>p</w:t>
      </w:r>
      <w:r w:rsidRPr="003F6C82">
        <w:rPr>
          <w:sz w:val="22"/>
          <w:szCs w:val="22"/>
        </w:rPr>
        <w:t xml:space="preserve">lanilha de </w:t>
      </w:r>
      <w:r>
        <w:rPr>
          <w:sz w:val="22"/>
          <w:szCs w:val="22"/>
        </w:rPr>
        <w:t>c</w:t>
      </w:r>
      <w:r w:rsidRPr="003F6C82">
        <w:rPr>
          <w:sz w:val="22"/>
          <w:szCs w:val="22"/>
        </w:rPr>
        <w:t xml:space="preserve">ustos dos </w:t>
      </w:r>
      <w:r>
        <w:rPr>
          <w:sz w:val="22"/>
          <w:szCs w:val="22"/>
        </w:rPr>
        <w:t>s</w:t>
      </w:r>
      <w:r w:rsidRPr="003F6C82">
        <w:rPr>
          <w:sz w:val="22"/>
          <w:szCs w:val="22"/>
        </w:rPr>
        <w:t xml:space="preserve">erviços </w:t>
      </w:r>
      <w:r>
        <w:rPr>
          <w:sz w:val="22"/>
          <w:szCs w:val="22"/>
        </w:rPr>
        <w:t>c</w:t>
      </w:r>
      <w:r w:rsidRPr="003F6C82">
        <w:rPr>
          <w:sz w:val="22"/>
          <w:szCs w:val="22"/>
        </w:rPr>
        <w:t xml:space="preserve">ontratados, </w:t>
      </w:r>
      <w:r>
        <w:rPr>
          <w:sz w:val="22"/>
          <w:szCs w:val="22"/>
        </w:rPr>
        <w:t>relativo</w:t>
      </w:r>
      <w:r w:rsidRPr="003F6C82">
        <w:rPr>
          <w:sz w:val="22"/>
          <w:szCs w:val="22"/>
        </w:rPr>
        <w:t xml:space="preserve"> ao </w:t>
      </w:r>
      <w:r w:rsidR="00263B6A">
        <w:rPr>
          <w:sz w:val="22"/>
          <w:szCs w:val="22"/>
        </w:rPr>
        <w:t>‘</w:t>
      </w:r>
      <w:r w:rsidRPr="003F6C82">
        <w:rPr>
          <w:sz w:val="22"/>
          <w:szCs w:val="22"/>
        </w:rPr>
        <w:t>Aviso Prévio Trabalhado</w:t>
      </w:r>
      <w:r w:rsidR="00263B6A">
        <w:rPr>
          <w:sz w:val="22"/>
          <w:szCs w:val="22"/>
        </w:rPr>
        <w:t>’</w:t>
      </w:r>
      <w:r w:rsidRPr="003F6C82">
        <w:rPr>
          <w:sz w:val="22"/>
          <w:szCs w:val="22"/>
        </w:rPr>
        <w:t xml:space="preserve">, </w:t>
      </w:r>
      <w:r>
        <w:rPr>
          <w:sz w:val="22"/>
          <w:szCs w:val="22"/>
        </w:rPr>
        <w:t>continuar sendo</w:t>
      </w:r>
      <w:r w:rsidRPr="003F6C82">
        <w:rPr>
          <w:sz w:val="22"/>
          <w:szCs w:val="22"/>
        </w:rPr>
        <w:t xml:space="preserve"> pago</w:t>
      </w:r>
      <w:r>
        <w:rPr>
          <w:sz w:val="22"/>
          <w:szCs w:val="22"/>
        </w:rPr>
        <w:t xml:space="preserve"> mesmo após o</w:t>
      </w:r>
      <w:r w:rsidRPr="003F6C82">
        <w:rPr>
          <w:sz w:val="22"/>
          <w:szCs w:val="22"/>
        </w:rPr>
        <w:t xml:space="preserve"> primeiro ano do </w:t>
      </w:r>
      <w:r>
        <w:rPr>
          <w:sz w:val="22"/>
          <w:szCs w:val="22"/>
        </w:rPr>
        <w:t>c</w:t>
      </w:r>
      <w:r w:rsidRPr="003F6C82">
        <w:rPr>
          <w:sz w:val="22"/>
          <w:szCs w:val="22"/>
        </w:rPr>
        <w:t>ontrato</w:t>
      </w:r>
      <w:r w:rsidRPr="00DF7C54">
        <w:rPr>
          <w:sz w:val="22"/>
          <w:szCs w:val="22"/>
        </w:rPr>
        <w:t>.</w:t>
      </w:r>
      <w:r>
        <w:rPr>
          <w:sz w:val="22"/>
          <w:szCs w:val="22"/>
        </w:rPr>
        <w:t xml:space="preserve"> De acordo com a unidade técnica,</w:t>
      </w:r>
      <w:r w:rsidR="00054902">
        <w:rPr>
          <w:sz w:val="22"/>
          <w:szCs w:val="22"/>
        </w:rPr>
        <w:t xml:space="preserve"> </w:t>
      </w:r>
      <w:r w:rsidR="003F6C82" w:rsidRPr="00967700">
        <w:rPr>
          <w:sz w:val="22"/>
          <w:szCs w:val="22"/>
        </w:rPr>
        <w:t xml:space="preserve">o cálculo referente ao </w:t>
      </w:r>
      <w:r w:rsidR="003F6C82" w:rsidRPr="003F6C82">
        <w:rPr>
          <w:sz w:val="22"/>
          <w:szCs w:val="22"/>
        </w:rPr>
        <w:t xml:space="preserve">percentual cobrado para fazer face ao </w:t>
      </w:r>
      <w:r w:rsidR="00263B6A">
        <w:rPr>
          <w:sz w:val="22"/>
          <w:szCs w:val="22"/>
        </w:rPr>
        <w:t>‘</w:t>
      </w:r>
      <w:r w:rsidR="003F6C82" w:rsidRPr="003F6C82">
        <w:rPr>
          <w:sz w:val="22"/>
          <w:szCs w:val="22"/>
        </w:rPr>
        <w:t>Aviso Prévio Trabalho</w:t>
      </w:r>
      <w:r w:rsidR="00263B6A">
        <w:rPr>
          <w:sz w:val="22"/>
          <w:szCs w:val="22"/>
        </w:rPr>
        <w:t>’</w:t>
      </w:r>
      <w:r w:rsidR="003F6C82" w:rsidRPr="003F6C82">
        <w:rPr>
          <w:sz w:val="22"/>
          <w:szCs w:val="22"/>
        </w:rPr>
        <w:t xml:space="preserve"> (Grupo B), estabelecido em 1,94 % na proposta da </w:t>
      </w:r>
      <w:r w:rsidR="00054902">
        <w:rPr>
          <w:sz w:val="22"/>
          <w:szCs w:val="22"/>
        </w:rPr>
        <w:t>c</w:t>
      </w:r>
      <w:r w:rsidR="003F6C82" w:rsidRPr="003F6C82">
        <w:rPr>
          <w:sz w:val="22"/>
          <w:szCs w:val="22"/>
        </w:rPr>
        <w:t xml:space="preserve">ontratada, considera-se integralmente pago no primeiro ano do </w:t>
      </w:r>
      <w:r w:rsidR="00054902">
        <w:rPr>
          <w:sz w:val="22"/>
          <w:szCs w:val="22"/>
        </w:rPr>
        <w:t>c</w:t>
      </w:r>
      <w:r w:rsidR="003F6C82" w:rsidRPr="003F6C82">
        <w:rPr>
          <w:sz w:val="22"/>
          <w:szCs w:val="22"/>
        </w:rPr>
        <w:t xml:space="preserve">ontrato, devendo ser zerado nos anos </w:t>
      </w:r>
      <w:r w:rsidR="00054902">
        <w:rPr>
          <w:sz w:val="22"/>
          <w:szCs w:val="22"/>
        </w:rPr>
        <w:t>subseq</w:t>
      </w:r>
      <w:r w:rsidR="00263B6A">
        <w:rPr>
          <w:sz w:val="22"/>
          <w:szCs w:val="22"/>
        </w:rPr>
        <w:t>u</w:t>
      </w:r>
      <w:r w:rsidR="00054902">
        <w:rPr>
          <w:sz w:val="22"/>
          <w:szCs w:val="22"/>
        </w:rPr>
        <w:t xml:space="preserve">entes. </w:t>
      </w:r>
      <w:r w:rsidR="005B0BFD">
        <w:rPr>
          <w:sz w:val="22"/>
          <w:szCs w:val="22"/>
        </w:rPr>
        <w:t>Assim sendo, n</w:t>
      </w:r>
      <w:r w:rsidR="00054902">
        <w:rPr>
          <w:sz w:val="22"/>
          <w:szCs w:val="22"/>
        </w:rPr>
        <w:t xml:space="preserve">os termos do voto do relator, o Plenário decidiu </w:t>
      </w:r>
      <w:r w:rsidR="00054902" w:rsidRPr="001A3ED3">
        <w:rPr>
          <w:sz w:val="22"/>
          <w:szCs w:val="22"/>
        </w:rPr>
        <w:t xml:space="preserve">assinar prazo para que o NERJ/MS </w:t>
      </w:r>
      <w:r w:rsidR="00054902" w:rsidRPr="009E43A7">
        <w:rPr>
          <w:i/>
          <w:sz w:val="22"/>
          <w:szCs w:val="22"/>
        </w:rPr>
        <w:t>“adote as providências necessárias ao exato cumprimento da lei, de forma a promover a repactuação do Contrato nº 174/2006, firmado com a empresa MGI Tecnogin Micrográfica no Gerenciamento da Informação Ltda., a fim de adequar as planilhas de custos dos serviços contratados, bem como proceder ao ajuste de contas, nas futuras faturas, entre os valores efetivamente pagos e os decorrentes da repactuação ora determinada”</w:t>
      </w:r>
      <w:r w:rsidR="00054902" w:rsidRPr="001A3ED3">
        <w:rPr>
          <w:sz w:val="22"/>
          <w:szCs w:val="22"/>
        </w:rPr>
        <w:t xml:space="preserve">, em relação </w:t>
      </w:r>
      <w:r w:rsidR="00054902">
        <w:rPr>
          <w:sz w:val="22"/>
          <w:szCs w:val="22"/>
        </w:rPr>
        <w:t xml:space="preserve">à </w:t>
      </w:r>
      <w:r w:rsidR="00054902" w:rsidRPr="00054902">
        <w:rPr>
          <w:i/>
          <w:sz w:val="22"/>
          <w:szCs w:val="22"/>
        </w:rPr>
        <w:t>“supressão do percentual de 1,94 % da Planilha de Custos dos Serviços Contratados, referente ao Aviso Prévio Trabalhado, tendo em vista que os referidos custos consideram-se integralmente pagos no primeiro ano do Contrato, devendo ser zerado nos anos subsequentes, nos termos do cálculo demonstrado quando da apreciação do Acórdão TCU nº 1904/2007-Plenário;”</w:t>
      </w:r>
      <w:r w:rsidR="00054902">
        <w:rPr>
          <w:sz w:val="22"/>
          <w:szCs w:val="22"/>
        </w:rPr>
        <w:t>.</w:t>
      </w:r>
      <w:r w:rsidR="00A54226">
        <w:rPr>
          <w:sz w:val="22"/>
          <w:szCs w:val="22"/>
        </w:rPr>
        <w:t xml:space="preserve"> </w:t>
      </w:r>
      <w:r w:rsidR="003F6C82" w:rsidRPr="00337E16">
        <w:rPr>
          <w:b/>
          <w:i/>
          <w:sz w:val="22"/>
          <w:szCs w:val="22"/>
        </w:rPr>
        <w:t xml:space="preserve">Acórdão n.º </w:t>
      </w:r>
      <w:r w:rsidR="003F6C82">
        <w:rPr>
          <w:b/>
          <w:i/>
          <w:sz w:val="22"/>
          <w:szCs w:val="22"/>
        </w:rPr>
        <w:t>3006</w:t>
      </w:r>
      <w:r w:rsidR="003F6C82" w:rsidRPr="00337E16">
        <w:rPr>
          <w:b/>
          <w:i/>
          <w:sz w:val="22"/>
          <w:szCs w:val="22"/>
        </w:rPr>
        <w:t>/2010</w:t>
      </w:r>
      <w:r w:rsidR="003F6C82">
        <w:rPr>
          <w:b/>
          <w:i/>
          <w:sz w:val="22"/>
          <w:szCs w:val="22"/>
        </w:rPr>
        <w:t>-Plenário</w:t>
      </w:r>
      <w:r w:rsidR="003F6C82" w:rsidRPr="00337E16">
        <w:rPr>
          <w:b/>
          <w:i/>
          <w:sz w:val="22"/>
          <w:szCs w:val="22"/>
        </w:rPr>
        <w:t>, TC-0</w:t>
      </w:r>
      <w:r w:rsidR="003F6C82">
        <w:rPr>
          <w:b/>
          <w:i/>
          <w:sz w:val="22"/>
          <w:szCs w:val="22"/>
        </w:rPr>
        <w:t>01</w:t>
      </w:r>
      <w:r w:rsidR="003F6C82" w:rsidRPr="00337E16">
        <w:rPr>
          <w:b/>
          <w:i/>
          <w:sz w:val="22"/>
          <w:szCs w:val="22"/>
        </w:rPr>
        <w:t>.</w:t>
      </w:r>
      <w:r w:rsidR="003F6C82">
        <w:rPr>
          <w:b/>
          <w:i/>
          <w:sz w:val="22"/>
          <w:szCs w:val="22"/>
        </w:rPr>
        <w:t>225</w:t>
      </w:r>
      <w:r w:rsidR="003F6C82" w:rsidRPr="00337E16">
        <w:rPr>
          <w:b/>
          <w:i/>
          <w:sz w:val="22"/>
          <w:szCs w:val="22"/>
        </w:rPr>
        <w:t>/20</w:t>
      </w:r>
      <w:r w:rsidR="003F6C82">
        <w:rPr>
          <w:b/>
          <w:i/>
          <w:sz w:val="22"/>
          <w:szCs w:val="22"/>
        </w:rPr>
        <w:t>08</w:t>
      </w:r>
      <w:r w:rsidR="003F6C82" w:rsidRPr="00337E16">
        <w:rPr>
          <w:b/>
          <w:i/>
          <w:sz w:val="22"/>
          <w:szCs w:val="22"/>
        </w:rPr>
        <w:t>-</w:t>
      </w:r>
      <w:r w:rsidR="003F6C82">
        <w:rPr>
          <w:b/>
          <w:i/>
          <w:sz w:val="22"/>
          <w:szCs w:val="22"/>
        </w:rPr>
        <w:t>0</w:t>
      </w:r>
      <w:r w:rsidR="003F6C82" w:rsidRPr="00337E16">
        <w:rPr>
          <w:b/>
          <w:i/>
          <w:sz w:val="22"/>
          <w:szCs w:val="22"/>
        </w:rPr>
        <w:t>, rel. Min</w:t>
      </w:r>
      <w:r w:rsidR="003F6C82">
        <w:rPr>
          <w:b/>
          <w:i/>
          <w:sz w:val="22"/>
          <w:szCs w:val="22"/>
        </w:rPr>
        <w:t>. Valmir Campelo</w:t>
      </w:r>
      <w:r w:rsidR="003F6C82" w:rsidRPr="00337E16">
        <w:rPr>
          <w:b/>
          <w:i/>
          <w:sz w:val="22"/>
          <w:szCs w:val="22"/>
        </w:rPr>
        <w:t xml:space="preserve">, </w:t>
      </w:r>
      <w:r w:rsidR="003F6C82">
        <w:rPr>
          <w:b/>
          <w:i/>
          <w:sz w:val="22"/>
          <w:szCs w:val="22"/>
        </w:rPr>
        <w:t>10</w:t>
      </w:r>
      <w:r w:rsidR="003F6C82" w:rsidRPr="00337E16">
        <w:rPr>
          <w:b/>
          <w:i/>
          <w:sz w:val="22"/>
          <w:szCs w:val="22"/>
        </w:rPr>
        <w:t>.</w:t>
      </w:r>
      <w:r w:rsidR="003F6C82">
        <w:rPr>
          <w:b/>
          <w:i/>
          <w:sz w:val="22"/>
          <w:szCs w:val="22"/>
        </w:rPr>
        <w:t>11</w:t>
      </w:r>
      <w:r w:rsidR="003F6C82" w:rsidRPr="00337E16">
        <w:rPr>
          <w:b/>
          <w:i/>
          <w:sz w:val="22"/>
          <w:szCs w:val="22"/>
        </w:rPr>
        <w:t>.2010</w:t>
      </w:r>
      <w:r w:rsidR="003F6C82" w:rsidRPr="00337E16">
        <w:rPr>
          <w:sz w:val="22"/>
          <w:szCs w:val="22"/>
        </w:rPr>
        <w:t>.</w:t>
      </w:r>
    </w:p>
    <w:p w:rsidR="00FC399F" w:rsidRDefault="00FC399F" w:rsidP="00FC399F">
      <w:pPr>
        <w:pStyle w:val="indice"/>
        <w:tabs>
          <w:tab w:val="left" w:pos="567"/>
        </w:tabs>
        <w:spacing w:before="60" w:line="240" w:lineRule="auto"/>
      </w:pPr>
    </w:p>
    <w:p w:rsidR="00FC399F" w:rsidRPr="00611C54" w:rsidRDefault="00FC399F" w:rsidP="00FC399F">
      <w:pPr>
        <w:pStyle w:val="indice"/>
        <w:spacing w:before="60" w:line="240" w:lineRule="auto"/>
        <w:rPr>
          <w:b/>
        </w:rPr>
      </w:pPr>
      <w:r w:rsidRPr="00611C54">
        <w:rPr>
          <w:b/>
        </w:rPr>
        <w:t>Planilha de custos e formação de preços: 4 - Inclusão de percentual destinado a despesas com seleç</w:t>
      </w:r>
      <w:r w:rsidR="00F70BF7">
        <w:rPr>
          <w:b/>
        </w:rPr>
        <w:t>ão e treinamento</w:t>
      </w:r>
    </w:p>
    <w:p w:rsidR="003F6C82" w:rsidRPr="00337E16" w:rsidRDefault="001E1AEB" w:rsidP="003F6C82">
      <w:pPr>
        <w:pStyle w:val="Pargrafo"/>
        <w:jc w:val="both"/>
        <w:rPr>
          <w:sz w:val="22"/>
          <w:szCs w:val="22"/>
        </w:rPr>
      </w:pPr>
      <w:r>
        <w:rPr>
          <w:sz w:val="22"/>
          <w:szCs w:val="22"/>
        </w:rPr>
        <w:t xml:space="preserve">Outra </w:t>
      </w:r>
      <w:r w:rsidR="00264F28">
        <w:rPr>
          <w:sz w:val="22"/>
          <w:szCs w:val="22"/>
        </w:rPr>
        <w:t>possível irregularidade</w:t>
      </w:r>
      <w:r w:rsidR="00264F28" w:rsidRPr="00DF7C54">
        <w:rPr>
          <w:sz w:val="22"/>
          <w:szCs w:val="22"/>
        </w:rPr>
        <w:t xml:space="preserve"> </w:t>
      </w:r>
      <w:r>
        <w:rPr>
          <w:sz w:val="22"/>
          <w:szCs w:val="22"/>
        </w:rPr>
        <w:t>apontada no âmbito do</w:t>
      </w:r>
      <w:r w:rsidRPr="00DF7C54">
        <w:rPr>
          <w:sz w:val="22"/>
          <w:szCs w:val="22"/>
        </w:rPr>
        <w:t xml:space="preserve"> Pregão Eletrônico n</w:t>
      </w:r>
      <w:r>
        <w:rPr>
          <w:sz w:val="22"/>
          <w:szCs w:val="22"/>
        </w:rPr>
        <w:t>.</w:t>
      </w:r>
      <w:r w:rsidRPr="00DF7C54">
        <w:rPr>
          <w:sz w:val="22"/>
          <w:szCs w:val="22"/>
        </w:rPr>
        <w:t xml:space="preserve">º 076/2006, promovido </w:t>
      </w:r>
      <w:r>
        <w:rPr>
          <w:sz w:val="22"/>
          <w:szCs w:val="22"/>
        </w:rPr>
        <w:t>pelo</w:t>
      </w:r>
      <w:r w:rsidRPr="00DF7C54">
        <w:rPr>
          <w:sz w:val="22"/>
          <w:szCs w:val="22"/>
        </w:rPr>
        <w:t xml:space="preserve"> Núcleo Estadual do Ministério da Saúde no Estado do Rio de Janeiro</w:t>
      </w:r>
      <w:r>
        <w:rPr>
          <w:sz w:val="22"/>
          <w:szCs w:val="22"/>
        </w:rPr>
        <w:t xml:space="preserve"> – </w:t>
      </w:r>
      <w:r w:rsidRPr="00DF7C54">
        <w:rPr>
          <w:sz w:val="22"/>
          <w:szCs w:val="22"/>
        </w:rPr>
        <w:t>NERJ/MS, tendo por objeto a contratação de empresa prestadora de serviços de tratamento de acervos arquivísticos</w:t>
      </w:r>
      <w:r>
        <w:rPr>
          <w:sz w:val="22"/>
          <w:szCs w:val="22"/>
        </w:rPr>
        <w:t xml:space="preserve"> </w:t>
      </w:r>
      <w:r w:rsidRPr="00DF7C54">
        <w:rPr>
          <w:sz w:val="22"/>
          <w:szCs w:val="22"/>
        </w:rPr>
        <w:t>–</w:t>
      </w:r>
      <w:r>
        <w:rPr>
          <w:sz w:val="22"/>
          <w:szCs w:val="22"/>
        </w:rPr>
        <w:t xml:space="preserve"> </w:t>
      </w:r>
      <w:r w:rsidRPr="00DF7C54">
        <w:rPr>
          <w:sz w:val="22"/>
          <w:szCs w:val="22"/>
        </w:rPr>
        <w:t>microfilmagem, acondicionamento e arquivamento</w:t>
      </w:r>
      <w:r>
        <w:rPr>
          <w:sz w:val="22"/>
          <w:szCs w:val="22"/>
        </w:rPr>
        <w:t xml:space="preserve"> </w:t>
      </w:r>
      <w:r w:rsidRPr="00DF7C54">
        <w:rPr>
          <w:sz w:val="22"/>
          <w:szCs w:val="22"/>
        </w:rPr>
        <w:t>–</w:t>
      </w:r>
      <w:r>
        <w:rPr>
          <w:sz w:val="22"/>
          <w:szCs w:val="22"/>
        </w:rPr>
        <w:t xml:space="preserve"> </w:t>
      </w:r>
      <w:r w:rsidRPr="00DF7C54">
        <w:rPr>
          <w:sz w:val="22"/>
          <w:szCs w:val="22"/>
        </w:rPr>
        <w:t>no Centro de Microfilmagem e Digitalização</w:t>
      </w:r>
      <w:r>
        <w:rPr>
          <w:sz w:val="22"/>
          <w:szCs w:val="22"/>
        </w:rPr>
        <w:t xml:space="preserve"> </w:t>
      </w:r>
      <w:r w:rsidRPr="00DF7C54">
        <w:rPr>
          <w:sz w:val="22"/>
          <w:szCs w:val="22"/>
        </w:rPr>
        <w:t>–</w:t>
      </w:r>
      <w:r>
        <w:rPr>
          <w:sz w:val="22"/>
          <w:szCs w:val="22"/>
        </w:rPr>
        <w:t xml:space="preserve"> </w:t>
      </w:r>
      <w:r w:rsidRPr="00DF7C54">
        <w:rPr>
          <w:sz w:val="22"/>
          <w:szCs w:val="22"/>
        </w:rPr>
        <w:t>CMD/RJ</w:t>
      </w:r>
      <w:r>
        <w:rPr>
          <w:sz w:val="22"/>
          <w:szCs w:val="22"/>
        </w:rPr>
        <w:t xml:space="preserve">, foi a </w:t>
      </w:r>
      <w:r w:rsidR="00376A7E">
        <w:rPr>
          <w:sz w:val="22"/>
          <w:szCs w:val="22"/>
        </w:rPr>
        <w:t>previsão</w:t>
      </w:r>
      <w:r w:rsidRPr="003F6C82">
        <w:rPr>
          <w:sz w:val="22"/>
          <w:szCs w:val="22"/>
        </w:rPr>
        <w:t xml:space="preserve"> de percentual destinado </w:t>
      </w:r>
      <w:r w:rsidR="00CC6332">
        <w:rPr>
          <w:sz w:val="22"/>
          <w:szCs w:val="22"/>
        </w:rPr>
        <w:t>a</w:t>
      </w:r>
      <w:r w:rsidRPr="003F6C82">
        <w:rPr>
          <w:sz w:val="22"/>
          <w:szCs w:val="22"/>
        </w:rPr>
        <w:t xml:space="preserve"> despesas com seleção e treinamento dos </w:t>
      </w:r>
      <w:r>
        <w:rPr>
          <w:sz w:val="22"/>
          <w:szCs w:val="22"/>
        </w:rPr>
        <w:t>empregados</w:t>
      </w:r>
      <w:r w:rsidRPr="003F6C82">
        <w:rPr>
          <w:sz w:val="22"/>
          <w:szCs w:val="22"/>
        </w:rPr>
        <w:t xml:space="preserve"> da </w:t>
      </w:r>
      <w:r>
        <w:rPr>
          <w:sz w:val="22"/>
          <w:szCs w:val="22"/>
        </w:rPr>
        <w:t>c</w:t>
      </w:r>
      <w:r w:rsidRPr="003F6C82">
        <w:rPr>
          <w:sz w:val="22"/>
          <w:szCs w:val="22"/>
        </w:rPr>
        <w:t>ontratada</w:t>
      </w:r>
      <w:r w:rsidRPr="00DF7C54">
        <w:rPr>
          <w:sz w:val="22"/>
          <w:szCs w:val="22"/>
        </w:rPr>
        <w:t>.</w:t>
      </w:r>
      <w:r>
        <w:rPr>
          <w:sz w:val="22"/>
          <w:szCs w:val="22"/>
        </w:rPr>
        <w:t xml:space="preserve"> A unidade técnica destacou que </w:t>
      </w:r>
      <w:r w:rsidR="003F6C82" w:rsidRPr="003F6C82">
        <w:rPr>
          <w:sz w:val="22"/>
          <w:szCs w:val="22"/>
        </w:rPr>
        <w:t>o Tribunal</w:t>
      </w:r>
      <w:r w:rsidR="00376A7E">
        <w:rPr>
          <w:sz w:val="22"/>
          <w:szCs w:val="22"/>
        </w:rPr>
        <w:t xml:space="preserve">, por meio do </w:t>
      </w:r>
      <w:r w:rsidR="00376A7E" w:rsidRPr="003F6C82">
        <w:rPr>
          <w:sz w:val="22"/>
          <w:szCs w:val="22"/>
        </w:rPr>
        <w:t>Acórdão n</w:t>
      </w:r>
      <w:r w:rsidR="00376A7E">
        <w:rPr>
          <w:sz w:val="22"/>
          <w:szCs w:val="22"/>
        </w:rPr>
        <w:t>.</w:t>
      </w:r>
      <w:r w:rsidR="00376A7E" w:rsidRPr="003F6C82">
        <w:rPr>
          <w:sz w:val="22"/>
          <w:szCs w:val="22"/>
        </w:rPr>
        <w:t>º 325/2007-Plenário</w:t>
      </w:r>
      <w:r w:rsidR="00376A7E">
        <w:rPr>
          <w:sz w:val="22"/>
          <w:szCs w:val="22"/>
        </w:rPr>
        <w:t>,</w:t>
      </w:r>
      <w:r w:rsidR="003F6C82" w:rsidRPr="003F6C82">
        <w:rPr>
          <w:sz w:val="22"/>
          <w:szCs w:val="22"/>
        </w:rPr>
        <w:t xml:space="preserve"> firmou entendimento </w:t>
      </w:r>
      <w:r w:rsidR="00376A7E" w:rsidRPr="003F6C82">
        <w:rPr>
          <w:sz w:val="22"/>
          <w:szCs w:val="22"/>
        </w:rPr>
        <w:t xml:space="preserve">no sentido de que </w:t>
      </w:r>
      <w:r w:rsidR="00EE17FC">
        <w:rPr>
          <w:sz w:val="22"/>
          <w:szCs w:val="22"/>
        </w:rPr>
        <w:t>tais</w:t>
      </w:r>
      <w:r w:rsidR="00376A7E" w:rsidRPr="003F6C82">
        <w:rPr>
          <w:sz w:val="22"/>
          <w:szCs w:val="22"/>
        </w:rPr>
        <w:t xml:space="preserve"> custos estão englobados no conceito de lucro, </w:t>
      </w:r>
      <w:r w:rsidR="003F6C82" w:rsidRPr="003F6C82">
        <w:rPr>
          <w:sz w:val="22"/>
          <w:szCs w:val="22"/>
        </w:rPr>
        <w:t xml:space="preserve">porquanto </w:t>
      </w:r>
      <w:r w:rsidR="00EC0726">
        <w:rPr>
          <w:sz w:val="22"/>
          <w:szCs w:val="22"/>
        </w:rPr>
        <w:t>seria</w:t>
      </w:r>
      <w:r w:rsidR="003F6C82" w:rsidRPr="003F6C82">
        <w:rPr>
          <w:sz w:val="22"/>
          <w:szCs w:val="22"/>
        </w:rPr>
        <w:t xml:space="preserve"> obrigação da empresa </w:t>
      </w:r>
      <w:r w:rsidR="00EC0726" w:rsidRPr="00EC0726">
        <w:rPr>
          <w:i/>
          <w:sz w:val="22"/>
          <w:szCs w:val="22"/>
        </w:rPr>
        <w:t>“</w:t>
      </w:r>
      <w:r w:rsidR="003F6C82" w:rsidRPr="00EC0726">
        <w:rPr>
          <w:i/>
          <w:sz w:val="22"/>
          <w:szCs w:val="22"/>
        </w:rPr>
        <w:t>fornecer empregados devidamente treinados e aptos para execução dos serviços contratados</w:t>
      </w:r>
      <w:r w:rsidR="00EC0726" w:rsidRPr="00EC0726">
        <w:rPr>
          <w:i/>
          <w:sz w:val="22"/>
          <w:szCs w:val="22"/>
        </w:rPr>
        <w:t>”</w:t>
      </w:r>
      <w:r w:rsidR="003F6C82" w:rsidRPr="003F6C82">
        <w:rPr>
          <w:sz w:val="22"/>
          <w:szCs w:val="22"/>
        </w:rPr>
        <w:t>.</w:t>
      </w:r>
      <w:r w:rsidR="00EC0726">
        <w:rPr>
          <w:sz w:val="22"/>
          <w:szCs w:val="22"/>
        </w:rPr>
        <w:t xml:space="preserve"> Ponderou</w:t>
      </w:r>
      <w:r w:rsidR="003F6C82" w:rsidRPr="003F6C82">
        <w:rPr>
          <w:sz w:val="22"/>
          <w:szCs w:val="22"/>
        </w:rPr>
        <w:t>, no entanto, que</w:t>
      </w:r>
      <w:r w:rsidR="00CC6332">
        <w:rPr>
          <w:sz w:val="22"/>
          <w:szCs w:val="22"/>
        </w:rPr>
        <w:t>, no caso concreto,</w:t>
      </w:r>
      <w:r w:rsidR="003F6C82" w:rsidRPr="003F6C82">
        <w:rPr>
          <w:sz w:val="22"/>
          <w:szCs w:val="22"/>
        </w:rPr>
        <w:t xml:space="preserve"> a </w:t>
      </w:r>
      <w:r w:rsidR="00EC0726">
        <w:rPr>
          <w:sz w:val="22"/>
          <w:szCs w:val="22"/>
        </w:rPr>
        <w:t>c</w:t>
      </w:r>
      <w:r w:rsidR="003F6C82" w:rsidRPr="003F6C82">
        <w:rPr>
          <w:sz w:val="22"/>
          <w:szCs w:val="22"/>
        </w:rPr>
        <w:t>ontratada efetu</w:t>
      </w:r>
      <w:r w:rsidR="0030486F">
        <w:rPr>
          <w:sz w:val="22"/>
          <w:szCs w:val="22"/>
        </w:rPr>
        <w:t>ara</w:t>
      </w:r>
      <w:r w:rsidR="003F6C82" w:rsidRPr="003F6C82">
        <w:rPr>
          <w:sz w:val="22"/>
          <w:szCs w:val="22"/>
        </w:rPr>
        <w:t xml:space="preserve"> despesas específicas com treinamentos solicitados pelo próprio NERJ/MS.</w:t>
      </w:r>
      <w:r w:rsidR="00EC0726">
        <w:rPr>
          <w:sz w:val="22"/>
          <w:szCs w:val="22"/>
        </w:rPr>
        <w:t xml:space="preserve"> </w:t>
      </w:r>
      <w:r w:rsidR="00CC6332">
        <w:rPr>
          <w:sz w:val="22"/>
          <w:szCs w:val="22"/>
        </w:rPr>
        <w:t>Assim sendo</w:t>
      </w:r>
      <w:r w:rsidR="00EC0726">
        <w:rPr>
          <w:sz w:val="22"/>
          <w:szCs w:val="22"/>
        </w:rPr>
        <w:t xml:space="preserve">, formulou proposta no sentido de </w:t>
      </w:r>
      <w:r w:rsidR="00CC6332">
        <w:rPr>
          <w:sz w:val="22"/>
          <w:szCs w:val="22"/>
        </w:rPr>
        <w:t xml:space="preserve">ser </w:t>
      </w:r>
      <w:r w:rsidR="00EC0726">
        <w:rPr>
          <w:sz w:val="22"/>
          <w:szCs w:val="22"/>
        </w:rPr>
        <w:t>tão somente</w:t>
      </w:r>
      <w:r w:rsidR="003F6C82" w:rsidRPr="003F6C82">
        <w:rPr>
          <w:sz w:val="22"/>
          <w:szCs w:val="22"/>
        </w:rPr>
        <w:t xml:space="preserve"> </w:t>
      </w:r>
      <w:r w:rsidR="00EC0726">
        <w:rPr>
          <w:sz w:val="22"/>
          <w:szCs w:val="22"/>
        </w:rPr>
        <w:t>expedi</w:t>
      </w:r>
      <w:r w:rsidR="00CC6332">
        <w:rPr>
          <w:sz w:val="22"/>
          <w:szCs w:val="22"/>
        </w:rPr>
        <w:t>do</w:t>
      </w:r>
      <w:r w:rsidR="00EC0726">
        <w:rPr>
          <w:sz w:val="22"/>
          <w:szCs w:val="22"/>
        </w:rPr>
        <w:t xml:space="preserve"> alerta</w:t>
      </w:r>
      <w:r w:rsidR="003F6C82" w:rsidRPr="003F6C82">
        <w:rPr>
          <w:sz w:val="22"/>
          <w:szCs w:val="22"/>
        </w:rPr>
        <w:t xml:space="preserve"> </w:t>
      </w:r>
      <w:r w:rsidR="00EC0726">
        <w:rPr>
          <w:sz w:val="22"/>
          <w:szCs w:val="22"/>
        </w:rPr>
        <w:t>ao órgão</w:t>
      </w:r>
      <w:r w:rsidR="003F6C82" w:rsidRPr="003F6C82">
        <w:rPr>
          <w:sz w:val="22"/>
          <w:szCs w:val="22"/>
        </w:rPr>
        <w:t xml:space="preserve"> para </w:t>
      </w:r>
      <w:r w:rsidR="00EC0726">
        <w:rPr>
          <w:sz w:val="22"/>
          <w:szCs w:val="22"/>
        </w:rPr>
        <w:t>observar</w:t>
      </w:r>
      <w:r w:rsidR="003F6C82" w:rsidRPr="003F6C82">
        <w:rPr>
          <w:sz w:val="22"/>
          <w:szCs w:val="22"/>
        </w:rPr>
        <w:t xml:space="preserve">, nas próximas contratações de serviços executados de forma indireta e contínua, o </w:t>
      </w:r>
      <w:r w:rsidR="00CC6332">
        <w:rPr>
          <w:sz w:val="22"/>
          <w:szCs w:val="22"/>
        </w:rPr>
        <w:t>teor d</w:t>
      </w:r>
      <w:r w:rsidR="003F6C82" w:rsidRPr="003F6C82">
        <w:rPr>
          <w:sz w:val="22"/>
          <w:szCs w:val="22"/>
        </w:rPr>
        <w:t xml:space="preserve">o </w:t>
      </w:r>
      <w:r w:rsidR="007B69A2" w:rsidRPr="003F6C82">
        <w:rPr>
          <w:sz w:val="22"/>
          <w:szCs w:val="22"/>
        </w:rPr>
        <w:t>Acórdão n</w:t>
      </w:r>
      <w:r w:rsidR="007B69A2">
        <w:rPr>
          <w:sz w:val="22"/>
          <w:szCs w:val="22"/>
        </w:rPr>
        <w:t>.</w:t>
      </w:r>
      <w:r w:rsidR="007B69A2" w:rsidRPr="003F6C82">
        <w:rPr>
          <w:sz w:val="22"/>
          <w:szCs w:val="22"/>
        </w:rPr>
        <w:t>º 325/2007-Plenário</w:t>
      </w:r>
      <w:r w:rsidR="003F6C82" w:rsidRPr="003F6C82">
        <w:rPr>
          <w:sz w:val="22"/>
          <w:szCs w:val="22"/>
        </w:rPr>
        <w:t>, no sentido de não incluir</w:t>
      </w:r>
      <w:r w:rsidR="0030486F">
        <w:rPr>
          <w:sz w:val="22"/>
          <w:szCs w:val="22"/>
        </w:rPr>
        <w:t>,</w:t>
      </w:r>
      <w:r w:rsidR="003F6C82" w:rsidRPr="003F6C82">
        <w:rPr>
          <w:sz w:val="22"/>
          <w:szCs w:val="22"/>
        </w:rPr>
        <w:t xml:space="preserve"> </w:t>
      </w:r>
      <w:r w:rsidR="0030486F" w:rsidRPr="003F6C82">
        <w:rPr>
          <w:sz w:val="22"/>
          <w:szCs w:val="22"/>
        </w:rPr>
        <w:t>nas planilhas orçamentárias</w:t>
      </w:r>
      <w:r w:rsidR="0030486F">
        <w:rPr>
          <w:sz w:val="22"/>
          <w:szCs w:val="22"/>
        </w:rPr>
        <w:t>,</w:t>
      </w:r>
      <w:r w:rsidR="0030486F" w:rsidRPr="003F6C82">
        <w:rPr>
          <w:sz w:val="22"/>
          <w:szCs w:val="22"/>
        </w:rPr>
        <w:t xml:space="preserve"> </w:t>
      </w:r>
      <w:r w:rsidR="003F6C82" w:rsidRPr="003F6C82">
        <w:rPr>
          <w:sz w:val="22"/>
          <w:szCs w:val="22"/>
        </w:rPr>
        <w:t>percentuais de seleção e treinamento</w:t>
      </w:r>
      <w:r w:rsidR="00EC0726">
        <w:rPr>
          <w:sz w:val="22"/>
          <w:szCs w:val="22"/>
        </w:rPr>
        <w:t>. O relator considerou</w:t>
      </w:r>
      <w:r w:rsidR="00EC0726" w:rsidRPr="00DF7C54">
        <w:rPr>
          <w:sz w:val="22"/>
          <w:szCs w:val="22"/>
        </w:rPr>
        <w:t xml:space="preserve"> </w:t>
      </w:r>
      <w:r w:rsidR="00376A7E">
        <w:rPr>
          <w:sz w:val="22"/>
          <w:szCs w:val="22"/>
        </w:rPr>
        <w:t>adequado</w:t>
      </w:r>
      <w:r w:rsidR="00EC0726" w:rsidRPr="00DF7C54">
        <w:rPr>
          <w:sz w:val="22"/>
          <w:szCs w:val="22"/>
        </w:rPr>
        <w:t xml:space="preserve"> o encaminhamento proposto</w:t>
      </w:r>
      <w:r w:rsidR="00EC0726">
        <w:rPr>
          <w:sz w:val="22"/>
          <w:szCs w:val="22"/>
        </w:rPr>
        <w:t>, no que foi acompanhado pelos demais ministros</w:t>
      </w:r>
      <w:r w:rsidR="00EC0726" w:rsidRPr="00DF7C54">
        <w:rPr>
          <w:sz w:val="22"/>
          <w:szCs w:val="22"/>
        </w:rPr>
        <w:t>.</w:t>
      </w:r>
      <w:r w:rsidR="00A54226">
        <w:rPr>
          <w:sz w:val="22"/>
          <w:szCs w:val="22"/>
        </w:rPr>
        <w:t xml:space="preserve"> </w:t>
      </w:r>
      <w:r w:rsidR="003F6C82" w:rsidRPr="00337E16">
        <w:rPr>
          <w:b/>
          <w:i/>
          <w:sz w:val="22"/>
          <w:szCs w:val="22"/>
        </w:rPr>
        <w:t xml:space="preserve">Acórdão n.º </w:t>
      </w:r>
      <w:r w:rsidR="003F6C82">
        <w:rPr>
          <w:b/>
          <w:i/>
          <w:sz w:val="22"/>
          <w:szCs w:val="22"/>
        </w:rPr>
        <w:t>3006</w:t>
      </w:r>
      <w:r w:rsidR="003F6C82" w:rsidRPr="00337E16">
        <w:rPr>
          <w:b/>
          <w:i/>
          <w:sz w:val="22"/>
          <w:szCs w:val="22"/>
        </w:rPr>
        <w:t>/2010</w:t>
      </w:r>
      <w:r w:rsidR="003F6C82">
        <w:rPr>
          <w:b/>
          <w:i/>
          <w:sz w:val="22"/>
          <w:szCs w:val="22"/>
        </w:rPr>
        <w:t>-Plenário</w:t>
      </w:r>
      <w:r w:rsidR="003F6C82" w:rsidRPr="00337E16">
        <w:rPr>
          <w:b/>
          <w:i/>
          <w:sz w:val="22"/>
          <w:szCs w:val="22"/>
        </w:rPr>
        <w:t>, TC-0</w:t>
      </w:r>
      <w:r w:rsidR="003F6C82">
        <w:rPr>
          <w:b/>
          <w:i/>
          <w:sz w:val="22"/>
          <w:szCs w:val="22"/>
        </w:rPr>
        <w:t>01</w:t>
      </w:r>
      <w:r w:rsidR="003F6C82" w:rsidRPr="00337E16">
        <w:rPr>
          <w:b/>
          <w:i/>
          <w:sz w:val="22"/>
          <w:szCs w:val="22"/>
        </w:rPr>
        <w:t>.</w:t>
      </w:r>
      <w:r w:rsidR="003F6C82">
        <w:rPr>
          <w:b/>
          <w:i/>
          <w:sz w:val="22"/>
          <w:szCs w:val="22"/>
        </w:rPr>
        <w:t>225</w:t>
      </w:r>
      <w:r w:rsidR="003F6C82" w:rsidRPr="00337E16">
        <w:rPr>
          <w:b/>
          <w:i/>
          <w:sz w:val="22"/>
          <w:szCs w:val="22"/>
        </w:rPr>
        <w:t>/20</w:t>
      </w:r>
      <w:r w:rsidR="003F6C82">
        <w:rPr>
          <w:b/>
          <w:i/>
          <w:sz w:val="22"/>
          <w:szCs w:val="22"/>
        </w:rPr>
        <w:t>08</w:t>
      </w:r>
      <w:r w:rsidR="003F6C82" w:rsidRPr="00337E16">
        <w:rPr>
          <w:b/>
          <w:i/>
          <w:sz w:val="22"/>
          <w:szCs w:val="22"/>
        </w:rPr>
        <w:t>-</w:t>
      </w:r>
      <w:r w:rsidR="003F6C82">
        <w:rPr>
          <w:b/>
          <w:i/>
          <w:sz w:val="22"/>
          <w:szCs w:val="22"/>
        </w:rPr>
        <w:t>0</w:t>
      </w:r>
      <w:r w:rsidR="003F6C82" w:rsidRPr="00337E16">
        <w:rPr>
          <w:b/>
          <w:i/>
          <w:sz w:val="22"/>
          <w:szCs w:val="22"/>
        </w:rPr>
        <w:t>, rel. Min</w:t>
      </w:r>
      <w:r w:rsidR="003F6C82">
        <w:rPr>
          <w:b/>
          <w:i/>
          <w:sz w:val="22"/>
          <w:szCs w:val="22"/>
        </w:rPr>
        <w:t>. Valmir Campelo</w:t>
      </w:r>
      <w:r w:rsidR="003F6C82" w:rsidRPr="00337E16">
        <w:rPr>
          <w:b/>
          <w:i/>
          <w:sz w:val="22"/>
          <w:szCs w:val="22"/>
        </w:rPr>
        <w:t xml:space="preserve">, </w:t>
      </w:r>
      <w:r w:rsidR="003F6C82">
        <w:rPr>
          <w:b/>
          <w:i/>
          <w:sz w:val="22"/>
          <w:szCs w:val="22"/>
        </w:rPr>
        <w:t>10</w:t>
      </w:r>
      <w:r w:rsidR="003F6C82" w:rsidRPr="00337E16">
        <w:rPr>
          <w:b/>
          <w:i/>
          <w:sz w:val="22"/>
          <w:szCs w:val="22"/>
        </w:rPr>
        <w:t>.</w:t>
      </w:r>
      <w:r w:rsidR="003F6C82">
        <w:rPr>
          <w:b/>
          <w:i/>
          <w:sz w:val="22"/>
          <w:szCs w:val="22"/>
        </w:rPr>
        <w:t>11</w:t>
      </w:r>
      <w:r w:rsidR="003F6C82" w:rsidRPr="00337E16">
        <w:rPr>
          <w:b/>
          <w:i/>
          <w:sz w:val="22"/>
          <w:szCs w:val="22"/>
        </w:rPr>
        <w:t>.2010</w:t>
      </w:r>
      <w:r w:rsidR="003F6C82" w:rsidRPr="00337E16">
        <w:rPr>
          <w:sz w:val="22"/>
          <w:szCs w:val="22"/>
        </w:rPr>
        <w:t>.</w:t>
      </w:r>
    </w:p>
    <w:p w:rsidR="00FC399F" w:rsidRDefault="00FC399F" w:rsidP="00FC399F">
      <w:pPr>
        <w:pStyle w:val="indice"/>
        <w:tabs>
          <w:tab w:val="left" w:pos="567"/>
        </w:tabs>
        <w:spacing w:before="60" w:line="240" w:lineRule="auto"/>
      </w:pPr>
    </w:p>
    <w:p w:rsidR="00FC399F" w:rsidRPr="001A3EAA" w:rsidRDefault="00FC399F" w:rsidP="00FC399F">
      <w:pPr>
        <w:pStyle w:val="indice"/>
        <w:spacing w:before="60" w:line="240" w:lineRule="auto"/>
        <w:rPr>
          <w:b/>
        </w:rPr>
      </w:pPr>
      <w:r w:rsidRPr="001A3EAA">
        <w:rPr>
          <w:b/>
        </w:rPr>
        <w:t xml:space="preserve">Planilha de custos e formação de preços: 5 - </w:t>
      </w:r>
      <w:r w:rsidR="001A3EAA" w:rsidRPr="001A3EAA">
        <w:rPr>
          <w:b/>
        </w:rPr>
        <w:t xml:space="preserve">É de responsabilidade da empresa </w:t>
      </w:r>
      <w:r w:rsidR="00F111D9">
        <w:rPr>
          <w:b/>
        </w:rPr>
        <w:t>licitante</w:t>
      </w:r>
      <w:r w:rsidR="001A3EAA" w:rsidRPr="001A3EAA">
        <w:rPr>
          <w:b/>
        </w:rPr>
        <w:t xml:space="preserve"> a definição do número de empregados necessário </w:t>
      </w:r>
      <w:r w:rsidR="001A3EAA">
        <w:rPr>
          <w:b/>
        </w:rPr>
        <w:t>à</w:t>
      </w:r>
      <w:r w:rsidR="001A3EAA" w:rsidRPr="001A3EAA">
        <w:rPr>
          <w:b/>
        </w:rPr>
        <w:t xml:space="preserve"> realização dos serviços</w:t>
      </w:r>
    </w:p>
    <w:p w:rsidR="003F6C82" w:rsidRPr="00337E16" w:rsidRDefault="00C63918" w:rsidP="003F6C82">
      <w:pPr>
        <w:pStyle w:val="Pargrafo"/>
        <w:jc w:val="both"/>
        <w:rPr>
          <w:sz w:val="22"/>
          <w:szCs w:val="22"/>
        </w:rPr>
      </w:pPr>
      <w:r>
        <w:rPr>
          <w:sz w:val="22"/>
          <w:szCs w:val="22"/>
        </w:rPr>
        <w:t xml:space="preserve">Outra </w:t>
      </w:r>
      <w:r w:rsidR="00541FCB">
        <w:rPr>
          <w:sz w:val="22"/>
          <w:szCs w:val="22"/>
        </w:rPr>
        <w:t>suposta</w:t>
      </w:r>
      <w:r w:rsidR="00264F28">
        <w:rPr>
          <w:sz w:val="22"/>
          <w:szCs w:val="22"/>
        </w:rPr>
        <w:t xml:space="preserve"> irregularidade</w:t>
      </w:r>
      <w:r w:rsidR="00264F28" w:rsidRPr="00DF7C54">
        <w:rPr>
          <w:sz w:val="22"/>
          <w:szCs w:val="22"/>
        </w:rPr>
        <w:t xml:space="preserve"> </w:t>
      </w:r>
      <w:r>
        <w:rPr>
          <w:sz w:val="22"/>
          <w:szCs w:val="22"/>
        </w:rPr>
        <w:t>apontada no âmbito do</w:t>
      </w:r>
      <w:r w:rsidRPr="00DF7C54">
        <w:rPr>
          <w:sz w:val="22"/>
          <w:szCs w:val="22"/>
        </w:rPr>
        <w:t xml:space="preserve"> Pregão Eletrônico n</w:t>
      </w:r>
      <w:r>
        <w:rPr>
          <w:sz w:val="22"/>
          <w:szCs w:val="22"/>
        </w:rPr>
        <w:t>.</w:t>
      </w:r>
      <w:r w:rsidRPr="00DF7C54">
        <w:rPr>
          <w:sz w:val="22"/>
          <w:szCs w:val="22"/>
        </w:rPr>
        <w:t xml:space="preserve">º 076/2006, promovido </w:t>
      </w:r>
      <w:r>
        <w:rPr>
          <w:sz w:val="22"/>
          <w:szCs w:val="22"/>
        </w:rPr>
        <w:t>pelo</w:t>
      </w:r>
      <w:r w:rsidRPr="00DF7C54">
        <w:rPr>
          <w:sz w:val="22"/>
          <w:szCs w:val="22"/>
        </w:rPr>
        <w:t xml:space="preserve"> Núcleo Estadual do Ministério da Saúde no Estado do Rio de Janeiro</w:t>
      </w:r>
      <w:r>
        <w:rPr>
          <w:sz w:val="22"/>
          <w:szCs w:val="22"/>
        </w:rPr>
        <w:t xml:space="preserve"> – </w:t>
      </w:r>
      <w:r w:rsidRPr="00DF7C54">
        <w:rPr>
          <w:sz w:val="22"/>
          <w:szCs w:val="22"/>
        </w:rPr>
        <w:t xml:space="preserve">NERJ/MS, </w:t>
      </w:r>
      <w:r w:rsidR="00541FCB">
        <w:rPr>
          <w:sz w:val="22"/>
          <w:szCs w:val="22"/>
        </w:rPr>
        <w:t>cujo</w:t>
      </w:r>
      <w:r w:rsidRPr="00DF7C54">
        <w:rPr>
          <w:sz w:val="22"/>
          <w:szCs w:val="22"/>
        </w:rPr>
        <w:t xml:space="preserve"> objeto </w:t>
      </w:r>
      <w:r w:rsidR="00541FCB">
        <w:rPr>
          <w:sz w:val="22"/>
          <w:szCs w:val="22"/>
        </w:rPr>
        <w:t xml:space="preserve">era </w:t>
      </w:r>
      <w:r w:rsidRPr="00DF7C54">
        <w:rPr>
          <w:sz w:val="22"/>
          <w:szCs w:val="22"/>
        </w:rPr>
        <w:t>a contratação de empresa prestadora de serviços de tratamento de acervos arquivísticos</w:t>
      </w:r>
      <w:r>
        <w:rPr>
          <w:sz w:val="22"/>
          <w:szCs w:val="22"/>
        </w:rPr>
        <w:t xml:space="preserve"> </w:t>
      </w:r>
      <w:r w:rsidRPr="00DF7C54">
        <w:rPr>
          <w:sz w:val="22"/>
          <w:szCs w:val="22"/>
        </w:rPr>
        <w:t>–</w:t>
      </w:r>
      <w:r>
        <w:rPr>
          <w:sz w:val="22"/>
          <w:szCs w:val="22"/>
        </w:rPr>
        <w:t xml:space="preserve"> </w:t>
      </w:r>
      <w:r w:rsidRPr="00DF7C54">
        <w:rPr>
          <w:sz w:val="22"/>
          <w:szCs w:val="22"/>
        </w:rPr>
        <w:t>microfilmagem, acondicionamento e arquivamento</w:t>
      </w:r>
      <w:r>
        <w:rPr>
          <w:sz w:val="22"/>
          <w:szCs w:val="22"/>
        </w:rPr>
        <w:t xml:space="preserve"> </w:t>
      </w:r>
      <w:r w:rsidRPr="00DF7C54">
        <w:rPr>
          <w:sz w:val="22"/>
          <w:szCs w:val="22"/>
        </w:rPr>
        <w:t>–</w:t>
      </w:r>
      <w:r>
        <w:rPr>
          <w:sz w:val="22"/>
          <w:szCs w:val="22"/>
        </w:rPr>
        <w:t xml:space="preserve"> </w:t>
      </w:r>
      <w:r w:rsidRPr="00DF7C54">
        <w:rPr>
          <w:sz w:val="22"/>
          <w:szCs w:val="22"/>
        </w:rPr>
        <w:t>no Centro de Microfilmagem e Digitalização</w:t>
      </w:r>
      <w:r>
        <w:rPr>
          <w:sz w:val="22"/>
          <w:szCs w:val="22"/>
        </w:rPr>
        <w:t xml:space="preserve"> </w:t>
      </w:r>
      <w:r w:rsidRPr="00DF7C54">
        <w:rPr>
          <w:sz w:val="22"/>
          <w:szCs w:val="22"/>
        </w:rPr>
        <w:t>–</w:t>
      </w:r>
      <w:r>
        <w:rPr>
          <w:sz w:val="22"/>
          <w:szCs w:val="22"/>
        </w:rPr>
        <w:t xml:space="preserve"> </w:t>
      </w:r>
      <w:r w:rsidRPr="00DF7C54">
        <w:rPr>
          <w:sz w:val="22"/>
          <w:szCs w:val="22"/>
        </w:rPr>
        <w:t>CMD/RJ</w:t>
      </w:r>
      <w:r>
        <w:rPr>
          <w:sz w:val="22"/>
          <w:szCs w:val="22"/>
        </w:rPr>
        <w:t>, foi o fato de a</w:t>
      </w:r>
      <w:r w:rsidR="00A46554" w:rsidRPr="00A46554">
        <w:rPr>
          <w:sz w:val="22"/>
          <w:szCs w:val="22"/>
        </w:rPr>
        <w:t xml:space="preserve"> especificação técnica </w:t>
      </w:r>
      <w:r>
        <w:rPr>
          <w:sz w:val="22"/>
          <w:szCs w:val="22"/>
        </w:rPr>
        <w:t>ter sido</w:t>
      </w:r>
      <w:r w:rsidR="00A46554" w:rsidRPr="00A46554">
        <w:rPr>
          <w:sz w:val="22"/>
          <w:szCs w:val="22"/>
        </w:rPr>
        <w:t xml:space="preserve"> definida </w:t>
      </w:r>
      <w:r w:rsidR="00AB2366" w:rsidRPr="00AB2366">
        <w:rPr>
          <w:i/>
          <w:sz w:val="22"/>
          <w:szCs w:val="22"/>
        </w:rPr>
        <w:t>“</w:t>
      </w:r>
      <w:r w:rsidR="00A46554" w:rsidRPr="00AB2366">
        <w:rPr>
          <w:i/>
          <w:sz w:val="22"/>
          <w:szCs w:val="22"/>
        </w:rPr>
        <w:t>em função do número de empregados e da jornada de trabalho dos funcionários a serem contratados</w:t>
      </w:r>
      <w:r w:rsidR="00AB2366" w:rsidRPr="00AB2366">
        <w:rPr>
          <w:i/>
          <w:sz w:val="22"/>
          <w:szCs w:val="22"/>
        </w:rPr>
        <w:t>”</w:t>
      </w:r>
      <w:r w:rsidR="00A46554" w:rsidRPr="00A46554">
        <w:rPr>
          <w:sz w:val="22"/>
          <w:szCs w:val="22"/>
        </w:rPr>
        <w:t>, em desacordo com o art. 4º, II, do Decreto n.º 2.271/97, que veda a inclusão de disposições</w:t>
      </w:r>
      <w:r w:rsidR="00AB2366">
        <w:rPr>
          <w:sz w:val="22"/>
          <w:szCs w:val="22"/>
        </w:rPr>
        <w:t>,</w:t>
      </w:r>
      <w:r w:rsidR="00A46554" w:rsidRPr="00A46554">
        <w:rPr>
          <w:sz w:val="22"/>
          <w:szCs w:val="22"/>
        </w:rPr>
        <w:t xml:space="preserve"> nos instrumentos contratuais</w:t>
      </w:r>
      <w:r w:rsidR="00AB2366">
        <w:rPr>
          <w:sz w:val="22"/>
          <w:szCs w:val="22"/>
        </w:rPr>
        <w:t>,</w:t>
      </w:r>
      <w:r w:rsidR="00A46554" w:rsidRPr="00A46554">
        <w:rPr>
          <w:sz w:val="22"/>
          <w:szCs w:val="22"/>
        </w:rPr>
        <w:t xml:space="preserve"> que permitam a caracterização exclusiva do objeto como fornecimento de mão de obra.</w:t>
      </w:r>
      <w:r>
        <w:rPr>
          <w:sz w:val="22"/>
          <w:szCs w:val="22"/>
        </w:rPr>
        <w:t xml:space="preserve"> De acordo com a unidade técnica, </w:t>
      </w:r>
      <w:r w:rsidR="00A46554" w:rsidRPr="00A46554">
        <w:rPr>
          <w:sz w:val="22"/>
          <w:szCs w:val="22"/>
        </w:rPr>
        <w:t xml:space="preserve">o NERJ/MS deveria ter elaborado o projeto básico identificando a demanda estimada de documentos a serem processados e microfilmados, descrevendo as especificações dos equipamentos existentes, as especialidades exigidas dos profissionais e as demais condições necessárias à execução </w:t>
      </w:r>
      <w:r w:rsidR="00A46554" w:rsidRPr="00A46554">
        <w:rPr>
          <w:sz w:val="22"/>
          <w:szCs w:val="22"/>
        </w:rPr>
        <w:lastRenderedPageBreak/>
        <w:t xml:space="preserve">dos serviços, sem fazer referência à quantidade de </w:t>
      </w:r>
      <w:r w:rsidR="00AB2366">
        <w:rPr>
          <w:sz w:val="22"/>
          <w:szCs w:val="22"/>
        </w:rPr>
        <w:t>empregados</w:t>
      </w:r>
      <w:r w:rsidR="00A46554" w:rsidRPr="00A46554">
        <w:rPr>
          <w:sz w:val="22"/>
          <w:szCs w:val="22"/>
        </w:rPr>
        <w:t xml:space="preserve"> e à jornada de trabalho, cabendo às empresas interessadas </w:t>
      </w:r>
      <w:r w:rsidR="00AB2366">
        <w:rPr>
          <w:sz w:val="22"/>
          <w:szCs w:val="22"/>
        </w:rPr>
        <w:t>a definição</w:t>
      </w:r>
      <w:r w:rsidR="00A46554" w:rsidRPr="00A46554">
        <w:rPr>
          <w:sz w:val="22"/>
          <w:szCs w:val="22"/>
        </w:rPr>
        <w:t xml:space="preserve"> </w:t>
      </w:r>
      <w:r w:rsidR="00AB2366">
        <w:rPr>
          <w:sz w:val="22"/>
          <w:szCs w:val="22"/>
        </w:rPr>
        <w:t>d</w:t>
      </w:r>
      <w:r w:rsidR="00A46554" w:rsidRPr="00A46554">
        <w:rPr>
          <w:sz w:val="22"/>
          <w:szCs w:val="22"/>
        </w:rPr>
        <w:t>o efetivo necessário para a realização dos serviços, com base na produtividade dos seus empregados.</w:t>
      </w:r>
      <w:r>
        <w:rPr>
          <w:sz w:val="22"/>
          <w:szCs w:val="22"/>
        </w:rPr>
        <w:t xml:space="preserve"> Para a unidade técnica, </w:t>
      </w:r>
      <w:r w:rsidR="00A46554" w:rsidRPr="00A46554">
        <w:rPr>
          <w:sz w:val="22"/>
          <w:szCs w:val="22"/>
        </w:rPr>
        <w:t>a opção pela sistemática de contratação de postos de serviços acarretou a realização de pesquisa de preços operacionalizada por meio do envio da planilha de custos</w:t>
      </w:r>
      <w:r w:rsidR="00AB2366">
        <w:rPr>
          <w:sz w:val="22"/>
          <w:szCs w:val="22"/>
        </w:rPr>
        <w:t>,</w:t>
      </w:r>
      <w:r w:rsidR="00A46554" w:rsidRPr="00A46554">
        <w:rPr>
          <w:sz w:val="22"/>
          <w:szCs w:val="22"/>
        </w:rPr>
        <w:t xml:space="preserve"> elaborada pelo próprio NERJ/MS</w:t>
      </w:r>
      <w:r w:rsidR="00AB2366">
        <w:rPr>
          <w:sz w:val="22"/>
          <w:szCs w:val="22"/>
        </w:rPr>
        <w:t>,</w:t>
      </w:r>
      <w:r w:rsidR="00A46554" w:rsidRPr="00A46554">
        <w:rPr>
          <w:sz w:val="22"/>
          <w:szCs w:val="22"/>
        </w:rPr>
        <w:t xml:space="preserve"> às empresas do ramo</w:t>
      </w:r>
      <w:r w:rsidR="00AB2366">
        <w:rPr>
          <w:sz w:val="22"/>
          <w:szCs w:val="22"/>
        </w:rPr>
        <w:t>,</w:t>
      </w:r>
      <w:r w:rsidR="00A46554" w:rsidRPr="00A46554">
        <w:rPr>
          <w:sz w:val="22"/>
          <w:szCs w:val="22"/>
        </w:rPr>
        <w:t xml:space="preserve"> solicitando a indicação dos salários dos profissionais por elas praticados, já dispondo dos percentuais de composição dos custos de fornecimento de mão de obra, sem levar em consideração a produtividade específica de cada empresa consultada, nem o grau de especialização dos seus profissionais.</w:t>
      </w:r>
      <w:r>
        <w:rPr>
          <w:sz w:val="22"/>
          <w:szCs w:val="22"/>
        </w:rPr>
        <w:t xml:space="preserve"> </w:t>
      </w:r>
      <w:r w:rsidR="004F6EC5">
        <w:rPr>
          <w:sz w:val="22"/>
          <w:szCs w:val="22"/>
        </w:rPr>
        <w:t>Por fim</w:t>
      </w:r>
      <w:r>
        <w:rPr>
          <w:sz w:val="22"/>
          <w:szCs w:val="22"/>
        </w:rPr>
        <w:t xml:space="preserve">, </w:t>
      </w:r>
      <w:r w:rsidR="004F6EC5">
        <w:rPr>
          <w:sz w:val="22"/>
          <w:szCs w:val="22"/>
        </w:rPr>
        <w:t>a unidade instrutiva</w:t>
      </w:r>
      <w:r>
        <w:rPr>
          <w:sz w:val="22"/>
          <w:szCs w:val="22"/>
        </w:rPr>
        <w:t xml:space="preserve"> </w:t>
      </w:r>
      <w:r w:rsidR="004F6EC5">
        <w:rPr>
          <w:sz w:val="22"/>
          <w:szCs w:val="22"/>
        </w:rPr>
        <w:t xml:space="preserve">propôs </w:t>
      </w:r>
      <w:r>
        <w:rPr>
          <w:sz w:val="22"/>
          <w:szCs w:val="22"/>
        </w:rPr>
        <w:t xml:space="preserve">a expedição de alerta ao </w:t>
      </w:r>
      <w:r w:rsidRPr="00DF7C54">
        <w:rPr>
          <w:sz w:val="22"/>
          <w:szCs w:val="22"/>
        </w:rPr>
        <w:t xml:space="preserve">NERJ/MS </w:t>
      </w:r>
      <w:r w:rsidRPr="00A46554">
        <w:rPr>
          <w:sz w:val="22"/>
          <w:szCs w:val="22"/>
        </w:rPr>
        <w:t xml:space="preserve">para </w:t>
      </w:r>
      <w:r>
        <w:rPr>
          <w:sz w:val="22"/>
          <w:szCs w:val="22"/>
        </w:rPr>
        <w:t>observar</w:t>
      </w:r>
      <w:r w:rsidRPr="00A46554">
        <w:rPr>
          <w:sz w:val="22"/>
          <w:szCs w:val="22"/>
        </w:rPr>
        <w:t>, nas próximas contratações de serviços a serem executados de forma indireta e contínua, os termos do art. 4º, II, do Decreto n.º 2.271/97</w:t>
      </w:r>
      <w:r>
        <w:rPr>
          <w:sz w:val="22"/>
          <w:szCs w:val="22"/>
        </w:rPr>
        <w:t>. O relator anuiu à proposta técnica, no que foi acompanhado pelos demais ministros</w:t>
      </w:r>
      <w:r w:rsidRPr="00DF7C54">
        <w:rPr>
          <w:sz w:val="22"/>
          <w:szCs w:val="22"/>
        </w:rPr>
        <w:t>.</w:t>
      </w:r>
      <w:r w:rsidR="00A54226">
        <w:rPr>
          <w:sz w:val="22"/>
          <w:szCs w:val="22"/>
        </w:rPr>
        <w:t xml:space="preserve"> </w:t>
      </w:r>
      <w:r w:rsidR="003F6C82" w:rsidRPr="00337E16">
        <w:rPr>
          <w:b/>
          <w:i/>
          <w:sz w:val="22"/>
          <w:szCs w:val="22"/>
        </w:rPr>
        <w:t xml:space="preserve">Acórdão n.º </w:t>
      </w:r>
      <w:r w:rsidR="003F6C82">
        <w:rPr>
          <w:b/>
          <w:i/>
          <w:sz w:val="22"/>
          <w:szCs w:val="22"/>
        </w:rPr>
        <w:t>3006</w:t>
      </w:r>
      <w:r w:rsidR="003F6C82" w:rsidRPr="00337E16">
        <w:rPr>
          <w:b/>
          <w:i/>
          <w:sz w:val="22"/>
          <w:szCs w:val="22"/>
        </w:rPr>
        <w:t>/2010</w:t>
      </w:r>
      <w:r w:rsidR="003F6C82">
        <w:rPr>
          <w:b/>
          <w:i/>
          <w:sz w:val="22"/>
          <w:szCs w:val="22"/>
        </w:rPr>
        <w:t>-Plenário</w:t>
      </w:r>
      <w:r w:rsidR="003F6C82" w:rsidRPr="00337E16">
        <w:rPr>
          <w:b/>
          <w:i/>
          <w:sz w:val="22"/>
          <w:szCs w:val="22"/>
        </w:rPr>
        <w:t>, TC-0</w:t>
      </w:r>
      <w:r w:rsidR="003F6C82">
        <w:rPr>
          <w:b/>
          <w:i/>
          <w:sz w:val="22"/>
          <w:szCs w:val="22"/>
        </w:rPr>
        <w:t>01</w:t>
      </w:r>
      <w:r w:rsidR="003F6C82" w:rsidRPr="00337E16">
        <w:rPr>
          <w:b/>
          <w:i/>
          <w:sz w:val="22"/>
          <w:szCs w:val="22"/>
        </w:rPr>
        <w:t>.</w:t>
      </w:r>
      <w:r w:rsidR="003F6C82">
        <w:rPr>
          <w:b/>
          <w:i/>
          <w:sz w:val="22"/>
          <w:szCs w:val="22"/>
        </w:rPr>
        <w:t>225</w:t>
      </w:r>
      <w:r w:rsidR="003F6C82" w:rsidRPr="00337E16">
        <w:rPr>
          <w:b/>
          <w:i/>
          <w:sz w:val="22"/>
          <w:szCs w:val="22"/>
        </w:rPr>
        <w:t>/20</w:t>
      </w:r>
      <w:r w:rsidR="003F6C82">
        <w:rPr>
          <w:b/>
          <w:i/>
          <w:sz w:val="22"/>
          <w:szCs w:val="22"/>
        </w:rPr>
        <w:t>08</w:t>
      </w:r>
      <w:r w:rsidR="003F6C82" w:rsidRPr="00337E16">
        <w:rPr>
          <w:b/>
          <w:i/>
          <w:sz w:val="22"/>
          <w:szCs w:val="22"/>
        </w:rPr>
        <w:t>-</w:t>
      </w:r>
      <w:r w:rsidR="003F6C82">
        <w:rPr>
          <w:b/>
          <w:i/>
          <w:sz w:val="22"/>
          <w:szCs w:val="22"/>
        </w:rPr>
        <w:t>0</w:t>
      </w:r>
      <w:r w:rsidR="003F6C82" w:rsidRPr="00337E16">
        <w:rPr>
          <w:b/>
          <w:i/>
          <w:sz w:val="22"/>
          <w:szCs w:val="22"/>
        </w:rPr>
        <w:t>, rel. Min</w:t>
      </w:r>
      <w:r w:rsidR="003F6C82">
        <w:rPr>
          <w:b/>
          <w:i/>
          <w:sz w:val="22"/>
          <w:szCs w:val="22"/>
        </w:rPr>
        <w:t>. Valmir Campelo</w:t>
      </w:r>
      <w:r w:rsidR="003F6C82" w:rsidRPr="00337E16">
        <w:rPr>
          <w:b/>
          <w:i/>
          <w:sz w:val="22"/>
          <w:szCs w:val="22"/>
        </w:rPr>
        <w:t xml:space="preserve">, </w:t>
      </w:r>
      <w:r w:rsidR="003F6C82">
        <w:rPr>
          <w:b/>
          <w:i/>
          <w:sz w:val="22"/>
          <w:szCs w:val="22"/>
        </w:rPr>
        <w:t>10</w:t>
      </w:r>
      <w:r w:rsidR="003F6C82" w:rsidRPr="00337E16">
        <w:rPr>
          <w:b/>
          <w:i/>
          <w:sz w:val="22"/>
          <w:szCs w:val="22"/>
        </w:rPr>
        <w:t>.</w:t>
      </w:r>
      <w:r w:rsidR="003F6C82">
        <w:rPr>
          <w:b/>
          <w:i/>
          <w:sz w:val="22"/>
          <w:szCs w:val="22"/>
        </w:rPr>
        <w:t>11</w:t>
      </w:r>
      <w:r w:rsidR="003F6C82" w:rsidRPr="00337E16">
        <w:rPr>
          <w:b/>
          <w:i/>
          <w:sz w:val="22"/>
          <w:szCs w:val="22"/>
        </w:rPr>
        <w:t>.2010</w:t>
      </w:r>
      <w:r w:rsidR="003F6C82" w:rsidRPr="00337E16">
        <w:rPr>
          <w:sz w:val="22"/>
          <w:szCs w:val="22"/>
        </w:rPr>
        <w:t>.</w:t>
      </w:r>
    </w:p>
    <w:p w:rsidR="009E5105" w:rsidRDefault="009E5105" w:rsidP="009E5105">
      <w:pPr>
        <w:pStyle w:val="indice"/>
        <w:tabs>
          <w:tab w:val="left" w:pos="567"/>
        </w:tabs>
        <w:spacing w:before="60" w:line="240" w:lineRule="auto"/>
      </w:pPr>
    </w:p>
    <w:p w:rsidR="00F70BF7" w:rsidRPr="008354EA" w:rsidRDefault="00F70BF7" w:rsidP="008354EA">
      <w:pPr>
        <w:pStyle w:val="Pargrafo"/>
        <w:jc w:val="both"/>
        <w:rPr>
          <w:b/>
          <w:sz w:val="22"/>
          <w:szCs w:val="22"/>
        </w:rPr>
      </w:pPr>
      <w:r w:rsidRPr="008354EA">
        <w:rPr>
          <w:b/>
          <w:sz w:val="22"/>
          <w:szCs w:val="22"/>
        </w:rPr>
        <w:t>Utilização, em caráter excepcional, de minuta-padrão de contrato, previamente aprovada pela assessoria jurídica</w:t>
      </w:r>
    </w:p>
    <w:p w:rsidR="00F70BF7" w:rsidRPr="00337E16" w:rsidRDefault="001B19C6" w:rsidP="00F70BF7">
      <w:pPr>
        <w:pStyle w:val="Pargrafo"/>
        <w:jc w:val="both"/>
        <w:rPr>
          <w:sz w:val="22"/>
          <w:szCs w:val="22"/>
        </w:rPr>
      </w:pPr>
      <w:r>
        <w:rPr>
          <w:sz w:val="22"/>
          <w:szCs w:val="22"/>
        </w:rPr>
        <w:t xml:space="preserve">Por meio do Acórdão </w:t>
      </w:r>
      <w:r w:rsidRPr="008354EA">
        <w:rPr>
          <w:sz w:val="22"/>
          <w:szCs w:val="22"/>
        </w:rPr>
        <w:t>n</w:t>
      </w:r>
      <w:r>
        <w:rPr>
          <w:sz w:val="22"/>
          <w:szCs w:val="22"/>
        </w:rPr>
        <w:t>.</w:t>
      </w:r>
      <w:r w:rsidRPr="008354EA">
        <w:rPr>
          <w:sz w:val="22"/>
          <w:szCs w:val="22"/>
        </w:rPr>
        <w:t xml:space="preserve">º 1.577/2006-Plenário, </w:t>
      </w:r>
      <w:r w:rsidR="002040B6">
        <w:rPr>
          <w:sz w:val="22"/>
          <w:szCs w:val="22"/>
        </w:rPr>
        <w:t xml:space="preserve">o Tribunal </w:t>
      </w:r>
      <w:r w:rsidR="001D30EE">
        <w:rPr>
          <w:sz w:val="22"/>
          <w:szCs w:val="22"/>
        </w:rPr>
        <w:t>decidiu</w:t>
      </w:r>
      <w:r w:rsidR="002040B6">
        <w:rPr>
          <w:sz w:val="22"/>
          <w:szCs w:val="22"/>
        </w:rPr>
        <w:t xml:space="preserve"> </w:t>
      </w:r>
      <w:r w:rsidRPr="008354EA">
        <w:rPr>
          <w:i/>
          <w:sz w:val="22"/>
          <w:szCs w:val="22"/>
        </w:rPr>
        <w:t>“9.2. determinar à Petrobras/Refinaria Gabriel Passos - REGAP que:</w:t>
      </w:r>
      <w:r w:rsidR="002040B6">
        <w:rPr>
          <w:i/>
          <w:sz w:val="22"/>
          <w:szCs w:val="22"/>
        </w:rPr>
        <w:t xml:space="preserve"> </w:t>
      </w:r>
      <w:r w:rsidRPr="008354EA">
        <w:rPr>
          <w:i/>
          <w:sz w:val="22"/>
          <w:szCs w:val="22"/>
        </w:rPr>
        <w:t>(...)</w:t>
      </w:r>
      <w:r w:rsidR="002040B6">
        <w:rPr>
          <w:i/>
          <w:sz w:val="22"/>
          <w:szCs w:val="22"/>
        </w:rPr>
        <w:t xml:space="preserve"> </w:t>
      </w:r>
      <w:r w:rsidRPr="008354EA">
        <w:rPr>
          <w:i/>
          <w:sz w:val="22"/>
          <w:szCs w:val="22"/>
        </w:rPr>
        <w:t>9.2.3. submeta à apreciação da Assessoria Jurídica todos os contratos a serem celebrados, obedecendo aos ditames do parágrafo único do art. 38 da Lei nº 8.666/93 (correspondente à subcláusula 7.1.2 do Decreto nº 2.745/1998);”</w:t>
      </w:r>
      <w:r w:rsidR="002040B6">
        <w:rPr>
          <w:sz w:val="22"/>
          <w:szCs w:val="22"/>
        </w:rPr>
        <w:t xml:space="preserve">. Contra o aludido acórdão, a </w:t>
      </w:r>
      <w:r w:rsidR="002040B6" w:rsidRPr="008354EA">
        <w:rPr>
          <w:sz w:val="22"/>
          <w:szCs w:val="22"/>
        </w:rPr>
        <w:t>Petrobras</w:t>
      </w:r>
      <w:r w:rsidR="002040B6">
        <w:rPr>
          <w:sz w:val="22"/>
          <w:szCs w:val="22"/>
        </w:rPr>
        <w:t xml:space="preserve"> interpôs </w:t>
      </w:r>
      <w:r w:rsidR="00F70BF7" w:rsidRPr="008354EA">
        <w:rPr>
          <w:sz w:val="22"/>
          <w:szCs w:val="22"/>
        </w:rPr>
        <w:t>pedido de reexame</w:t>
      </w:r>
      <w:r w:rsidR="002040B6">
        <w:rPr>
          <w:sz w:val="22"/>
          <w:szCs w:val="22"/>
        </w:rPr>
        <w:t xml:space="preserve">, amparando-se </w:t>
      </w:r>
      <w:r w:rsidR="008354EA" w:rsidRPr="008354EA">
        <w:rPr>
          <w:sz w:val="22"/>
          <w:szCs w:val="22"/>
        </w:rPr>
        <w:t>no entendimento perfilhado nos Acórdãos n</w:t>
      </w:r>
      <w:r w:rsidR="002040B6">
        <w:rPr>
          <w:sz w:val="22"/>
          <w:szCs w:val="22"/>
        </w:rPr>
        <w:t>.</w:t>
      </w:r>
      <w:r w:rsidR="002040B6" w:rsidRPr="002040B6">
        <w:rPr>
          <w:sz w:val="22"/>
          <w:szCs w:val="22"/>
          <w:vertAlign w:val="superscript"/>
        </w:rPr>
        <w:t>os</w:t>
      </w:r>
      <w:r w:rsidR="008354EA" w:rsidRPr="008354EA">
        <w:rPr>
          <w:sz w:val="22"/>
          <w:szCs w:val="22"/>
        </w:rPr>
        <w:t xml:space="preserve"> 1.504/2005 e 392/2006 – ambos prolatados no Plenário –, segundo o qual é aceitável a aprovação prévia de minutas-padrão de licitações ou contratos referentes a objetos comuns, desde que as variações admitidas restrinjam-se </w:t>
      </w:r>
      <w:r w:rsidR="008354EA" w:rsidRPr="008354EA">
        <w:rPr>
          <w:i/>
          <w:sz w:val="22"/>
          <w:szCs w:val="22"/>
        </w:rPr>
        <w:t>“ao preenchimento das quantidades de bens e serviços, unidades favorecidas, local de entrega dos bens ou prestação dos serviços”</w:t>
      </w:r>
      <w:r w:rsidR="008354EA" w:rsidRPr="008354EA">
        <w:rPr>
          <w:sz w:val="22"/>
          <w:szCs w:val="22"/>
        </w:rPr>
        <w:t xml:space="preserve">, e que não haja alteração de quaisquer das cláusulas desses instrumentos previamente examinados pela assessoria jurídica. Com vistas </w:t>
      </w:r>
      <w:r w:rsidR="00B0191F">
        <w:rPr>
          <w:sz w:val="22"/>
          <w:szCs w:val="22"/>
        </w:rPr>
        <w:t>à melhor compreensão de</w:t>
      </w:r>
      <w:r w:rsidR="008354EA" w:rsidRPr="008354EA">
        <w:rPr>
          <w:sz w:val="22"/>
          <w:szCs w:val="22"/>
        </w:rPr>
        <w:t xml:space="preserve"> tal linha de pensamento, </w:t>
      </w:r>
      <w:r w:rsidR="002040B6">
        <w:rPr>
          <w:sz w:val="22"/>
          <w:szCs w:val="22"/>
        </w:rPr>
        <w:t>o relator julgou oportuno transcrever</w:t>
      </w:r>
      <w:r w:rsidR="008354EA" w:rsidRPr="008354EA">
        <w:rPr>
          <w:sz w:val="22"/>
          <w:szCs w:val="22"/>
        </w:rPr>
        <w:t xml:space="preserve"> </w:t>
      </w:r>
      <w:r w:rsidR="002040B6">
        <w:rPr>
          <w:sz w:val="22"/>
          <w:szCs w:val="22"/>
        </w:rPr>
        <w:t xml:space="preserve">os seguintes </w:t>
      </w:r>
      <w:r w:rsidR="008354EA" w:rsidRPr="008354EA">
        <w:rPr>
          <w:sz w:val="22"/>
          <w:szCs w:val="22"/>
        </w:rPr>
        <w:t xml:space="preserve">excertos dos votos que fundamentaram os citados precedentes: </w:t>
      </w:r>
      <w:r w:rsidR="008354EA" w:rsidRPr="008354EA">
        <w:rPr>
          <w:i/>
          <w:sz w:val="22"/>
          <w:szCs w:val="22"/>
        </w:rPr>
        <w:t>“(...)</w:t>
      </w:r>
      <w:r w:rsidR="002040B6">
        <w:rPr>
          <w:i/>
          <w:sz w:val="22"/>
          <w:szCs w:val="22"/>
        </w:rPr>
        <w:t xml:space="preserve"> </w:t>
      </w:r>
      <w:r w:rsidR="008354EA" w:rsidRPr="008354EA">
        <w:rPr>
          <w:i/>
          <w:sz w:val="22"/>
          <w:szCs w:val="22"/>
        </w:rPr>
        <w:t>ao aprovar minutas-padrão de editais e/ou contratos, a assessoria jurídica mantém sua responsabilidade normativa sobre procedimentos licitatórios em que tenham sido utilizadas. Ao gestor caberá a responsabilidade da verificação da conformidade entre a licitação que pretende realizar e a minuta-padrão previamente examinada e aprovada pela assessoria jurídica. Por prudência, havendo dúvida da perfeita identidade, deve-se requerer a manifestação da assessoria jurídica, em vista das peculiaridades de cada caso concreto.</w:t>
      </w:r>
      <w:r w:rsidR="002040B6">
        <w:rPr>
          <w:i/>
          <w:sz w:val="22"/>
          <w:szCs w:val="22"/>
        </w:rPr>
        <w:t xml:space="preserve"> </w:t>
      </w:r>
      <w:r w:rsidR="008354EA" w:rsidRPr="008354EA">
        <w:rPr>
          <w:i/>
          <w:sz w:val="22"/>
          <w:szCs w:val="22"/>
        </w:rPr>
        <w:t>A despeito de haver decisões do TCU que determinam a atuação da assessoria jurídica em cada procedimento licitatório, o texto legal - parágrafo único do art. 38 da Lei 8.666/93 - não é expresso quanto a essa obrigatoriedade.”.</w:t>
      </w:r>
      <w:r w:rsidR="002040B6">
        <w:rPr>
          <w:i/>
          <w:sz w:val="22"/>
          <w:szCs w:val="22"/>
        </w:rPr>
        <w:t xml:space="preserve"> </w:t>
      </w:r>
      <w:r w:rsidR="002040B6">
        <w:rPr>
          <w:sz w:val="22"/>
          <w:szCs w:val="22"/>
        </w:rPr>
        <w:t xml:space="preserve">Em seu voto, o relator reconheceu a </w:t>
      </w:r>
      <w:r w:rsidR="008354EA" w:rsidRPr="008354EA">
        <w:rPr>
          <w:sz w:val="22"/>
          <w:szCs w:val="22"/>
        </w:rPr>
        <w:t>plausibilidade da tese defendida nos Acórdãos n</w:t>
      </w:r>
      <w:r w:rsidR="002040B6">
        <w:rPr>
          <w:sz w:val="22"/>
          <w:szCs w:val="22"/>
        </w:rPr>
        <w:t>.</w:t>
      </w:r>
      <w:r w:rsidR="002040B6" w:rsidRPr="002040B6">
        <w:rPr>
          <w:sz w:val="22"/>
          <w:szCs w:val="22"/>
          <w:vertAlign w:val="superscript"/>
        </w:rPr>
        <w:t>os</w:t>
      </w:r>
      <w:r w:rsidR="002040B6">
        <w:rPr>
          <w:sz w:val="22"/>
          <w:szCs w:val="22"/>
        </w:rPr>
        <w:t xml:space="preserve"> </w:t>
      </w:r>
      <w:r w:rsidR="008354EA" w:rsidRPr="008354EA">
        <w:rPr>
          <w:sz w:val="22"/>
          <w:szCs w:val="22"/>
        </w:rPr>
        <w:t xml:space="preserve">1.504/2005 e 392/2006, ambos do Plenário. </w:t>
      </w:r>
      <w:r w:rsidR="002040B6">
        <w:rPr>
          <w:sz w:val="22"/>
          <w:szCs w:val="22"/>
        </w:rPr>
        <w:t>Para ele, ne</w:t>
      </w:r>
      <w:r w:rsidR="008354EA" w:rsidRPr="008354EA">
        <w:rPr>
          <w:sz w:val="22"/>
          <w:szCs w:val="22"/>
        </w:rPr>
        <w:t xml:space="preserve">sses julgados, buscou-se privilegiar o princípio da eficiência, sobretudo ante a necessidade de as empresas estatais tornarem mais ágeis as suas licitações e, consequentemente, contratações, haja vista que competem, no mercado, em condições de igualdade com a atividade empresária do setor privado. </w:t>
      </w:r>
      <w:r w:rsidR="00246B27">
        <w:rPr>
          <w:sz w:val="22"/>
          <w:szCs w:val="22"/>
        </w:rPr>
        <w:t>Ainda segundo o relator, r</w:t>
      </w:r>
      <w:r w:rsidR="008354EA" w:rsidRPr="008354EA">
        <w:rPr>
          <w:sz w:val="22"/>
          <w:szCs w:val="22"/>
        </w:rPr>
        <w:t xml:space="preserve">estou bem definido, nos precedentes em tela, que a sistemática consistente na aprovação prévia de minutas-padrão por parte de assessoria jurídica somente é admitida em caráter de exceção. </w:t>
      </w:r>
      <w:r w:rsidR="00246B27">
        <w:rPr>
          <w:sz w:val="22"/>
          <w:szCs w:val="22"/>
        </w:rPr>
        <w:t xml:space="preserve">Acolhendo o voto do relator, decidiu o Plenário dar </w:t>
      </w:r>
      <w:r w:rsidR="008354EA" w:rsidRPr="008354EA">
        <w:rPr>
          <w:sz w:val="22"/>
          <w:szCs w:val="22"/>
        </w:rPr>
        <w:t xml:space="preserve">provimento parcial ao recurso, de modo a alterar a redação do subitem 9.2.3 do acórdão recorrido, </w:t>
      </w:r>
      <w:r w:rsidR="00F72177">
        <w:rPr>
          <w:sz w:val="22"/>
          <w:szCs w:val="22"/>
        </w:rPr>
        <w:t>passando</w:t>
      </w:r>
      <w:r w:rsidR="008354EA" w:rsidRPr="008354EA">
        <w:rPr>
          <w:sz w:val="22"/>
          <w:szCs w:val="22"/>
        </w:rPr>
        <w:t xml:space="preserve"> a vigorar </w:t>
      </w:r>
      <w:r w:rsidR="00246B27">
        <w:rPr>
          <w:sz w:val="22"/>
          <w:szCs w:val="22"/>
        </w:rPr>
        <w:t>nos seguintes</w:t>
      </w:r>
      <w:r w:rsidR="008354EA" w:rsidRPr="008354EA">
        <w:rPr>
          <w:sz w:val="22"/>
          <w:szCs w:val="22"/>
        </w:rPr>
        <w:t xml:space="preserve"> termos:</w:t>
      </w:r>
      <w:r w:rsidR="00246B27">
        <w:rPr>
          <w:sz w:val="22"/>
          <w:szCs w:val="22"/>
        </w:rPr>
        <w:t xml:space="preserve"> </w:t>
      </w:r>
      <w:r w:rsidR="008354EA" w:rsidRPr="008354EA">
        <w:rPr>
          <w:i/>
          <w:sz w:val="22"/>
          <w:szCs w:val="22"/>
        </w:rPr>
        <w:t>“9.2.3. submeta à apreciação da Assessoria Jurídica as minutas de todos os contratos a serem celebrados, obedecendo aos ditames do parágrafo único do art. 38 da Lei nº 8.666/93 (correspondente à subcláusula 7.1.2 do Decreto nº 2.745/1998), estando autorizada a utilizar excepcionalmente minuta-padrão, previamente aprovada pela Assessoria Jurídica, quando houver identidade de objeto – e este representar contratação corriqueira – e não restarem dúvidas acerca da possibilidade de adequação das cláusulas exigidas no contrato pretendido às cláusulas previamente estabelecidas na minuta-padrão</w:t>
      </w:r>
      <w:r w:rsidR="00F72177">
        <w:rPr>
          <w:i/>
          <w:sz w:val="22"/>
          <w:szCs w:val="22"/>
        </w:rPr>
        <w:t>;</w:t>
      </w:r>
      <w:r w:rsidR="008354EA" w:rsidRPr="008354EA">
        <w:rPr>
          <w:i/>
          <w:sz w:val="22"/>
          <w:szCs w:val="22"/>
        </w:rPr>
        <w:t>”</w:t>
      </w:r>
      <w:r w:rsidR="00F72177">
        <w:rPr>
          <w:sz w:val="22"/>
          <w:szCs w:val="22"/>
        </w:rPr>
        <w:t>.</w:t>
      </w:r>
      <w:r w:rsidR="00246B27">
        <w:rPr>
          <w:sz w:val="22"/>
          <w:szCs w:val="22"/>
        </w:rPr>
        <w:t xml:space="preserve"> </w:t>
      </w:r>
      <w:r w:rsidR="00F70BF7" w:rsidRPr="00337E16">
        <w:rPr>
          <w:b/>
          <w:i/>
          <w:sz w:val="22"/>
          <w:szCs w:val="22"/>
        </w:rPr>
        <w:t xml:space="preserve">Acórdão n.º </w:t>
      </w:r>
      <w:r w:rsidR="00F70BF7">
        <w:rPr>
          <w:b/>
          <w:i/>
          <w:sz w:val="22"/>
          <w:szCs w:val="22"/>
        </w:rPr>
        <w:t>30</w:t>
      </w:r>
      <w:r w:rsidR="008354EA">
        <w:rPr>
          <w:b/>
          <w:i/>
          <w:sz w:val="22"/>
          <w:szCs w:val="22"/>
        </w:rPr>
        <w:t>14</w:t>
      </w:r>
      <w:r w:rsidR="00F70BF7" w:rsidRPr="00337E16">
        <w:rPr>
          <w:b/>
          <w:i/>
          <w:sz w:val="22"/>
          <w:szCs w:val="22"/>
        </w:rPr>
        <w:t>/2010</w:t>
      </w:r>
      <w:r w:rsidR="00F70BF7">
        <w:rPr>
          <w:b/>
          <w:i/>
          <w:sz w:val="22"/>
          <w:szCs w:val="22"/>
        </w:rPr>
        <w:t>-Plenário</w:t>
      </w:r>
      <w:r w:rsidR="00F70BF7" w:rsidRPr="00337E16">
        <w:rPr>
          <w:b/>
          <w:i/>
          <w:sz w:val="22"/>
          <w:szCs w:val="22"/>
        </w:rPr>
        <w:t>, TC-0</w:t>
      </w:r>
      <w:r w:rsidR="00F70BF7">
        <w:rPr>
          <w:b/>
          <w:i/>
          <w:sz w:val="22"/>
          <w:szCs w:val="22"/>
        </w:rPr>
        <w:t>0</w:t>
      </w:r>
      <w:r w:rsidR="008354EA">
        <w:rPr>
          <w:b/>
          <w:i/>
          <w:sz w:val="22"/>
          <w:szCs w:val="22"/>
        </w:rPr>
        <w:t>5</w:t>
      </w:r>
      <w:r w:rsidR="00F70BF7" w:rsidRPr="00337E16">
        <w:rPr>
          <w:b/>
          <w:i/>
          <w:sz w:val="22"/>
          <w:szCs w:val="22"/>
        </w:rPr>
        <w:t>.</w:t>
      </w:r>
      <w:r w:rsidR="00F70BF7">
        <w:rPr>
          <w:b/>
          <w:i/>
          <w:sz w:val="22"/>
          <w:szCs w:val="22"/>
        </w:rPr>
        <w:t>2</w:t>
      </w:r>
      <w:r w:rsidR="008354EA">
        <w:rPr>
          <w:b/>
          <w:i/>
          <w:sz w:val="22"/>
          <w:szCs w:val="22"/>
        </w:rPr>
        <w:t>68</w:t>
      </w:r>
      <w:r w:rsidR="00F70BF7" w:rsidRPr="00337E16">
        <w:rPr>
          <w:b/>
          <w:i/>
          <w:sz w:val="22"/>
          <w:szCs w:val="22"/>
        </w:rPr>
        <w:t>/20</w:t>
      </w:r>
      <w:r w:rsidR="00F70BF7">
        <w:rPr>
          <w:b/>
          <w:i/>
          <w:sz w:val="22"/>
          <w:szCs w:val="22"/>
        </w:rPr>
        <w:t>0</w:t>
      </w:r>
      <w:r w:rsidR="008354EA">
        <w:rPr>
          <w:b/>
          <w:i/>
          <w:sz w:val="22"/>
          <w:szCs w:val="22"/>
        </w:rPr>
        <w:t>5</w:t>
      </w:r>
      <w:r w:rsidR="00F70BF7" w:rsidRPr="00337E16">
        <w:rPr>
          <w:b/>
          <w:i/>
          <w:sz w:val="22"/>
          <w:szCs w:val="22"/>
        </w:rPr>
        <w:t>-</w:t>
      </w:r>
      <w:r w:rsidR="008354EA">
        <w:rPr>
          <w:b/>
          <w:i/>
          <w:sz w:val="22"/>
          <w:szCs w:val="22"/>
        </w:rPr>
        <w:t>1</w:t>
      </w:r>
      <w:r w:rsidR="00F70BF7" w:rsidRPr="00337E16">
        <w:rPr>
          <w:b/>
          <w:i/>
          <w:sz w:val="22"/>
          <w:szCs w:val="22"/>
        </w:rPr>
        <w:t>, rel. Min</w:t>
      </w:r>
      <w:r w:rsidR="00F70BF7">
        <w:rPr>
          <w:b/>
          <w:i/>
          <w:sz w:val="22"/>
          <w:szCs w:val="22"/>
        </w:rPr>
        <w:t xml:space="preserve">. </w:t>
      </w:r>
      <w:r w:rsidR="008354EA">
        <w:rPr>
          <w:b/>
          <w:i/>
          <w:sz w:val="22"/>
          <w:szCs w:val="22"/>
        </w:rPr>
        <w:t>Augusto Nardes</w:t>
      </w:r>
      <w:r w:rsidR="00F70BF7" w:rsidRPr="00337E16">
        <w:rPr>
          <w:b/>
          <w:i/>
          <w:sz w:val="22"/>
          <w:szCs w:val="22"/>
        </w:rPr>
        <w:t xml:space="preserve">, </w:t>
      </w:r>
      <w:r w:rsidR="00F70BF7">
        <w:rPr>
          <w:b/>
          <w:i/>
          <w:sz w:val="22"/>
          <w:szCs w:val="22"/>
        </w:rPr>
        <w:t>10</w:t>
      </w:r>
      <w:r w:rsidR="00F70BF7" w:rsidRPr="00337E16">
        <w:rPr>
          <w:b/>
          <w:i/>
          <w:sz w:val="22"/>
          <w:szCs w:val="22"/>
        </w:rPr>
        <w:t>.</w:t>
      </w:r>
      <w:r w:rsidR="00F70BF7">
        <w:rPr>
          <w:b/>
          <w:i/>
          <w:sz w:val="22"/>
          <w:szCs w:val="22"/>
        </w:rPr>
        <w:t>11</w:t>
      </w:r>
      <w:r w:rsidR="00F70BF7" w:rsidRPr="00337E16">
        <w:rPr>
          <w:b/>
          <w:i/>
          <w:sz w:val="22"/>
          <w:szCs w:val="22"/>
        </w:rPr>
        <w:t>.2010</w:t>
      </w:r>
      <w:r w:rsidR="00F70BF7" w:rsidRPr="00337E16">
        <w:rPr>
          <w:sz w:val="22"/>
          <w:szCs w:val="22"/>
        </w:rPr>
        <w:t>.</w:t>
      </w:r>
    </w:p>
    <w:p w:rsidR="003F6C82" w:rsidRDefault="003F6C82" w:rsidP="009E5105">
      <w:pPr>
        <w:pStyle w:val="indice"/>
        <w:tabs>
          <w:tab w:val="left" w:pos="567"/>
        </w:tabs>
        <w:spacing w:before="60" w:line="240" w:lineRule="auto"/>
      </w:pPr>
    </w:p>
    <w:p w:rsidR="00EF7515" w:rsidRPr="00EF7515" w:rsidRDefault="00EF7515" w:rsidP="009E5105">
      <w:pPr>
        <w:pStyle w:val="indice"/>
        <w:tabs>
          <w:tab w:val="left" w:pos="567"/>
        </w:tabs>
        <w:spacing w:before="60" w:line="240" w:lineRule="auto"/>
        <w:rPr>
          <w:b/>
        </w:rPr>
      </w:pPr>
      <w:r w:rsidRPr="00EF7515">
        <w:rPr>
          <w:b/>
        </w:rPr>
        <w:lastRenderedPageBreak/>
        <w:t>Responsabilidade do pregoeiro pela pesquisa de preço</w:t>
      </w:r>
      <w:r w:rsidR="00F92185">
        <w:rPr>
          <w:b/>
        </w:rPr>
        <w:t>s</w:t>
      </w:r>
      <w:r w:rsidRPr="00EF7515">
        <w:rPr>
          <w:b/>
        </w:rPr>
        <w:t xml:space="preserve"> sem a obtenção de, no mínimo, três orçamentos de fornecedores distintos</w:t>
      </w:r>
    </w:p>
    <w:p w:rsidR="00EF7515" w:rsidRPr="00337E16" w:rsidRDefault="00CA1630" w:rsidP="00EF7515">
      <w:pPr>
        <w:pStyle w:val="Pargrafo"/>
        <w:jc w:val="both"/>
        <w:rPr>
          <w:sz w:val="22"/>
          <w:szCs w:val="22"/>
        </w:rPr>
      </w:pPr>
      <w:r>
        <w:rPr>
          <w:sz w:val="22"/>
          <w:szCs w:val="22"/>
        </w:rPr>
        <w:t>Em</w:t>
      </w:r>
      <w:r w:rsidRPr="0042659B">
        <w:rPr>
          <w:sz w:val="22"/>
          <w:szCs w:val="22"/>
        </w:rPr>
        <w:t xml:space="preserve"> processo apensado às contas anuais da Coordenação-Geral de Recursos Logísticos do Ministério da Saúde – CGRL/MS, referentes ao exercício de 2003</w:t>
      </w:r>
      <w:r w:rsidR="00F92185">
        <w:rPr>
          <w:sz w:val="22"/>
          <w:szCs w:val="22"/>
        </w:rPr>
        <w:t>,</w:t>
      </w:r>
      <w:r w:rsidRPr="0042659B">
        <w:rPr>
          <w:sz w:val="22"/>
          <w:szCs w:val="22"/>
        </w:rPr>
        <w:t xml:space="preserve"> </w:t>
      </w:r>
      <w:r w:rsidR="00DE61D2">
        <w:rPr>
          <w:sz w:val="22"/>
          <w:szCs w:val="22"/>
        </w:rPr>
        <w:t>foi promovida a audiência do</w:t>
      </w:r>
      <w:r w:rsidR="0042659B" w:rsidRPr="0042659B">
        <w:rPr>
          <w:sz w:val="22"/>
          <w:szCs w:val="22"/>
        </w:rPr>
        <w:t xml:space="preserve"> </w:t>
      </w:r>
      <w:r w:rsidR="00DD294A">
        <w:rPr>
          <w:sz w:val="22"/>
          <w:szCs w:val="22"/>
        </w:rPr>
        <w:t xml:space="preserve">então </w:t>
      </w:r>
      <w:r w:rsidR="0042659B" w:rsidRPr="0042659B">
        <w:rPr>
          <w:sz w:val="22"/>
          <w:szCs w:val="22"/>
        </w:rPr>
        <w:t>Coordenador de Suprimentos e Controle Patrimonial</w:t>
      </w:r>
      <w:r w:rsidR="00DD294A">
        <w:rPr>
          <w:sz w:val="22"/>
          <w:szCs w:val="22"/>
        </w:rPr>
        <w:t>,</w:t>
      </w:r>
      <w:r w:rsidR="0042659B" w:rsidRPr="0042659B">
        <w:rPr>
          <w:sz w:val="22"/>
          <w:szCs w:val="22"/>
        </w:rPr>
        <w:t xml:space="preserve"> e </w:t>
      </w:r>
      <w:r w:rsidR="00DD294A">
        <w:rPr>
          <w:sz w:val="22"/>
          <w:szCs w:val="22"/>
        </w:rPr>
        <w:t xml:space="preserve">também </w:t>
      </w:r>
      <w:r w:rsidR="0042659B" w:rsidRPr="0042659B">
        <w:rPr>
          <w:sz w:val="22"/>
          <w:szCs w:val="22"/>
        </w:rPr>
        <w:t xml:space="preserve">pregoeiro, </w:t>
      </w:r>
      <w:r w:rsidR="00333616">
        <w:rPr>
          <w:sz w:val="22"/>
          <w:szCs w:val="22"/>
        </w:rPr>
        <w:t>em razão da</w:t>
      </w:r>
      <w:r w:rsidR="0042659B" w:rsidRPr="0042659B">
        <w:rPr>
          <w:sz w:val="22"/>
          <w:szCs w:val="22"/>
        </w:rPr>
        <w:t xml:space="preserve"> não realização de ampla pesquisa de mercado no </w:t>
      </w:r>
      <w:r w:rsidR="00777146">
        <w:rPr>
          <w:sz w:val="22"/>
          <w:szCs w:val="22"/>
        </w:rPr>
        <w:t xml:space="preserve">âmbito do </w:t>
      </w:r>
      <w:r w:rsidR="0042659B" w:rsidRPr="0042659B">
        <w:rPr>
          <w:sz w:val="22"/>
          <w:szCs w:val="22"/>
        </w:rPr>
        <w:t xml:space="preserve">Pregão </w:t>
      </w:r>
      <w:r w:rsidR="00DD294A">
        <w:rPr>
          <w:sz w:val="22"/>
          <w:szCs w:val="22"/>
        </w:rPr>
        <w:t xml:space="preserve">n.º </w:t>
      </w:r>
      <w:r w:rsidR="0042659B" w:rsidRPr="0042659B">
        <w:rPr>
          <w:sz w:val="22"/>
          <w:szCs w:val="22"/>
        </w:rPr>
        <w:t>90/2003</w:t>
      </w:r>
      <w:r w:rsidR="00333616">
        <w:rPr>
          <w:sz w:val="22"/>
          <w:szCs w:val="22"/>
        </w:rPr>
        <w:t xml:space="preserve">, que tinha </w:t>
      </w:r>
      <w:r w:rsidR="00333616" w:rsidRPr="0042659B">
        <w:rPr>
          <w:sz w:val="22"/>
          <w:szCs w:val="22"/>
        </w:rPr>
        <w:t>por objeto a aquisição de ambulâncias</w:t>
      </w:r>
      <w:r w:rsidR="00333616">
        <w:rPr>
          <w:sz w:val="22"/>
          <w:szCs w:val="22"/>
        </w:rPr>
        <w:t xml:space="preserve"> para o SAMU</w:t>
      </w:r>
      <w:r w:rsidR="00DD294A">
        <w:rPr>
          <w:sz w:val="22"/>
          <w:szCs w:val="22"/>
        </w:rPr>
        <w:t xml:space="preserve">. </w:t>
      </w:r>
      <w:r w:rsidR="0042659B" w:rsidRPr="0042659B">
        <w:rPr>
          <w:sz w:val="22"/>
          <w:szCs w:val="22"/>
        </w:rPr>
        <w:t xml:space="preserve">O responsável aduziu, em suma, que: </w:t>
      </w:r>
      <w:r w:rsidR="00755EDF">
        <w:rPr>
          <w:sz w:val="22"/>
          <w:szCs w:val="22"/>
        </w:rPr>
        <w:t xml:space="preserve">a) </w:t>
      </w:r>
      <w:r w:rsidR="0042659B" w:rsidRPr="0042659B">
        <w:rPr>
          <w:sz w:val="22"/>
          <w:szCs w:val="22"/>
        </w:rPr>
        <w:t>foi realizada pesquisa de mercado, sendo consultadas quatro empresas do ramo, tendo apenas uma</w:t>
      </w:r>
      <w:r w:rsidR="00FA134F">
        <w:rPr>
          <w:sz w:val="22"/>
          <w:szCs w:val="22"/>
        </w:rPr>
        <w:t xml:space="preserve"> delas</w:t>
      </w:r>
      <w:r w:rsidR="0042659B" w:rsidRPr="0042659B">
        <w:rPr>
          <w:sz w:val="22"/>
          <w:szCs w:val="22"/>
        </w:rPr>
        <w:t xml:space="preserve"> atendido à solicitação; </w:t>
      </w:r>
      <w:r w:rsidR="00755EDF">
        <w:rPr>
          <w:sz w:val="22"/>
          <w:szCs w:val="22"/>
        </w:rPr>
        <w:t xml:space="preserve">b) </w:t>
      </w:r>
      <w:r w:rsidR="0042659B" w:rsidRPr="0042659B">
        <w:rPr>
          <w:sz w:val="22"/>
          <w:szCs w:val="22"/>
        </w:rPr>
        <w:t xml:space="preserve">foi efetuada consulta ao SIASG – Sistema Integrado de Administração de Serviços Gerais, e mais especificamente ao SIREP – Sistema de Registro de Preços, ferramenta de apoio ao gestor na estimação de preços máximos nos processos de licitação; </w:t>
      </w:r>
      <w:r w:rsidR="00755EDF">
        <w:rPr>
          <w:sz w:val="22"/>
          <w:szCs w:val="22"/>
        </w:rPr>
        <w:t xml:space="preserve">c) </w:t>
      </w:r>
      <w:r w:rsidR="0042659B" w:rsidRPr="0042659B">
        <w:rPr>
          <w:sz w:val="22"/>
          <w:szCs w:val="22"/>
        </w:rPr>
        <w:t>o estabelecimento de padrão básico específico de ambulâncias para o SAMU fez com que estas tivessem características especiais, o que impossibilitou a comparação de preços entre</w:t>
      </w:r>
      <w:r w:rsidR="00FA134F">
        <w:rPr>
          <w:sz w:val="22"/>
          <w:szCs w:val="22"/>
        </w:rPr>
        <w:t xml:space="preserve"> os</w:t>
      </w:r>
      <w:r w:rsidR="0042659B" w:rsidRPr="0042659B">
        <w:rPr>
          <w:sz w:val="22"/>
          <w:szCs w:val="22"/>
        </w:rPr>
        <w:t xml:space="preserve"> produtos adquiridos pelo Ministério</w:t>
      </w:r>
      <w:r w:rsidR="00333616">
        <w:rPr>
          <w:sz w:val="22"/>
          <w:szCs w:val="22"/>
        </w:rPr>
        <w:t xml:space="preserve"> Saúde</w:t>
      </w:r>
      <w:r w:rsidR="0042659B" w:rsidRPr="0042659B">
        <w:rPr>
          <w:sz w:val="22"/>
          <w:szCs w:val="22"/>
        </w:rPr>
        <w:t xml:space="preserve"> e os </w:t>
      </w:r>
      <w:r w:rsidR="00FA134F">
        <w:rPr>
          <w:sz w:val="22"/>
          <w:szCs w:val="22"/>
        </w:rPr>
        <w:t>fornecidos para</w:t>
      </w:r>
      <w:r w:rsidR="00333616">
        <w:rPr>
          <w:sz w:val="22"/>
          <w:szCs w:val="22"/>
        </w:rPr>
        <w:t xml:space="preserve"> outros</w:t>
      </w:r>
      <w:r w:rsidR="0042659B" w:rsidRPr="0042659B">
        <w:rPr>
          <w:sz w:val="22"/>
          <w:szCs w:val="22"/>
        </w:rPr>
        <w:t xml:space="preserve"> órgãos e entidades da Administração. </w:t>
      </w:r>
      <w:r w:rsidR="00DE61D2">
        <w:rPr>
          <w:sz w:val="22"/>
          <w:szCs w:val="22"/>
        </w:rPr>
        <w:t>Fato é que, quando da análise</w:t>
      </w:r>
      <w:r w:rsidR="0042659B" w:rsidRPr="0042659B">
        <w:rPr>
          <w:sz w:val="22"/>
          <w:szCs w:val="22"/>
        </w:rPr>
        <w:t xml:space="preserve"> </w:t>
      </w:r>
      <w:r w:rsidR="00DE61D2">
        <w:rPr>
          <w:sz w:val="22"/>
          <w:szCs w:val="22"/>
        </w:rPr>
        <w:t>d</w:t>
      </w:r>
      <w:r w:rsidR="0042659B" w:rsidRPr="0042659B">
        <w:rPr>
          <w:sz w:val="22"/>
          <w:szCs w:val="22"/>
        </w:rPr>
        <w:t>a minuta do edita</w:t>
      </w:r>
      <w:r w:rsidR="00CE38E6">
        <w:rPr>
          <w:sz w:val="22"/>
          <w:szCs w:val="22"/>
        </w:rPr>
        <w:t>l</w:t>
      </w:r>
      <w:r w:rsidR="0042659B" w:rsidRPr="0042659B">
        <w:rPr>
          <w:sz w:val="22"/>
          <w:szCs w:val="22"/>
        </w:rPr>
        <w:t xml:space="preserve">, </w:t>
      </w:r>
      <w:r w:rsidR="00333616">
        <w:rPr>
          <w:sz w:val="22"/>
          <w:szCs w:val="22"/>
        </w:rPr>
        <w:t xml:space="preserve">a </w:t>
      </w:r>
      <w:r w:rsidR="00333616" w:rsidRPr="0042659B">
        <w:rPr>
          <w:sz w:val="22"/>
          <w:szCs w:val="22"/>
        </w:rPr>
        <w:t xml:space="preserve">Conjur/MS </w:t>
      </w:r>
      <w:r w:rsidR="00DE61D2">
        <w:rPr>
          <w:sz w:val="22"/>
          <w:szCs w:val="22"/>
        </w:rPr>
        <w:t xml:space="preserve">havia </w:t>
      </w:r>
      <w:r w:rsidR="00CE38E6">
        <w:rPr>
          <w:sz w:val="22"/>
          <w:szCs w:val="22"/>
        </w:rPr>
        <w:t>apontado</w:t>
      </w:r>
      <w:r w:rsidR="0042659B" w:rsidRPr="0042659B">
        <w:rPr>
          <w:sz w:val="22"/>
          <w:szCs w:val="22"/>
        </w:rPr>
        <w:t xml:space="preserve"> a ausência de ampla pesquisa de mercado</w:t>
      </w:r>
      <w:r w:rsidR="00755EDF">
        <w:rPr>
          <w:sz w:val="22"/>
          <w:szCs w:val="22"/>
        </w:rPr>
        <w:t>, razão por que r</w:t>
      </w:r>
      <w:r w:rsidR="0042659B" w:rsidRPr="0042659B">
        <w:rPr>
          <w:sz w:val="22"/>
          <w:szCs w:val="22"/>
        </w:rPr>
        <w:t xml:space="preserve">ecomendou a elaboração de planilha de preços, com pesquisa de mercado, </w:t>
      </w:r>
      <w:r w:rsidR="00333616">
        <w:rPr>
          <w:sz w:val="22"/>
          <w:szCs w:val="22"/>
        </w:rPr>
        <w:t>bem como</w:t>
      </w:r>
      <w:r w:rsidR="0042659B" w:rsidRPr="0042659B">
        <w:rPr>
          <w:sz w:val="22"/>
          <w:szCs w:val="22"/>
        </w:rPr>
        <w:t xml:space="preserve"> a inclusão de cronograma e local de entrega.</w:t>
      </w:r>
      <w:r w:rsidR="00755EDF">
        <w:rPr>
          <w:sz w:val="22"/>
          <w:szCs w:val="22"/>
        </w:rPr>
        <w:t xml:space="preserve"> Para o relator, </w:t>
      </w:r>
      <w:r w:rsidR="0042659B" w:rsidRPr="0042659B">
        <w:rPr>
          <w:sz w:val="22"/>
          <w:szCs w:val="22"/>
        </w:rPr>
        <w:t xml:space="preserve">ao desconsiderar os alertas emitidos pela Conjur/MS, </w:t>
      </w:r>
      <w:r w:rsidR="00755EDF">
        <w:rPr>
          <w:sz w:val="22"/>
          <w:szCs w:val="22"/>
        </w:rPr>
        <w:t xml:space="preserve">o </w:t>
      </w:r>
      <w:r w:rsidR="00755EDF" w:rsidRPr="0042659B">
        <w:rPr>
          <w:sz w:val="22"/>
          <w:szCs w:val="22"/>
        </w:rPr>
        <w:t>Coordenador de Suprimentos e Controle Patrimonial</w:t>
      </w:r>
      <w:r w:rsidR="00333616">
        <w:rPr>
          <w:sz w:val="22"/>
          <w:szCs w:val="22"/>
        </w:rPr>
        <w:t xml:space="preserve">, </w:t>
      </w:r>
      <w:r w:rsidR="00755EDF" w:rsidRPr="0042659B">
        <w:rPr>
          <w:sz w:val="22"/>
          <w:szCs w:val="22"/>
        </w:rPr>
        <w:t xml:space="preserve">e </w:t>
      </w:r>
      <w:r w:rsidR="00333616">
        <w:rPr>
          <w:sz w:val="22"/>
          <w:szCs w:val="22"/>
        </w:rPr>
        <w:t xml:space="preserve">também </w:t>
      </w:r>
      <w:r w:rsidR="00755EDF" w:rsidRPr="0042659B">
        <w:rPr>
          <w:sz w:val="22"/>
          <w:szCs w:val="22"/>
        </w:rPr>
        <w:t>pregoeiro</w:t>
      </w:r>
      <w:r w:rsidR="00333616">
        <w:rPr>
          <w:sz w:val="22"/>
          <w:szCs w:val="22"/>
        </w:rPr>
        <w:t>,</w:t>
      </w:r>
      <w:r w:rsidR="00755EDF" w:rsidRPr="0042659B">
        <w:rPr>
          <w:sz w:val="22"/>
          <w:szCs w:val="22"/>
        </w:rPr>
        <w:t xml:space="preserve"> </w:t>
      </w:r>
      <w:r w:rsidR="0042659B" w:rsidRPr="0042659B">
        <w:rPr>
          <w:sz w:val="22"/>
          <w:szCs w:val="22"/>
        </w:rPr>
        <w:t xml:space="preserve">assumiu o risco de responder pelas consequências de seus atos, </w:t>
      </w:r>
      <w:r w:rsidR="00777146">
        <w:rPr>
          <w:sz w:val="22"/>
          <w:szCs w:val="22"/>
        </w:rPr>
        <w:t>os quais</w:t>
      </w:r>
      <w:r w:rsidR="0042659B" w:rsidRPr="0042659B">
        <w:rPr>
          <w:sz w:val="22"/>
          <w:szCs w:val="22"/>
        </w:rPr>
        <w:t xml:space="preserve"> contrariaram o disposto no art. 15, §</w:t>
      </w:r>
      <w:r w:rsidR="00755EDF">
        <w:rPr>
          <w:sz w:val="22"/>
          <w:szCs w:val="22"/>
        </w:rPr>
        <w:t xml:space="preserve"> </w:t>
      </w:r>
      <w:r w:rsidR="0042659B" w:rsidRPr="0042659B">
        <w:rPr>
          <w:sz w:val="22"/>
          <w:szCs w:val="22"/>
        </w:rPr>
        <w:t>1º, da Lei n</w:t>
      </w:r>
      <w:r w:rsidR="00755EDF">
        <w:rPr>
          <w:sz w:val="22"/>
          <w:szCs w:val="22"/>
        </w:rPr>
        <w:t>.</w:t>
      </w:r>
      <w:r w:rsidR="0042659B" w:rsidRPr="0042659B">
        <w:rPr>
          <w:sz w:val="22"/>
          <w:szCs w:val="22"/>
        </w:rPr>
        <w:t>º 8.666/93, no art. 8º, II, do Decreto n</w:t>
      </w:r>
      <w:r w:rsidR="00755EDF">
        <w:rPr>
          <w:sz w:val="22"/>
          <w:szCs w:val="22"/>
        </w:rPr>
        <w:t>.</w:t>
      </w:r>
      <w:r w:rsidR="0042659B" w:rsidRPr="0042659B">
        <w:rPr>
          <w:sz w:val="22"/>
          <w:szCs w:val="22"/>
        </w:rPr>
        <w:t xml:space="preserve">º 3.555/2000 e no art. 3º do Decreto </w:t>
      </w:r>
      <w:r w:rsidR="00755EDF">
        <w:rPr>
          <w:sz w:val="22"/>
          <w:szCs w:val="22"/>
        </w:rPr>
        <w:t xml:space="preserve">n.º </w:t>
      </w:r>
      <w:r w:rsidR="0042659B" w:rsidRPr="0042659B">
        <w:rPr>
          <w:sz w:val="22"/>
          <w:szCs w:val="22"/>
        </w:rPr>
        <w:t>3.931/2001, que estabelecem a necessidade de que as licitações, e mais especificamente os pregões</w:t>
      </w:r>
      <w:r w:rsidR="00755EDF">
        <w:rPr>
          <w:sz w:val="22"/>
          <w:szCs w:val="22"/>
        </w:rPr>
        <w:t>,</w:t>
      </w:r>
      <w:r w:rsidR="0042659B" w:rsidRPr="0042659B">
        <w:rPr>
          <w:sz w:val="22"/>
          <w:szCs w:val="22"/>
        </w:rPr>
        <w:t xml:space="preserve"> sejam precedidos de ampla pesquisa de mercado.</w:t>
      </w:r>
      <w:r w:rsidR="00755EDF">
        <w:rPr>
          <w:sz w:val="22"/>
          <w:szCs w:val="22"/>
        </w:rPr>
        <w:t xml:space="preserve"> </w:t>
      </w:r>
      <w:r w:rsidR="00DE61D2">
        <w:rPr>
          <w:sz w:val="22"/>
          <w:szCs w:val="22"/>
        </w:rPr>
        <w:t>O</w:t>
      </w:r>
      <w:r w:rsidR="00755EDF">
        <w:rPr>
          <w:sz w:val="22"/>
          <w:szCs w:val="22"/>
        </w:rPr>
        <w:t xml:space="preserve"> relator destacou</w:t>
      </w:r>
      <w:r w:rsidR="00DE61D2">
        <w:rPr>
          <w:sz w:val="22"/>
          <w:szCs w:val="22"/>
        </w:rPr>
        <w:t>, também,</w:t>
      </w:r>
      <w:r w:rsidR="00755EDF">
        <w:rPr>
          <w:sz w:val="22"/>
          <w:szCs w:val="22"/>
        </w:rPr>
        <w:t xml:space="preserve"> que </w:t>
      </w:r>
      <w:r w:rsidR="0042659B" w:rsidRPr="0042659B">
        <w:rPr>
          <w:sz w:val="22"/>
          <w:szCs w:val="22"/>
        </w:rPr>
        <w:t>a jurisprudência do TCU é no sentido de que</w:t>
      </w:r>
      <w:r w:rsidR="00DE61D2">
        <w:rPr>
          <w:sz w:val="22"/>
          <w:szCs w:val="22"/>
        </w:rPr>
        <w:t>,</w:t>
      </w:r>
      <w:r w:rsidR="0042659B" w:rsidRPr="0042659B">
        <w:rPr>
          <w:sz w:val="22"/>
          <w:szCs w:val="22"/>
        </w:rPr>
        <w:t xml:space="preserve"> antes da fase externa da licitação</w:t>
      </w:r>
      <w:r w:rsidR="00755EDF">
        <w:rPr>
          <w:sz w:val="22"/>
          <w:szCs w:val="22"/>
        </w:rPr>
        <w:t>,</w:t>
      </w:r>
      <w:r w:rsidR="0042659B" w:rsidRPr="0042659B">
        <w:rPr>
          <w:sz w:val="22"/>
          <w:szCs w:val="22"/>
        </w:rPr>
        <w:t xml:space="preserve"> há que se fazer pesquisa de preço para </w:t>
      </w:r>
      <w:r w:rsidR="00CE38E6">
        <w:rPr>
          <w:sz w:val="22"/>
          <w:szCs w:val="22"/>
        </w:rPr>
        <w:t>obtenção de</w:t>
      </w:r>
      <w:r w:rsidR="0042659B" w:rsidRPr="0042659B">
        <w:rPr>
          <w:sz w:val="22"/>
          <w:szCs w:val="22"/>
        </w:rPr>
        <w:t>, no mínimo, três orçamentos de fornecedores distintos.</w:t>
      </w:r>
      <w:r w:rsidR="00755EDF">
        <w:rPr>
          <w:sz w:val="22"/>
          <w:szCs w:val="22"/>
        </w:rPr>
        <w:t xml:space="preserve"> Nos termos do voto do relator, deliberou o Plenário no sentido de </w:t>
      </w:r>
      <w:r w:rsidR="0042659B" w:rsidRPr="0042659B">
        <w:rPr>
          <w:sz w:val="22"/>
          <w:szCs w:val="22"/>
        </w:rPr>
        <w:t xml:space="preserve">rejeitar as razões de justificativa apresentadas pelo </w:t>
      </w:r>
      <w:r w:rsidR="00DE61D2">
        <w:rPr>
          <w:sz w:val="22"/>
          <w:szCs w:val="22"/>
        </w:rPr>
        <w:t>responsável</w:t>
      </w:r>
      <w:r w:rsidR="0042659B" w:rsidRPr="0042659B">
        <w:rPr>
          <w:sz w:val="22"/>
          <w:szCs w:val="22"/>
        </w:rPr>
        <w:t xml:space="preserve"> </w:t>
      </w:r>
      <w:r w:rsidR="00DE61D2">
        <w:rPr>
          <w:sz w:val="22"/>
          <w:szCs w:val="22"/>
        </w:rPr>
        <w:t>e</w:t>
      </w:r>
      <w:r w:rsidR="00E21B1D">
        <w:rPr>
          <w:sz w:val="22"/>
          <w:szCs w:val="22"/>
        </w:rPr>
        <w:t xml:space="preserve"> julgar irregulares as </w:t>
      </w:r>
      <w:r w:rsidR="00DE61D2">
        <w:rPr>
          <w:sz w:val="22"/>
          <w:szCs w:val="22"/>
        </w:rPr>
        <w:t xml:space="preserve">suas </w:t>
      </w:r>
      <w:r w:rsidR="00E21B1D">
        <w:rPr>
          <w:sz w:val="22"/>
          <w:szCs w:val="22"/>
        </w:rPr>
        <w:t>contas, sem prejuízo da aplicação de multa</w:t>
      </w:r>
      <w:r w:rsidR="00755EDF">
        <w:rPr>
          <w:sz w:val="22"/>
          <w:szCs w:val="22"/>
        </w:rPr>
        <w:t xml:space="preserve">. Precedentes citados: </w:t>
      </w:r>
      <w:r w:rsidR="00755EDF" w:rsidRPr="0042659B">
        <w:rPr>
          <w:sz w:val="22"/>
          <w:szCs w:val="22"/>
        </w:rPr>
        <w:t>Acórdão</w:t>
      </w:r>
      <w:r w:rsidR="00DE61D2">
        <w:rPr>
          <w:sz w:val="22"/>
          <w:szCs w:val="22"/>
        </w:rPr>
        <w:t>s</w:t>
      </w:r>
      <w:r w:rsidR="00755EDF" w:rsidRPr="0042659B">
        <w:rPr>
          <w:sz w:val="22"/>
          <w:szCs w:val="22"/>
        </w:rPr>
        <w:t xml:space="preserve"> n</w:t>
      </w:r>
      <w:r w:rsidR="00755EDF">
        <w:rPr>
          <w:sz w:val="22"/>
          <w:szCs w:val="22"/>
        </w:rPr>
        <w:t>.</w:t>
      </w:r>
      <w:r w:rsidR="00755EDF" w:rsidRPr="00755EDF">
        <w:rPr>
          <w:sz w:val="22"/>
          <w:szCs w:val="22"/>
          <w:vertAlign w:val="superscript"/>
        </w:rPr>
        <w:t>os</w:t>
      </w:r>
      <w:r w:rsidR="00755EDF" w:rsidRPr="0042659B">
        <w:rPr>
          <w:sz w:val="22"/>
          <w:szCs w:val="22"/>
        </w:rPr>
        <w:t xml:space="preserve"> 4.013/2008</w:t>
      </w:r>
      <w:r w:rsidR="00755EDF">
        <w:rPr>
          <w:sz w:val="22"/>
          <w:szCs w:val="22"/>
        </w:rPr>
        <w:t xml:space="preserve"> e</w:t>
      </w:r>
      <w:r w:rsidR="00755EDF" w:rsidRPr="0042659B">
        <w:rPr>
          <w:sz w:val="22"/>
          <w:szCs w:val="22"/>
        </w:rPr>
        <w:t xml:space="preserve"> 1.547/2007</w:t>
      </w:r>
      <w:r w:rsidR="00755EDF">
        <w:rPr>
          <w:sz w:val="22"/>
          <w:szCs w:val="22"/>
        </w:rPr>
        <w:t xml:space="preserve">, ambos do </w:t>
      </w:r>
      <w:r w:rsidR="00755EDF" w:rsidRPr="0042659B">
        <w:rPr>
          <w:sz w:val="22"/>
          <w:szCs w:val="22"/>
        </w:rPr>
        <w:t>Plenário</w:t>
      </w:r>
      <w:r w:rsidR="00755EDF">
        <w:rPr>
          <w:sz w:val="22"/>
          <w:szCs w:val="22"/>
        </w:rPr>
        <w:t>.</w:t>
      </w:r>
      <w:r w:rsidR="00E21B1D">
        <w:rPr>
          <w:sz w:val="22"/>
          <w:szCs w:val="22"/>
        </w:rPr>
        <w:t xml:space="preserve"> </w:t>
      </w:r>
      <w:r w:rsidR="00EF7515" w:rsidRPr="00337E16">
        <w:rPr>
          <w:b/>
          <w:i/>
          <w:sz w:val="22"/>
          <w:szCs w:val="22"/>
        </w:rPr>
        <w:t xml:space="preserve">Acórdão n.º </w:t>
      </w:r>
      <w:r w:rsidR="00EF7515">
        <w:rPr>
          <w:b/>
          <w:i/>
          <w:sz w:val="22"/>
          <w:szCs w:val="22"/>
        </w:rPr>
        <w:t>30</w:t>
      </w:r>
      <w:r w:rsidR="00D76956">
        <w:rPr>
          <w:b/>
          <w:i/>
          <w:sz w:val="22"/>
          <w:szCs w:val="22"/>
        </w:rPr>
        <w:t>26</w:t>
      </w:r>
      <w:r w:rsidR="00EF7515" w:rsidRPr="00337E16">
        <w:rPr>
          <w:b/>
          <w:i/>
          <w:sz w:val="22"/>
          <w:szCs w:val="22"/>
        </w:rPr>
        <w:t>/2010</w:t>
      </w:r>
      <w:r w:rsidR="00EF7515">
        <w:rPr>
          <w:b/>
          <w:i/>
          <w:sz w:val="22"/>
          <w:szCs w:val="22"/>
        </w:rPr>
        <w:t>-Plenário</w:t>
      </w:r>
      <w:r w:rsidR="00EF7515" w:rsidRPr="00337E16">
        <w:rPr>
          <w:b/>
          <w:i/>
          <w:sz w:val="22"/>
          <w:szCs w:val="22"/>
        </w:rPr>
        <w:t>, TC-0</w:t>
      </w:r>
      <w:r w:rsidR="00EF7515">
        <w:rPr>
          <w:b/>
          <w:i/>
          <w:sz w:val="22"/>
          <w:szCs w:val="22"/>
        </w:rPr>
        <w:t>0</w:t>
      </w:r>
      <w:r w:rsidR="00D76956">
        <w:rPr>
          <w:b/>
          <w:i/>
          <w:sz w:val="22"/>
          <w:szCs w:val="22"/>
        </w:rPr>
        <w:t>6</w:t>
      </w:r>
      <w:r w:rsidR="00EF7515" w:rsidRPr="00337E16">
        <w:rPr>
          <w:b/>
          <w:i/>
          <w:sz w:val="22"/>
          <w:szCs w:val="22"/>
        </w:rPr>
        <w:t>.</w:t>
      </w:r>
      <w:r w:rsidR="00D76956">
        <w:rPr>
          <w:b/>
          <w:i/>
          <w:sz w:val="22"/>
          <w:szCs w:val="22"/>
        </w:rPr>
        <w:t>150</w:t>
      </w:r>
      <w:r w:rsidR="00EF7515" w:rsidRPr="00337E16">
        <w:rPr>
          <w:b/>
          <w:i/>
          <w:sz w:val="22"/>
          <w:szCs w:val="22"/>
        </w:rPr>
        <w:t>/20</w:t>
      </w:r>
      <w:r w:rsidR="00EF7515">
        <w:rPr>
          <w:b/>
          <w:i/>
          <w:sz w:val="22"/>
          <w:szCs w:val="22"/>
        </w:rPr>
        <w:t>0</w:t>
      </w:r>
      <w:r w:rsidR="00D76956">
        <w:rPr>
          <w:b/>
          <w:i/>
          <w:sz w:val="22"/>
          <w:szCs w:val="22"/>
        </w:rPr>
        <w:t>4</w:t>
      </w:r>
      <w:r w:rsidR="00EF7515" w:rsidRPr="00337E16">
        <w:rPr>
          <w:b/>
          <w:i/>
          <w:sz w:val="22"/>
          <w:szCs w:val="22"/>
        </w:rPr>
        <w:t>-</w:t>
      </w:r>
      <w:r w:rsidR="00D76956">
        <w:rPr>
          <w:b/>
          <w:i/>
          <w:sz w:val="22"/>
          <w:szCs w:val="22"/>
        </w:rPr>
        <w:t>8</w:t>
      </w:r>
      <w:r w:rsidR="00EF7515" w:rsidRPr="00337E16">
        <w:rPr>
          <w:b/>
          <w:i/>
          <w:sz w:val="22"/>
          <w:szCs w:val="22"/>
        </w:rPr>
        <w:t>, rel. Min</w:t>
      </w:r>
      <w:r w:rsidR="00EF7515">
        <w:rPr>
          <w:b/>
          <w:i/>
          <w:sz w:val="22"/>
          <w:szCs w:val="22"/>
        </w:rPr>
        <w:t xml:space="preserve">. </w:t>
      </w:r>
      <w:r w:rsidR="00D76956">
        <w:rPr>
          <w:b/>
          <w:i/>
          <w:sz w:val="22"/>
          <w:szCs w:val="22"/>
        </w:rPr>
        <w:t>Raimundo Carreiro</w:t>
      </w:r>
      <w:r w:rsidR="00EF7515" w:rsidRPr="00337E16">
        <w:rPr>
          <w:b/>
          <w:i/>
          <w:sz w:val="22"/>
          <w:szCs w:val="22"/>
        </w:rPr>
        <w:t xml:space="preserve">, </w:t>
      </w:r>
      <w:r w:rsidR="00EF7515">
        <w:rPr>
          <w:b/>
          <w:i/>
          <w:sz w:val="22"/>
          <w:szCs w:val="22"/>
        </w:rPr>
        <w:t>10</w:t>
      </w:r>
      <w:r w:rsidR="00EF7515" w:rsidRPr="00337E16">
        <w:rPr>
          <w:b/>
          <w:i/>
          <w:sz w:val="22"/>
          <w:szCs w:val="22"/>
        </w:rPr>
        <w:t>.</w:t>
      </w:r>
      <w:r w:rsidR="00EF7515">
        <w:rPr>
          <w:b/>
          <w:i/>
          <w:sz w:val="22"/>
          <w:szCs w:val="22"/>
        </w:rPr>
        <w:t>11</w:t>
      </w:r>
      <w:r w:rsidR="00EF7515" w:rsidRPr="00337E16">
        <w:rPr>
          <w:b/>
          <w:i/>
          <w:sz w:val="22"/>
          <w:szCs w:val="22"/>
        </w:rPr>
        <w:t>.2010</w:t>
      </w:r>
      <w:r w:rsidR="00EF7515" w:rsidRPr="00337E16">
        <w:rPr>
          <w:sz w:val="22"/>
          <w:szCs w:val="22"/>
        </w:rPr>
        <w:t>.</w:t>
      </w:r>
    </w:p>
    <w:p w:rsidR="00EF7515" w:rsidRDefault="00EF7515" w:rsidP="009E5105">
      <w:pPr>
        <w:pStyle w:val="indice"/>
        <w:tabs>
          <w:tab w:val="left" w:pos="567"/>
        </w:tabs>
        <w:spacing w:before="60" w:line="240" w:lineRule="auto"/>
      </w:pPr>
    </w:p>
    <w:p w:rsidR="00EF7515" w:rsidRPr="00731CA4" w:rsidRDefault="00731CA4" w:rsidP="009E5105">
      <w:pPr>
        <w:pStyle w:val="indice"/>
        <w:tabs>
          <w:tab w:val="left" w:pos="567"/>
        </w:tabs>
        <w:spacing w:before="60" w:line="240" w:lineRule="auto"/>
        <w:rPr>
          <w:b/>
        </w:rPr>
      </w:pPr>
      <w:r w:rsidRPr="00731CA4">
        <w:rPr>
          <w:b/>
        </w:rPr>
        <w:t>A declaração de inidoneidade produz efeitos para o futuro, não alcançando os contratos já celebrados com a empresa sancionada</w:t>
      </w:r>
    </w:p>
    <w:p w:rsidR="00DE11C8" w:rsidRPr="00337E16" w:rsidRDefault="0010443A" w:rsidP="00DE11C8">
      <w:pPr>
        <w:pStyle w:val="Pargrafo"/>
        <w:jc w:val="both"/>
        <w:rPr>
          <w:sz w:val="22"/>
          <w:szCs w:val="22"/>
        </w:rPr>
      </w:pPr>
      <w:r>
        <w:rPr>
          <w:sz w:val="22"/>
          <w:szCs w:val="22"/>
        </w:rPr>
        <w:t>Por meio d</w:t>
      </w:r>
      <w:r w:rsidRPr="00DE11C8">
        <w:rPr>
          <w:sz w:val="22"/>
          <w:szCs w:val="22"/>
        </w:rPr>
        <w:t xml:space="preserve">o Acórdão </w:t>
      </w:r>
      <w:r>
        <w:rPr>
          <w:sz w:val="22"/>
          <w:szCs w:val="22"/>
        </w:rPr>
        <w:t xml:space="preserve">n.º </w:t>
      </w:r>
      <w:r w:rsidRPr="00DE11C8">
        <w:rPr>
          <w:sz w:val="22"/>
          <w:szCs w:val="22"/>
        </w:rPr>
        <w:t>1.262/2009</w:t>
      </w:r>
      <w:r>
        <w:rPr>
          <w:sz w:val="22"/>
          <w:szCs w:val="22"/>
        </w:rPr>
        <w:t>-</w:t>
      </w:r>
      <w:r w:rsidRPr="00DE11C8">
        <w:rPr>
          <w:sz w:val="22"/>
          <w:szCs w:val="22"/>
        </w:rPr>
        <w:t>Plenário</w:t>
      </w:r>
      <w:r>
        <w:rPr>
          <w:sz w:val="22"/>
          <w:szCs w:val="22"/>
        </w:rPr>
        <w:t xml:space="preserve">, o </w:t>
      </w:r>
      <w:r w:rsidRPr="00DE11C8">
        <w:rPr>
          <w:sz w:val="22"/>
          <w:szCs w:val="22"/>
        </w:rPr>
        <w:t>Tribunal</w:t>
      </w:r>
      <w:r>
        <w:rPr>
          <w:sz w:val="22"/>
          <w:szCs w:val="22"/>
        </w:rPr>
        <w:t xml:space="preserve"> deliberou no sentido</w:t>
      </w:r>
      <w:r w:rsidR="0091499E">
        <w:rPr>
          <w:sz w:val="22"/>
          <w:szCs w:val="22"/>
        </w:rPr>
        <w:t xml:space="preserve"> de</w:t>
      </w:r>
      <w:r>
        <w:rPr>
          <w:sz w:val="22"/>
          <w:szCs w:val="22"/>
        </w:rPr>
        <w:t xml:space="preserve"> </w:t>
      </w:r>
      <w:r>
        <w:rPr>
          <w:i/>
          <w:sz w:val="22"/>
          <w:szCs w:val="22"/>
        </w:rPr>
        <w:t>“</w:t>
      </w:r>
      <w:r w:rsidRPr="00DE11C8">
        <w:rPr>
          <w:i/>
          <w:sz w:val="22"/>
          <w:szCs w:val="22"/>
        </w:rPr>
        <w:t>9.1. declarar as empresas Skymaster Airlines Ltda., CNPJ 00.966.339/0001-47; Beta - Brazilian Express Transportes Aéreos Ltda., CNPJ 64.862.642/0001-82; e Aeropostal Brasil Transporte Aéreo Ltda., CNPJ 003.765.091/0001-44, inidôneas para participar, por cinco anos, de todas as licitações que envolvam recursos da Administração Pública Federal, mesmo os descentralizados mediante convênios, acordos, ajustes ou outros instrumentos congêneres federais, com fundamento no art. 46 da Lei nº 8.443/1992</w:t>
      </w:r>
      <w:r w:rsidR="00465677">
        <w:rPr>
          <w:i/>
          <w:sz w:val="22"/>
          <w:szCs w:val="22"/>
        </w:rPr>
        <w:t xml:space="preserve"> [...]</w:t>
      </w:r>
      <w:r w:rsidR="001C388F" w:rsidRPr="003A03A0">
        <w:rPr>
          <w:i/>
          <w:sz w:val="22"/>
          <w:szCs w:val="22"/>
        </w:rPr>
        <w:t>;</w:t>
      </w:r>
      <w:r>
        <w:rPr>
          <w:i/>
          <w:sz w:val="22"/>
          <w:szCs w:val="22"/>
        </w:rPr>
        <w:t>”</w:t>
      </w:r>
      <w:r>
        <w:rPr>
          <w:sz w:val="22"/>
          <w:szCs w:val="22"/>
        </w:rPr>
        <w:t xml:space="preserve">. Naquela mesma assentada, decidiu o Pleno </w:t>
      </w:r>
      <w:r>
        <w:rPr>
          <w:i/>
          <w:sz w:val="22"/>
          <w:szCs w:val="22"/>
        </w:rPr>
        <w:t>“</w:t>
      </w:r>
      <w:r w:rsidRPr="00DE11C8">
        <w:rPr>
          <w:i/>
          <w:sz w:val="22"/>
          <w:szCs w:val="22"/>
        </w:rPr>
        <w:t xml:space="preserve">9.3. </w:t>
      </w:r>
      <w:r>
        <w:rPr>
          <w:i/>
          <w:sz w:val="22"/>
          <w:szCs w:val="22"/>
        </w:rPr>
        <w:t>[...]</w:t>
      </w:r>
      <w:r w:rsidRPr="00DE11C8">
        <w:rPr>
          <w:i/>
          <w:sz w:val="22"/>
          <w:szCs w:val="22"/>
        </w:rPr>
        <w:t xml:space="preserve"> determinar à Empresa Brasileira de Correios e Telégrafos - ECT que:</w:t>
      </w:r>
      <w:r>
        <w:rPr>
          <w:i/>
          <w:sz w:val="22"/>
          <w:szCs w:val="22"/>
        </w:rPr>
        <w:t xml:space="preserve"> </w:t>
      </w:r>
      <w:r w:rsidRPr="00DE11C8">
        <w:rPr>
          <w:i/>
          <w:sz w:val="22"/>
          <w:szCs w:val="22"/>
        </w:rPr>
        <w:t>9.3.1. proceda à rescisão contratual de todos os contratos porventura vigentes com as empresas Skymaster Airlines Ltda., Beta - Brazilian Express Transportes Aéreos Ltda. e Aeropostal Brasil Transporte Aéreo Ltda. e providencie, caso necessário, abertura imediata de certame licitatório para execução dos serviços que estejam sendo realizados por essas empresas;</w:t>
      </w:r>
      <w:r>
        <w:rPr>
          <w:i/>
          <w:sz w:val="22"/>
          <w:szCs w:val="22"/>
        </w:rPr>
        <w:t>”</w:t>
      </w:r>
      <w:r>
        <w:rPr>
          <w:sz w:val="22"/>
          <w:szCs w:val="22"/>
        </w:rPr>
        <w:t>. Contra o aludido acórdão</w:t>
      </w:r>
      <w:r w:rsidR="0091499E">
        <w:rPr>
          <w:sz w:val="22"/>
          <w:szCs w:val="22"/>
        </w:rPr>
        <w:t xml:space="preserve">, </w:t>
      </w:r>
      <w:r w:rsidR="0091499E" w:rsidRPr="00DE11C8">
        <w:rPr>
          <w:sz w:val="22"/>
          <w:szCs w:val="22"/>
        </w:rPr>
        <w:t xml:space="preserve">as empresas </w:t>
      </w:r>
      <w:r w:rsidR="0091499E">
        <w:rPr>
          <w:sz w:val="22"/>
          <w:szCs w:val="22"/>
        </w:rPr>
        <w:t>sancionadas interpuseram</w:t>
      </w:r>
      <w:r>
        <w:rPr>
          <w:sz w:val="22"/>
          <w:szCs w:val="22"/>
        </w:rPr>
        <w:t xml:space="preserve"> </w:t>
      </w:r>
      <w:r w:rsidR="00DE11C8" w:rsidRPr="00DE11C8">
        <w:rPr>
          <w:sz w:val="22"/>
          <w:szCs w:val="22"/>
        </w:rPr>
        <w:t>recursos de reconsideração</w:t>
      </w:r>
      <w:r w:rsidR="004952D5">
        <w:rPr>
          <w:sz w:val="22"/>
          <w:szCs w:val="22"/>
        </w:rPr>
        <w:t>,</w:t>
      </w:r>
      <w:r w:rsidR="00DE11C8" w:rsidRPr="00DE11C8">
        <w:rPr>
          <w:sz w:val="22"/>
          <w:szCs w:val="22"/>
        </w:rPr>
        <w:t xml:space="preserve"> </w:t>
      </w:r>
      <w:r w:rsidR="004952D5">
        <w:rPr>
          <w:sz w:val="22"/>
          <w:szCs w:val="22"/>
        </w:rPr>
        <w:t>sob o argumento de que</w:t>
      </w:r>
      <w:r w:rsidR="00DE11C8" w:rsidRPr="00DE11C8">
        <w:rPr>
          <w:sz w:val="22"/>
          <w:szCs w:val="22"/>
        </w:rPr>
        <w:t xml:space="preserve"> </w:t>
      </w:r>
      <w:r w:rsidRPr="0010443A">
        <w:rPr>
          <w:i/>
          <w:sz w:val="22"/>
          <w:szCs w:val="22"/>
        </w:rPr>
        <w:t>“</w:t>
      </w:r>
      <w:r w:rsidR="00DE11C8" w:rsidRPr="0010443A">
        <w:rPr>
          <w:i/>
          <w:sz w:val="22"/>
          <w:szCs w:val="22"/>
        </w:rPr>
        <w:t xml:space="preserve">a declaração de inidoneidade apenas produz efeitos </w:t>
      </w:r>
      <w:r w:rsidR="00DE11C8" w:rsidRPr="0010443A">
        <w:rPr>
          <w:b/>
          <w:i/>
          <w:sz w:val="22"/>
          <w:szCs w:val="22"/>
        </w:rPr>
        <w:t>ex</w:t>
      </w:r>
      <w:r w:rsidR="00167E7A">
        <w:rPr>
          <w:b/>
          <w:i/>
          <w:sz w:val="22"/>
          <w:szCs w:val="22"/>
        </w:rPr>
        <w:t xml:space="preserve"> </w:t>
      </w:r>
      <w:r w:rsidR="00DE11C8" w:rsidRPr="0010443A">
        <w:rPr>
          <w:b/>
          <w:i/>
          <w:sz w:val="22"/>
          <w:szCs w:val="22"/>
        </w:rPr>
        <w:t>nunc</w:t>
      </w:r>
      <w:r w:rsidRPr="0010443A">
        <w:rPr>
          <w:i/>
          <w:sz w:val="22"/>
          <w:szCs w:val="22"/>
        </w:rPr>
        <w:t>”</w:t>
      </w:r>
      <w:r>
        <w:rPr>
          <w:sz w:val="22"/>
          <w:szCs w:val="22"/>
        </w:rPr>
        <w:t xml:space="preserve">. </w:t>
      </w:r>
      <w:r w:rsidR="00D2151A">
        <w:rPr>
          <w:sz w:val="22"/>
          <w:szCs w:val="22"/>
        </w:rPr>
        <w:t>Com amparo</w:t>
      </w:r>
      <w:r w:rsidR="00DE11C8" w:rsidRPr="00DE11C8">
        <w:rPr>
          <w:sz w:val="22"/>
          <w:szCs w:val="22"/>
        </w:rPr>
        <w:t xml:space="preserve"> </w:t>
      </w:r>
      <w:r w:rsidR="00D2151A">
        <w:rPr>
          <w:sz w:val="22"/>
          <w:szCs w:val="22"/>
        </w:rPr>
        <w:t xml:space="preserve">na </w:t>
      </w:r>
      <w:r w:rsidRPr="0010443A">
        <w:rPr>
          <w:i/>
          <w:sz w:val="22"/>
          <w:szCs w:val="22"/>
        </w:rPr>
        <w:t>“</w:t>
      </w:r>
      <w:r w:rsidR="00DE11C8" w:rsidRPr="0010443A">
        <w:rPr>
          <w:i/>
          <w:sz w:val="22"/>
          <w:szCs w:val="22"/>
        </w:rPr>
        <w:t>moderna jurisprudência do Superior Tribunal de Justiça – STJ e do Tribunal Regional Federal da 1ª Região – TRF-1</w:t>
      </w:r>
      <w:r w:rsidR="00D2151A">
        <w:rPr>
          <w:i/>
          <w:sz w:val="22"/>
          <w:szCs w:val="22"/>
        </w:rPr>
        <w:t>”</w:t>
      </w:r>
      <w:r w:rsidR="00D2151A">
        <w:rPr>
          <w:sz w:val="22"/>
          <w:szCs w:val="22"/>
        </w:rPr>
        <w:t>, o relator concluiu que</w:t>
      </w:r>
      <w:r w:rsidR="00DE11C8" w:rsidRPr="0010443A">
        <w:rPr>
          <w:i/>
          <w:sz w:val="22"/>
          <w:szCs w:val="22"/>
        </w:rPr>
        <w:t xml:space="preserve"> </w:t>
      </w:r>
      <w:r w:rsidR="00D2151A">
        <w:rPr>
          <w:i/>
          <w:sz w:val="22"/>
          <w:szCs w:val="22"/>
        </w:rPr>
        <w:t>“</w:t>
      </w:r>
      <w:r w:rsidR="00DE11C8" w:rsidRPr="0010443A">
        <w:rPr>
          <w:i/>
          <w:sz w:val="22"/>
          <w:szCs w:val="22"/>
        </w:rPr>
        <w:t xml:space="preserve">a declaração de inidoneidade não dá ensejo à imediata rescisão de todos os contratos firmados entre as empresas sancionadas </w:t>
      </w:r>
      <w:r w:rsidR="00721318">
        <w:rPr>
          <w:i/>
          <w:sz w:val="22"/>
          <w:szCs w:val="22"/>
        </w:rPr>
        <w:t>e</w:t>
      </w:r>
      <w:r w:rsidR="00DE11C8" w:rsidRPr="0010443A">
        <w:rPr>
          <w:i/>
          <w:sz w:val="22"/>
          <w:szCs w:val="22"/>
        </w:rPr>
        <w:t xml:space="preserve"> a administração pública federal. Isso porque a declaração de inidoneidade apenas produz efeitos </w:t>
      </w:r>
      <w:r w:rsidR="00DE11C8" w:rsidRPr="0010443A">
        <w:rPr>
          <w:b/>
          <w:i/>
          <w:sz w:val="22"/>
          <w:szCs w:val="22"/>
        </w:rPr>
        <w:t>ex</w:t>
      </w:r>
      <w:r w:rsidR="00167E7A">
        <w:rPr>
          <w:b/>
          <w:i/>
          <w:sz w:val="22"/>
          <w:szCs w:val="22"/>
        </w:rPr>
        <w:t xml:space="preserve"> </w:t>
      </w:r>
      <w:r w:rsidR="00DE11C8" w:rsidRPr="0010443A">
        <w:rPr>
          <w:b/>
          <w:i/>
          <w:sz w:val="22"/>
          <w:szCs w:val="22"/>
        </w:rPr>
        <w:t>nunc</w:t>
      </w:r>
      <w:r w:rsidR="00DE11C8" w:rsidRPr="0010443A">
        <w:rPr>
          <w:i/>
          <w:sz w:val="22"/>
          <w:szCs w:val="22"/>
        </w:rPr>
        <w:t>, não autorizando que sejam desfeitos todos os atos pretéritos ao momento de sua proclamação</w:t>
      </w:r>
      <w:r w:rsidRPr="0010443A">
        <w:rPr>
          <w:i/>
          <w:sz w:val="22"/>
          <w:szCs w:val="22"/>
        </w:rPr>
        <w:t>”</w:t>
      </w:r>
      <w:r w:rsidR="00DE11C8" w:rsidRPr="00DE11C8">
        <w:rPr>
          <w:sz w:val="22"/>
          <w:szCs w:val="22"/>
        </w:rPr>
        <w:t xml:space="preserve">. </w:t>
      </w:r>
      <w:r>
        <w:rPr>
          <w:sz w:val="22"/>
          <w:szCs w:val="22"/>
        </w:rPr>
        <w:t xml:space="preserve">Em seu voto, o relator ponderou que </w:t>
      </w:r>
      <w:r w:rsidR="00DE11C8" w:rsidRPr="00DE11C8">
        <w:rPr>
          <w:sz w:val="22"/>
          <w:szCs w:val="22"/>
        </w:rPr>
        <w:t xml:space="preserve">a rescisão de todos os contratos anteriormente celebrados pela empresa declarada inidônea nem sempre se mostra a solução mais </w:t>
      </w:r>
      <w:r w:rsidR="00167E7A">
        <w:rPr>
          <w:sz w:val="22"/>
          <w:szCs w:val="22"/>
        </w:rPr>
        <w:t>adequada</w:t>
      </w:r>
      <w:r w:rsidR="00DE11C8" w:rsidRPr="00DE11C8">
        <w:rPr>
          <w:sz w:val="22"/>
          <w:szCs w:val="22"/>
        </w:rPr>
        <w:t xml:space="preserve">, pois, dependendo da natureza dos serviços pactuados, </w:t>
      </w:r>
      <w:r w:rsidR="00D2151A">
        <w:rPr>
          <w:sz w:val="22"/>
          <w:szCs w:val="22"/>
        </w:rPr>
        <w:t>os quais,</w:t>
      </w:r>
      <w:r w:rsidR="00DE11C8" w:rsidRPr="00DE11C8">
        <w:rPr>
          <w:sz w:val="22"/>
          <w:szCs w:val="22"/>
        </w:rPr>
        <w:t xml:space="preserve"> em algumas situações</w:t>
      </w:r>
      <w:r w:rsidR="00D2151A">
        <w:rPr>
          <w:sz w:val="22"/>
          <w:szCs w:val="22"/>
        </w:rPr>
        <w:t>,</w:t>
      </w:r>
      <w:r w:rsidR="00DE11C8" w:rsidRPr="00DE11C8">
        <w:rPr>
          <w:sz w:val="22"/>
          <w:szCs w:val="22"/>
        </w:rPr>
        <w:t xml:space="preserve"> não podem sofrer solução de continuidade, </w:t>
      </w:r>
      <w:r w:rsidR="001C388F" w:rsidRPr="001C388F">
        <w:rPr>
          <w:i/>
          <w:sz w:val="22"/>
          <w:szCs w:val="22"/>
        </w:rPr>
        <w:t>“</w:t>
      </w:r>
      <w:r w:rsidR="00DE11C8" w:rsidRPr="001C388F">
        <w:rPr>
          <w:i/>
          <w:sz w:val="22"/>
          <w:szCs w:val="22"/>
        </w:rPr>
        <w:t xml:space="preserve">não seria vantajoso para a administração rescindir contratos cuja execução </w:t>
      </w:r>
      <w:r w:rsidR="00DE11C8" w:rsidRPr="001C388F">
        <w:rPr>
          <w:i/>
          <w:sz w:val="22"/>
          <w:szCs w:val="22"/>
        </w:rPr>
        <w:lastRenderedPageBreak/>
        <w:t>estivesse adequada para celebrar contratos emergenciais, no geral mais onerosos e com nível de prestação de serviços diverso, qualitativamente, daquele que seria obtido no regular procedimento licitatório</w:t>
      </w:r>
      <w:r w:rsidR="001C388F" w:rsidRPr="001C388F">
        <w:rPr>
          <w:i/>
          <w:sz w:val="22"/>
          <w:szCs w:val="22"/>
        </w:rPr>
        <w:t>”</w:t>
      </w:r>
      <w:r w:rsidR="00DE11C8" w:rsidRPr="00DE11C8">
        <w:rPr>
          <w:sz w:val="22"/>
          <w:szCs w:val="22"/>
        </w:rPr>
        <w:t xml:space="preserve">. Contudo, no que concerne aos contratos decorrentes de certames impugnados, nos quais se verificam condutas que autorizam a declaração de inidoneidade das empresas participantes, </w:t>
      </w:r>
      <w:r w:rsidR="001C388F" w:rsidRPr="001C388F">
        <w:rPr>
          <w:i/>
          <w:sz w:val="22"/>
          <w:szCs w:val="22"/>
        </w:rPr>
        <w:t>“</w:t>
      </w:r>
      <w:r w:rsidR="00DE11C8" w:rsidRPr="001C388F">
        <w:rPr>
          <w:i/>
          <w:sz w:val="22"/>
          <w:szCs w:val="22"/>
        </w:rPr>
        <w:t>entendo que devem ser prontamente rescindidos</w:t>
      </w:r>
      <w:r w:rsidR="001C388F" w:rsidRPr="001C388F">
        <w:rPr>
          <w:i/>
          <w:sz w:val="22"/>
          <w:szCs w:val="22"/>
        </w:rPr>
        <w:t>”</w:t>
      </w:r>
      <w:r w:rsidR="00DE11C8" w:rsidRPr="00DE11C8">
        <w:rPr>
          <w:sz w:val="22"/>
          <w:szCs w:val="22"/>
        </w:rPr>
        <w:t xml:space="preserve">. </w:t>
      </w:r>
      <w:r w:rsidR="00E54C21">
        <w:rPr>
          <w:sz w:val="22"/>
          <w:szCs w:val="22"/>
        </w:rPr>
        <w:t>Nesse sentido</w:t>
      </w:r>
      <w:r w:rsidR="00DE11C8" w:rsidRPr="00DE11C8">
        <w:rPr>
          <w:sz w:val="22"/>
          <w:szCs w:val="22"/>
        </w:rPr>
        <w:t>, estaria correta</w:t>
      </w:r>
      <w:r w:rsidR="001C388F">
        <w:rPr>
          <w:sz w:val="22"/>
          <w:szCs w:val="22"/>
        </w:rPr>
        <w:t xml:space="preserve">, segundo o relator, </w:t>
      </w:r>
      <w:r w:rsidR="00DE11C8" w:rsidRPr="00DE11C8">
        <w:rPr>
          <w:sz w:val="22"/>
          <w:szCs w:val="22"/>
        </w:rPr>
        <w:t xml:space="preserve">a proposta </w:t>
      </w:r>
      <w:r w:rsidR="00817FA1">
        <w:rPr>
          <w:sz w:val="22"/>
          <w:szCs w:val="22"/>
        </w:rPr>
        <w:t>d</w:t>
      </w:r>
      <w:r w:rsidR="00DE11C8" w:rsidRPr="00DE11C8">
        <w:rPr>
          <w:sz w:val="22"/>
          <w:szCs w:val="22"/>
        </w:rPr>
        <w:t xml:space="preserve">a </w:t>
      </w:r>
      <w:r w:rsidR="001C388F">
        <w:rPr>
          <w:sz w:val="22"/>
          <w:szCs w:val="22"/>
        </w:rPr>
        <w:t>unidade técnica</w:t>
      </w:r>
      <w:r w:rsidR="00DE11C8" w:rsidRPr="00DE11C8">
        <w:rPr>
          <w:sz w:val="22"/>
          <w:szCs w:val="22"/>
        </w:rPr>
        <w:t xml:space="preserve"> </w:t>
      </w:r>
      <w:r w:rsidR="00E54C21">
        <w:rPr>
          <w:sz w:val="22"/>
          <w:szCs w:val="22"/>
        </w:rPr>
        <w:t>quanto à</w:t>
      </w:r>
      <w:r w:rsidR="00DE11C8" w:rsidRPr="00DE11C8">
        <w:rPr>
          <w:sz w:val="22"/>
          <w:szCs w:val="22"/>
        </w:rPr>
        <w:t xml:space="preserve"> alteração do item 9.3.1 do </w:t>
      </w:r>
      <w:r w:rsidR="00817FA1">
        <w:rPr>
          <w:sz w:val="22"/>
          <w:szCs w:val="22"/>
        </w:rPr>
        <w:t>acórdão recorrido</w:t>
      </w:r>
      <w:r w:rsidR="00DE11C8" w:rsidRPr="00DE11C8">
        <w:rPr>
          <w:sz w:val="22"/>
          <w:szCs w:val="22"/>
        </w:rPr>
        <w:t xml:space="preserve">, de forma a contemplar determinação para ser prontamente rescindido </w:t>
      </w:r>
      <w:r w:rsidR="00E54C21">
        <w:rPr>
          <w:sz w:val="22"/>
          <w:szCs w:val="22"/>
        </w:rPr>
        <w:t xml:space="preserve">tão somente </w:t>
      </w:r>
      <w:r w:rsidR="00DE11C8" w:rsidRPr="00DE11C8">
        <w:rPr>
          <w:sz w:val="22"/>
          <w:szCs w:val="22"/>
        </w:rPr>
        <w:t xml:space="preserve">o contrato decorrente do Pregão </w:t>
      </w:r>
      <w:r w:rsidR="001C388F">
        <w:rPr>
          <w:sz w:val="22"/>
          <w:szCs w:val="22"/>
        </w:rPr>
        <w:t xml:space="preserve">n.º </w:t>
      </w:r>
      <w:r w:rsidR="00DE11C8" w:rsidRPr="00DE11C8">
        <w:rPr>
          <w:sz w:val="22"/>
          <w:szCs w:val="22"/>
        </w:rPr>
        <w:t xml:space="preserve">45/2001 e </w:t>
      </w:r>
      <w:r w:rsidR="00817FA1">
        <w:rPr>
          <w:sz w:val="22"/>
          <w:szCs w:val="22"/>
        </w:rPr>
        <w:t>proibida</w:t>
      </w:r>
      <w:r w:rsidR="00DE11C8" w:rsidRPr="00DE11C8">
        <w:rPr>
          <w:sz w:val="22"/>
          <w:szCs w:val="22"/>
        </w:rPr>
        <w:t xml:space="preserve"> a renovação dos contratos em vigor com as outras empresas declaradas inidôneas. </w:t>
      </w:r>
      <w:r w:rsidR="00167E7A">
        <w:rPr>
          <w:sz w:val="22"/>
          <w:szCs w:val="22"/>
        </w:rPr>
        <w:t>Considerando</w:t>
      </w:r>
      <w:r w:rsidR="00E54C21">
        <w:rPr>
          <w:sz w:val="22"/>
          <w:szCs w:val="22"/>
        </w:rPr>
        <w:t>, no entanto,</w:t>
      </w:r>
      <w:r w:rsidR="00DE11C8" w:rsidRPr="00DE11C8">
        <w:rPr>
          <w:sz w:val="22"/>
          <w:szCs w:val="22"/>
        </w:rPr>
        <w:t xml:space="preserve"> que, </w:t>
      </w:r>
      <w:r w:rsidR="001C388F" w:rsidRPr="001C388F">
        <w:rPr>
          <w:i/>
          <w:sz w:val="22"/>
          <w:szCs w:val="22"/>
        </w:rPr>
        <w:t>“</w:t>
      </w:r>
      <w:r w:rsidR="00DE11C8" w:rsidRPr="001C388F">
        <w:rPr>
          <w:i/>
          <w:sz w:val="22"/>
          <w:szCs w:val="22"/>
        </w:rPr>
        <w:t>segundo pesquisa efetuada ao sítio dos correios</w:t>
      </w:r>
      <w:r w:rsidR="00D2151A">
        <w:rPr>
          <w:i/>
          <w:sz w:val="22"/>
          <w:szCs w:val="22"/>
        </w:rPr>
        <w:t>”</w:t>
      </w:r>
      <w:r w:rsidR="00D2151A">
        <w:rPr>
          <w:sz w:val="22"/>
          <w:szCs w:val="22"/>
        </w:rPr>
        <w:t>,</w:t>
      </w:r>
      <w:r w:rsidR="00DE11C8" w:rsidRPr="001C388F">
        <w:rPr>
          <w:i/>
          <w:sz w:val="22"/>
          <w:szCs w:val="22"/>
        </w:rPr>
        <w:t xml:space="preserve"> </w:t>
      </w:r>
      <w:r w:rsidR="00DE11C8" w:rsidRPr="00D2151A">
        <w:rPr>
          <w:sz w:val="22"/>
          <w:szCs w:val="22"/>
        </w:rPr>
        <w:t xml:space="preserve">não </w:t>
      </w:r>
      <w:r w:rsidR="00D2151A">
        <w:rPr>
          <w:sz w:val="22"/>
          <w:szCs w:val="22"/>
        </w:rPr>
        <w:t>esta</w:t>
      </w:r>
      <w:r w:rsidR="00E54C21">
        <w:rPr>
          <w:sz w:val="22"/>
          <w:szCs w:val="22"/>
        </w:rPr>
        <w:t>va</w:t>
      </w:r>
      <w:r w:rsidR="00D2151A">
        <w:rPr>
          <w:sz w:val="22"/>
          <w:szCs w:val="22"/>
        </w:rPr>
        <w:t>m</w:t>
      </w:r>
      <w:r w:rsidR="00DE11C8" w:rsidRPr="00D2151A">
        <w:rPr>
          <w:sz w:val="22"/>
          <w:szCs w:val="22"/>
        </w:rPr>
        <w:t xml:space="preserve"> em vigor quaisquer contratos celebrados com </w:t>
      </w:r>
      <w:r w:rsidR="00D2151A">
        <w:rPr>
          <w:sz w:val="22"/>
          <w:szCs w:val="22"/>
        </w:rPr>
        <w:t xml:space="preserve">aquelas </w:t>
      </w:r>
      <w:r w:rsidR="00DE11C8" w:rsidRPr="00D2151A">
        <w:rPr>
          <w:sz w:val="22"/>
          <w:szCs w:val="22"/>
        </w:rPr>
        <w:t>empresas</w:t>
      </w:r>
      <w:r w:rsidR="00167E7A" w:rsidRPr="00D2151A">
        <w:rPr>
          <w:sz w:val="22"/>
          <w:szCs w:val="22"/>
        </w:rPr>
        <w:t>,</w:t>
      </w:r>
      <w:r w:rsidR="00167E7A">
        <w:rPr>
          <w:sz w:val="22"/>
          <w:szCs w:val="22"/>
        </w:rPr>
        <w:t xml:space="preserve"> concluiu o relator ser d</w:t>
      </w:r>
      <w:r w:rsidR="00DE11C8" w:rsidRPr="00DE11C8">
        <w:rPr>
          <w:sz w:val="22"/>
          <w:szCs w:val="22"/>
        </w:rPr>
        <w:t>esnecessári</w:t>
      </w:r>
      <w:r w:rsidR="00167E7A">
        <w:rPr>
          <w:sz w:val="22"/>
          <w:szCs w:val="22"/>
        </w:rPr>
        <w:t>a</w:t>
      </w:r>
      <w:r w:rsidR="001C388F">
        <w:rPr>
          <w:sz w:val="22"/>
          <w:szCs w:val="22"/>
        </w:rPr>
        <w:t xml:space="preserve"> </w:t>
      </w:r>
      <w:r w:rsidR="00DE11C8" w:rsidRPr="00DE11C8">
        <w:rPr>
          <w:sz w:val="22"/>
          <w:szCs w:val="22"/>
        </w:rPr>
        <w:t xml:space="preserve">alteração no item 9.3.1 do </w:t>
      </w:r>
      <w:r w:rsidR="001C388F">
        <w:rPr>
          <w:sz w:val="22"/>
          <w:szCs w:val="22"/>
        </w:rPr>
        <w:t>a</w:t>
      </w:r>
      <w:r w:rsidR="00DE11C8" w:rsidRPr="00DE11C8">
        <w:rPr>
          <w:sz w:val="22"/>
          <w:szCs w:val="22"/>
        </w:rPr>
        <w:t xml:space="preserve">córdão recorrido, </w:t>
      </w:r>
      <w:r w:rsidR="00E54C21">
        <w:rPr>
          <w:sz w:val="22"/>
          <w:szCs w:val="22"/>
        </w:rPr>
        <w:t xml:space="preserve">tampouco haveria </w:t>
      </w:r>
      <w:r w:rsidR="00721318">
        <w:rPr>
          <w:sz w:val="22"/>
          <w:szCs w:val="22"/>
        </w:rPr>
        <w:t>motivo para</w:t>
      </w:r>
      <w:r w:rsidR="00DE11C8" w:rsidRPr="00DE11C8">
        <w:rPr>
          <w:sz w:val="22"/>
          <w:szCs w:val="22"/>
        </w:rPr>
        <w:t xml:space="preserve"> torná-lo insubsistente. </w:t>
      </w:r>
      <w:r w:rsidR="001C388F">
        <w:rPr>
          <w:sz w:val="22"/>
          <w:szCs w:val="22"/>
        </w:rPr>
        <w:t xml:space="preserve">Julgou, </w:t>
      </w:r>
      <w:r w:rsidR="00D2151A">
        <w:rPr>
          <w:sz w:val="22"/>
          <w:szCs w:val="22"/>
        </w:rPr>
        <w:t>por fim</w:t>
      </w:r>
      <w:r w:rsidR="001C388F">
        <w:rPr>
          <w:sz w:val="22"/>
          <w:szCs w:val="22"/>
        </w:rPr>
        <w:t xml:space="preserve">, que deveria </w:t>
      </w:r>
      <w:r w:rsidR="00DE11C8" w:rsidRPr="00DE11C8">
        <w:rPr>
          <w:sz w:val="22"/>
          <w:szCs w:val="22"/>
        </w:rPr>
        <w:t xml:space="preserve">ser revista, </w:t>
      </w:r>
      <w:r w:rsidR="00DE11C8" w:rsidRPr="00DE11C8">
        <w:rPr>
          <w:b/>
          <w:sz w:val="22"/>
          <w:szCs w:val="22"/>
        </w:rPr>
        <w:t>ex officio</w:t>
      </w:r>
      <w:r w:rsidR="00DE11C8" w:rsidRPr="00DE11C8">
        <w:rPr>
          <w:sz w:val="22"/>
          <w:szCs w:val="22"/>
        </w:rPr>
        <w:t xml:space="preserve">, a redação do item 9.1 do </w:t>
      </w:r>
      <w:r w:rsidR="00167E7A">
        <w:rPr>
          <w:sz w:val="22"/>
          <w:szCs w:val="22"/>
        </w:rPr>
        <w:t>aludido acórdão</w:t>
      </w:r>
      <w:r w:rsidR="00DE11C8" w:rsidRPr="00DE11C8">
        <w:rPr>
          <w:sz w:val="22"/>
          <w:szCs w:val="22"/>
        </w:rPr>
        <w:t xml:space="preserve">, de forma que a declaração de inidoneidade das empresas </w:t>
      </w:r>
      <w:r w:rsidR="001C388F">
        <w:rPr>
          <w:sz w:val="22"/>
          <w:szCs w:val="22"/>
        </w:rPr>
        <w:t>fosse</w:t>
      </w:r>
      <w:r w:rsidR="00DE11C8" w:rsidRPr="00DE11C8">
        <w:rPr>
          <w:sz w:val="22"/>
          <w:szCs w:val="22"/>
        </w:rPr>
        <w:t xml:space="preserve"> proferida nos </w:t>
      </w:r>
      <w:r w:rsidR="00736D41">
        <w:rPr>
          <w:sz w:val="22"/>
          <w:szCs w:val="22"/>
        </w:rPr>
        <w:t xml:space="preserve">exatos </w:t>
      </w:r>
      <w:r w:rsidR="00DE11C8" w:rsidRPr="00DE11C8">
        <w:rPr>
          <w:sz w:val="22"/>
          <w:szCs w:val="22"/>
        </w:rPr>
        <w:t xml:space="preserve">contornos estabelecidos pela </w:t>
      </w:r>
      <w:r w:rsidR="00736D41">
        <w:rPr>
          <w:sz w:val="22"/>
          <w:szCs w:val="22"/>
        </w:rPr>
        <w:t>Lei Orgânica do TCU</w:t>
      </w:r>
      <w:r w:rsidR="00DE11C8" w:rsidRPr="00DE11C8">
        <w:rPr>
          <w:sz w:val="22"/>
          <w:szCs w:val="22"/>
        </w:rPr>
        <w:t>.</w:t>
      </w:r>
      <w:r w:rsidR="001C388F">
        <w:rPr>
          <w:sz w:val="22"/>
          <w:szCs w:val="22"/>
        </w:rPr>
        <w:t xml:space="preserve"> Nos termos do voto do relator, decidiu o </w:t>
      </w:r>
      <w:r w:rsidR="006F507F">
        <w:rPr>
          <w:sz w:val="22"/>
          <w:szCs w:val="22"/>
        </w:rPr>
        <w:t>Colegiado</w:t>
      </w:r>
      <w:r w:rsidR="001C388F">
        <w:rPr>
          <w:sz w:val="22"/>
          <w:szCs w:val="22"/>
        </w:rPr>
        <w:t xml:space="preserve"> d</w:t>
      </w:r>
      <w:r w:rsidR="00DE11C8" w:rsidRPr="00DE11C8">
        <w:rPr>
          <w:sz w:val="22"/>
          <w:szCs w:val="22"/>
        </w:rPr>
        <w:t xml:space="preserve">ar ao item 9.1 do Acórdão </w:t>
      </w:r>
      <w:r w:rsidR="001C388F">
        <w:rPr>
          <w:sz w:val="22"/>
          <w:szCs w:val="22"/>
        </w:rPr>
        <w:t xml:space="preserve">n.º </w:t>
      </w:r>
      <w:r w:rsidR="00DE11C8" w:rsidRPr="00DE11C8">
        <w:rPr>
          <w:sz w:val="22"/>
          <w:szCs w:val="22"/>
        </w:rPr>
        <w:t>1262/2009</w:t>
      </w:r>
      <w:r w:rsidR="001C388F">
        <w:rPr>
          <w:sz w:val="22"/>
          <w:szCs w:val="22"/>
        </w:rPr>
        <w:t>-</w:t>
      </w:r>
      <w:r w:rsidR="00DE11C8" w:rsidRPr="00DE11C8">
        <w:rPr>
          <w:sz w:val="22"/>
          <w:szCs w:val="22"/>
        </w:rPr>
        <w:t xml:space="preserve">Plenário a seguinte redação: </w:t>
      </w:r>
      <w:r w:rsidR="00DE11C8" w:rsidRPr="003A03A0">
        <w:rPr>
          <w:i/>
          <w:sz w:val="22"/>
          <w:szCs w:val="22"/>
        </w:rPr>
        <w:t>“9.1. declarar as empresas Skymaster Airlines Ltda., CNPJ 00.966.339/0001-47; Beta - Brazilian Express Transportes Aéreos Ltda., CNPJ 64.862.642/0001-82; e Aeropostal Brasil Transporte Aéreo Ltda., CNPJ 003.765.091/0001-44, inidôneas para participar, por cinco anos, de licitações na Administração Pública Federal, com fundamento no art. 46 da Lei nº 8.443/1992</w:t>
      </w:r>
      <w:r w:rsidR="00465677">
        <w:rPr>
          <w:i/>
          <w:sz w:val="22"/>
          <w:szCs w:val="22"/>
        </w:rPr>
        <w:t xml:space="preserve"> [...]</w:t>
      </w:r>
      <w:r w:rsidR="00DE11C8" w:rsidRPr="003A03A0">
        <w:rPr>
          <w:i/>
          <w:sz w:val="22"/>
          <w:szCs w:val="22"/>
        </w:rPr>
        <w:t>;”</w:t>
      </w:r>
      <w:r w:rsidR="001C388F">
        <w:rPr>
          <w:sz w:val="22"/>
          <w:szCs w:val="22"/>
        </w:rPr>
        <w:t xml:space="preserve">. </w:t>
      </w:r>
      <w:r w:rsidR="00DE11C8" w:rsidRPr="00337E16">
        <w:rPr>
          <w:b/>
          <w:i/>
          <w:sz w:val="22"/>
          <w:szCs w:val="22"/>
        </w:rPr>
        <w:t xml:space="preserve">Acórdão n.º </w:t>
      </w:r>
      <w:r w:rsidR="00DE11C8">
        <w:rPr>
          <w:b/>
          <w:i/>
          <w:sz w:val="22"/>
          <w:szCs w:val="22"/>
        </w:rPr>
        <w:t>30</w:t>
      </w:r>
      <w:r w:rsidR="003A03A0">
        <w:rPr>
          <w:b/>
          <w:i/>
          <w:sz w:val="22"/>
          <w:szCs w:val="22"/>
        </w:rPr>
        <w:t>02</w:t>
      </w:r>
      <w:r w:rsidR="00DE11C8" w:rsidRPr="00337E16">
        <w:rPr>
          <w:b/>
          <w:i/>
          <w:sz w:val="22"/>
          <w:szCs w:val="22"/>
        </w:rPr>
        <w:t>/2010</w:t>
      </w:r>
      <w:r w:rsidR="00DE11C8">
        <w:rPr>
          <w:b/>
          <w:i/>
          <w:sz w:val="22"/>
          <w:szCs w:val="22"/>
        </w:rPr>
        <w:t>-Plenário</w:t>
      </w:r>
      <w:r w:rsidR="00DE11C8" w:rsidRPr="00337E16">
        <w:rPr>
          <w:b/>
          <w:i/>
          <w:sz w:val="22"/>
          <w:szCs w:val="22"/>
        </w:rPr>
        <w:t>, TC-0</w:t>
      </w:r>
      <w:r w:rsidR="003A03A0">
        <w:rPr>
          <w:b/>
          <w:i/>
          <w:sz w:val="22"/>
          <w:szCs w:val="22"/>
        </w:rPr>
        <w:t>16</w:t>
      </w:r>
      <w:r w:rsidR="00DE11C8" w:rsidRPr="00337E16">
        <w:rPr>
          <w:b/>
          <w:i/>
          <w:sz w:val="22"/>
          <w:szCs w:val="22"/>
        </w:rPr>
        <w:t>.</w:t>
      </w:r>
      <w:r w:rsidR="003A03A0">
        <w:rPr>
          <w:b/>
          <w:i/>
          <w:sz w:val="22"/>
          <w:szCs w:val="22"/>
        </w:rPr>
        <w:t>556</w:t>
      </w:r>
      <w:r w:rsidR="00DE11C8" w:rsidRPr="00337E16">
        <w:rPr>
          <w:b/>
          <w:i/>
          <w:sz w:val="22"/>
          <w:szCs w:val="22"/>
        </w:rPr>
        <w:t>/20</w:t>
      </w:r>
      <w:r w:rsidR="00DE11C8">
        <w:rPr>
          <w:b/>
          <w:i/>
          <w:sz w:val="22"/>
          <w:szCs w:val="22"/>
        </w:rPr>
        <w:t>05</w:t>
      </w:r>
      <w:r w:rsidR="00DE11C8" w:rsidRPr="00337E16">
        <w:rPr>
          <w:b/>
          <w:i/>
          <w:sz w:val="22"/>
          <w:szCs w:val="22"/>
        </w:rPr>
        <w:t>-</w:t>
      </w:r>
      <w:r w:rsidR="003A03A0">
        <w:rPr>
          <w:b/>
          <w:i/>
          <w:sz w:val="22"/>
          <w:szCs w:val="22"/>
        </w:rPr>
        <w:t>5</w:t>
      </w:r>
      <w:r w:rsidR="00DE11C8" w:rsidRPr="00337E16">
        <w:rPr>
          <w:b/>
          <w:i/>
          <w:sz w:val="22"/>
          <w:szCs w:val="22"/>
        </w:rPr>
        <w:t>, rel. Min</w:t>
      </w:r>
      <w:r w:rsidR="00DE11C8">
        <w:rPr>
          <w:b/>
          <w:i/>
          <w:sz w:val="22"/>
          <w:szCs w:val="22"/>
        </w:rPr>
        <w:t xml:space="preserve">. </w:t>
      </w:r>
      <w:r w:rsidR="003A03A0">
        <w:rPr>
          <w:b/>
          <w:i/>
          <w:sz w:val="22"/>
          <w:szCs w:val="22"/>
        </w:rPr>
        <w:t>José Jorge</w:t>
      </w:r>
      <w:r w:rsidR="00DE11C8" w:rsidRPr="00337E16">
        <w:rPr>
          <w:b/>
          <w:i/>
          <w:sz w:val="22"/>
          <w:szCs w:val="22"/>
        </w:rPr>
        <w:t xml:space="preserve">, </w:t>
      </w:r>
      <w:r w:rsidR="00DE11C8">
        <w:rPr>
          <w:b/>
          <w:i/>
          <w:sz w:val="22"/>
          <w:szCs w:val="22"/>
        </w:rPr>
        <w:t>10</w:t>
      </w:r>
      <w:r w:rsidR="00DE11C8" w:rsidRPr="00337E16">
        <w:rPr>
          <w:b/>
          <w:i/>
          <w:sz w:val="22"/>
          <w:szCs w:val="22"/>
        </w:rPr>
        <w:t>.</w:t>
      </w:r>
      <w:r w:rsidR="00DE11C8">
        <w:rPr>
          <w:b/>
          <w:i/>
          <w:sz w:val="22"/>
          <w:szCs w:val="22"/>
        </w:rPr>
        <w:t>11</w:t>
      </w:r>
      <w:r w:rsidR="00DE11C8" w:rsidRPr="00337E16">
        <w:rPr>
          <w:b/>
          <w:i/>
          <w:sz w:val="22"/>
          <w:szCs w:val="22"/>
        </w:rPr>
        <w:t>.2010</w:t>
      </w:r>
      <w:r w:rsidR="00DE11C8" w:rsidRPr="00337E16">
        <w:rPr>
          <w:sz w:val="22"/>
          <w:szCs w:val="22"/>
        </w:rPr>
        <w:t>.</w:t>
      </w:r>
    </w:p>
    <w:p w:rsidR="00BC5737" w:rsidRPr="00337E16" w:rsidRDefault="00BC5737" w:rsidP="00BC5737">
      <w:pPr>
        <w:pStyle w:val="enter-3pt"/>
        <w:spacing w:line="240" w:lineRule="auto"/>
        <w:rPr>
          <w:sz w:val="22"/>
          <w:szCs w:val="22"/>
        </w:rPr>
      </w:pPr>
    </w:p>
    <w:p w:rsidR="008A2417" w:rsidRPr="00337E16" w:rsidRDefault="008A2417" w:rsidP="008A2417">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8A2417" w:rsidRPr="00337E16" w:rsidRDefault="008A2417" w:rsidP="008A2417">
      <w:pPr>
        <w:pStyle w:val="Pargrafo"/>
        <w:jc w:val="both"/>
        <w:rPr>
          <w:b/>
          <w:sz w:val="22"/>
          <w:szCs w:val="22"/>
        </w:rPr>
      </w:pPr>
    </w:p>
    <w:p w:rsidR="008A2417" w:rsidRPr="000623BF" w:rsidRDefault="000623BF" w:rsidP="008A2417">
      <w:pPr>
        <w:pStyle w:val="Pargrafo"/>
        <w:jc w:val="both"/>
        <w:rPr>
          <w:b/>
          <w:sz w:val="22"/>
          <w:szCs w:val="22"/>
        </w:rPr>
      </w:pPr>
      <w:r w:rsidRPr="000623BF">
        <w:rPr>
          <w:b/>
          <w:sz w:val="22"/>
          <w:szCs w:val="22"/>
        </w:rPr>
        <w:t xml:space="preserve">A indevida habilitação da licitante vencedora não necessariamente </w:t>
      </w:r>
      <w:r w:rsidR="008279A1">
        <w:rPr>
          <w:b/>
          <w:sz w:val="22"/>
          <w:szCs w:val="22"/>
        </w:rPr>
        <w:t>implica a</w:t>
      </w:r>
      <w:r w:rsidRPr="000623BF">
        <w:rPr>
          <w:b/>
          <w:sz w:val="22"/>
          <w:szCs w:val="22"/>
        </w:rPr>
        <w:t xml:space="preserve"> nulidade do contrato com ela celebrado</w:t>
      </w:r>
    </w:p>
    <w:p w:rsidR="008A2417" w:rsidRPr="00337E16" w:rsidRDefault="000623BF" w:rsidP="008A2417">
      <w:pPr>
        <w:pStyle w:val="Pargrafo"/>
        <w:jc w:val="both"/>
        <w:rPr>
          <w:sz w:val="22"/>
          <w:szCs w:val="22"/>
        </w:rPr>
      </w:pPr>
      <w:r w:rsidRPr="000623BF">
        <w:rPr>
          <w:sz w:val="22"/>
          <w:szCs w:val="22"/>
        </w:rPr>
        <w:t xml:space="preserve">Representação formulada </w:t>
      </w:r>
      <w:r w:rsidR="00DF2058">
        <w:rPr>
          <w:sz w:val="22"/>
          <w:szCs w:val="22"/>
        </w:rPr>
        <w:t>ao TCU apontou</w:t>
      </w:r>
      <w:r w:rsidRPr="000623BF">
        <w:rPr>
          <w:sz w:val="22"/>
          <w:szCs w:val="22"/>
        </w:rPr>
        <w:t xml:space="preserve"> supostas irregularidades no Pregão </w:t>
      </w:r>
      <w:r w:rsidR="00A305C0" w:rsidRPr="000623BF">
        <w:rPr>
          <w:sz w:val="22"/>
          <w:szCs w:val="22"/>
        </w:rPr>
        <w:t>Eletrônico</w:t>
      </w:r>
      <w:r w:rsidR="00A305C0">
        <w:rPr>
          <w:sz w:val="22"/>
          <w:szCs w:val="22"/>
        </w:rPr>
        <w:t xml:space="preserve"> </w:t>
      </w:r>
      <w:r w:rsidR="00DF2058">
        <w:rPr>
          <w:sz w:val="22"/>
          <w:szCs w:val="22"/>
        </w:rPr>
        <w:t xml:space="preserve">n.º </w:t>
      </w:r>
      <w:r w:rsidRPr="000623BF">
        <w:rPr>
          <w:sz w:val="22"/>
          <w:szCs w:val="22"/>
        </w:rPr>
        <w:t>77/2009</w:t>
      </w:r>
      <w:r w:rsidR="00DF2058">
        <w:rPr>
          <w:sz w:val="22"/>
          <w:szCs w:val="22"/>
        </w:rPr>
        <w:t>,</w:t>
      </w:r>
      <w:r w:rsidRPr="000623BF">
        <w:rPr>
          <w:sz w:val="22"/>
          <w:szCs w:val="22"/>
        </w:rPr>
        <w:t xml:space="preserve"> realizado pelo Instituto Evandro Chagas, com o objetivo de contratar empresa para a prestação de serviços de limpeza, conservação e higienização das dependências do </w:t>
      </w:r>
      <w:r w:rsidR="00A305C0">
        <w:rPr>
          <w:sz w:val="22"/>
          <w:szCs w:val="22"/>
        </w:rPr>
        <w:t>ó</w:t>
      </w:r>
      <w:r w:rsidRPr="000623BF">
        <w:rPr>
          <w:sz w:val="22"/>
          <w:szCs w:val="22"/>
        </w:rPr>
        <w:t>rgão nas cidades de Belém e Ananindeua/PA.</w:t>
      </w:r>
      <w:r w:rsidR="00A305C0">
        <w:rPr>
          <w:sz w:val="22"/>
          <w:szCs w:val="22"/>
        </w:rPr>
        <w:t xml:space="preserve"> A </w:t>
      </w:r>
      <w:r w:rsidRPr="000623BF">
        <w:rPr>
          <w:sz w:val="22"/>
          <w:szCs w:val="22"/>
        </w:rPr>
        <w:t xml:space="preserve">representante questionou a decisão do </w:t>
      </w:r>
      <w:r w:rsidR="00A305C0">
        <w:rPr>
          <w:sz w:val="22"/>
          <w:szCs w:val="22"/>
        </w:rPr>
        <w:t>p</w:t>
      </w:r>
      <w:r w:rsidRPr="000623BF">
        <w:rPr>
          <w:sz w:val="22"/>
          <w:szCs w:val="22"/>
        </w:rPr>
        <w:t>regoeiro, que declarou vencedora do certame a empresa Universal Serviços Ltda.. Para tanto, alegou que:</w:t>
      </w:r>
      <w:r w:rsidR="00A305C0">
        <w:rPr>
          <w:sz w:val="22"/>
          <w:szCs w:val="22"/>
        </w:rPr>
        <w:t xml:space="preserve"> </w:t>
      </w:r>
      <w:r w:rsidRPr="000623BF">
        <w:rPr>
          <w:sz w:val="22"/>
          <w:szCs w:val="22"/>
        </w:rPr>
        <w:t xml:space="preserve">a) </w:t>
      </w:r>
      <w:r w:rsidR="00A305C0" w:rsidRPr="00A305C0">
        <w:rPr>
          <w:i/>
          <w:sz w:val="22"/>
          <w:szCs w:val="22"/>
        </w:rPr>
        <w:t>“</w:t>
      </w:r>
      <w:r w:rsidRPr="00A305C0">
        <w:rPr>
          <w:i/>
          <w:sz w:val="22"/>
          <w:szCs w:val="22"/>
        </w:rPr>
        <w:t xml:space="preserve">o atestado apresentado pela referida empresa não comprova que ela executou serviços pertinentes ou compatíveis em características (limpeza e conservação) com o objeto da licitação, conforme determina o subitem 13.6 do edital, já que o mencionado documento comprova a prestação de serviço de 1 (um) servente </w:t>
      </w:r>
      <w:r w:rsidR="008279A1">
        <w:rPr>
          <w:i/>
          <w:sz w:val="22"/>
          <w:szCs w:val="22"/>
        </w:rPr>
        <w:t>[...]</w:t>
      </w:r>
      <w:r w:rsidRPr="00A305C0">
        <w:rPr>
          <w:i/>
          <w:sz w:val="22"/>
          <w:szCs w:val="22"/>
        </w:rPr>
        <w:t>, enquanto que o edital exige 54 (cinquenta e quatro) serventes</w:t>
      </w:r>
      <w:r w:rsidR="008279A1">
        <w:rPr>
          <w:i/>
          <w:sz w:val="22"/>
          <w:szCs w:val="22"/>
        </w:rPr>
        <w:t xml:space="preserve"> [...]</w:t>
      </w:r>
      <w:r w:rsidR="00A305C0" w:rsidRPr="00A305C0">
        <w:rPr>
          <w:i/>
          <w:sz w:val="22"/>
          <w:szCs w:val="22"/>
        </w:rPr>
        <w:t>”</w:t>
      </w:r>
      <w:r w:rsidRPr="000623BF">
        <w:rPr>
          <w:sz w:val="22"/>
          <w:szCs w:val="22"/>
        </w:rPr>
        <w:t>;</w:t>
      </w:r>
      <w:r w:rsidR="00A305C0">
        <w:rPr>
          <w:sz w:val="22"/>
          <w:szCs w:val="22"/>
        </w:rPr>
        <w:t xml:space="preserve"> </w:t>
      </w:r>
      <w:r w:rsidRPr="000623BF">
        <w:rPr>
          <w:sz w:val="22"/>
          <w:szCs w:val="22"/>
        </w:rPr>
        <w:t xml:space="preserve">b) </w:t>
      </w:r>
      <w:r w:rsidR="00A305C0" w:rsidRPr="00A305C0">
        <w:rPr>
          <w:i/>
          <w:sz w:val="22"/>
          <w:szCs w:val="22"/>
        </w:rPr>
        <w:t>“</w:t>
      </w:r>
      <w:r w:rsidRPr="00A305C0">
        <w:rPr>
          <w:i/>
          <w:sz w:val="22"/>
          <w:szCs w:val="22"/>
        </w:rPr>
        <w:t xml:space="preserve">a área total prevista no edital é de 383.523,08 m² (externa) e </w:t>
      </w:r>
      <w:smartTag w:uri="urn:schemas-microsoft-com:office:smarttags" w:element="metricconverter">
        <w:smartTagPr>
          <w:attr w:name="ProductID" w:val="15.384,23 m²"/>
        </w:smartTagPr>
        <w:r w:rsidRPr="00A305C0">
          <w:rPr>
            <w:i/>
            <w:sz w:val="22"/>
            <w:szCs w:val="22"/>
          </w:rPr>
          <w:t>15.384,23 m²</w:t>
        </w:r>
      </w:smartTag>
      <w:r w:rsidRPr="00A305C0">
        <w:rPr>
          <w:i/>
          <w:sz w:val="22"/>
          <w:szCs w:val="22"/>
        </w:rPr>
        <w:t xml:space="preserve"> (interna)</w:t>
      </w:r>
      <w:r w:rsidR="00BC7332">
        <w:rPr>
          <w:i/>
          <w:sz w:val="22"/>
          <w:szCs w:val="22"/>
        </w:rPr>
        <w:t>,</w:t>
      </w:r>
      <w:r w:rsidRPr="00A305C0">
        <w:rPr>
          <w:i/>
          <w:sz w:val="22"/>
          <w:szCs w:val="22"/>
        </w:rPr>
        <w:t xml:space="preserve"> e no atestado apresentado pela empresa vencedora consta a área externa de </w:t>
      </w:r>
      <w:smartTag w:uri="urn:schemas-microsoft-com:office:smarttags" w:element="metricconverter">
        <w:smartTagPr>
          <w:attr w:name="ProductID" w:val="3.000 m²"/>
        </w:smartTagPr>
        <w:r w:rsidRPr="00A305C0">
          <w:rPr>
            <w:i/>
            <w:sz w:val="22"/>
            <w:szCs w:val="22"/>
          </w:rPr>
          <w:t>3.000 m²</w:t>
        </w:r>
      </w:smartTag>
      <w:r w:rsidRPr="00A305C0">
        <w:rPr>
          <w:i/>
          <w:sz w:val="22"/>
          <w:szCs w:val="22"/>
        </w:rPr>
        <w:t xml:space="preserve"> e </w:t>
      </w:r>
      <w:r w:rsidR="00443E33">
        <w:rPr>
          <w:i/>
          <w:sz w:val="22"/>
          <w:szCs w:val="22"/>
        </w:rPr>
        <w:t xml:space="preserve">a </w:t>
      </w:r>
      <w:r w:rsidRPr="00A305C0">
        <w:rPr>
          <w:i/>
          <w:sz w:val="22"/>
          <w:szCs w:val="22"/>
        </w:rPr>
        <w:t xml:space="preserve">interna de </w:t>
      </w:r>
      <w:smartTag w:uri="urn:schemas-microsoft-com:office:smarttags" w:element="metricconverter">
        <w:smartTagPr>
          <w:attr w:name="ProductID" w:val="1.120 m²"/>
        </w:smartTagPr>
        <w:r w:rsidRPr="00A305C0">
          <w:rPr>
            <w:i/>
            <w:sz w:val="22"/>
            <w:szCs w:val="22"/>
          </w:rPr>
          <w:t>1.120 m²</w:t>
        </w:r>
      </w:smartTag>
      <w:r w:rsidR="00A305C0" w:rsidRPr="00A305C0">
        <w:rPr>
          <w:i/>
          <w:sz w:val="22"/>
          <w:szCs w:val="22"/>
        </w:rPr>
        <w:t>”</w:t>
      </w:r>
      <w:r w:rsidR="00A305C0">
        <w:rPr>
          <w:sz w:val="22"/>
          <w:szCs w:val="22"/>
        </w:rPr>
        <w:t xml:space="preserve">. </w:t>
      </w:r>
      <w:r w:rsidR="0046377D">
        <w:rPr>
          <w:sz w:val="22"/>
          <w:szCs w:val="22"/>
        </w:rPr>
        <w:t>Para</w:t>
      </w:r>
      <w:r w:rsidRPr="000623BF">
        <w:rPr>
          <w:sz w:val="22"/>
          <w:szCs w:val="22"/>
        </w:rPr>
        <w:t xml:space="preserve"> </w:t>
      </w:r>
      <w:r w:rsidR="00A305C0">
        <w:rPr>
          <w:sz w:val="22"/>
          <w:szCs w:val="22"/>
        </w:rPr>
        <w:t xml:space="preserve">a unidade técnica, </w:t>
      </w:r>
      <w:r w:rsidRPr="000623BF">
        <w:rPr>
          <w:sz w:val="22"/>
          <w:szCs w:val="22"/>
        </w:rPr>
        <w:t xml:space="preserve">a aceitação de </w:t>
      </w:r>
      <w:r w:rsidR="00C67E82">
        <w:rPr>
          <w:sz w:val="22"/>
          <w:szCs w:val="22"/>
        </w:rPr>
        <w:t>at</w:t>
      </w:r>
      <w:r w:rsidRPr="000623BF">
        <w:rPr>
          <w:sz w:val="22"/>
          <w:szCs w:val="22"/>
        </w:rPr>
        <w:t xml:space="preserve">estado </w:t>
      </w:r>
      <w:r w:rsidRPr="000623BF">
        <w:rPr>
          <w:i/>
          <w:sz w:val="22"/>
          <w:szCs w:val="22"/>
        </w:rPr>
        <w:t>“sem razoável semelhança com o objeto do pregão, seja em termos de áreas internas e externas, seja em termos de funcionários”</w:t>
      </w:r>
      <w:r w:rsidRPr="000623BF">
        <w:rPr>
          <w:sz w:val="22"/>
          <w:szCs w:val="22"/>
        </w:rPr>
        <w:t>, pode</w:t>
      </w:r>
      <w:r w:rsidR="00A305C0">
        <w:rPr>
          <w:sz w:val="22"/>
          <w:szCs w:val="22"/>
        </w:rPr>
        <w:t>ria</w:t>
      </w:r>
      <w:r w:rsidRPr="000623BF">
        <w:rPr>
          <w:sz w:val="22"/>
          <w:szCs w:val="22"/>
        </w:rPr>
        <w:t xml:space="preserve"> ensejar a contratação de empresa desprovida de capacidade técnica, pondo em risco a realização do objeto pactuado. Em pesquisa ao Sistema Siasg</w:t>
      </w:r>
      <w:r w:rsidR="00A305C0">
        <w:rPr>
          <w:sz w:val="22"/>
          <w:szCs w:val="22"/>
        </w:rPr>
        <w:t xml:space="preserve">, </w:t>
      </w:r>
      <w:r w:rsidRPr="000623BF">
        <w:rPr>
          <w:sz w:val="22"/>
          <w:szCs w:val="22"/>
        </w:rPr>
        <w:t xml:space="preserve">a </w:t>
      </w:r>
      <w:r w:rsidR="00A305C0">
        <w:rPr>
          <w:sz w:val="22"/>
          <w:szCs w:val="22"/>
        </w:rPr>
        <w:t>u</w:t>
      </w:r>
      <w:r w:rsidRPr="000623BF">
        <w:rPr>
          <w:sz w:val="22"/>
          <w:szCs w:val="22"/>
        </w:rPr>
        <w:t xml:space="preserve">nidade </w:t>
      </w:r>
      <w:r w:rsidR="0046377D">
        <w:rPr>
          <w:sz w:val="22"/>
          <w:szCs w:val="22"/>
        </w:rPr>
        <w:t>instrutiva</w:t>
      </w:r>
      <w:r w:rsidRPr="000623BF">
        <w:rPr>
          <w:sz w:val="22"/>
          <w:szCs w:val="22"/>
        </w:rPr>
        <w:t xml:space="preserve"> constatou que</w:t>
      </w:r>
      <w:r w:rsidR="00A305C0">
        <w:rPr>
          <w:sz w:val="22"/>
          <w:szCs w:val="22"/>
        </w:rPr>
        <w:t>,</w:t>
      </w:r>
      <w:r w:rsidRPr="000623BF">
        <w:rPr>
          <w:sz w:val="22"/>
          <w:szCs w:val="22"/>
        </w:rPr>
        <w:t xml:space="preserve"> em decorrência do mencionado </w:t>
      </w:r>
      <w:r w:rsidR="00A305C0">
        <w:rPr>
          <w:sz w:val="22"/>
          <w:szCs w:val="22"/>
        </w:rPr>
        <w:t>certame,</w:t>
      </w:r>
      <w:r w:rsidRPr="000623BF">
        <w:rPr>
          <w:sz w:val="22"/>
          <w:szCs w:val="22"/>
        </w:rPr>
        <w:t xml:space="preserve"> fo</w:t>
      </w:r>
      <w:r w:rsidR="00A305C0">
        <w:rPr>
          <w:sz w:val="22"/>
          <w:szCs w:val="22"/>
        </w:rPr>
        <w:t>ra</w:t>
      </w:r>
      <w:r w:rsidRPr="000623BF">
        <w:rPr>
          <w:sz w:val="22"/>
          <w:szCs w:val="22"/>
        </w:rPr>
        <w:t xml:space="preserve"> celebrado o Contrato </w:t>
      </w:r>
      <w:r w:rsidR="00A305C0">
        <w:rPr>
          <w:sz w:val="22"/>
          <w:szCs w:val="22"/>
        </w:rPr>
        <w:t xml:space="preserve">n.º </w:t>
      </w:r>
      <w:r w:rsidRPr="000623BF">
        <w:rPr>
          <w:sz w:val="22"/>
          <w:szCs w:val="22"/>
        </w:rPr>
        <w:t>23/2010, cuja vigência corresponde</w:t>
      </w:r>
      <w:r w:rsidR="00A305C0">
        <w:rPr>
          <w:sz w:val="22"/>
          <w:szCs w:val="22"/>
        </w:rPr>
        <w:t>ria</w:t>
      </w:r>
      <w:r w:rsidRPr="000623BF">
        <w:rPr>
          <w:sz w:val="22"/>
          <w:szCs w:val="22"/>
        </w:rPr>
        <w:t xml:space="preserve"> ao período de 8/3/2010 a 7/3/2011, englobando 104 prestadores de serviços.</w:t>
      </w:r>
      <w:r w:rsidR="00A305C0">
        <w:rPr>
          <w:sz w:val="22"/>
          <w:szCs w:val="22"/>
        </w:rPr>
        <w:t xml:space="preserve"> </w:t>
      </w:r>
      <w:r w:rsidRPr="000623BF">
        <w:rPr>
          <w:sz w:val="22"/>
          <w:szCs w:val="22"/>
        </w:rPr>
        <w:t>A partir dessas considerações, entendeu que se dev</w:t>
      </w:r>
      <w:r w:rsidR="00A305C0">
        <w:rPr>
          <w:sz w:val="22"/>
          <w:szCs w:val="22"/>
        </w:rPr>
        <w:t>eria</w:t>
      </w:r>
      <w:r w:rsidRPr="000623BF">
        <w:rPr>
          <w:sz w:val="22"/>
          <w:szCs w:val="22"/>
        </w:rPr>
        <w:t xml:space="preserve"> fixar prazo </w:t>
      </w:r>
      <w:r w:rsidR="00C67E82">
        <w:rPr>
          <w:sz w:val="22"/>
          <w:szCs w:val="22"/>
        </w:rPr>
        <w:t>a</w:t>
      </w:r>
      <w:r w:rsidRPr="000623BF">
        <w:rPr>
          <w:sz w:val="22"/>
          <w:szCs w:val="22"/>
        </w:rPr>
        <w:t xml:space="preserve">o Instituto Evandro Chagas </w:t>
      </w:r>
      <w:r w:rsidR="00C67E82">
        <w:rPr>
          <w:sz w:val="22"/>
          <w:szCs w:val="22"/>
        </w:rPr>
        <w:t xml:space="preserve">para </w:t>
      </w:r>
      <w:r w:rsidRPr="000623BF">
        <w:rPr>
          <w:sz w:val="22"/>
          <w:szCs w:val="22"/>
        </w:rPr>
        <w:t>adot</w:t>
      </w:r>
      <w:r w:rsidR="00A305C0">
        <w:rPr>
          <w:sz w:val="22"/>
          <w:szCs w:val="22"/>
        </w:rPr>
        <w:t>ar</w:t>
      </w:r>
      <w:r w:rsidRPr="000623BF">
        <w:rPr>
          <w:sz w:val="22"/>
          <w:szCs w:val="22"/>
        </w:rPr>
        <w:t xml:space="preserve"> as providências necessárias </w:t>
      </w:r>
      <w:r w:rsidR="00C67E82">
        <w:rPr>
          <w:sz w:val="22"/>
          <w:szCs w:val="22"/>
        </w:rPr>
        <w:t>à anulação</w:t>
      </w:r>
      <w:r w:rsidRPr="000623BF">
        <w:rPr>
          <w:sz w:val="22"/>
          <w:szCs w:val="22"/>
        </w:rPr>
        <w:t>, com efeito</w:t>
      </w:r>
      <w:r w:rsidR="0046377D">
        <w:rPr>
          <w:sz w:val="22"/>
          <w:szCs w:val="22"/>
        </w:rPr>
        <w:t>s</w:t>
      </w:r>
      <w:r w:rsidRPr="000623BF">
        <w:rPr>
          <w:sz w:val="22"/>
          <w:szCs w:val="22"/>
        </w:rPr>
        <w:t xml:space="preserve"> </w:t>
      </w:r>
      <w:r w:rsidRPr="00A305C0">
        <w:rPr>
          <w:b/>
          <w:sz w:val="22"/>
          <w:szCs w:val="22"/>
        </w:rPr>
        <w:t>ex nunc</w:t>
      </w:r>
      <w:r w:rsidRPr="000623BF">
        <w:rPr>
          <w:sz w:val="22"/>
          <w:szCs w:val="22"/>
        </w:rPr>
        <w:t xml:space="preserve">, </w:t>
      </w:r>
      <w:r w:rsidR="00C67E82">
        <w:rPr>
          <w:sz w:val="22"/>
          <w:szCs w:val="22"/>
        </w:rPr>
        <w:t>d</w:t>
      </w:r>
      <w:r w:rsidRPr="000623BF">
        <w:rPr>
          <w:sz w:val="22"/>
          <w:szCs w:val="22"/>
        </w:rPr>
        <w:t xml:space="preserve">o Pregão Eletrônico </w:t>
      </w:r>
      <w:r w:rsidR="00A305C0">
        <w:rPr>
          <w:sz w:val="22"/>
          <w:szCs w:val="22"/>
        </w:rPr>
        <w:t xml:space="preserve">n.º </w:t>
      </w:r>
      <w:r w:rsidRPr="000623BF">
        <w:rPr>
          <w:sz w:val="22"/>
          <w:szCs w:val="22"/>
        </w:rPr>
        <w:t xml:space="preserve">77/2009 e </w:t>
      </w:r>
      <w:r w:rsidR="00C67E82">
        <w:rPr>
          <w:sz w:val="22"/>
          <w:szCs w:val="22"/>
        </w:rPr>
        <w:t>d</w:t>
      </w:r>
      <w:r w:rsidRPr="000623BF">
        <w:rPr>
          <w:sz w:val="22"/>
          <w:szCs w:val="22"/>
        </w:rPr>
        <w:t xml:space="preserve">o </w:t>
      </w:r>
      <w:r w:rsidR="00A305C0">
        <w:rPr>
          <w:sz w:val="22"/>
          <w:szCs w:val="22"/>
        </w:rPr>
        <w:t>c</w:t>
      </w:r>
      <w:r w:rsidRPr="000623BF">
        <w:rPr>
          <w:sz w:val="22"/>
          <w:szCs w:val="22"/>
        </w:rPr>
        <w:t xml:space="preserve">ontrato </w:t>
      </w:r>
      <w:r w:rsidR="00A305C0">
        <w:rPr>
          <w:sz w:val="22"/>
          <w:szCs w:val="22"/>
        </w:rPr>
        <w:t>dele decorrente</w:t>
      </w:r>
      <w:r w:rsidRPr="000623BF">
        <w:rPr>
          <w:sz w:val="22"/>
          <w:szCs w:val="22"/>
        </w:rPr>
        <w:t xml:space="preserve">, tendo em vista a inobservância ao art. 30, II, da Lei </w:t>
      </w:r>
      <w:r w:rsidR="00A305C0">
        <w:rPr>
          <w:sz w:val="22"/>
          <w:szCs w:val="22"/>
        </w:rPr>
        <w:t xml:space="preserve">n.º </w:t>
      </w:r>
      <w:r w:rsidRPr="000623BF">
        <w:rPr>
          <w:sz w:val="22"/>
          <w:szCs w:val="22"/>
        </w:rPr>
        <w:t>8.666/93.</w:t>
      </w:r>
      <w:r w:rsidR="00A305C0">
        <w:rPr>
          <w:sz w:val="22"/>
          <w:szCs w:val="22"/>
        </w:rPr>
        <w:t xml:space="preserve"> O relator, no entanto, </w:t>
      </w:r>
      <w:r w:rsidRPr="000623BF">
        <w:rPr>
          <w:sz w:val="22"/>
          <w:szCs w:val="22"/>
        </w:rPr>
        <w:t>entend</w:t>
      </w:r>
      <w:r w:rsidR="00A305C0">
        <w:rPr>
          <w:sz w:val="22"/>
          <w:szCs w:val="22"/>
        </w:rPr>
        <w:t xml:space="preserve">eu que </w:t>
      </w:r>
      <w:r w:rsidRPr="000623BF">
        <w:rPr>
          <w:sz w:val="22"/>
          <w:szCs w:val="22"/>
        </w:rPr>
        <w:t>não ser</w:t>
      </w:r>
      <w:r w:rsidR="00A305C0">
        <w:rPr>
          <w:sz w:val="22"/>
          <w:szCs w:val="22"/>
        </w:rPr>
        <w:t>ia</w:t>
      </w:r>
      <w:r w:rsidRPr="000623BF">
        <w:rPr>
          <w:sz w:val="22"/>
          <w:szCs w:val="22"/>
        </w:rPr>
        <w:t xml:space="preserve"> o caso de se adotar a medida drástica de anular o </w:t>
      </w:r>
      <w:r w:rsidR="0046377D">
        <w:rPr>
          <w:sz w:val="22"/>
          <w:szCs w:val="22"/>
        </w:rPr>
        <w:t>certame</w:t>
      </w:r>
      <w:r w:rsidRPr="000623BF">
        <w:rPr>
          <w:sz w:val="22"/>
          <w:szCs w:val="22"/>
        </w:rPr>
        <w:t xml:space="preserve"> e o correspondente </w:t>
      </w:r>
      <w:r w:rsidR="00A305C0">
        <w:rPr>
          <w:sz w:val="22"/>
          <w:szCs w:val="22"/>
        </w:rPr>
        <w:t>c</w:t>
      </w:r>
      <w:r w:rsidRPr="000623BF">
        <w:rPr>
          <w:sz w:val="22"/>
          <w:szCs w:val="22"/>
        </w:rPr>
        <w:t>ontrato</w:t>
      </w:r>
      <w:r w:rsidR="0046377D">
        <w:rPr>
          <w:sz w:val="22"/>
          <w:szCs w:val="22"/>
        </w:rPr>
        <w:t>, isso porque</w:t>
      </w:r>
      <w:r w:rsidR="00A305C0">
        <w:rPr>
          <w:sz w:val="22"/>
          <w:szCs w:val="22"/>
        </w:rPr>
        <w:t>, de acordo com os</w:t>
      </w:r>
      <w:r w:rsidRPr="000623BF">
        <w:rPr>
          <w:sz w:val="22"/>
          <w:szCs w:val="22"/>
        </w:rPr>
        <w:t xml:space="preserve"> autos, </w:t>
      </w:r>
      <w:r w:rsidR="00A305C0" w:rsidRPr="00A305C0">
        <w:rPr>
          <w:i/>
          <w:sz w:val="22"/>
          <w:szCs w:val="22"/>
        </w:rPr>
        <w:t>“</w:t>
      </w:r>
      <w:r w:rsidRPr="00A305C0">
        <w:rPr>
          <w:i/>
          <w:sz w:val="22"/>
          <w:szCs w:val="22"/>
        </w:rPr>
        <w:t>o mencionado contrato está em plena e adequada execução, não havendo evidência de qualquer fato que pudesse significar problema na implementação das condições pactuadas</w:t>
      </w:r>
      <w:r w:rsidR="001B36F3">
        <w:rPr>
          <w:i/>
          <w:sz w:val="22"/>
          <w:szCs w:val="22"/>
        </w:rPr>
        <w:t>”</w:t>
      </w:r>
      <w:r w:rsidR="001B36F3">
        <w:rPr>
          <w:sz w:val="22"/>
          <w:szCs w:val="22"/>
        </w:rPr>
        <w:t xml:space="preserve">, restando, </w:t>
      </w:r>
      <w:r w:rsidR="00C36692">
        <w:rPr>
          <w:sz w:val="22"/>
          <w:szCs w:val="22"/>
        </w:rPr>
        <w:t>portanto</w:t>
      </w:r>
      <w:r w:rsidR="001B36F3">
        <w:rPr>
          <w:sz w:val="22"/>
          <w:szCs w:val="22"/>
        </w:rPr>
        <w:t>,</w:t>
      </w:r>
      <w:r w:rsidR="0046377D">
        <w:rPr>
          <w:i/>
          <w:sz w:val="22"/>
          <w:szCs w:val="22"/>
        </w:rPr>
        <w:t xml:space="preserve"> </w:t>
      </w:r>
      <w:r w:rsidR="001B36F3">
        <w:rPr>
          <w:i/>
          <w:sz w:val="22"/>
          <w:szCs w:val="22"/>
        </w:rPr>
        <w:t>“</w:t>
      </w:r>
      <w:r w:rsidRPr="00A305C0">
        <w:rPr>
          <w:i/>
          <w:sz w:val="22"/>
          <w:szCs w:val="22"/>
        </w:rPr>
        <w:t>afastado o risco aventado pela Unidade Técnica de inexecução do objeto contratado</w:t>
      </w:r>
      <w:r w:rsidR="00A305C0" w:rsidRPr="00A305C0">
        <w:rPr>
          <w:i/>
          <w:sz w:val="22"/>
          <w:szCs w:val="22"/>
        </w:rPr>
        <w:t>”</w:t>
      </w:r>
      <w:r w:rsidRPr="000623BF">
        <w:rPr>
          <w:sz w:val="22"/>
          <w:szCs w:val="22"/>
        </w:rPr>
        <w:t xml:space="preserve">. </w:t>
      </w:r>
      <w:r w:rsidR="00C67E82">
        <w:rPr>
          <w:sz w:val="22"/>
          <w:szCs w:val="22"/>
        </w:rPr>
        <w:t>O</w:t>
      </w:r>
      <w:r w:rsidR="00A305C0">
        <w:rPr>
          <w:sz w:val="22"/>
          <w:szCs w:val="22"/>
        </w:rPr>
        <w:t xml:space="preserve"> relator </w:t>
      </w:r>
      <w:r w:rsidR="00774400">
        <w:rPr>
          <w:sz w:val="22"/>
          <w:szCs w:val="22"/>
        </w:rPr>
        <w:t>considerou</w:t>
      </w:r>
      <w:r w:rsidRPr="000623BF">
        <w:rPr>
          <w:sz w:val="22"/>
          <w:szCs w:val="22"/>
        </w:rPr>
        <w:t xml:space="preserve"> suficiente </w:t>
      </w:r>
      <w:r w:rsidR="00C67E82">
        <w:rPr>
          <w:sz w:val="22"/>
          <w:szCs w:val="22"/>
        </w:rPr>
        <w:t>a expedição de</w:t>
      </w:r>
      <w:r w:rsidRPr="000623BF">
        <w:rPr>
          <w:sz w:val="22"/>
          <w:szCs w:val="22"/>
        </w:rPr>
        <w:t xml:space="preserve"> determinação ao </w:t>
      </w:r>
      <w:r w:rsidR="0046377D">
        <w:rPr>
          <w:sz w:val="22"/>
          <w:szCs w:val="22"/>
        </w:rPr>
        <w:t>órgão</w:t>
      </w:r>
      <w:r w:rsidRPr="000623BF">
        <w:rPr>
          <w:sz w:val="22"/>
          <w:szCs w:val="22"/>
        </w:rPr>
        <w:t>, com vistas a prevenir futuras ocorrências d</w:t>
      </w:r>
      <w:r w:rsidR="00774400">
        <w:rPr>
          <w:sz w:val="22"/>
          <w:szCs w:val="22"/>
        </w:rPr>
        <w:t>ess</w:t>
      </w:r>
      <w:r w:rsidRPr="000623BF">
        <w:rPr>
          <w:sz w:val="22"/>
          <w:szCs w:val="22"/>
        </w:rPr>
        <w:t>a natureza</w:t>
      </w:r>
      <w:r w:rsidR="00C67E82">
        <w:rPr>
          <w:sz w:val="22"/>
          <w:szCs w:val="22"/>
        </w:rPr>
        <w:t>, no que foi acompanhado pelos demais ministros</w:t>
      </w:r>
      <w:r w:rsidR="00774400">
        <w:rPr>
          <w:sz w:val="22"/>
          <w:szCs w:val="22"/>
        </w:rPr>
        <w:t xml:space="preserve">. </w:t>
      </w:r>
      <w:r w:rsidR="008A2417" w:rsidRPr="00337E16">
        <w:rPr>
          <w:b/>
          <w:i/>
          <w:sz w:val="22"/>
          <w:szCs w:val="22"/>
        </w:rPr>
        <w:t xml:space="preserve">Acórdão n.º </w:t>
      </w:r>
      <w:r>
        <w:rPr>
          <w:b/>
          <w:i/>
          <w:sz w:val="22"/>
          <w:szCs w:val="22"/>
        </w:rPr>
        <w:t>6485</w:t>
      </w:r>
      <w:r w:rsidR="008A2417" w:rsidRPr="00337E16">
        <w:rPr>
          <w:b/>
          <w:i/>
          <w:sz w:val="22"/>
          <w:szCs w:val="22"/>
        </w:rPr>
        <w:t>/2010</w:t>
      </w:r>
      <w:r w:rsidR="00151F92">
        <w:rPr>
          <w:b/>
          <w:i/>
          <w:sz w:val="22"/>
          <w:szCs w:val="22"/>
        </w:rPr>
        <w:t>-2ª Câmara</w:t>
      </w:r>
      <w:r w:rsidR="008A2417" w:rsidRPr="00337E16">
        <w:rPr>
          <w:b/>
          <w:i/>
          <w:sz w:val="22"/>
          <w:szCs w:val="22"/>
        </w:rPr>
        <w:t>, TC-0</w:t>
      </w:r>
      <w:r>
        <w:rPr>
          <w:b/>
          <w:i/>
          <w:sz w:val="22"/>
          <w:szCs w:val="22"/>
        </w:rPr>
        <w:t>03</w:t>
      </w:r>
      <w:r w:rsidR="008A2417" w:rsidRPr="00337E16">
        <w:rPr>
          <w:b/>
          <w:i/>
          <w:sz w:val="22"/>
          <w:szCs w:val="22"/>
        </w:rPr>
        <w:t>.</w:t>
      </w:r>
      <w:r>
        <w:rPr>
          <w:b/>
          <w:i/>
          <w:sz w:val="22"/>
          <w:szCs w:val="22"/>
        </w:rPr>
        <w:t>615</w:t>
      </w:r>
      <w:r w:rsidR="008A2417" w:rsidRPr="00337E16">
        <w:rPr>
          <w:b/>
          <w:i/>
          <w:sz w:val="22"/>
          <w:szCs w:val="22"/>
        </w:rPr>
        <w:t>/20</w:t>
      </w:r>
      <w:r>
        <w:rPr>
          <w:b/>
          <w:i/>
          <w:sz w:val="22"/>
          <w:szCs w:val="22"/>
        </w:rPr>
        <w:t>10</w:t>
      </w:r>
      <w:r w:rsidR="008A2417" w:rsidRPr="00337E16">
        <w:rPr>
          <w:b/>
          <w:i/>
          <w:sz w:val="22"/>
          <w:szCs w:val="22"/>
        </w:rPr>
        <w:t>-</w:t>
      </w:r>
      <w:r>
        <w:rPr>
          <w:b/>
          <w:i/>
          <w:sz w:val="22"/>
          <w:szCs w:val="22"/>
        </w:rPr>
        <w:t>3</w:t>
      </w:r>
      <w:r w:rsidR="008A2417" w:rsidRPr="00337E16">
        <w:rPr>
          <w:b/>
          <w:i/>
          <w:sz w:val="22"/>
          <w:szCs w:val="22"/>
        </w:rPr>
        <w:t xml:space="preserve">, rel. </w:t>
      </w:r>
      <w:r w:rsidR="008A2417" w:rsidRPr="00337E16">
        <w:rPr>
          <w:b/>
          <w:i/>
          <w:sz w:val="22"/>
          <w:szCs w:val="22"/>
        </w:rPr>
        <w:lastRenderedPageBreak/>
        <w:t xml:space="preserve">Min. </w:t>
      </w:r>
      <w:r w:rsidR="00D51F18">
        <w:rPr>
          <w:b/>
          <w:i/>
          <w:sz w:val="22"/>
          <w:szCs w:val="22"/>
        </w:rPr>
        <w:t>Aroldo Cedraz</w:t>
      </w:r>
      <w:r w:rsidR="008A2417" w:rsidRPr="00337E16">
        <w:rPr>
          <w:b/>
          <w:i/>
          <w:sz w:val="22"/>
          <w:szCs w:val="22"/>
        </w:rPr>
        <w:t xml:space="preserve">, </w:t>
      </w:r>
      <w:r>
        <w:rPr>
          <w:b/>
          <w:i/>
          <w:sz w:val="22"/>
          <w:szCs w:val="22"/>
        </w:rPr>
        <w:t>09</w:t>
      </w:r>
      <w:r w:rsidR="008A2417" w:rsidRPr="00337E16">
        <w:rPr>
          <w:b/>
          <w:i/>
          <w:sz w:val="22"/>
          <w:szCs w:val="22"/>
        </w:rPr>
        <w:t>.</w:t>
      </w:r>
      <w:r>
        <w:rPr>
          <w:b/>
          <w:i/>
          <w:sz w:val="22"/>
          <w:szCs w:val="22"/>
        </w:rPr>
        <w:t>11</w:t>
      </w:r>
      <w:r w:rsidR="008A2417" w:rsidRPr="00337E16">
        <w:rPr>
          <w:b/>
          <w:i/>
          <w:sz w:val="22"/>
          <w:szCs w:val="22"/>
        </w:rPr>
        <w:t>.2010</w:t>
      </w:r>
      <w:r w:rsidR="008A2417" w:rsidRPr="00337E16">
        <w:rPr>
          <w:sz w:val="22"/>
          <w:szCs w:val="22"/>
        </w:rPr>
        <w:t>.</w:t>
      </w:r>
    </w:p>
    <w:p w:rsidR="00BB081A" w:rsidRPr="00337E16" w:rsidRDefault="00BB081A" w:rsidP="00BB081A">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6"/>
      </w:tblGrid>
      <w:tr w:rsidR="00BB081A" w:rsidRPr="00337E16">
        <w:trPr>
          <w:trHeight w:val="779"/>
          <w:jc w:val="center"/>
        </w:trPr>
        <w:tc>
          <w:tcPr>
            <w:tcW w:w="0" w:type="auto"/>
            <w:vAlign w:val="center"/>
          </w:tcPr>
          <w:p w:rsidR="00BB081A" w:rsidRPr="00337E16" w:rsidRDefault="00BB081A" w:rsidP="00317EA7">
            <w:pPr>
              <w:pStyle w:val="enter-3pt"/>
              <w:spacing w:line="240" w:lineRule="auto"/>
              <w:jc w:val="center"/>
              <w:rPr>
                <w:b/>
                <w:i/>
                <w:sz w:val="18"/>
                <w:szCs w:val="18"/>
              </w:rPr>
            </w:pPr>
            <w:r w:rsidRPr="00337E16">
              <w:rPr>
                <w:b/>
                <w:i/>
                <w:sz w:val="18"/>
                <w:szCs w:val="18"/>
              </w:rPr>
              <w:t>Responsáve</w:t>
            </w:r>
            <w:r>
              <w:rPr>
                <w:b/>
                <w:i/>
                <w:sz w:val="18"/>
                <w:szCs w:val="18"/>
              </w:rPr>
              <w:t>l</w:t>
            </w:r>
            <w:r w:rsidRPr="00337E16">
              <w:rPr>
                <w:b/>
                <w:i/>
                <w:sz w:val="18"/>
                <w:szCs w:val="18"/>
              </w:rPr>
              <w:t xml:space="preserve"> pelo Informativo:</w:t>
            </w:r>
          </w:p>
          <w:p w:rsidR="00BB081A" w:rsidRPr="00337E16" w:rsidRDefault="00BB081A" w:rsidP="00317EA7">
            <w:pPr>
              <w:pStyle w:val="enter-3pt"/>
              <w:spacing w:line="240" w:lineRule="auto"/>
              <w:jc w:val="center"/>
              <w:rPr>
                <w:i/>
                <w:sz w:val="18"/>
                <w:szCs w:val="18"/>
              </w:rPr>
            </w:pPr>
            <w:r w:rsidRPr="00337E16">
              <w:rPr>
                <w:i/>
                <w:sz w:val="18"/>
                <w:szCs w:val="18"/>
              </w:rPr>
              <w:t>Luiz Felipe Bezerra Almeida Simões, Assessor da Secretaria das Sessões</w:t>
            </w:r>
          </w:p>
          <w:p w:rsidR="00BB081A" w:rsidRPr="00337E16" w:rsidRDefault="00BB081A" w:rsidP="00317EA7">
            <w:pPr>
              <w:pStyle w:val="enter-3pt"/>
              <w:spacing w:line="240" w:lineRule="auto"/>
              <w:jc w:val="center"/>
              <w:rPr>
                <w:b/>
                <w:i/>
                <w:sz w:val="22"/>
                <w:szCs w:val="22"/>
              </w:rPr>
            </w:pPr>
            <w:r w:rsidRPr="00337E16">
              <w:rPr>
                <w:b/>
                <w:i/>
                <w:sz w:val="18"/>
                <w:szCs w:val="18"/>
              </w:rPr>
              <w:t xml:space="preserve">Contato: </w:t>
            </w:r>
            <w:hyperlink r:id="rId7" w:history="1">
              <w:r w:rsidRPr="00337E16">
                <w:rPr>
                  <w:rStyle w:val="Hyperlink"/>
                  <w:b/>
                  <w:i/>
                  <w:color w:val="auto"/>
                  <w:sz w:val="18"/>
                  <w:szCs w:val="18"/>
                </w:rPr>
                <w:t>infojuris@tcu.gov.br</w:t>
              </w:r>
            </w:hyperlink>
          </w:p>
        </w:tc>
      </w:tr>
    </w:tbl>
    <w:p w:rsidR="00BB081A" w:rsidRPr="00337E16" w:rsidRDefault="00BB081A" w:rsidP="00BB081A">
      <w:pPr>
        <w:pStyle w:val="enter-3pt"/>
        <w:spacing w:line="240" w:lineRule="auto"/>
        <w:jc w:val="center"/>
        <w:rPr>
          <w:b/>
          <w:sz w:val="22"/>
          <w:szCs w:val="22"/>
        </w:rPr>
      </w:pPr>
    </w:p>
    <w:sectPr w:rsidR="00BB081A" w:rsidRPr="00337E16" w:rsidSect="00337E16">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A4" w:rsidRDefault="00E428A4" w:rsidP="008B0547">
      <w:pPr>
        <w:spacing w:after="0"/>
      </w:pPr>
      <w:r>
        <w:separator/>
      </w:r>
    </w:p>
  </w:endnote>
  <w:endnote w:type="continuationSeparator" w:id="0">
    <w:p w:rsidR="00E428A4" w:rsidRDefault="00E428A4"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85" w:rsidRPr="00C906CD" w:rsidRDefault="00F92185"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4020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A4" w:rsidRDefault="00E428A4" w:rsidP="008B0547">
      <w:pPr>
        <w:spacing w:after="0"/>
      </w:pPr>
      <w:r>
        <w:separator/>
      </w:r>
    </w:p>
  </w:footnote>
  <w:footnote w:type="continuationSeparator" w:id="0">
    <w:p w:rsidR="00E428A4" w:rsidRDefault="00E428A4"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85" w:rsidRDefault="00CD5D4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185">
      <w:rPr>
        <w:rFonts w:ascii="Arial" w:hAnsi="Arial" w:cs="Arial"/>
        <w:b/>
      </w:rPr>
      <w:t>TRIBUNAL DE CONTAS DA UNIÃO</w:t>
    </w:r>
  </w:p>
  <w:p w:rsidR="00F92185" w:rsidRPr="00515E7B" w:rsidRDefault="00CD5D4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5982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F92185" w:rsidRPr="00515E7B">
      <w:rPr>
        <w:rFonts w:ascii="Arial" w:hAnsi="Arial" w:cs="Arial"/>
        <w:noProof/>
        <w:lang w:eastAsia="pt-BR"/>
      </w:rPr>
      <w:t>Info</w:t>
    </w:r>
    <w:r w:rsidR="00F92185">
      <w:rPr>
        <w:rFonts w:ascii="Arial" w:hAnsi="Arial" w:cs="Arial"/>
        <w:noProof/>
        <w:lang w:eastAsia="pt-BR"/>
      </w:rPr>
      <w:t>rmativo de Jurisprudência sobre L</w:t>
    </w:r>
    <w:r w:rsidR="00F92185" w:rsidRPr="00515E7B">
      <w:rPr>
        <w:rFonts w:ascii="Arial" w:hAnsi="Arial" w:cs="Arial"/>
        <w:noProof/>
        <w:lang w:eastAsia="pt-BR"/>
      </w:rPr>
      <w:t xml:space="preserve">icitações e </w:t>
    </w:r>
    <w:r w:rsidR="00F92185">
      <w:rPr>
        <w:rFonts w:ascii="Arial" w:hAnsi="Arial" w:cs="Arial"/>
        <w:noProof/>
        <w:lang w:eastAsia="pt-BR"/>
      </w:rPr>
      <w:t>C</w:t>
    </w:r>
    <w:r w:rsidR="00F92185" w:rsidRPr="00515E7B">
      <w:rPr>
        <w:rFonts w:ascii="Arial" w:hAnsi="Arial" w:cs="Arial"/>
        <w:noProof/>
        <w:lang w:eastAsia="pt-BR"/>
      </w:rPr>
      <w:t>ontratos</w:t>
    </w:r>
    <w:r w:rsidR="00F92185">
      <w:rPr>
        <w:rFonts w:ascii="Arial" w:hAnsi="Arial" w:cs="Arial"/>
        <w:noProof/>
        <w:lang w:eastAsia="pt-BR"/>
      </w:rPr>
      <w:t xml:space="preserve"> nº 42</w:t>
    </w:r>
  </w:p>
  <w:p w:rsidR="00F92185" w:rsidRDefault="00F921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0"/>
  </w:num>
  <w:num w:numId="3">
    <w:abstractNumId w:val="4"/>
  </w:num>
  <w:num w:numId="4">
    <w:abstractNumId w:val="0"/>
  </w:num>
  <w:num w:numId="5">
    <w:abstractNumId w:val="5"/>
  </w:num>
  <w:num w:numId="6">
    <w:abstractNumId w:val="9"/>
  </w:num>
  <w:num w:numId="7">
    <w:abstractNumId w:val="15"/>
  </w:num>
  <w:num w:numId="8">
    <w:abstractNumId w:val="13"/>
  </w:num>
  <w:num w:numId="9">
    <w:abstractNumId w:val="11"/>
  </w:num>
  <w:num w:numId="10">
    <w:abstractNumId w:val="3"/>
  </w:num>
  <w:num w:numId="11">
    <w:abstractNumId w:val="16"/>
  </w:num>
  <w:num w:numId="12">
    <w:abstractNumId w:val="2"/>
  </w:num>
  <w:num w:numId="13">
    <w:abstractNumId w:val="8"/>
  </w:num>
  <w:num w:numId="14">
    <w:abstractNumId w:val="14"/>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3CEA"/>
    <w:rsid w:val="00004614"/>
    <w:rsid w:val="00005435"/>
    <w:rsid w:val="00005E1E"/>
    <w:rsid w:val="00012468"/>
    <w:rsid w:val="000138F0"/>
    <w:rsid w:val="0001636D"/>
    <w:rsid w:val="00023D72"/>
    <w:rsid w:val="000271FA"/>
    <w:rsid w:val="00032198"/>
    <w:rsid w:val="00041450"/>
    <w:rsid w:val="0004660A"/>
    <w:rsid w:val="00052B15"/>
    <w:rsid w:val="00054432"/>
    <w:rsid w:val="00054902"/>
    <w:rsid w:val="000562CD"/>
    <w:rsid w:val="00056D51"/>
    <w:rsid w:val="0006028E"/>
    <w:rsid w:val="00061C2E"/>
    <w:rsid w:val="000623BF"/>
    <w:rsid w:val="00065E95"/>
    <w:rsid w:val="00073E94"/>
    <w:rsid w:val="00080148"/>
    <w:rsid w:val="00084727"/>
    <w:rsid w:val="0008791C"/>
    <w:rsid w:val="0009133A"/>
    <w:rsid w:val="00092C2E"/>
    <w:rsid w:val="0009794F"/>
    <w:rsid w:val="000A2C56"/>
    <w:rsid w:val="000B0ECB"/>
    <w:rsid w:val="000B0FEA"/>
    <w:rsid w:val="000B2AFA"/>
    <w:rsid w:val="000C07EB"/>
    <w:rsid w:val="000D1FD7"/>
    <w:rsid w:val="000D6418"/>
    <w:rsid w:val="000D7DB6"/>
    <w:rsid w:val="000D7DED"/>
    <w:rsid w:val="000E3B31"/>
    <w:rsid w:val="000F6D85"/>
    <w:rsid w:val="000F7CEE"/>
    <w:rsid w:val="0010443A"/>
    <w:rsid w:val="001104BA"/>
    <w:rsid w:val="00112676"/>
    <w:rsid w:val="0011373A"/>
    <w:rsid w:val="00114511"/>
    <w:rsid w:val="00126026"/>
    <w:rsid w:val="00133EA9"/>
    <w:rsid w:val="00141D7A"/>
    <w:rsid w:val="001420D1"/>
    <w:rsid w:val="001444A2"/>
    <w:rsid w:val="00150096"/>
    <w:rsid w:val="00151F92"/>
    <w:rsid w:val="0015258E"/>
    <w:rsid w:val="00152ECC"/>
    <w:rsid w:val="001532E4"/>
    <w:rsid w:val="00156A48"/>
    <w:rsid w:val="00157AFE"/>
    <w:rsid w:val="00157C0F"/>
    <w:rsid w:val="00167E7A"/>
    <w:rsid w:val="001744E7"/>
    <w:rsid w:val="00176375"/>
    <w:rsid w:val="001A330B"/>
    <w:rsid w:val="001A3EAA"/>
    <w:rsid w:val="001A3ED3"/>
    <w:rsid w:val="001A60A2"/>
    <w:rsid w:val="001B19C6"/>
    <w:rsid w:val="001B36F3"/>
    <w:rsid w:val="001B3E8E"/>
    <w:rsid w:val="001B4F90"/>
    <w:rsid w:val="001C0575"/>
    <w:rsid w:val="001C388F"/>
    <w:rsid w:val="001C437E"/>
    <w:rsid w:val="001D03C7"/>
    <w:rsid w:val="001D1478"/>
    <w:rsid w:val="001D30EE"/>
    <w:rsid w:val="001D74CE"/>
    <w:rsid w:val="001E0BF1"/>
    <w:rsid w:val="001E1AEB"/>
    <w:rsid w:val="001E1E28"/>
    <w:rsid w:val="001E2620"/>
    <w:rsid w:val="001E4147"/>
    <w:rsid w:val="001E5137"/>
    <w:rsid w:val="001E7C3D"/>
    <w:rsid w:val="001F00DF"/>
    <w:rsid w:val="001F0E29"/>
    <w:rsid w:val="001F1BE1"/>
    <w:rsid w:val="002002CE"/>
    <w:rsid w:val="0020066F"/>
    <w:rsid w:val="00203A6F"/>
    <w:rsid w:val="002040B6"/>
    <w:rsid w:val="00211816"/>
    <w:rsid w:val="00226D9D"/>
    <w:rsid w:val="00232158"/>
    <w:rsid w:val="002328F9"/>
    <w:rsid w:val="00233CE3"/>
    <w:rsid w:val="0024307E"/>
    <w:rsid w:val="0024593F"/>
    <w:rsid w:val="00246B27"/>
    <w:rsid w:val="002476B6"/>
    <w:rsid w:val="00250523"/>
    <w:rsid w:val="00254590"/>
    <w:rsid w:val="0026362E"/>
    <w:rsid w:val="00263B6A"/>
    <w:rsid w:val="002649A7"/>
    <w:rsid w:val="00264F28"/>
    <w:rsid w:val="002663B7"/>
    <w:rsid w:val="00271D81"/>
    <w:rsid w:val="00273E72"/>
    <w:rsid w:val="00276DC0"/>
    <w:rsid w:val="002810D9"/>
    <w:rsid w:val="00281830"/>
    <w:rsid w:val="00287CF9"/>
    <w:rsid w:val="0029043B"/>
    <w:rsid w:val="00290A06"/>
    <w:rsid w:val="0029211E"/>
    <w:rsid w:val="0029450E"/>
    <w:rsid w:val="002A190F"/>
    <w:rsid w:val="002A3B3F"/>
    <w:rsid w:val="002B71BA"/>
    <w:rsid w:val="002C7B61"/>
    <w:rsid w:val="002C7B6D"/>
    <w:rsid w:val="002D35F5"/>
    <w:rsid w:val="002D47FE"/>
    <w:rsid w:val="002D739A"/>
    <w:rsid w:val="002D76AB"/>
    <w:rsid w:val="002E361C"/>
    <w:rsid w:val="002E3943"/>
    <w:rsid w:val="002E4254"/>
    <w:rsid w:val="002F5F3B"/>
    <w:rsid w:val="002F693C"/>
    <w:rsid w:val="003020F4"/>
    <w:rsid w:val="0030486F"/>
    <w:rsid w:val="00304A73"/>
    <w:rsid w:val="003069F9"/>
    <w:rsid w:val="00310208"/>
    <w:rsid w:val="0031058F"/>
    <w:rsid w:val="0031089E"/>
    <w:rsid w:val="00310D69"/>
    <w:rsid w:val="003147B7"/>
    <w:rsid w:val="00317E59"/>
    <w:rsid w:val="00317EA7"/>
    <w:rsid w:val="003216F8"/>
    <w:rsid w:val="00322AE7"/>
    <w:rsid w:val="003275E4"/>
    <w:rsid w:val="00333616"/>
    <w:rsid w:val="00337E16"/>
    <w:rsid w:val="00340E66"/>
    <w:rsid w:val="00340F10"/>
    <w:rsid w:val="0034486B"/>
    <w:rsid w:val="00344D92"/>
    <w:rsid w:val="003455A2"/>
    <w:rsid w:val="00350E87"/>
    <w:rsid w:val="00353B7C"/>
    <w:rsid w:val="0035438E"/>
    <w:rsid w:val="0035476B"/>
    <w:rsid w:val="00355828"/>
    <w:rsid w:val="00357CBE"/>
    <w:rsid w:val="00361661"/>
    <w:rsid w:val="00376A7E"/>
    <w:rsid w:val="003824E4"/>
    <w:rsid w:val="00385DAB"/>
    <w:rsid w:val="0038696B"/>
    <w:rsid w:val="00392509"/>
    <w:rsid w:val="00393F0E"/>
    <w:rsid w:val="003943E5"/>
    <w:rsid w:val="00397D8E"/>
    <w:rsid w:val="003A03A0"/>
    <w:rsid w:val="003A2222"/>
    <w:rsid w:val="003A5479"/>
    <w:rsid w:val="003A5C1B"/>
    <w:rsid w:val="003A7C7F"/>
    <w:rsid w:val="003B0304"/>
    <w:rsid w:val="003B043F"/>
    <w:rsid w:val="003B2E10"/>
    <w:rsid w:val="003B33CE"/>
    <w:rsid w:val="003B343D"/>
    <w:rsid w:val="003B56D7"/>
    <w:rsid w:val="003C1B4F"/>
    <w:rsid w:val="003C2288"/>
    <w:rsid w:val="003C6DEB"/>
    <w:rsid w:val="003C7A5C"/>
    <w:rsid w:val="003D1C15"/>
    <w:rsid w:val="003D73BD"/>
    <w:rsid w:val="003D7CCE"/>
    <w:rsid w:val="003E1B68"/>
    <w:rsid w:val="003E65D7"/>
    <w:rsid w:val="003E7ABC"/>
    <w:rsid w:val="003F11DB"/>
    <w:rsid w:val="003F413A"/>
    <w:rsid w:val="003F54FB"/>
    <w:rsid w:val="003F6C82"/>
    <w:rsid w:val="003F6D1F"/>
    <w:rsid w:val="004169D8"/>
    <w:rsid w:val="004201AF"/>
    <w:rsid w:val="00425FF9"/>
    <w:rsid w:val="0042659B"/>
    <w:rsid w:val="00427B3B"/>
    <w:rsid w:val="00427EBF"/>
    <w:rsid w:val="004362AB"/>
    <w:rsid w:val="004415FB"/>
    <w:rsid w:val="00441CE3"/>
    <w:rsid w:val="00443BAD"/>
    <w:rsid w:val="00443E33"/>
    <w:rsid w:val="0044434A"/>
    <w:rsid w:val="00445E76"/>
    <w:rsid w:val="00452C60"/>
    <w:rsid w:val="00453D08"/>
    <w:rsid w:val="0046377D"/>
    <w:rsid w:val="0046384E"/>
    <w:rsid w:val="00465677"/>
    <w:rsid w:val="0046706B"/>
    <w:rsid w:val="00471284"/>
    <w:rsid w:val="00473696"/>
    <w:rsid w:val="0047491E"/>
    <w:rsid w:val="004837C6"/>
    <w:rsid w:val="00483998"/>
    <w:rsid w:val="00484E4C"/>
    <w:rsid w:val="00491438"/>
    <w:rsid w:val="00492E3F"/>
    <w:rsid w:val="00493F5C"/>
    <w:rsid w:val="004952D5"/>
    <w:rsid w:val="004A04E8"/>
    <w:rsid w:val="004A171B"/>
    <w:rsid w:val="004B1DC3"/>
    <w:rsid w:val="004C780C"/>
    <w:rsid w:val="004D708E"/>
    <w:rsid w:val="004E0C4F"/>
    <w:rsid w:val="004E357A"/>
    <w:rsid w:val="004E65EB"/>
    <w:rsid w:val="004F5E2D"/>
    <w:rsid w:val="004F6EC5"/>
    <w:rsid w:val="004F7174"/>
    <w:rsid w:val="0050355D"/>
    <w:rsid w:val="005055B5"/>
    <w:rsid w:val="00511BBF"/>
    <w:rsid w:val="00515E7B"/>
    <w:rsid w:val="005217F8"/>
    <w:rsid w:val="0052267A"/>
    <w:rsid w:val="00531143"/>
    <w:rsid w:val="00536332"/>
    <w:rsid w:val="00541592"/>
    <w:rsid w:val="00541FCB"/>
    <w:rsid w:val="005422B5"/>
    <w:rsid w:val="00543EB8"/>
    <w:rsid w:val="00554A33"/>
    <w:rsid w:val="00557953"/>
    <w:rsid w:val="00560E55"/>
    <w:rsid w:val="0056301A"/>
    <w:rsid w:val="005640E1"/>
    <w:rsid w:val="00564EA1"/>
    <w:rsid w:val="0056534C"/>
    <w:rsid w:val="00567CEE"/>
    <w:rsid w:val="005713F4"/>
    <w:rsid w:val="00571E64"/>
    <w:rsid w:val="00573F19"/>
    <w:rsid w:val="00580F26"/>
    <w:rsid w:val="0058427E"/>
    <w:rsid w:val="00590907"/>
    <w:rsid w:val="005A72F2"/>
    <w:rsid w:val="005B0BFD"/>
    <w:rsid w:val="005B2194"/>
    <w:rsid w:val="005B2BC3"/>
    <w:rsid w:val="005B4CFA"/>
    <w:rsid w:val="005B6719"/>
    <w:rsid w:val="005C1A79"/>
    <w:rsid w:val="005E269C"/>
    <w:rsid w:val="005E3586"/>
    <w:rsid w:val="005E4DEE"/>
    <w:rsid w:val="005E5FF1"/>
    <w:rsid w:val="005F01CE"/>
    <w:rsid w:val="005F70B6"/>
    <w:rsid w:val="00604DBE"/>
    <w:rsid w:val="006063E1"/>
    <w:rsid w:val="006065E4"/>
    <w:rsid w:val="00611C54"/>
    <w:rsid w:val="00612045"/>
    <w:rsid w:val="00613AC9"/>
    <w:rsid w:val="00620E86"/>
    <w:rsid w:val="006219DD"/>
    <w:rsid w:val="00630D51"/>
    <w:rsid w:val="00632ACC"/>
    <w:rsid w:val="00646795"/>
    <w:rsid w:val="00650463"/>
    <w:rsid w:val="00650F30"/>
    <w:rsid w:val="00651660"/>
    <w:rsid w:val="00652171"/>
    <w:rsid w:val="006559EB"/>
    <w:rsid w:val="00670FEA"/>
    <w:rsid w:val="0067353C"/>
    <w:rsid w:val="00676163"/>
    <w:rsid w:val="00677C22"/>
    <w:rsid w:val="006808CC"/>
    <w:rsid w:val="00685899"/>
    <w:rsid w:val="00692D30"/>
    <w:rsid w:val="00697477"/>
    <w:rsid w:val="006A037E"/>
    <w:rsid w:val="006A7796"/>
    <w:rsid w:val="006B0495"/>
    <w:rsid w:val="006B0DCB"/>
    <w:rsid w:val="006B2408"/>
    <w:rsid w:val="006B3AF9"/>
    <w:rsid w:val="006B414C"/>
    <w:rsid w:val="006B4B0F"/>
    <w:rsid w:val="006C21B1"/>
    <w:rsid w:val="006E1FD7"/>
    <w:rsid w:val="006F4DE0"/>
    <w:rsid w:val="006F507F"/>
    <w:rsid w:val="006F7332"/>
    <w:rsid w:val="0070385B"/>
    <w:rsid w:val="0070494F"/>
    <w:rsid w:val="00705758"/>
    <w:rsid w:val="0070717A"/>
    <w:rsid w:val="007136BD"/>
    <w:rsid w:val="00713DE5"/>
    <w:rsid w:val="007174DA"/>
    <w:rsid w:val="00720910"/>
    <w:rsid w:val="00720F29"/>
    <w:rsid w:val="00721318"/>
    <w:rsid w:val="007224C2"/>
    <w:rsid w:val="00731CA4"/>
    <w:rsid w:val="00736D41"/>
    <w:rsid w:val="00737FEC"/>
    <w:rsid w:val="00755EDF"/>
    <w:rsid w:val="00756AA0"/>
    <w:rsid w:val="00757CE6"/>
    <w:rsid w:val="007671B6"/>
    <w:rsid w:val="007671DA"/>
    <w:rsid w:val="007719A8"/>
    <w:rsid w:val="00774400"/>
    <w:rsid w:val="00774593"/>
    <w:rsid w:val="00777146"/>
    <w:rsid w:val="00777599"/>
    <w:rsid w:val="00781534"/>
    <w:rsid w:val="00785A14"/>
    <w:rsid w:val="00785CF8"/>
    <w:rsid w:val="00787B2F"/>
    <w:rsid w:val="00796CC0"/>
    <w:rsid w:val="007A1A35"/>
    <w:rsid w:val="007A5922"/>
    <w:rsid w:val="007B259B"/>
    <w:rsid w:val="007B5018"/>
    <w:rsid w:val="007B69A2"/>
    <w:rsid w:val="007C136E"/>
    <w:rsid w:val="007C1A27"/>
    <w:rsid w:val="007C670D"/>
    <w:rsid w:val="007D0ED0"/>
    <w:rsid w:val="007D4A4A"/>
    <w:rsid w:val="007E0E05"/>
    <w:rsid w:val="007E1DD3"/>
    <w:rsid w:val="007E209F"/>
    <w:rsid w:val="007E4655"/>
    <w:rsid w:val="007E55E0"/>
    <w:rsid w:val="007E5C50"/>
    <w:rsid w:val="007F22A5"/>
    <w:rsid w:val="00805715"/>
    <w:rsid w:val="00807031"/>
    <w:rsid w:val="00810CC2"/>
    <w:rsid w:val="0081324B"/>
    <w:rsid w:val="00816193"/>
    <w:rsid w:val="008165E4"/>
    <w:rsid w:val="00817FA1"/>
    <w:rsid w:val="00825155"/>
    <w:rsid w:val="00825EB9"/>
    <w:rsid w:val="008279A1"/>
    <w:rsid w:val="008303E2"/>
    <w:rsid w:val="008341F8"/>
    <w:rsid w:val="008354EA"/>
    <w:rsid w:val="008359F3"/>
    <w:rsid w:val="00835DB6"/>
    <w:rsid w:val="00836AC2"/>
    <w:rsid w:val="00844C5B"/>
    <w:rsid w:val="008501A4"/>
    <w:rsid w:val="008505A1"/>
    <w:rsid w:val="00850817"/>
    <w:rsid w:val="0086124E"/>
    <w:rsid w:val="008652C9"/>
    <w:rsid w:val="00866992"/>
    <w:rsid w:val="00875991"/>
    <w:rsid w:val="00877FDD"/>
    <w:rsid w:val="00880FED"/>
    <w:rsid w:val="008841C8"/>
    <w:rsid w:val="00892BB8"/>
    <w:rsid w:val="00893014"/>
    <w:rsid w:val="00896755"/>
    <w:rsid w:val="008A12B2"/>
    <w:rsid w:val="008A2417"/>
    <w:rsid w:val="008A5D49"/>
    <w:rsid w:val="008A751E"/>
    <w:rsid w:val="008B0547"/>
    <w:rsid w:val="008B11A3"/>
    <w:rsid w:val="008B1FE5"/>
    <w:rsid w:val="008B434A"/>
    <w:rsid w:val="008B5D16"/>
    <w:rsid w:val="008B7B55"/>
    <w:rsid w:val="008C01E2"/>
    <w:rsid w:val="008C3A5B"/>
    <w:rsid w:val="008D0D08"/>
    <w:rsid w:val="008D6F5D"/>
    <w:rsid w:val="008E003A"/>
    <w:rsid w:val="008E15E3"/>
    <w:rsid w:val="008E4C62"/>
    <w:rsid w:val="008E727E"/>
    <w:rsid w:val="008F2902"/>
    <w:rsid w:val="008F660B"/>
    <w:rsid w:val="008F7EF6"/>
    <w:rsid w:val="009005CE"/>
    <w:rsid w:val="00901376"/>
    <w:rsid w:val="009021A4"/>
    <w:rsid w:val="00911C23"/>
    <w:rsid w:val="0091499E"/>
    <w:rsid w:val="0091511B"/>
    <w:rsid w:val="009239AA"/>
    <w:rsid w:val="009245B5"/>
    <w:rsid w:val="0093795C"/>
    <w:rsid w:val="009444E6"/>
    <w:rsid w:val="00944A8E"/>
    <w:rsid w:val="009455E6"/>
    <w:rsid w:val="00956BA7"/>
    <w:rsid w:val="00956FD8"/>
    <w:rsid w:val="009575F7"/>
    <w:rsid w:val="0096021A"/>
    <w:rsid w:val="00960F73"/>
    <w:rsid w:val="00970FA0"/>
    <w:rsid w:val="00971139"/>
    <w:rsid w:val="0097401F"/>
    <w:rsid w:val="00981FA0"/>
    <w:rsid w:val="00984366"/>
    <w:rsid w:val="00984E80"/>
    <w:rsid w:val="0098690F"/>
    <w:rsid w:val="00987EE5"/>
    <w:rsid w:val="00997C8A"/>
    <w:rsid w:val="009A1339"/>
    <w:rsid w:val="009A3006"/>
    <w:rsid w:val="009A3994"/>
    <w:rsid w:val="009B62AF"/>
    <w:rsid w:val="009D1B99"/>
    <w:rsid w:val="009D5445"/>
    <w:rsid w:val="009D565F"/>
    <w:rsid w:val="009D65B9"/>
    <w:rsid w:val="009E04DC"/>
    <w:rsid w:val="009E0FB3"/>
    <w:rsid w:val="009E43A7"/>
    <w:rsid w:val="009E5105"/>
    <w:rsid w:val="00A0244C"/>
    <w:rsid w:val="00A033FF"/>
    <w:rsid w:val="00A1329C"/>
    <w:rsid w:val="00A14E25"/>
    <w:rsid w:val="00A16A60"/>
    <w:rsid w:val="00A17A3D"/>
    <w:rsid w:val="00A2062A"/>
    <w:rsid w:val="00A21E19"/>
    <w:rsid w:val="00A305C0"/>
    <w:rsid w:val="00A30683"/>
    <w:rsid w:val="00A3115F"/>
    <w:rsid w:val="00A33030"/>
    <w:rsid w:val="00A378A2"/>
    <w:rsid w:val="00A40202"/>
    <w:rsid w:val="00A46554"/>
    <w:rsid w:val="00A54226"/>
    <w:rsid w:val="00A60F52"/>
    <w:rsid w:val="00A63B4C"/>
    <w:rsid w:val="00A664E7"/>
    <w:rsid w:val="00A66E7F"/>
    <w:rsid w:val="00A75C52"/>
    <w:rsid w:val="00A767B2"/>
    <w:rsid w:val="00A82B9E"/>
    <w:rsid w:val="00A84186"/>
    <w:rsid w:val="00A85B14"/>
    <w:rsid w:val="00A8667B"/>
    <w:rsid w:val="00A9704A"/>
    <w:rsid w:val="00A97AD0"/>
    <w:rsid w:val="00AA00AC"/>
    <w:rsid w:val="00AA1377"/>
    <w:rsid w:val="00AA49AF"/>
    <w:rsid w:val="00AA57CE"/>
    <w:rsid w:val="00AA7540"/>
    <w:rsid w:val="00AB2366"/>
    <w:rsid w:val="00AC0BAE"/>
    <w:rsid w:val="00AC126F"/>
    <w:rsid w:val="00AE1128"/>
    <w:rsid w:val="00AE1AB0"/>
    <w:rsid w:val="00AE2609"/>
    <w:rsid w:val="00AE439A"/>
    <w:rsid w:val="00AF09C7"/>
    <w:rsid w:val="00B0191F"/>
    <w:rsid w:val="00B05065"/>
    <w:rsid w:val="00B05194"/>
    <w:rsid w:val="00B17303"/>
    <w:rsid w:val="00B25143"/>
    <w:rsid w:val="00B2585D"/>
    <w:rsid w:val="00B27359"/>
    <w:rsid w:val="00B347F1"/>
    <w:rsid w:val="00B3502B"/>
    <w:rsid w:val="00B35C3E"/>
    <w:rsid w:val="00B36473"/>
    <w:rsid w:val="00B4258B"/>
    <w:rsid w:val="00B42FCB"/>
    <w:rsid w:val="00B44029"/>
    <w:rsid w:val="00B47943"/>
    <w:rsid w:val="00B50446"/>
    <w:rsid w:val="00B530FD"/>
    <w:rsid w:val="00B5639B"/>
    <w:rsid w:val="00B60C3E"/>
    <w:rsid w:val="00B64775"/>
    <w:rsid w:val="00B81718"/>
    <w:rsid w:val="00B86AF6"/>
    <w:rsid w:val="00B86E2A"/>
    <w:rsid w:val="00B946A8"/>
    <w:rsid w:val="00B96EA4"/>
    <w:rsid w:val="00B97A3E"/>
    <w:rsid w:val="00BA2FFD"/>
    <w:rsid w:val="00BB081A"/>
    <w:rsid w:val="00BB37AF"/>
    <w:rsid w:val="00BB4C08"/>
    <w:rsid w:val="00BC5737"/>
    <w:rsid w:val="00BC7332"/>
    <w:rsid w:val="00BD25E5"/>
    <w:rsid w:val="00BD3C68"/>
    <w:rsid w:val="00BD421D"/>
    <w:rsid w:val="00BE4614"/>
    <w:rsid w:val="00BE4E6F"/>
    <w:rsid w:val="00BE529D"/>
    <w:rsid w:val="00BE6637"/>
    <w:rsid w:val="00BF10E8"/>
    <w:rsid w:val="00BF3158"/>
    <w:rsid w:val="00C03A04"/>
    <w:rsid w:val="00C046F7"/>
    <w:rsid w:val="00C10C0B"/>
    <w:rsid w:val="00C1520D"/>
    <w:rsid w:val="00C1776A"/>
    <w:rsid w:val="00C22519"/>
    <w:rsid w:val="00C2305C"/>
    <w:rsid w:val="00C233D0"/>
    <w:rsid w:val="00C24162"/>
    <w:rsid w:val="00C2509D"/>
    <w:rsid w:val="00C34ABD"/>
    <w:rsid w:val="00C35F43"/>
    <w:rsid w:val="00C36692"/>
    <w:rsid w:val="00C37D2A"/>
    <w:rsid w:val="00C44BDC"/>
    <w:rsid w:val="00C45BFB"/>
    <w:rsid w:val="00C53926"/>
    <w:rsid w:val="00C54B14"/>
    <w:rsid w:val="00C6352A"/>
    <w:rsid w:val="00C63918"/>
    <w:rsid w:val="00C65B2D"/>
    <w:rsid w:val="00C65C5D"/>
    <w:rsid w:val="00C67E82"/>
    <w:rsid w:val="00C711E5"/>
    <w:rsid w:val="00C7768B"/>
    <w:rsid w:val="00C83AEE"/>
    <w:rsid w:val="00C85AC7"/>
    <w:rsid w:val="00C906CD"/>
    <w:rsid w:val="00CA1630"/>
    <w:rsid w:val="00CA6716"/>
    <w:rsid w:val="00CC42D4"/>
    <w:rsid w:val="00CC6332"/>
    <w:rsid w:val="00CD2536"/>
    <w:rsid w:val="00CD5D44"/>
    <w:rsid w:val="00CE151E"/>
    <w:rsid w:val="00CE38E6"/>
    <w:rsid w:val="00CE7FD2"/>
    <w:rsid w:val="00CF230D"/>
    <w:rsid w:val="00CF5489"/>
    <w:rsid w:val="00CF7615"/>
    <w:rsid w:val="00D003F8"/>
    <w:rsid w:val="00D023D6"/>
    <w:rsid w:val="00D10769"/>
    <w:rsid w:val="00D116C7"/>
    <w:rsid w:val="00D13AC5"/>
    <w:rsid w:val="00D14E5F"/>
    <w:rsid w:val="00D2041E"/>
    <w:rsid w:val="00D2151A"/>
    <w:rsid w:val="00D341C9"/>
    <w:rsid w:val="00D3447D"/>
    <w:rsid w:val="00D3488B"/>
    <w:rsid w:val="00D361DE"/>
    <w:rsid w:val="00D46C4C"/>
    <w:rsid w:val="00D51F18"/>
    <w:rsid w:val="00D564BB"/>
    <w:rsid w:val="00D565FA"/>
    <w:rsid w:val="00D568ED"/>
    <w:rsid w:val="00D6014E"/>
    <w:rsid w:val="00D630E7"/>
    <w:rsid w:val="00D76186"/>
    <w:rsid w:val="00D76956"/>
    <w:rsid w:val="00D86DD4"/>
    <w:rsid w:val="00D92529"/>
    <w:rsid w:val="00D96DFD"/>
    <w:rsid w:val="00DA5AAB"/>
    <w:rsid w:val="00DA6858"/>
    <w:rsid w:val="00DA6A92"/>
    <w:rsid w:val="00DB1CD7"/>
    <w:rsid w:val="00DB4717"/>
    <w:rsid w:val="00DC0BF7"/>
    <w:rsid w:val="00DC6F31"/>
    <w:rsid w:val="00DD294A"/>
    <w:rsid w:val="00DD6D82"/>
    <w:rsid w:val="00DE045E"/>
    <w:rsid w:val="00DE11C8"/>
    <w:rsid w:val="00DE23D6"/>
    <w:rsid w:val="00DE2CB6"/>
    <w:rsid w:val="00DE2DDE"/>
    <w:rsid w:val="00DE5414"/>
    <w:rsid w:val="00DE61D2"/>
    <w:rsid w:val="00DF0C37"/>
    <w:rsid w:val="00DF2058"/>
    <w:rsid w:val="00DF2506"/>
    <w:rsid w:val="00DF301A"/>
    <w:rsid w:val="00DF3469"/>
    <w:rsid w:val="00DF3BE2"/>
    <w:rsid w:val="00DF4E2C"/>
    <w:rsid w:val="00DF75EC"/>
    <w:rsid w:val="00DF7C54"/>
    <w:rsid w:val="00E02C05"/>
    <w:rsid w:val="00E079C6"/>
    <w:rsid w:val="00E1074C"/>
    <w:rsid w:val="00E146CF"/>
    <w:rsid w:val="00E21B1D"/>
    <w:rsid w:val="00E23C05"/>
    <w:rsid w:val="00E247E2"/>
    <w:rsid w:val="00E304EB"/>
    <w:rsid w:val="00E329D0"/>
    <w:rsid w:val="00E33746"/>
    <w:rsid w:val="00E36B53"/>
    <w:rsid w:val="00E37585"/>
    <w:rsid w:val="00E428A4"/>
    <w:rsid w:val="00E469D5"/>
    <w:rsid w:val="00E46CD5"/>
    <w:rsid w:val="00E500D9"/>
    <w:rsid w:val="00E51AB5"/>
    <w:rsid w:val="00E52345"/>
    <w:rsid w:val="00E52763"/>
    <w:rsid w:val="00E54C21"/>
    <w:rsid w:val="00E563AE"/>
    <w:rsid w:val="00E662CD"/>
    <w:rsid w:val="00E73271"/>
    <w:rsid w:val="00E74214"/>
    <w:rsid w:val="00E74D52"/>
    <w:rsid w:val="00E755DB"/>
    <w:rsid w:val="00E75855"/>
    <w:rsid w:val="00E86566"/>
    <w:rsid w:val="00E875F5"/>
    <w:rsid w:val="00E87752"/>
    <w:rsid w:val="00E92527"/>
    <w:rsid w:val="00E97045"/>
    <w:rsid w:val="00EA270C"/>
    <w:rsid w:val="00EA5CF4"/>
    <w:rsid w:val="00EB09B9"/>
    <w:rsid w:val="00EB7CB1"/>
    <w:rsid w:val="00EC0726"/>
    <w:rsid w:val="00EC1C35"/>
    <w:rsid w:val="00ED0557"/>
    <w:rsid w:val="00ED34D4"/>
    <w:rsid w:val="00EE17FC"/>
    <w:rsid w:val="00EE30EE"/>
    <w:rsid w:val="00EE6DE6"/>
    <w:rsid w:val="00EF057C"/>
    <w:rsid w:val="00EF1D14"/>
    <w:rsid w:val="00EF7515"/>
    <w:rsid w:val="00F01B31"/>
    <w:rsid w:val="00F03AB9"/>
    <w:rsid w:val="00F06479"/>
    <w:rsid w:val="00F076C5"/>
    <w:rsid w:val="00F111D9"/>
    <w:rsid w:val="00F120D9"/>
    <w:rsid w:val="00F124BE"/>
    <w:rsid w:val="00F27170"/>
    <w:rsid w:val="00F30016"/>
    <w:rsid w:val="00F31C75"/>
    <w:rsid w:val="00F341CC"/>
    <w:rsid w:val="00F40CAB"/>
    <w:rsid w:val="00F47C5C"/>
    <w:rsid w:val="00F54856"/>
    <w:rsid w:val="00F61307"/>
    <w:rsid w:val="00F64F51"/>
    <w:rsid w:val="00F70BF7"/>
    <w:rsid w:val="00F72177"/>
    <w:rsid w:val="00F765E8"/>
    <w:rsid w:val="00F86D88"/>
    <w:rsid w:val="00F87FA7"/>
    <w:rsid w:val="00F92185"/>
    <w:rsid w:val="00F9473C"/>
    <w:rsid w:val="00FA134F"/>
    <w:rsid w:val="00FA40A3"/>
    <w:rsid w:val="00FB3BA6"/>
    <w:rsid w:val="00FB4D65"/>
    <w:rsid w:val="00FB5954"/>
    <w:rsid w:val="00FC0CDF"/>
    <w:rsid w:val="00FC183A"/>
    <w:rsid w:val="00FC399F"/>
    <w:rsid w:val="00FC3D1C"/>
    <w:rsid w:val="00FD08A7"/>
    <w:rsid w:val="00FD2E55"/>
    <w:rsid w:val="00FD2FA9"/>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BF30022-8F0C-4B0E-9CAA-861D95F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styleId="Recuodecorpodetexto2">
    <w:name w:val="Body Text Indent 2"/>
    <w:basedOn w:val="Normal"/>
    <w:link w:val="Recuodecorpodetexto2Char"/>
    <w:uiPriority w:val="99"/>
    <w:semiHidden/>
    <w:unhideWhenUsed/>
    <w:rsid w:val="00DF7C54"/>
    <w:pPr>
      <w:spacing w:line="480" w:lineRule="auto"/>
      <w:ind w:left="283"/>
    </w:pPr>
  </w:style>
  <w:style w:type="character" w:customStyle="1" w:styleId="Recuodecorpodetexto2Char">
    <w:name w:val="Recuo de corpo de texto 2 Char"/>
    <w:basedOn w:val="Fontepargpadro"/>
    <w:link w:val="Recuodecorpodetexto2"/>
    <w:uiPriority w:val="99"/>
    <w:semiHidden/>
    <w:rsid w:val="00DF7C54"/>
    <w:rPr>
      <w:sz w:val="24"/>
      <w:szCs w:val="24"/>
      <w:lang w:eastAsia="en-US"/>
    </w:rPr>
  </w:style>
  <w:style w:type="paragraph" w:styleId="PargrafodaLista">
    <w:name w:val="List Paragraph"/>
    <w:basedOn w:val="Normal"/>
    <w:uiPriority w:val="34"/>
    <w:qFormat/>
    <w:rsid w:val="00DF7C54"/>
    <w:pPr>
      <w:spacing w:after="200" w:line="276" w:lineRule="auto"/>
      <w:ind w:left="720"/>
      <w:contextualSpacing/>
      <w:jc w:val="left"/>
    </w:pPr>
    <w:rPr>
      <w:rFonts w:ascii="Calibri" w:eastAsia="Times New Roman" w:hAnsi="Calibri"/>
      <w:sz w:val="22"/>
      <w:szCs w:val="22"/>
    </w:rPr>
  </w:style>
  <w:style w:type="paragraph" w:customStyle="1" w:styleId="TCU-Ac-item9-">
    <w:name w:val="TCU - Ac - item 9 - §§"/>
    <w:basedOn w:val="TCU-RelVoto-1"/>
    <w:qFormat/>
    <w:rsid w:val="00DF7C54"/>
    <w:pPr>
      <w:spacing w:after="0"/>
    </w:pPr>
  </w:style>
  <w:style w:type="character" w:customStyle="1" w:styleId="apple-style-span">
    <w:name w:val="apple-style-span"/>
    <w:basedOn w:val="Fontepargpadro"/>
    <w:rsid w:val="00DE11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4151</Words>
  <Characters>22416</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26514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2015-05-07T12:35:00Z</dcterms:created>
  <dcterms:modified xsi:type="dcterms:W3CDTF">2015-05-07T12:35:00Z</dcterms:modified>
</cp:coreProperties>
</file>