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7615E7"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6C351F">
        <w:rPr>
          <w:rFonts w:ascii="Times New Roman" w:hAnsi="Times New Roman"/>
          <w:b/>
          <w:i w:val="0"/>
          <w:sz w:val="22"/>
          <w:szCs w:val="22"/>
        </w:rPr>
        <w:t xml:space="preserve">Sessões: </w:t>
      </w:r>
      <w:r w:rsidR="00BB227D" w:rsidRPr="006C351F">
        <w:rPr>
          <w:rFonts w:ascii="Times New Roman" w:hAnsi="Times New Roman"/>
          <w:b/>
          <w:i w:val="0"/>
          <w:sz w:val="22"/>
          <w:szCs w:val="22"/>
        </w:rPr>
        <w:t>2</w:t>
      </w:r>
      <w:r w:rsidR="006C351F" w:rsidRPr="006C351F">
        <w:rPr>
          <w:rFonts w:ascii="Times New Roman" w:hAnsi="Times New Roman"/>
          <w:b/>
          <w:i w:val="0"/>
          <w:sz w:val="22"/>
          <w:szCs w:val="22"/>
        </w:rPr>
        <w:t xml:space="preserve"> (não houve)</w:t>
      </w:r>
      <w:r w:rsidR="00F01B31" w:rsidRPr="006C351F">
        <w:rPr>
          <w:rFonts w:ascii="Times New Roman" w:hAnsi="Times New Roman"/>
          <w:b/>
          <w:i w:val="0"/>
          <w:sz w:val="22"/>
          <w:szCs w:val="22"/>
        </w:rPr>
        <w:t xml:space="preserve"> e </w:t>
      </w:r>
      <w:r w:rsidR="006C351F" w:rsidRPr="006C351F">
        <w:rPr>
          <w:rFonts w:ascii="Times New Roman" w:hAnsi="Times New Roman"/>
          <w:b/>
          <w:i w:val="0"/>
          <w:sz w:val="22"/>
          <w:szCs w:val="22"/>
        </w:rPr>
        <w:t>3</w:t>
      </w:r>
      <w:r w:rsidRPr="006C351F">
        <w:rPr>
          <w:rFonts w:ascii="Times New Roman" w:hAnsi="Times New Roman"/>
          <w:b/>
          <w:i w:val="0"/>
          <w:sz w:val="22"/>
          <w:szCs w:val="22"/>
        </w:rPr>
        <w:t xml:space="preserve"> de </w:t>
      </w:r>
      <w:r w:rsidR="006C351F" w:rsidRPr="006C351F">
        <w:rPr>
          <w:rFonts w:ascii="Times New Roman" w:hAnsi="Times New Roman"/>
          <w:b/>
          <w:i w:val="0"/>
          <w:sz w:val="22"/>
          <w:szCs w:val="22"/>
        </w:rPr>
        <w:t>novem</w:t>
      </w:r>
      <w:r w:rsidR="00BB227D" w:rsidRPr="006C351F">
        <w:rPr>
          <w:rFonts w:ascii="Times New Roman" w:hAnsi="Times New Roman"/>
          <w:b/>
          <w:i w:val="0"/>
          <w:sz w:val="22"/>
          <w:szCs w:val="22"/>
        </w:rPr>
        <w:t>bro</w:t>
      </w:r>
      <w:r w:rsidRPr="006C351F">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BE6A12">
      <w:pPr>
        <w:pBdr>
          <w:top w:val="threeDEmboss" w:sz="24" w:space="0" w:color="auto"/>
        </w:pBdr>
        <w:tabs>
          <w:tab w:val="left" w:pos="284"/>
        </w:tabs>
        <w:spacing w:before="60" w:after="6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BE6A12">
      <w:pPr>
        <w:pStyle w:val="tita"/>
        <w:spacing w:before="60" w:after="60" w:line="240" w:lineRule="auto"/>
        <w:jc w:val="both"/>
        <w:rPr>
          <w:i w:val="0"/>
          <w:iCs w:val="0"/>
          <w:sz w:val="22"/>
          <w:szCs w:val="22"/>
        </w:rPr>
      </w:pPr>
      <w:r w:rsidRPr="00337E16">
        <w:rPr>
          <w:i w:val="0"/>
          <w:iCs w:val="0"/>
          <w:sz w:val="22"/>
          <w:szCs w:val="22"/>
        </w:rPr>
        <w:t>Plenário</w:t>
      </w:r>
    </w:p>
    <w:p w:rsidR="00EB7CB1" w:rsidRPr="00E63136" w:rsidRDefault="00907EC0" w:rsidP="00115C80">
      <w:pPr>
        <w:pStyle w:val="indice"/>
        <w:spacing w:before="80" w:after="80" w:line="240" w:lineRule="auto"/>
        <w:rPr>
          <w:color w:val="auto"/>
        </w:rPr>
      </w:pPr>
      <w:r w:rsidRPr="00E63136">
        <w:rPr>
          <w:color w:val="auto"/>
        </w:rPr>
        <w:t>A participação de empresa</w:t>
      </w:r>
      <w:r w:rsidR="00204361">
        <w:rPr>
          <w:color w:val="auto"/>
        </w:rPr>
        <w:t>,</w:t>
      </w:r>
      <w:r w:rsidRPr="00E63136">
        <w:rPr>
          <w:color w:val="auto"/>
        </w:rPr>
        <w:t xml:space="preserve"> em processo licitatório</w:t>
      </w:r>
      <w:r w:rsidR="00204361">
        <w:rPr>
          <w:color w:val="auto"/>
        </w:rPr>
        <w:t>,</w:t>
      </w:r>
      <w:r w:rsidRPr="00E63136">
        <w:rPr>
          <w:color w:val="auto"/>
        </w:rPr>
        <w:t xml:space="preserve"> como microempresa (ME) ou empresa de pequeno porte (EPP), sem possuir os requisitos legais para tanto, pode ensejar a </w:t>
      </w:r>
      <w:r w:rsidR="00204361">
        <w:rPr>
          <w:color w:val="auto"/>
        </w:rPr>
        <w:t xml:space="preserve">sua </w:t>
      </w:r>
      <w:r w:rsidRPr="00E63136">
        <w:rPr>
          <w:color w:val="auto"/>
        </w:rPr>
        <w:t>declaração de inidoneidade</w:t>
      </w:r>
      <w:r w:rsidR="00124350" w:rsidRPr="00E63136">
        <w:rPr>
          <w:color w:val="FF0000"/>
        </w:rPr>
        <w:t>.</w:t>
      </w:r>
    </w:p>
    <w:p w:rsidR="00E63136" w:rsidRPr="00E63136" w:rsidRDefault="00E63136" w:rsidP="00115C80">
      <w:pPr>
        <w:pStyle w:val="Pargrafo"/>
        <w:spacing w:before="80" w:after="80"/>
        <w:jc w:val="both"/>
        <w:rPr>
          <w:sz w:val="22"/>
          <w:szCs w:val="22"/>
        </w:rPr>
      </w:pPr>
      <w:r w:rsidRPr="00E63136">
        <w:rPr>
          <w:sz w:val="22"/>
          <w:szCs w:val="22"/>
        </w:rPr>
        <w:t xml:space="preserve">Contratação de obra sob o regime de </w:t>
      </w:r>
      <w:r w:rsidRPr="00E63136">
        <w:rPr>
          <w:color w:val="000000"/>
          <w:sz w:val="22"/>
          <w:szCs w:val="22"/>
        </w:rPr>
        <w:t>empreitada por preço global: necessidade de que os pagamentos correspondam aos serviços efetivamente executados</w:t>
      </w:r>
      <w:r w:rsidR="00034AE2">
        <w:rPr>
          <w:color w:val="000000"/>
          <w:sz w:val="22"/>
          <w:szCs w:val="22"/>
        </w:rPr>
        <w:t>.</w:t>
      </w:r>
    </w:p>
    <w:p w:rsidR="00124350" w:rsidRPr="006C351F" w:rsidRDefault="006C351F" w:rsidP="00115C80">
      <w:pPr>
        <w:pStyle w:val="Pargrafo"/>
        <w:spacing w:before="80" w:after="80"/>
        <w:jc w:val="both"/>
        <w:rPr>
          <w:sz w:val="22"/>
          <w:szCs w:val="22"/>
        </w:rPr>
      </w:pPr>
      <w:r w:rsidRPr="006C351F">
        <w:rPr>
          <w:sz w:val="22"/>
          <w:szCs w:val="22"/>
        </w:rPr>
        <w:t xml:space="preserve">Aditivo com inclusão de serviços não previstos originalmente no contrato: </w:t>
      </w:r>
      <w:r w:rsidR="00E30127">
        <w:rPr>
          <w:sz w:val="22"/>
          <w:szCs w:val="22"/>
        </w:rPr>
        <w:t xml:space="preserve">necessidade de </w:t>
      </w:r>
      <w:r w:rsidRPr="006C351F">
        <w:rPr>
          <w:sz w:val="22"/>
          <w:szCs w:val="22"/>
        </w:rPr>
        <w:t xml:space="preserve">se comparar a situação </w:t>
      </w:r>
      <w:r w:rsidR="00E30127">
        <w:rPr>
          <w:sz w:val="22"/>
          <w:szCs w:val="22"/>
        </w:rPr>
        <w:t>inicial</w:t>
      </w:r>
      <w:r w:rsidRPr="006C351F">
        <w:rPr>
          <w:sz w:val="22"/>
          <w:szCs w:val="22"/>
        </w:rPr>
        <w:t xml:space="preserve"> com a final para se conclu</w:t>
      </w:r>
      <w:r w:rsidR="00E30127">
        <w:rPr>
          <w:sz w:val="22"/>
          <w:szCs w:val="22"/>
        </w:rPr>
        <w:t>ir</w:t>
      </w:r>
      <w:r w:rsidRPr="006C351F">
        <w:rPr>
          <w:sz w:val="22"/>
          <w:szCs w:val="22"/>
        </w:rPr>
        <w:t xml:space="preserve"> pela existência, ou não, de débito</w:t>
      </w:r>
      <w:r w:rsidR="00870986" w:rsidRPr="006C351F">
        <w:rPr>
          <w:color w:val="FF0000"/>
        </w:rPr>
        <w:t>.</w:t>
      </w:r>
    </w:p>
    <w:p w:rsidR="006C351F" w:rsidRPr="00BE6A12" w:rsidRDefault="006C351F" w:rsidP="00115C80">
      <w:pPr>
        <w:spacing w:before="80" w:after="80"/>
        <w:ind w:left="0"/>
        <w:rPr>
          <w:sz w:val="22"/>
          <w:szCs w:val="22"/>
        </w:rPr>
      </w:pPr>
      <w:r w:rsidRPr="00BE6A12">
        <w:rPr>
          <w:sz w:val="22"/>
          <w:szCs w:val="22"/>
        </w:rPr>
        <w:t xml:space="preserve">Contratação de serviços: </w:t>
      </w:r>
    </w:p>
    <w:p w:rsidR="006C351F" w:rsidRPr="00BE6A12" w:rsidRDefault="006C351F" w:rsidP="00115C80">
      <w:pPr>
        <w:pStyle w:val="indice"/>
        <w:spacing w:before="80" w:after="80" w:line="240" w:lineRule="auto"/>
        <w:ind w:firstLine="567"/>
      </w:pPr>
      <w:r w:rsidRPr="00034AE2">
        <w:t>1 - A obrigatoriedade da vistoria prévia prejudica a competitividade e a impessoalidade</w:t>
      </w:r>
      <w:r w:rsidRPr="00BE6A12">
        <w:t xml:space="preserve"> do certame</w:t>
      </w:r>
      <w:r w:rsidR="00BE6A12">
        <w:t>;</w:t>
      </w:r>
    </w:p>
    <w:p w:rsidR="00870986" w:rsidRPr="00BE6A12" w:rsidRDefault="00265B6F" w:rsidP="00115C80">
      <w:pPr>
        <w:pStyle w:val="indice"/>
        <w:spacing w:before="80" w:after="80" w:line="240" w:lineRule="auto"/>
        <w:ind w:firstLine="567"/>
      </w:pPr>
      <w:r w:rsidRPr="00BE6A12">
        <w:t xml:space="preserve">2 </w:t>
      </w:r>
      <w:r w:rsidR="00034AE2">
        <w:t>-</w:t>
      </w:r>
      <w:r w:rsidRPr="00BE6A12">
        <w:t xml:space="preserve"> Serviços de limpeza e conservação predial são comuns</w:t>
      </w:r>
      <w:r w:rsidR="00BE6A12">
        <w:t>.</w:t>
      </w:r>
    </w:p>
    <w:p w:rsidR="00BE6A12" w:rsidRPr="00034AE2" w:rsidRDefault="0090240C" w:rsidP="00115C80">
      <w:pPr>
        <w:pStyle w:val="indice"/>
        <w:tabs>
          <w:tab w:val="left" w:pos="567"/>
        </w:tabs>
        <w:spacing w:before="80" w:after="80" w:line="240" w:lineRule="auto"/>
        <w:rPr>
          <w:color w:val="auto"/>
        </w:rPr>
      </w:pPr>
      <w:r>
        <w:rPr>
          <w:color w:val="auto"/>
        </w:rPr>
        <w:t>Pregão para</w:t>
      </w:r>
      <w:r w:rsidR="00BE6A12" w:rsidRPr="00034AE2">
        <w:rPr>
          <w:color w:val="auto"/>
        </w:rPr>
        <w:t xml:space="preserve"> serviços de natureza contínua: </w:t>
      </w:r>
      <w:r>
        <w:rPr>
          <w:color w:val="auto"/>
        </w:rPr>
        <w:t>exigência</w:t>
      </w:r>
      <w:r w:rsidR="00BE6A12" w:rsidRPr="00034AE2">
        <w:rPr>
          <w:color w:val="auto"/>
        </w:rPr>
        <w:t>, para fim de habilitação, de experiência temporal mínima.</w:t>
      </w:r>
    </w:p>
    <w:p w:rsidR="00265B6F" w:rsidRPr="00034AE2" w:rsidRDefault="00265B6F" w:rsidP="00BE6A12">
      <w:pPr>
        <w:pStyle w:val="indice"/>
        <w:spacing w:before="60" w:after="60" w:line="240" w:lineRule="auto"/>
        <w:rPr>
          <w:color w:val="auto"/>
        </w:rPr>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Pr="00907EC0" w:rsidRDefault="003C6DEB" w:rsidP="00907EC0">
      <w:pPr>
        <w:pStyle w:val="tita"/>
        <w:spacing w:before="0" w:after="0" w:line="240" w:lineRule="auto"/>
        <w:jc w:val="both"/>
        <w:rPr>
          <w:i w:val="0"/>
          <w:iCs w:val="0"/>
          <w:sz w:val="22"/>
          <w:szCs w:val="22"/>
        </w:rPr>
      </w:pPr>
    </w:p>
    <w:p w:rsidR="009E5105" w:rsidRPr="00204361" w:rsidRDefault="00204361" w:rsidP="00907EC0">
      <w:pPr>
        <w:pStyle w:val="indice"/>
        <w:spacing w:line="240" w:lineRule="auto"/>
        <w:rPr>
          <w:b/>
          <w:color w:val="auto"/>
        </w:rPr>
      </w:pPr>
      <w:r w:rsidRPr="00204361">
        <w:rPr>
          <w:b/>
          <w:color w:val="auto"/>
        </w:rPr>
        <w:t>A participação de empresa, em processo licitatório, como microempresa (ME) ou empresa de pequeno porte (EPP), sem possuir os requisitos legais para tanto, pode ensejar a sua declaração de inidoneidade</w:t>
      </w:r>
    </w:p>
    <w:p w:rsidR="009E5105" w:rsidRPr="00907EC0" w:rsidRDefault="00417586" w:rsidP="00907EC0">
      <w:pPr>
        <w:pStyle w:val="NormalWeb"/>
        <w:spacing w:line="240" w:lineRule="auto"/>
        <w:ind w:firstLine="0"/>
        <w:jc w:val="both"/>
        <w:rPr>
          <w:color w:val="000000"/>
          <w:sz w:val="22"/>
          <w:szCs w:val="22"/>
        </w:rPr>
      </w:pPr>
      <w:r w:rsidRPr="00907EC0">
        <w:rPr>
          <w:sz w:val="22"/>
          <w:szCs w:val="22"/>
        </w:rPr>
        <w:t xml:space="preserve">Em sede de representação, foi apurada </w:t>
      </w:r>
      <w:r w:rsidR="0063461C" w:rsidRPr="00907EC0">
        <w:rPr>
          <w:sz w:val="22"/>
          <w:szCs w:val="22"/>
        </w:rPr>
        <w:t xml:space="preserve">a </w:t>
      </w:r>
      <w:r w:rsidRPr="00907EC0">
        <w:rPr>
          <w:sz w:val="22"/>
          <w:szCs w:val="22"/>
        </w:rPr>
        <w:t xml:space="preserve">possível participação indevida de </w:t>
      </w:r>
      <w:r w:rsidR="00204361">
        <w:rPr>
          <w:sz w:val="22"/>
          <w:szCs w:val="22"/>
        </w:rPr>
        <w:t>empresa</w:t>
      </w:r>
      <w:r w:rsidRPr="00907EC0">
        <w:rPr>
          <w:sz w:val="22"/>
          <w:szCs w:val="22"/>
        </w:rPr>
        <w:t xml:space="preserve"> em licitações públicas, na condição de ME </w:t>
      </w:r>
      <w:r w:rsidR="00204361">
        <w:rPr>
          <w:sz w:val="22"/>
          <w:szCs w:val="22"/>
        </w:rPr>
        <w:t xml:space="preserve">ou </w:t>
      </w:r>
      <w:r w:rsidRPr="00907EC0">
        <w:rPr>
          <w:sz w:val="22"/>
          <w:szCs w:val="22"/>
        </w:rPr>
        <w:t xml:space="preserve">EPP, sem possuir os requisitos legais necessários para tal caracterização. </w:t>
      </w:r>
      <w:r w:rsidR="00204361">
        <w:rPr>
          <w:sz w:val="22"/>
          <w:szCs w:val="22"/>
        </w:rPr>
        <w:t>Em seu</w:t>
      </w:r>
      <w:r w:rsidRPr="00907EC0">
        <w:rPr>
          <w:sz w:val="22"/>
          <w:szCs w:val="22"/>
        </w:rPr>
        <w:t xml:space="preserve"> voto, com relação à </w:t>
      </w:r>
      <w:r w:rsidR="00204361">
        <w:rPr>
          <w:sz w:val="22"/>
          <w:szCs w:val="22"/>
        </w:rPr>
        <w:t>empresa</w:t>
      </w:r>
      <w:r w:rsidRPr="00907EC0">
        <w:rPr>
          <w:sz w:val="22"/>
          <w:szCs w:val="22"/>
        </w:rPr>
        <w:t xml:space="preserve"> supostamente beneficiada com o enquadramento indevido, </w:t>
      </w:r>
      <w:r w:rsidR="00204361">
        <w:rPr>
          <w:sz w:val="22"/>
          <w:szCs w:val="22"/>
        </w:rPr>
        <w:t xml:space="preserve">o relator ressaltou ter ficado comprovado </w:t>
      </w:r>
      <w:r w:rsidRPr="00907EC0">
        <w:rPr>
          <w:sz w:val="22"/>
          <w:szCs w:val="22"/>
        </w:rPr>
        <w:t>“</w:t>
      </w:r>
      <w:r w:rsidRPr="00907EC0">
        <w:rPr>
          <w:i/>
          <w:sz w:val="22"/>
          <w:szCs w:val="22"/>
        </w:rPr>
        <w:t>que seu faturamento bruto era superior ao limite estabelecido para o enquadramento como pequena empresa, que a empresa não solicitou à época a alteração de sua condição e, por fim, que participou de procedimento licitatório exclusivo para micros e pequenas empresas, vencendo o certame, beneficiando-se de sua própria omissão</w:t>
      </w:r>
      <w:r w:rsidRPr="00907EC0">
        <w:rPr>
          <w:sz w:val="22"/>
          <w:szCs w:val="22"/>
        </w:rPr>
        <w:t>”.</w:t>
      </w:r>
      <w:r w:rsidR="0063461C" w:rsidRPr="00907EC0">
        <w:rPr>
          <w:sz w:val="22"/>
          <w:szCs w:val="22"/>
        </w:rPr>
        <w:t xml:space="preserve"> </w:t>
      </w:r>
      <w:r w:rsidR="00204361" w:rsidRPr="00204361">
        <w:rPr>
          <w:sz w:val="22"/>
          <w:szCs w:val="22"/>
        </w:rPr>
        <w:t>A</w:t>
      </w:r>
      <w:r w:rsidR="0063461C" w:rsidRPr="00204361">
        <w:rPr>
          <w:color w:val="000000"/>
          <w:sz w:val="22"/>
          <w:szCs w:val="22"/>
        </w:rPr>
        <w:t xml:space="preserve">o não declarar a mudança de enquadramento legal, a </w:t>
      </w:r>
      <w:r w:rsidR="00204361">
        <w:rPr>
          <w:color w:val="000000"/>
          <w:sz w:val="22"/>
          <w:szCs w:val="22"/>
        </w:rPr>
        <w:t>empresa</w:t>
      </w:r>
      <w:r w:rsidR="0063461C" w:rsidRPr="00204361">
        <w:rPr>
          <w:color w:val="000000"/>
          <w:sz w:val="22"/>
          <w:szCs w:val="22"/>
        </w:rPr>
        <w:t xml:space="preserve"> </w:t>
      </w:r>
      <w:r w:rsidR="00204361">
        <w:rPr>
          <w:i/>
          <w:color w:val="000000"/>
          <w:sz w:val="22"/>
          <w:szCs w:val="22"/>
        </w:rPr>
        <w:t>“</w:t>
      </w:r>
      <w:r w:rsidR="0063461C" w:rsidRPr="00907EC0">
        <w:rPr>
          <w:i/>
          <w:color w:val="000000"/>
          <w:sz w:val="22"/>
          <w:szCs w:val="22"/>
        </w:rPr>
        <w:t>descumpriu o art. 3º, §</w:t>
      </w:r>
      <w:r w:rsidR="00204361">
        <w:rPr>
          <w:i/>
          <w:color w:val="000000"/>
          <w:sz w:val="22"/>
          <w:szCs w:val="22"/>
        </w:rPr>
        <w:t xml:space="preserve"> </w:t>
      </w:r>
      <w:r w:rsidR="0063461C" w:rsidRPr="00907EC0">
        <w:rPr>
          <w:i/>
          <w:color w:val="000000"/>
          <w:sz w:val="22"/>
          <w:szCs w:val="22"/>
        </w:rPr>
        <w:t>9</w:t>
      </w:r>
      <w:r w:rsidR="00204361">
        <w:rPr>
          <w:i/>
          <w:color w:val="000000"/>
          <w:sz w:val="22"/>
          <w:szCs w:val="22"/>
        </w:rPr>
        <w:t>º</w:t>
      </w:r>
      <w:r w:rsidR="0063461C" w:rsidRPr="00907EC0">
        <w:rPr>
          <w:i/>
          <w:color w:val="000000"/>
          <w:sz w:val="22"/>
          <w:szCs w:val="22"/>
        </w:rPr>
        <w:t>, da Lei Complementar nº 123/2006, o art. 11 do Decreto nº 6.204/2007 e o art. 1º da Instrução Normativa do Departamento Nacional de Registro do Comércio nº 103/2007</w:t>
      </w:r>
      <w:r w:rsidR="00204361">
        <w:rPr>
          <w:i/>
          <w:color w:val="000000"/>
          <w:sz w:val="22"/>
          <w:szCs w:val="22"/>
        </w:rPr>
        <w:t>”</w:t>
      </w:r>
      <w:r w:rsidR="0063461C" w:rsidRPr="00204361">
        <w:rPr>
          <w:color w:val="000000"/>
          <w:sz w:val="22"/>
          <w:szCs w:val="22"/>
        </w:rPr>
        <w:t>. Essa omissão possibilit</w:t>
      </w:r>
      <w:r w:rsidR="00204361">
        <w:rPr>
          <w:color w:val="000000"/>
          <w:sz w:val="22"/>
          <w:szCs w:val="22"/>
        </w:rPr>
        <w:t>ara</w:t>
      </w:r>
      <w:r w:rsidR="0063461C" w:rsidRPr="00204361">
        <w:rPr>
          <w:color w:val="000000"/>
          <w:sz w:val="22"/>
          <w:szCs w:val="22"/>
        </w:rPr>
        <w:t xml:space="preserve"> à empresa </w:t>
      </w:r>
      <w:r w:rsidR="00204361">
        <w:rPr>
          <w:i/>
          <w:color w:val="000000"/>
          <w:sz w:val="22"/>
          <w:szCs w:val="22"/>
        </w:rPr>
        <w:t>“</w:t>
      </w:r>
      <w:r w:rsidR="0063461C" w:rsidRPr="00907EC0">
        <w:rPr>
          <w:i/>
          <w:color w:val="000000"/>
          <w:sz w:val="22"/>
          <w:szCs w:val="22"/>
        </w:rPr>
        <w:t>benefícios indevidos específicos de ME ou EPP e a obtenção, na Junta Comercial, da ‘Certidão Simplificada’, documento que viabilizou sua participação em licitações públicas exclusivas para ME ou EPP</w:t>
      </w:r>
      <w:r w:rsidR="0063461C" w:rsidRPr="00907EC0">
        <w:rPr>
          <w:color w:val="000000"/>
          <w:sz w:val="22"/>
          <w:szCs w:val="22"/>
        </w:rPr>
        <w:t xml:space="preserve">”. </w:t>
      </w:r>
      <w:r w:rsidR="00204361">
        <w:rPr>
          <w:color w:val="000000"/>
          <w:sz w:val="22"/>
          <w:szCs w:val="22"/>
        </w:rPr>
        <w:t>E</w:t>
      </w:r>
      <w:r w:rsidR="00DF31D7" w:rsidRPr="00907EC0">
        <w:rPr>
          <w:color w:val="000000"/>
          <w:sz w:val="22"/>
          <w:szCs w:val="22"/>
        </w:rPr>
        <w:t xml:space="preserve">mbora </w:t>
      </w:r>
      <w:r w:rsidR="00D55020" w:rsidRPr="00907EC0">
        <w:rPr>
          <w:color w:val="000000"/>
          <w:sz w:val="22"/>
          <w:szCs w:val="22"/>
        </w:rPr>
        <w:t xml:space="preserve">tenha </w:t>
      </w:r>
      <w:r w:rsidR="00204361">
        <w:rPr>
          <w:color w:val="000000"/>
          <w:sz w:val="22"/>
          <w:szCs w:val="22"/>
        </w:rPr>
        <w:t>considerado</w:t>
      </w:r>
      <w:r w:rsidR="00DF31D7" w:rsidRPr="00907EC0">
        <w:rPr>
          <w:color w:val="000000"/>
          <w:sz w:val="22"/>
          <w:szCs w:val="22"/>
        </w:rPr>
        <w:t xml:space="preserve"> grave a omissão da empresa</w:t>
      </w:r>
      <w:r w:rsidR="007438D0">
        <w:rPr>
          <w:color w:val="000000"/>
          <w:sz w:val="22"/>
          <w:szCs w:val="22"/>
        </w:rPr>
        <w:t xml:space="preserve"> em informar o seu desenquadramento</w:t>
      </w:r>
      <w:r w:rsidR="00DF31D7" w:rsidRPr="00907EC0">
        <w:rPr>
          <w:color w:val="000000"/>
          <w:sz w:val="22"/>
          <w:szCs w:val="22"/>
        </w:rPr>
        <w:t xml:space="preserve">, o relator, em razão da baixa materialidade dos valores envolvidos nas licitações </w:t>
      </w:r>
      <w:r w:rsidR="00D55020" w:rsidRPr="00907EC0">
        <w:rPr>
          <w:color w:val="000000"/>
          <w:sz w:val="22"/>
          <w:szCs w:val="22"/>
        </w:rPr>
        <w:t>analisadas</w:t>
      </w:r>
      <w:r w:rsidR="00DF31D7" w:rsidRPr="00907EC0">
        <w:rPr>
          <w:color w:val="000000"/>
          <w:sz w:val="22"/>
          <w:szCs w:val="22"/>
        </w:rPr>
        <w:t xml:space="preserve">, entendeu suficiente </w:t>
      </w:r>
      <w:r w:rsidR="00204361">
        <w:rPr>
          <w:color w:val="000000"/>
          <w:sz w:val="22"/>
          <w:szCs w:val="22"/>
        </w:rPr>
        <w:t>a expedição de</w:t>
      </w:r>
      <w:r w:rsidR="00DF31D7" w:rsidRPr="00907EC0">
        <w:rPr>
          <w:color w:val="000000"/>
          <w:sz w:val="22"/>
          <w:szCs w:val="22"/>
        </w:rPr>
        <w:t xml:space="preserve"> alerta à </w:t>
      </w:r>
      <w:r w:rsidR="003817A7">
        <w:rPr>
          <w:color w:val="000000"/>
          <w:sz w:val="22"/>
          <w:szCs w:val="22"/>
        </w:rPr>
        <w:t>aludida</w:t>
      </w:r>
      <w:r w:rsidR="00204361">
        <w:rPr>
          <w:color w:val="000000"/>
          <w:sz w:val="22"/>
          <w:szCs w:val="22"/>
        </w:rPr>
        <w:t xml:space="preserve"> </w:t>
      </w:r>
      <w:r w:rsidR="00DF31D7" w:rsidRPr="00907EC0">
        <w:rPr>
          <w:color w:val="000000"/>
          <w:sz w:val="22"/>
          <w:szCs w:val="22"/>
        </w:rPr>
        <w:t xml:space="preserve">empresa </w:t>
      </w:r>
      <w:r w:rsidR="00204361">
        <w:rPr>
          <w:color w:val="000000"/>
          <w:sz w:val="22"/>
          <w:szCs w:val="22"/>
        </w:rPr>
        <w:t>no sentido</w:t>
      </w:r>
      <w:r w:rsidR="00DF31D7" w:rsidRPr="00907EC0">
        <w:rPr>
          <w:color w:val="000000"/>
          <w:sz w:val="22"/>
          <w:szCs w:val="22"/>
        </w:rPr>
        <w:t xml:space="preserve"> </w:t>
      </w:r>
      <w:r w:rsidR="00D55020" w:rsidRPr="00907EC0">
        <w:rPr>
          <w:color w:val="000000"/>
          <w:sz w:val="22"/>
          <w:szCs w:val="22"/>
        </w:rPr>
        <w:t>de que “</w:t>
      </w:r>
      <w:r w:rsidR="00D55020" w:rsidRPr="00907EC0">
        <w:rPr>
          <w:i/>
          <w:color w:val="000000"/>
          <w:sz w:val="22"/>
          <w:szCs w:val="22"/>
        </w:rPr>
        <w:t>a repetição da infração ensejará a declaração de sua inidoneidade, impossibilitando que contrate com o Poder Público por até 5 anos</w:t>
      </w:r>
      <w:r w:rsidR="00D55020" w:rsidRPr="00907EC0">
        <w:rPr>
          <w:color w:val="000000"/>
          <w:sz w:val="22"/>
          <w:szCs w:val="22"/>
        </w:rPr>
        <w:t>”</w:t>
      </w:r>
      <w:r w:rsidR="00E63136">
        <w:rPr>
          <w:color w:val="000000"/>
          <w:sz w:val="22"/>
          <w:szCs w:val="22"/>
        </w:rPr>
        <w:t>, no que foi acompanhado pelo</w:t>
      </w:r>
      <w:r w:rsidR="00D55020" w:rsidRPr="00907EC0">
        <w:rPr>
          <w:color w:val="000000"/>
          <w:sz w:val="22"/>
          <w:szCs w:val="22"/>
        </w:rPr>
        <w:t xml:space="preserve"> Plenário. </w:t>
      </w:r>
      <w:r w:rsidR="009E5105" w:rsidRPr="00907EC0">
        <w:rPr>
          <w:b/>
          <w:i/>
          <w:sz w:val="22"/>
          <w:szCs w:val="22"/>
        </w:rPr>
        <w:t xml:space="preserve">Acórdão n.º </w:t>
      </w:r>
      <w:r w:rsidR="00061C2E" w:rsidRPr="00907EC0">
        <w:rPr>
          <w:b/>
          <w:i/>
          <w:sz w:val="22"/>
          <w:szCs w:val="22"/>
        </w:rPr>
        <w:t>2</w:t>
      </w:r>
      <w:r w:rsidR="004D5460" w:rsidRPr="00907EC0">
        <w:rPr>
          <w:b/>
          <w:i/>
          <w:sz w:val="22"/>
          <w:szCs w:val="22"/>
        </w:rPr>
        <w:t>924</w:t>
      </w:r>
      <w:r w:rsidR="009E5105" w:rsidRPr="00907EC0">
        <w:rPr>
          <w:b/>
          <w:i/>
          <w:sz w:val="22"/>
          <w:szCs w:val="22"/>
        </w:rPr>
        <w:t>/2010-Plenário, TC-0</w:t>
      </w:r>
      <w:r w:rsidR="004D5460" w:rsidRPr="00907EC0">
        <w:rPr>
          <w:b/>
          <w:i/>
          <w:sz w:val="22"/>
          <w:szCs w:val="22"/>
        </w:rPr>
        <w:t>07</w:t>
      </w:r>
      <w:r w:rsidR="009E5105" w:rsidRPr="00907EC0">
        <w:rPr>
          <w:b/>
          <w:i/>
          <w:sz w:val="22"/>
          <w:szCs w:val="22"/>
        </w:rPr>
        <w:t>.</w:t>
      </w:r>
      <w:r w:rsidR="004D5460" w:rsidRPr="00907EC0">
        <w:rPr>
          <w:b/>
          <w:i/>
          <w:sz w:val="22"/>
          <w:szCs w:val="22"/>
        </w:rPr>
        <w:t>490</w:t>
      </w:r>
      <w:r w:rsidR="009E5105" w:rsidRPr="00907EC0">
        <w:rPr>
          <w:b/>
          <w:i/>
          <w:sz w:val="22"/>
          <w:szCs w:val="22"/>
        </w:rPr>
        <w:t>/20</w:t>
      </w:r>
      <w:r w:rsidR="004D5460" w:rsidRPr="00907EC0">
        <w:rPr>
          <w:b/>
          <w:i/>
          <w:sz w:val="22"/>
          <w:szCs w:val="22"/>
        </w:rPr>
        <w:t>1</w:t>
      </w:r>
      <w:r w:rsidR="00F0466F" w:rsidRPr="00907EC0">
        <w:rPr>
          <w:b/>
          <w:i/>
          <w:sz w:val="22"/>
          <w:szCs w:val="22"/>
        </w:rPr>
        <w:t>0</w:t>
      </w:r>
      <w:r w:rsidR="009E5105" w:rsidRPr="00907EC0">
        <w:rPr>
          <w:b/>
          <w:i/>
          <w:sz w:val="22"/>
          <w:szCs w:val="22"/>
        </w:rPr>
        <w:t>-</w:t>
      </w:r>
      <w:r w:rsidR="004D5460" w:rsidRPr="00907EC0">
        <w:rPr>
          <w:b/>
          <w:i/>
          <w:sz w:val="22"/>
          <w:szCs w:val="22"/>
        </w:rPr>
        <w:t>0</w:t>
      </w:r>
      <w:r w:rsidR="009E5105" w:rsidRPr="00907EC0">
        <w:rPr>
          <w:b/>
          <w:i/>
          <w:sz w:val="22"/>
          <w:szCs w:val="22"/>
        </w:rPr>
        <w:t xml:space="preserve">, rel. Min. </w:t>
      </w:r>
      <w:r w:rsidR="00F0466F" w:rsidRPr="00907EC0">
        <w:rPr>
          <w:b/>
          <w:i/>
          <w:sz w:val="22"/>
          <w:szCs w:val="22"/>
        </w:rPr>
        <w:t>Walton Alencar Rodrigues</w:t>
      </w:r>
      <w:r w:rsidR="009E5105" w:rsidRPr="00907EC0">
        <w:rPr>
          <w:b/>
          <w:i/>
          <w:sz w:val="22"/>
          <w:szCs w:val="22"/>
        </w:rPr>
        <w:t xml:space="preserve">, </w:t>
      </w:r>
      <w:r w:rsidR="004D5460" w:rsidRPr="00907EC0">
        <w:rPr>
          <w:b/>
          <w:i/>
          <w:sz w:val="22"/>
          <w:szCs w:val="22"/>
        </w:rPr>
        <w:t>03</w:t>
      </w:r>
      <w:r w:rsidR="009E5105" w:rsidRPr="00907EC0">
        <w:rPr>
          <w:b/>
          <w:i/>
          <w:sz w:val="22"/>
          <w:szCs w:val="22"/>
        </w:rPr>
        <w:t>.</w:t>
      </w:r>
      <w:r w:rsidR="00F0466F" w:rsidRPr="00907EC0">
        <w:rPr>
          <w:b/>
          <w:i/>
          <w:sz w:val="22"/>
          <w:szCs w:val="22"/>
        </w:rPr>
        <w:t>1</w:t>
      </w:r>
      <w:r w:rsidR="004D5460" w:rsidRPr="00907EC0">
        <w:rPr>
          <w:b/>
          <w:i/>
          <w:sz w:val="22"/>
          <w:szCs w:val="22"/>
        </w:rPr>
        <w:t>1</w:t>
      </w:r>
      <w:r w:rsidR="009E5105" w:rsidRPr="00907EC0">
        <w:rPr>
          <w:b/>
          <w:i/>
          <w:sz w:val="22"/>
          <w:szCs w:val="22"/>
        </w:rPr>
        <w:t>.2010</w:t>
      </w:r>
      <w:r w:rsidR="009E5105" w:rsidRPr="00907EC0">
        <w:rPr>
          <w:sz w:val="22"/>
          <w:szCs w:val="22"/>
        </w:rPr>
        <w:t>.</w:t>
      </w:r>
    </w:p>
    <w:p w:rsidR="009E5105" w:rsidRPr="00907EC0" w:rsidRDefault="009E5105" w:rsidP="00907EC0">
      <w:pPr>
        <w:pStyle w:val="indice"/>
        <w:tabs>
          <w:tab w:val="left" w:pos="567"/>
        </w:tabs>
        <w:spacing w:line="240" w:lineRule="auto"/>
        <w:rPr>
          <w:color w:val="auto"/>
        </w:rPr>
      </w:pPr>
    </w:p>
    <w:p w:rsidR="00870986" w:rsidRPr="00907EC0" w:rsidRDefault="00FC1D17" w:rsidP="00907EC0">
      <w:pPr>
        <w:pStyle w:val="Pargrafo"/>
        <w:jc w:val="both"/>
        <w:rPr>
          <w:b/>
          <w:sz w:val="22"/>
          <w:szCs w:val="22"/>
        </w:rPr>
      </w:pPr>
      <w:r w:rsidRPr="00907EC0">
        <w:rPr>
          <w:b/>
          <w:sz w:val="22"/>
          <w:szCs w:val="22"/>
        </w:rPr>
        <w:t xml:space="preserve">Contratação de obra sob o regime de </w:t>
      </w:r>
      <w:r w:rsidRPr="00907EC0">
        <w:rPr>
          <w:b/>
          <w:color w:val="000000"/>
          <w:sz w:val="22"/>
          <w:szCs w:val="22"/>
        </w:rPr>
        <w:t>empreitada por preço global:</w:t>
      </w:r>
      <w:r w:rsidR="00FB5A53" w:rsidRPr="00907EC0">
        <w:rPr>
          <w:b/>
          <w:color w:val="000000"/>
          <w:sz w:val="22"/>
          <w:szCs w:val="22"/>
        </w:rPr>
        <w:t xml:space="preserve"> necessidade de que os pagamentos correspondam aos serviços efetivamente executados</w:t>
      </w:r>
    </w:p>
    <w:p w:rsidR="00870986" w:rsidRPr="00034AE2" w:rsidRDefault="007D09C6" w:rsidP="00034AE2">
      <w:pPr>
        <w:pStyle w:val="NormalWeb"/>
        <w:spacing w:line="240" w:lineRule="auto"/>
        <w:ind w:firstLine="0"/>
        <w:jc w:val="both"/>
        <w:rPr>
          <w:sz w:val="22"/>
          <w:szCs w:val="22"/>
        </w:rPr>
      </w:pPr>
      <w:r w:rsidRPr="00034AE2">
        <w:rPr>
          <w:sz w:val="22"/>
          <w:szCs w:val="22"/>
        </w:rPr>
        <w:t>Mediante pedidos de reexame, o Consórcio Skanska/Engevix e a Petrobras insurgiram-se contra de</w:t>
      </w:r>
      <w:r w:rsidR="00EA445E" w:rsidRPr="00034AE2">
        <w:rPr>
          <w:sz w:val="22"/>
          <w:szCs w:val="22"/>
        </w:rPr>
        <w:t>termina</w:t>
      </w:r>
      <w:r w:rsidRPr="00034AE2">
        <w:rPr>
          <w:sz w:val="22"/>
          <w:szCs w:val="22"/>
        </w:rPr>
        <w:t>ções contidas no Acórdão 93/2009-Plenário. No caso, o citado consórcio fo</w:t>
      </w:r>
      <w:r w:rsidR="00034AE2">
        <w:rPr>
          <w:sz w:val="22"/>
          <w:szCs w:val="22"/>
        </w:rPr>
        <w:t>ra</w:t>
      </w:r>
      <w:r w:rsidRPr="00034AE2">
        <w:rPr>
          <w:sz w:val="22"/>
          <w:szCs w:val="22"/>
        </w:rPr>
        <w:t xml:space="preserve"> contratado, sob o regime de empreitada por preço global, para construir uma unidade de produção de </w:t>
      </w:r>
      <w:r w:rsidR="00034AE2">
        <w:rPr>
          <w:sz w:val="22"/>
          <w:szCs w:val="22"/>
        </w:rPr>
        <w:t>p</w:t>
      </w:r>
      <w:r w:rsidRPr="00034AE2">
        <w:rPr>
          <w:sz w:val="22"/>
          <w:szCs w:val="22"/>
        </w:rPr>
        <w:t xml:space="preserve">ropeno no Paraná, envolvendo a execução dos serviços de projeto de detalhamento, fornecimento parcial de bens, construção da infra-estrutura complementar de canteiros de obras, construção, montagem, condicionamento e assistência à pré-operação, partida, operação e apoio à manutenção para implementação do </w:t>
      </w:r>
      <w:r w:rsidRPr="00034AE2">
        <w:rPr>
          <w:b/>
          <w:sz w:val="22"/>
          <w:szCs w:val="22"/>
        </w:rPr>
        <w:t>on-site</w:t>
      </w:r>
      <w:r w:rsidRPr="00034AE2">
        <w:rPr>
          <w:sz w:val="22"/>
          <w:szCs w:val="22"/>
        </w:rPr>
        <w:t xml:space="preserve"> da </w:t>
      </w:r>
      <w:r w:rsidR="00034AE2">
        <w:rPr>
          <w:sz w:val="22"/>
          <w:szCs w:val="22"/>
        </w:rPr>
        <w:t>u</w:t>
      </w:r>
      <w:r w:rsidRPr="00034AE2">
        <w:rPr>
          <w:sz w:val="22"/>
          <w:szCs w:val="22"/>
        </w:rPr>
        <w:t xml:space="preserve">nidade de </w:t>
      </w:r>
      <w:r w:rsidR="00034AE2">
        <w:rPr>
          <w:sz w:val="22"/>
          <w:szCs w:val="22"/>
        </w:rPr>
        <w:t>p</w:t>
      </w:r>
      <w:r w:rsidRPr="00034AE2">
        <w:rPr>
          <w:sz w:val="22"/>
          <w:szCs w:val="22"/>
        </w:rPr>
        <w:t>ropeno no Paraná.</w:t>
      </w:r>
      <w:r w:rsidRPr="00907EC0">
        <w:rPr>
          <w:sz w:val="22"/>
          <w:szCs w:val="22"/>
        </w:rPr>
        <w:t xml:space="preserve"> </w:t>
      </w:r>
      <w:r w:rsidR="00034AE2">
        <w:rPr>
          <w:sz w:val="22"/>
          <w:szCs w:val="22"/>
        </w:rPr>
        <w:t>De acordo com o</w:t>
      </w:r>
      <w:r w:rsidRPr="00907EC0">
        <w:rPr>
          <w:sz w:val="22"/>
          <w:szCs w:val="22"/>
        </w:rPr>
        <w:t xml:space="preserve"> contrato firmado</w:t>
      </w:r>
      <w:r w:rsidR="00034AE2">
        <w:rPr>
          <w:sz w:val="22"/>
          <w:szCs w:val="22"/>
        </w:rPr>
        <w:t>,</w:t>
      </w:r>
      <w:r w:rsidRPr="00907EC0">
        <w:rPr>
          <w:sz w:val="22"/>
          <w:szCs w:val="22"/>
        </w:rPr>
        <w:t xml:space="preserve"> </w:t>
      </w:r>
      <w:r w:rsidR="00411094" w:rsidRPr="00907EC0">
        <w:rPr>
          <w:sz w:val="22"/>
          <w:szCs w:val="22"/>
        </w:rPr>
        <w:t>na ocorrência</w:t>
      </w:r>
      <w:r w:rsidRPr="00907EC0">
        <w:rPr>
          <w:sz w:val="22"/>
          <w:szCs w:val="22"/>
        </w:rPr>
        <w:t xml:space="preserve"> de </w:t>
      </w:r>
      <w:r w:rsidR="00E63136" w:rsidRPr="00034AE2">
        <w:rPr>
          <w:i/>
          <w:sz w:val="22"/>
          <w:szCs w:val="22"/>
        </w:rPr>
        <w:t>“</w:t>
      </w:r>
      <w:r w:rsidRPr="00034AE2">
        <w:rPr>
          <w:i/>
          <w:sz w:val="22"/>
          <w:szCs w:val="22"/>
        </w:rPr>
        <w:t>diferença entre as quantidades apuradas (QA) pela contratada durante a execução e as quantidades determinadas (QD) no projeto básico elaborado pela PETROBRAS de mais de 7%, para mais ou para menos, é cabível o ressarcimento por parte da PETROBRAS ou da contratada, conforme o caso, da diferença que exceder esse percentual.</w:t>
      </w:r>
      <w:r w:rsidR="00E63136" w:rsidRPr="00034AE2">
        <w:rPr>
          <w:i/>
          <w:sz w:val="22"/>
          <w:szCs w:val="22"/>
        </w:rPr>
        <w:t>”</w:t>
      </w:r>
      <w:r w:rsidRPr="00034AE2">
        <w:rPr>
          <w:sz w:val="22"/>
          <w:szCs w:val="22"/>
        </w:rPr>
        <w:t xml:space="preserve">. O </w:t>
      </w:r>
      <w:r w:rsidRPr="00907EC0">
        <w:rPr>
          <w:sz w:val="22"/>
          <w:szCs w:val="22"/>
        </w:rPr>
        <w:t xml:space="preserve">Tribunal entendeu que tal cláusula, somada a outras, impunha </w:t>
      </w:r>
      <w:r w:rsidR="00E63136" w:rsidRPr="00034AE2">
        <w:rPr>
          <w:i/>
          <w:sz w:val="22"/>
          <w:szCs w:val="22"/>
        </w:rPr>
        <w:t>“</w:t>
      </w:r>
      <w:r w:rsidRPr="00034AE2">
        <w:rPr>
          <w:i/>
          <w:sz w:val="22"/>
          <w:szCs w:val="22"/>
        </w:rPr>
        <w:t>descaracterização do regime de empreitada por preço global, configurando empreitada por preços unitários</w:t>
      </w:r>
      <w:r w:rsidR="00034AE2">
        <w:rPr>
          <w:i/>
          <w:sz w:val="22"/>
          <w:szCs w:val="22"/>
        </w:rPr>
        <w:t>,</w:t>
      </w:r>
      <w:r w:rsidRPr="00034AE2">
        <w:rPr>
          <w:i/>
          <w:sz w:val="22"/>
          <w:szCs w:val="22"/>
        </w:rPr>
        <w:t xml:space="preserve"> em face de o contrato admitir acréscimos decorrentes de ressarcimentos por quantitativos apurados no projeto executivo, os quais não caracterizam eventos supervenientes e imprevistos, e sim apenas inexatidões em relação ao projeto básico, cujos riscos de sua ocorrência já estão embutidos no BDI da contratada</w:t>
      </w:r>
      <w:r w:rsidR="00E63136" w:rsidRPr="00034AE2">
        <w:rPr>
          <w:i/>
          <w:sz w:val="22"/>
          <w:szCs w:val="22"/>
        </w:rPr>
        <w:t>”</w:t>
      </w:r>
      <w:r w:rsidRPr="00034AE2">
        <w:rPr>
          <w:sz w:val="22"/>
          <w:szCs w:val="22"/>
        </w:rPr>
        <w:t>. Assim, ainda na fase inicial de execução do empreendimento</w:t>
      </w:r>
      <w:r w:rsidR="00411094" w:rsidRPr="00034AE2">
        <w:rPr>
          <w:sz w:val="22"/>
          <w:szCs w:val="22"/>
        </w:rPr>
        <w:t xml:space="preserve">, </w:t>
      </w:r>
      <w:r w:rsidR="00034AE2">
        <w:rPr>
          <w:sz w:val="22"/>
          <w:szCs w:val="22"/>
        </w:rPr>
        <w:t xml:space="preserve">o Tribunal </w:t>
      </w:r>
      <w:r w:rsidR="00411094" w:rsidRPr="00034AE2">
        <w:rPr>
          <w:sz w:val="22"/>
          <w:szCs w:val="22"/>
        </w:rPr>
        <w:t>determinou</w:t>
      </w:r>
      <w:r w:rsidRPr="00034AE2">
        <w:rPr>
          <w:sz w:val="22"/>
          <w:szCs w:val="22"/>
        </w:rPr>
        <w:t xml:space="preserve"> à Petrobras que </w:t>
      </w:r>
      <w:r w:rsidR="00E63136" w:rsidRPr="00034AE2">
        <w:rPr>
          <w:i/>
          <w:sz w:val="22"/>
          <w:szCs w:val="22"/>
        </w:rPr>
        <w:t>“</w:t>
      </w:r>
      <w:r w:rsidRPr="00034AE2">
        <w:rPr>
          <w:i/>
          <w:sz w:val="22"/>
          <w:szCs w:val="22"/>
        </w:rPr>
        <w:t>evite a fixação, em contratos sob o regime de empreitada pelo preço global, de percentuais ou limites cuja extrapolação implique a revisão do preço global do contrato, a exemplo daquele previsto na cláusula 5.1.2.1 do contrato para a Unidade de propeno da Refinaria Getúlio Vargas, destinado a cobrir os riscos de eventuais erros dos quantitativos extraídos do projeto licitado, envidando, ao invés, todos os esforços necessários à obtenção de projetos adequados ao nível de complexidade exigido pelo objeto</w:t>
      </w:r>
      <w:r w:rsidR="00E63136" w:rsidRPr="00034AE2">
        <w:rPr>
          <w:i/>
          <w:sz w:val="22"/>
          <w:szCs w:val="22"/>
        </w:rPr>
        <w:t>”</w:t>
      </w:r>
      <w:r w:rsidR="00411094" w:rsidRPr="00034AE2">
        <w:rPr>
          <w:sz w:val="22"/>
          <w:szCs w:val="22"/>
        </w:rPr>
        <w:t xml:space="preserve">. </w:t>
      </w:r>
      <w:r w:rsidR="00034AE2">
        <w:rPr>
          <w:sz w:val="22"/>
          <w:szCs w:val="22"/>
        </w:rPr>
        <w:t>A</w:t>
      </w:r>
      <w:r w:rsidR="00411094" w:rsidRPr="00034AE2">
        <w:rPr>
          <w:sz w:val="22"/>
          <w:szCs w:val="22"/>
        </w:rPr>
        <w:t xml:space="preserve">o examinar os </w:t>
      </w:r>
      <w:r w:rsidR="00034AE2">
        <w:rPr>
          <w:sz w:val="22"/>
          <w:szCs w:val="22"/>
        </w:rPr>
        <w:t>recursos</w:t>
      </w:r>
      <w:r w:rsidR="00411094" w:rsidRPr="00034AE2">
        <w:rPr>
          <w:sz w:val="22"/>
          <w:szCs w:val="22"/>
        </w:rPr>
        <w:t xml:space="preserve">, </w:t>
      </w:r>
      <w:r w:rsidR="00034AE2">
        <w:rPr>
          <w:sz w:val="22"/>
          <w:szCs w:val="22"/>
        </w:rPr>
        <w:t>o relator c</w:t>
      </w:r>
      <w:r w:rsidR="00411094" w:rsidRPr="00034AE2">
        <w:rPr>
          <w:sz w:val="22"/>
          <w:szCs w:val="22"/>
        </w:rPr>
        <w:t>onsiderou</w:t>
      </w:r>
      <w:r w:rsidR="00034AE2">
        <w:rPr>
          <w:sz w:val="22"/>
          <w:szCs w:val="22"/>
        </w:rPr>
        <w:t xml:space="preserve"> não restar </w:t>
      </w:r>
      <w:r w:rsidR="00411094" w:rsidRPr="00034AE2">
        <w:rPr>
          <w:sz w:val="22"/>
          <w:szCs w:val="22"/>
        </w:rPr>
        <w:t>descaracterizado</w:t>
      </w:r>
      <w:r w:rsidR="00761359">
        <w:rPr>
          <w:sz w:val="22"/>
          <w:szCs w:val="22"/>
        </w:rPr>
        <w:t>, na espécie,</w:t>
      </w:r>
      <w:r w:rsidR="00411094" w:rsidRPr="00034AE2">
        <w:rPr>
          <w:sz w:val="22"/>
          <w:szCs w:val="22"/>
        </w:rPr>
        <w:t xml:space="preserve"> o regime de empreitada por preço global</w:t>
      </w:r>
      <w:r w:rsidR="00034AE2">
        <w:rPr>
          <w:sz w:val="22"/>
          <w:szCs w:val="22"/>
        </w:rPr>
        <w:t>, haja vista</w:t>
      </w:r>
      <w:r w:rsidR="00411094" w:rsidRPr="00034AE2">
        <w:rPr>
          <w:sz w:val="22"/>
          <w:szCs w:val="22"/>
        </w:rPr>
        <w:t xml:space="preserve"> </w:t>
      </w:r>
      <w:r w:rsidR="006A420B" w:rsidRPr="00034AE2">
        <w:rPr>
          <w:sz w:val="22"/>
          <w:szCs w:val="22"/>
        </w:rPr>
        <w:t>que a própria Lei de Diretrizes Orçamentárias para 2011</w:t>
      </w:r>
      <w:r w:rsidR="00761359">
        <w:rPr>
          <w:sz w:val="22"/>
          <w:szCs w:val="22"/>
        </w:rPr>
        <w:t>, em seu</w:t>
      </w:r>
      <w:r w:rsidR="00925974" w:rsidRPr="00034AE2">
        <w:rPr>
          <w:sz w:val="22"/>
          <w:szCs w:val="22"/>
        </w:rPr>
        <w:t xml:space="preserve"> art. 127, § 6º, </w:t>
      </w:r>
      <w:r w:rsidR="00761359">
        <w:rPr>
          <w:sz w:val="22"/>
          <w:szCs w:val="22"/>
        </w:rPr>
        <w:t xml:space="preserve">inciso </w:t>
      </w:r>
      <w:r w:rsidR="00925974" w:rsidRPr="00034AE2">
        <w:rPr>
          <w:sz w:val="22"/>
          <w:szCs w:val="22"/>
        </w:rPr>
        <w:t>III</w:t>
      </w:r>
      <w:r w:rsidR="00761359">
        <w:rPr>
          <w:sz w:val="22"/>
          <w:szCs w:val="22"/>
        </w:rPr>
        <w:t>,</w:t>
      </w:r>
      <w:r w:rsidR="00925974" w:rsidRPr="00034AE2">
        <w:rPr>
          <w:sz w:val="22"/>
          <w:szCs w:val="22"/>
        </w:rPr>
        <w:t xml:space="preserve"> declara, expressamente, como aceitáveis, em obras realizadas sob o regime de empreitada </w:t>
      </w:r>
      <w:r w:rsidR="00034AE2">
        <w:rPr>
          <w:sz w:val="22"/>
          <w:szCs w:val="22"/>
        </w:rPr>
        <w:t xml:space="preserve">por preço </w:t>
      </w:r>
      <w:r w:rsidR="00925974" w:rsidRPr="00034AE2">
        <w:rPr>
          <w:sz w:val="22"/>
          <w:szCs w:val="22"/>
        </w:rPr>
        <w:t xml:space="preserve">global, alterações contratuais de pequena monta, em face de falhas ou omissões do projeto básico. </w:t>
      </w:r>
      <w:r w:rsidR="00401539" w:rsidRPr="00034AE2">
        <w:rPr>
          <w:sz w:val="22"/>
          <w:szCs w:val="22"/>
        </w:rPr>
        <w:t xml:space="preserve">Além disso, para o relator, </w:t>
      </w:r>
      <w:r w:rsidR="00D3771F" w:rsidRPr="00E2003B">
        <w:rPr>
          <w:i/>
          <w:sz w:val="22"/>
          <w:szCs w:val="22"/>
        </w:rPr>
        <w:t>“as cláusulas do edital e do contrato estipulavam obrigação de a Petrobrás remunerar o consórcio apenas pelos quantitativos que excedessem as previsões originais e ultrapassem o patamar de 7% (...). Tais condições conferiam aos contratantes a obrigação de tolerar pequenas variações em relação à previsão original”</w:t>
      </w:r>
      <w:r w:rsidR="00D3771F" w:rsidRPr="00034AE2">
        <w:rPr>
          <w:sz w:val="22"/>
          <w:szCs w:val="22"/>
        </w:rPr>
        <w:t xml:space="preserve">. </w:t>
      </w:r>
      <w:r w:rsidR="00E2003B">
        <w:rPr>
          <w:sz w:val="22"/>
          <w:szCs w:val="22"/>
        </w:rPr>
        <w:t xml:space="preserve">Em seu voto, </w:t>
      </w:r>
      <w:r w:rsidR="00761359">
        <w:rPr>
          <w:sz w:val="22"/>
          <w:szCs w:val="22"/>
        </w:rPr>
        <w:t>o relator registrou</w:t>
      </w:r>
      <w:r w:rsidR="00D3771F" w:rsidRPr="00907EC0">
        <w:rPr>
          <w:sz w:val="22"/>
          <w:szCs w:val="22"/>
        </w:rPr>
        <w:t xml:space="preserve">, ainda, a tendência jurisprudencial do Tribunal no sentido de que, mesmo em </w:t>
      </w:r>
      <w:r w:rsidR="00D3771F" w:rsidRPr="00034AE2">
        <w:rPr>
          <w:sz w:val="22"/>
          <w:szCs w:val="22"/>
        </w:rPr>
        <w:t xml:space="preserve">contratos sob o regime de empreitada </w:t>
      </w:r>
      <w:r w:rsidR="00E2003B">
        <w:rPr>
          <w:sz w:val="22"/>
          <w:szCs w:val="22"/>
        </w:rPr>
        <w:t>por</w:t>
      </w:r>
      <w:r w:rsidR="00D3771F" w:rsidRPr="00034AE2">
        <w:rPr>
          <w:sz w:val="22"/>
          <w:szCs w:val="22"/>
        </w:rPr>
        <w:t xml:space="preserve"> preço global, há necessidade de que os pagamentos correspondam aos serviços efetivamente executados. </w:t>
      </w:r>
      <w:r w:rsidR="00E2003B">
        <w:rPr>
          <w:sz w:val="22"/>
          <w:szCs w:val="22"/>
        </w:rPr>
        <w:t>Ao final</w:t>
      </w:r>
      <w:r w:rsidR="00D3771F" w:rsidRPr="00034AE2">
        <w:rPr>
          <w:sz w:val="22"/>
          <w:szCs w:val="22"/>
        </w:rPr>
        <w:t xml:space="preserve">, votou pelo provimento dos pedidos de reexame interpostos, de </w:t>
      </w:r>
      <w:r w:rsidR="00191894" w:rsidRPr="00034AE2">
        <w:rPr>
          <w:sz w:val="22"/>
          <w:szCs w:val="22"/>
        </w:rPr>
        <w:t xml:space="preserve">forma a desconstituir a determinação </w:t>
      </w:r>
      <w:r w:rsidR="00E2003B">
        <w:rPr>
          <w:sz w:val="22"/>
          <w:szCs w:val="22"/>
        </w:rPr>
        <w:t>guerreada</w:t>
      </w:r>
      <w:r w:rsidR="00191894" w:rsidRPr="00034AE2">
        <w:rPr>
          <w:sz w:val="22"/>
          <w:szCs w:val="22"/>
        </w:rPr>
        <w:t xml:space="preserve">, o que foi acolhido pelo Plenário. </w:t>
      </w:r>
      <w:r w:rsidR="00B951C1" w:rsidRPr="00034AE2">
        <w:rPr>
          <w:sz w:val="22"/>
          <w:szCs w:val="22"/>
        </w:rPr>
        <w:t xml:space="preserve">Precedentes citados: Acórdão </w:t>
      </w:r>
      <w:r w:rsidRPr="00034AE2">
        <w:rPr>
          <w:sz w:val="22"/>
          <w:szCs w:val="22"/>
        </w:rPr>
        <w:t>nº 2088/2004-Plenário e Acórdão nº 1244/2008</w:t>
      </w:r>
      <w:r w:rsidR="00E2003B">
        <w:rPr>
          <w:sz w:val="22"/>
          <w:szCs w:val="22"/>
        </w:rPr>
        <w:t>-</w:t>
      </w:r>
      <w:r w:rsidRPr="00034AE2">
        <w:rPr>
          <w:sz w:val="22"/>
          <w:szCs w:val="22"/>
        </w:rPr>
        <w:t>2ª Câmara</w:t>
      </w:r>
      <w:r w:rsidR="00B951C1" w:rsidRPr="00034AE2">
        <w:rPr>
          <w:sz w:val="22"/>
          <w:szCs w:val="22"/>
        </w:rPr>
        <w:t xml:space="preserve">. </w:t>
      </w:r>
      <w:r w:rsidR="00870986" w:rsidRPr="00E2003B">
        <w:rPr>
          <w:b/>
          <w:i/>
          <w:sz w:val="22"/>
          <w:szCs w:val="22"/>
        </w:rPr>
        <w:t>Acórdão n.º 2</w:t>
      </w:r>
      <w:r w:rsidRPr="00E2003B">
        <w:rPr>
          <w:b/>
          <w:i/>
          <w:sz w:val="22"/>
          <w:szCs w:val="22"/>
        </w:rPr>
        <w:t>929</w:t>
      </w:r>
      <w:r w:rsidR="00870986" w:rsidRPr="00E2003B">
        <w:rPr>
          <w:b/>
          <w:i/>
          <w:sz w:val="22"/>
          <w:szCs w:val="22"/>
        </w:rPr>
        <w:t>/2010-Plenário, TC-0</w:t>
      </w:r>
      <w:r w:rsidRPr="00E2003B">
        <w:rPr>
          <w:b/>
          <w:i/>
          <w:sz w:val="22"/>
          <w:szCs w:val="22"/>
        </w:rPr>
        <w:t>15</w:t>
      </w:r>
      <w:r w:rsidR="00870986" w:rsidRPr="00E2003B">
        <w:rPr>
          <w:b/>
          <w:i/>
          <w:sz w:val="22"/>
          <w:szCs w:val="22"/>
        </w:rPr>
        <w:t>.</w:t>
      </w:r>
      <w:r w:rsidRPr="00E2003B">
        <w:rPr>
          <w:b/>
          <w:i/>
          <w:sz w:val="22"/>
          <w:szCs w:val="22"/>
        </w:rPr>
        <w:t>638/20</w:t>
      </w:r>
      <w:r w:rsidR="00870986" w:rsidRPr="00E2003B">
        <w:rPr>
          <w:b/>
          <w:i/>
          <w:sz w:val="22"/>
          <w:szCs w:val="22"/>
        </w:rPr>
        <w:t>0</w:t>
      </w:r>
      <w:r w:rsidRPr="00E2003B">
        <w:rPr>
          <w:b/>
          <w:i/>
          <w:sz w:val="22"/>
          <w:szCs w:val="22"/>
        </w:rPr>
        <w:t>7</w:t>
      </w:r>
      <w:r w:rsidR="00870986" w:rsidRPr="00E2003B">
        <w:rPr>
          <w:b/>
          <w:i/>
          <w:sz w:val="22"/>
          <w:szCs w:val="22"/>
        </w:rPr>
        <w:t>-</w:t>
      </w:r>
      <w:r w:rsidRPr="00E2003B">
        <w:rPr>
          <w:b/>
          <w:i/>
          <w:sz w:val="22"/>
          <w:szCs w:val="22"/>
        </w:rPr>
        <w:t>4</w:t>
      </w:r>
      <w:r w:rsidR="00870986" w:rsidRPr="00E2003B">
        <w:rPr>
          <w:b/>
          <w:i/>
          <w:sz w:val="22"/>
          <w:szCs w:val="22"/>
        </w:rPr>
        <w:t xml:space="preserve">, rel. Min. </w:t>
      </w:r>
      <w:r w:rsidRPr="00E2003B">
        <w:rPr>
          <w:b/>
          <w:i/>
          <w:sz w:val="22"/>
          <w:szCs w:val="22"/>
        </w:rPr>
        <w:t>Benjamin Zymler, 03</w:t>
      </w:r>
      <w:r w:rsidR="00870986" w:rsidRPr="00E2003B">
        <w:rPr>
          <w:b/>
          <w:i/>
          <w:sz w:val="22"/>
          <w:szCs w:val="22"/>
        </w:rPr>
        <w:t>.</w:t>
      </w:r>
      <w:r w:rsidRPr="00E2003B">
        <w:rPr>
          <w:b/>
          <w:i/>
          <w:sz w:val="22"/>
          <w:szCs w:val="22"/>
        </w:rPr>
        <w:t>1</w:t>
      </w:r>
      <w:r w:rsidR="00870986" w:rsidRPr="00E2003B">
        <w:rPr>
          <w:b/>
          <w:i/>
          <w:sz w:val="22"/>
          <w:szCs w:val="22"/>
        </w:rPr>
        <w:t>1.2010</w:t>
      </w:r>
      <w:r w:rsidR="00870986" w:rsidRPr="00034AE2">
        <w:rPr>
          <w:sz w:val="22"/>
          <w:szCs w:val="22"/>
        </w:rPr>
        <w:t>.</w:t>
      </w:r>
    </w:p>
    <w:p w:rsidR="00E47F90" w:rsidRPr="00E2003B" w:rsidRDefault="00E47F90" w:rsidP="00907EC0">
      <w:pPr>
        <w:pStyle w:val="Pargrafo"/>
        <w:jc w:val="both"/>
        <w:rPr>
          <w:sz w:val="22"/>
          <w:szCs w:val="22"/>
        </w:rPr>
      </w:pPr>
    </w:p>
    <w:p w:rsidR="00D8231F" w:rsidRPr="00E30127" w:rsidRDefault="00E30127" w:rsidP="00907EC0">
      <w:pPr>
        <w:pStyle w:val="Pargrafo"/>
        <w:jc w:val="both"/>
        <w:rPr>
          <w:b/>
          <w:sz w:val="22"/>
          <w:szCs w:val="22"/>
        </w:rPr>
      </w:pPr>
      <w:r w:rsidRPr="00E30127">
        <w:rPr>
          <w:b/>
          <w:sz w:val="22"/>
          <w:szCs w:val="22"/>
        </w:rPr>
        <w:t>Aditivo com inclusão de serviços não previstos originalmente no contrato: necessidade de se comparar a situação inicial com a final para se concluir pela existência, ou não, de débito</w:t>
      </w:r>
    </w:p>
    <w:p w:rsidR="00D8231F" w:rsidRPr="00907EC0" w:rsidRDefault="00D8231F" w:rsidP="00907EC0">
      <w:pPr>
        <w:pStyle w:val="Corpo"/>
        <w:tabs>
          <w:tab w:val="clear" w:pos="2268"/>
        </w:tabs>
        <w:spacing w:before="0"/>
        <w:ind w:firstLine="0"/>
        <w:rPr>
          <w:sz w:val="22"/>
          <w:szCs w:val="22"/>
        </w:rPr>
      </w:pPr>
      <w:r w:rsidRPr="00907EC0">
        <w:rPr>
          <w:sz w:val="22"/>
          <w:szCs w:val="22"/>
        </w:rPr>
        <w:t xml:space="preserve">Em </w:t>
      </w:r>
      <w:r w:rsidR="00761359">
        <w:rPr>
          <w:sz w:val="22"/>
          <w:szCs w:val="22"/>
        </w:rPr>
        <w:t xml:space="preserve">sede de </w:t>
      </w:r>
      <w:r w:rsidRPr="00907EC0">
        <w:rPr>
          <w:sz w:val="22"/>
          <w:szCs w:val="22"/>
        </w:rPr>
        <w:t xml:space="preserve">pedido de reexame, </w:t>
      </w:r>
      <w:r w:rsidR="00AB30C8" w:rsidRPr="00907EC0">
        <w:rPr>
          <w:sz w:val="22"/>
          <w:szCs w:val="22"/>
        </w:rPr>
        <w:t xml:space="preserve">o ex-Diretor Geral do Departamento de Estradas de Rodagem do Acre – DERACRE </w:t>
      </w:r>
      <w:r w:rsidR="00FE4B60" w:rsidRPr="00907EC0">
        <w:rPr>
          <w:sz w:val="22"/>
          <w:szCs w:val="22"/>
        </w:rPr>
        <w:t>manifest</w:t>
      </w:r>
      <w:r w:rsidR="00AB30C8" w:rsidRPr="00907EC0">
        <w:rPr>
          <w:sz w:val="22"/>
          <w:szCs w:val="22"/>
        </w:rPr>
        <w:t>ou seu inconformismo</w:t>
      </w:r>
      <w:r w:rsidR="00277EF9" w:rsidRPr="00907EC0">
        <w:rPr>
          <w:sz w:val="22"/>
          <w:szCs w:val="22"/>
        </w:rPr>
        <w:t xml:space="preserve"> </w:t>
      </w:r>
      <w:r w:rsidR="00AB30C8" w:rsidRPr="00907EC0">
        <w:rPr>
          <w:sz w:val="22"/>
          <w:szCs w:val="22"/>
        </w:rPr>
        <w:t>em face de multa que lhe fora aplicada por intermédio do Acórdão 1192/2009-Plenário</w:t>
      </w:r>
      <w:r w:rsidR="00E30127">
        <w:rPr>
          <w:sz w:val="22"/>
          <w:szCs w:val="22"/>
        </w:rPr>
        <w:t xml:space="preserve">, </w:t>
      </w:r>
      <w:r w:rsidR="00761359">
        <w:rPr>
          <w:sz w:val="22"/>
          <w:szCs w:val="22"/>
        </w:rPr>
        <w:t>prolatado quando da apreciação de</w:t>
      </w:r>
      <w:r w:rsidR="00AB30C8" w:rsidRPr="00907EC0">
        <w:rPr>
          <w:sz w:val="22"/>
          <w:szCs w:val="22"/>
        </w:rPr>
        <w:t xml:space="preserve"> </w:t>
      </w:r>
      <w:r w:rsidR="00FE4B60" w:rsidRPr="00907EC0">
        <w:rPr>
          <w:sz w:val="22"/>
          <w:szCs w:val="22"/>
        </w:rPr>
        <w:t xml:space="preserve">relatório de </w:t>
      </w:r>
      <w:r w:rsidR="00AB30C8" w:rsidRPr="00907EC0">
        <w:rPr>
          <w:sz w:val="22"/>
          <w:szCs w:val="22"/>
        </w:rPr>
        <w:t>auditoria realizada nas obras de construção de trecho rodoviário na BR-317</w:t>
      </w:r>
      <w:r w:rsidR="00E30127">
        <w:rPr>
          <w:sz w:val="22"/>
          <w:szCs w:val="22"/>
        </w:rPr>
        <w:t>,</w:t>
      </w:r>
      <w:r w:rsidR="00AB30C8" w:rsidRPr="00907EC0">
        <w:rPr>
          <w:sz w:val="22"/>
          <w:szCs w:val="22"/>
        </w:rPr>
        <w:t xml:space="preserve"> no Estado do Acre</w:t>
      </w:r>
      <w:r w:rsidR="00E30127">
        <w:rPr>
          <w:sz w:val="22"/>
          <w:szCs w:val="22"/>
        </w:rPr>
        <w:t>. U</w:t>
      </w:r>
      <w:r w:rsidR="00AB30C8" w:rsidRPr="00907EC0">
        <w:rPr>
          <w:sz w:val="22"/>
          <w:szCs w:val="22"/>
        </w:rPr>
        <w:t xml:space="preserve">ma das irregularidades que levou à aplicação de multa </w:t>
      </w:r>
      <w:r w:rsidR="00E30127">
        <w:rPr>
          <w:sz w:val="22"/>
          <w:szCs w:val="22"/>
        </w:rPr>
        <w:t>a</w:t>
      </w:r>
      <w:r w:rsidR="00AB30C8" w:rsidRPr="00907EC0">
        <w:rPr>
          <w:sz w:val="22"/>
          <w:szCs w:val="22"/>
        </w:rPr>
        <w:t xml:space="preserve">o referido </w:t>
      </w:r>
      <w:r w:rsidR="00E30127">
        <w:rPr>
          <w:sz w:val="22"/>
          <w:szCs w:val="22"/>
        </w:rPr>
        <w:t>agente público</w:t>
      </w:r>
      <w:r w:rsidR="00AB30C8" w:rsidRPr="00907EC0">
        <w:rPr>
          <w:sz w:val="22"/>
          <w:szCs w:val="22"/>
        </w:rPr>
        <w:t xml:space="preserve"> fora a sua anuência à inclusão de quatro serviços novos na planilha contratual</w:t>
      </w:r>
      <w:r w:rsidR="00E30127">
        <w:rPr>
          <w:sz w:val="22"/>
          <w:szCs w:val="22"/>
        </w:rPr>
        <w:t>,</w:t>
      </w:r>
      <w:r w:rsidR="00AB30C8" w:rsidRPr="00907EC0">
        <w:rPr>
          <w:sz w:val="22"/>
          <w:szCs w:val="22"/>
        </w:rPr>
        <w:t xml:space="preserve"> por preços superiores aos constantes do Sistema de Custos Rodoviários </w:t>
      </w:r>
      <w:r w:rsidR="00650FED">
        <w:rPr>
          <w:sz w:val="22"/>
          <w:szCs w:val="22"/>
        </w:rPr>
        <w:t>(SICRO)</w:t>
      </w:r>
      <w:r w:rsidR="00AB30C8" w:rsidRPr="00907EC0">
        <w:rPr>
          <w:sz w:val="22"/>
          <w:szCs w:val="22"/>
        </w:rPr>
        <w:t xml:space="preserve">, do Departamento Nacional de Infraestrutura de Transporte (DNIT). Ao </w:t>
      </w:r>
      <w:r w:rsidR="00A76182" w:rsidRPr="00907EC0">
        <w:rPr>
          <w:sz w:val="22"/>
          <w:szCs w:val="22"/>
        </w:rPr>
        <w:t>examinar</w:t>
      </w:r>
      <w:r w:rsidR="00AB30C8" w:rsidRPr="00907EC0">
        <w:rPr>
          <w:sz w:val="22"/>
          <w:szCs w:val="22"/>
        </w:rPr>
        <w:t xml:space="preserve"> a matéria, o </w:t>
      </w:r>
      <w:r w:rsidR="00A76182" w:rsidRPr="00907EC0">
        <w:rPr>
          <w:sz w:val="22"/>
          <w:szCs w:val="22"/>
        </w:rPr>
        <w:t>relator destacou que,</w:t>
      </w:r>
      <w:r w:rsidR="006A45B2" w:rsidRPr="00907EC0">
        <w:rPr>
          <w:sz w:val="22"/>
          <w:szCs w:val="22"/>
        </w:rPr>
        <w:t xml:space="preserve"> “</w:t>
      </w:r>
      <w:r w:rsidR="006A45B2" w:rsidRPr="00907EC0">
        <w:rPr>
          <w:i/>
          <w:sz w:val="22"/>
          <w:szCs w:val="22"/>
        </w:rPr>
        <w:t>quando da inclusão desses serviços, foram incluídos outros quatro</w:t>
      </w:r>
      <w:r w:rsidR="002A7275">
        <w:rPr>
          <w:i/>
          <w:sz w:val="22"/>
          <w:szCs w:val="22"/>
        </w:rPr>
        <w:t>,</w:t>
      </w:r>
      <w:r w:rsidR="006A45B2" w:rsidRPr="00907EC0">
        <w:rPr>
          <w:i/>
          <w:sz w:val="22"/>
          <w:szCs w:val="22"/>
        </w:rPr>
        <w:t xml:space="preserve"> cujos preços eram inferiores aos de referência. Da soma total desses oito novos serviços (R$ 2.322.660,96), resultou preços menores em R$ 85.048,42 ao que resultaria da simples aplicação</w:t>
      </w:r>
      <w:r w:rsidR="002A7275">
        <w:rPr>
          <w:i/>
          <w:sz w:val="22"/>
          <w:szCs w:val="22"/>
        </w:rPr>
        <w:t>,</w:t>
      </w:r>
      <w:r w:rsidR="006A45B2" w:rsidRPr="00907EC0">
        <w:rPr>
          <w:i/>
          <w:sz w:val="22"/>
          <w:szCs w:val="22"/>
        </w:rPr>
        <w:t xml:space="preserve"> a todos esses serviços</w:t>
      </w:r>
      <w:r w:rsidR="002A7275">
        <w:rPr>
          <w:i/>
          <w:sz w:val="22"/>
          <w:szCs w:val="22"/>
        </w:rPr>
        <w:t>,</w:t>
      </w:r>
      <w:r w:rsidR="006A45B2" w:rsidRPr="00907EC0">
        <w:rPr>
          <w:i/>
          <w:sz w:val="22"/>
          <w:szCs w:val="22"/>
        </w:rPr>
        <w:t xml:space="preserve"> dos valores oficiais de referência</w:t>
      </w:r>
      <w:r w:rsidR="006A45B2" w:rsidRPr="00907EC0">
        <w:rPr>
          <w:sz w:val="22"/>
          <w:szCs w:val="22"/>
        </w:rPr>
        <w:t xml:space="preserve">”. </w:t>
      </w:r>
      <w:r w:rsidR="00105847" w:rsidRPr="00907EC0">
        <w:rPr>
          <w:sz w:val="22"/>
          <w:szCs w:val="22"/>
        </w:rPr>
        <w:t>Em seguida, enfatizou que “</w:t>
      </w:r>
      <w:r w:rsidR="00105847" w:rsidRPr="00907EC0">
        <w:rPr>
          <w:i/>
          <w:sz w:val="22"/>
          <w:szCs w:val="22"/>
        </w:rPr>
        <w:t>tanto a recente jurisprudência do TCU (...) quanto a legislação que rege atualmente a matéria são no sentido de que os aditivos contratuais devem manter as condições financeiras verificadas quando da contratação</w:t>
      </w:r>
      <w:r w:rsidR="00105847" w:rsidRPr="00907EC0">
        <w:rPr>
          <w:sz w:val="22"/>
          <w:szCs w:val="22"/>
        </w:rPr>
        <w:t xml:space="preserve">”. </w:t>
      </w:r>
      <w:r w:rsidR="00650FED">
        <w:rPr>
          <w:sz w:val="22"/>
          <w:szCs w:val="22"/>
        </w:rPr>
        <w:t>Portanto</w:t>
      </w:r>
      <w:r w:rsidR="00105847" w:rsidRPr="00907EC0">
        <w:rPr>
          <w:sz w:val="22"/>
          <w:szCs w:val="22"/>
        </w:rPr>
        <w:t>, “</w:t>
      </w:r>
      <w:r w:rsidR="00105847" w:rsidRPr="00907EC0">
        <w:rPr>
          <w:i/>
          <w:sz w:val="22"/>
          <w:szCs w:val="22"/>
        </w:rPr>
        <w:t>se a obra possui valores globais em determinada proporção dos valores obtidos dos preços unitários de referência, essa proporção deve ser mantida quando da ocorrência de aditivos contratuais. Busca-se assim evitar o chamado ‘jogo de planilha’</w:t>
      </w:r>
      <w:r w:rsidR="00105847" w:rsidRPr="00907EC0">
        <w:rPr>
          <w:sz w:val="22"/>
          <w:szCs w:val="22"/>
        </w:rPr>
        <w:t xml:space="preserve">”. </w:t>
      </w:r>
      <w:r w:rsidR="00650FED">
        <w:rPr>
          <w:sz w:val="22"/>
          <w:szCs w:val="22"/>
        </w:rPr>
        <w:t>O</w:t>
      </w:r>
      <w:r w:rsidR="00105847" w:rsidRPr="00907EC0">
        <w:rPr>
          <w:sz w:val="22"/>
          <w:szCs w:val="22"/>
        </w:rPr>
        <w:t xml:space="preserve"> relator </w:t>
      </w:r>
      <w:r w:rsidR="00FE4B60" w:rsidRPr="00907EC0">
        <w:rPr>
          <w:sz w:val="22"/>
          <w:szCs w:val="22"/>
        </w:rPr>
        <w:t xml:space="preserve">entendeu que </w:t>
      </w:r>
      <w:r w:rsidR="00105847" w:rsidRPr="00907EC0">
        <w:rPr>
          <w:sz w:val="22"/>
          <w:szCs w:val="22"/>
        </w:rPr>
        <w:t>“</w:t>
      </w:r>
      <w:r w:rsidR="00105847" w:rsidRPr="00907EC0">
        <w:rPr>
          <w:i/>
          <w:sz w:val="22"/>
          <w:szCs w:val="22"/>
        </w:rPr>
        <w:t>caberia não uma análise destacada dos serviços novos incluídos no contrato, mas do impacto financeiro do conjunto de alterações decorrentes dos aditivos contratuais, englobando tanto os preços dos novos serviços quanto os preços dos serviços que tiveram os quantitativos alterados</w:t>
      </w:r>
      <w:r w:rsidR="00105847" w:rsidRPr="00907EC0">
        <w:rPr>
          <w:sz w:val="22"/>
          <w:szCs w:val="22"/>
        </w:rPr>
        <w:t xml:space="preserve">”. Comparando a situação inicial com a final, </w:t>
      </w:r>
      <w:r w:rsidR="00650FED">
        <w:rPr>
          <w:sz w:val="22"/>
          <w:szCs w:val="22"/>
        </w:rPr>
        <w:t>a</w:t>
      </w:r>
      <w:r w:rsidR="00105847" w:rsidRPr="00907EC0">
        <w:rPr>
          <w:sz w:val="22"/>
          <w:szCs w:val="22"/>
        </w:rPr>
        <w:t>pós</w:t>
      </w:r>
      <w:r w:rsidR="00650FED">
        <w:rPr>
          <w:sz w:val="22"/>
          <w:szCs w:val="22"/>
        </w:rPr>
        <w:t xml:space="preserve"> a</w:t>
      </w:r>
      <w:r w:rsidR="00105847" w:rsidRPr="00907EC0">
        <w:rPr>
          <w:sz w:val="22"/>
          <w:szCs w:val="22"/>
        </w:rPr>
        <w:t xml:space="preserve"> inclusão dos novos serviços, o relator concluiu ter agido o ge</w:t>
      </w:r>
      <w:r w:rsidR="00277EF9" w:rsidRPr="00907EC0">
        <w:rPr>
          <w:sz w:val="22"/>
          <w:szCs w:val="22"/>
        </w:rPr>
        <w:t>stor de maneira adequada, pois “</w:t>
      </w:r>
      <w:r w:rsidR="00277EF9" w:rsidRPr="00907EC0">
        <w:rPr>
          <w:i/>
          <w:sz w:val="22"/>
          <w:szCs w:val="22"/>
        </w:rPr>
        <w:t xml:space="preserve">os aditivos contratuais como um todo propiciaram a redução de cerca de R$ 670.000,00 no valor contratado. </w:t>
      </w:r>
      <w:r w:rsidR="00253470" w:rsidRPr="00907EC0">
        <w:rPr>
          <w:i/>
          <w:sz w:val="22"/>
          <w:szCs w:val="22"/>
        </w:rPr>
        <w:t>E m</w:t>
      </w:r>
      <w:r w:rsidR="00277EF9" w:rsidRPr="00907EC0">
        <w:rPr>
          <w:i/>
          <w:sz w:val="22"/>
          <w:szCs w:val="22"/>
        </w:rPr>
        <w:t>ais. Quando comparados com os valores de referência oficial (Sicro), o contrato apresentava uma diferença a maior de 8,4% e, após essas alterações contratuais, passou a apresentar uma diferença a maior de 0,21%</w:t>
      </w:r>
      <w:r w:rsidR="00277EF9" w:rsidRPr="00907EC0">
        <w:rPr>
          <w:sz w:val="22"/>
          <w:szCs w:val="22"/>
        </w:rPr>
        <w:t xml:space="preserve">”. Acolhendo o voto do relator, o Plenário </w:t>
      </w:r>
      <w:r w:rsidR="00650FED">
        <w:rPr>
          <w:sz w:val="22"/>
          <w:szCs w:val="22"/>
        </w:rPr>
        <w:t>decidiu</w:t>
      </w:r>
      <w:r w:rsidR="00277EF9" w:rsidRPr="00907EC0">
        <w:rPr>
          <w:sz w:val="22"/>
          <w:szCs w:val="22"/>
        </w:rPr>
        <w:t xml:space="preserve"> dar provimento ao </w:t>
      </w:r>
      <w:r w:rsidR="00650FED">
        <w:rPr>
          <w:sz w:val="22"/>
          <w:szCs w:val="22"/>
        </w:rPr>
        <w:t>recurso</w:t>
      </w:r>
      <w:r w:rsidR="00277EF9" w:rsidRPr="00907EC0">
        <w:rPr>
          <w:sz w:val="22"/>
          <w:szCs w:val="22"/>
        </w:rPr>
        <w:t xml:space="preserve">. </w:t>
      </w:r>
      <w:r w:rsidRPr="00907EC0">
        <w:rPr>
          <w:sz w:val="22"/>
          <w:szCs w:val="22"/>
        </w:rPr>
        <w:t xml:space="preserve">Precedentes citados: Acórdãos </w:t>
      </w:r>
      <w:r w:rsidRPr="00907EC0">
        <w:rPr>
          <w:sz w:val="22"/>
          <w:szCs w:val="22"/>
          <w:lang w:val="pt-PT" w:eastAsia="pt-PT"/>
        </w:rPr>
        <w:t>n</w:t>
      </w:r>
      <w:r w:rsidR="00650FED" w:rsidRPr="00650FED">
        <w:rPr>
          <w:sz w:val="22"/>
          <w:szCs w:val="22"/>
          <w:vertAlign w:val="superscript"/>
          <w:lang w:val="pt-PT" w:eastAsia="pt-PT"/>
        </w:rPr>
        <w:t>os</w:t>
      </w:r>
      <w:r w:rsidRPr="00907EC0">
        <w:rPr>
          <w:sz w:val="22"/>
          <w:szCs w:val="22"/>
          <w:lang w:val="pt-PT" w:eastAsia="pt-PT"/>
        </w:rPr>
        <w:t xml:space="preserve"> </w:t>
      </w:r>
      <w:r w:rsidR="00277EF9" w:rsidRPr="00907EC0">
        <w:rPr>
          <w:sz w:val="22"/>
          <w:szCs w:val="22"/>
          <w:lang w:val="pt-PT" w:eastAsia="pt-PT"/>
        </w:rPr>
        <w:t xml:space="preserve">296/2004, </w:t>
      </w:r>
      <w:r w:rsidR="00105847" w:rsidRPr="00907EC0">
        <w:rPr>
          <w:sz w:val="22"/>
          <w:szCs w:val="22"/>
        </w:rPr>
        <w:t>1120/2010, 1200/2010 e 2066/2010, todos do Plenário</w:t>
      </w:r>
      <w:r w:rsidRPr="00907EC0">
        <w:rPr>
          <w:sz w:val="22"/>
          <w:szCs w:val="22"/>
        </w:rPr>
        <w:t xml:space="preserve">. </w:t>
      </w:r>
      <w:r w:rsidRPr="00907EC0">
        <w:rPr>
          <w:b/>
          <w:i/>
          <w:sz w:val="22"/>
          <w:szCs w:val="22"/>
        </w:rPr>
        <w:t>Acórdão n.º 2931/2010-Plenário, TC-015.682/2008-0, rel. Min. Benjamin Zymler, 03.11.2010</w:t>
      </w:r>
      <w:r w:rsidRPr="00907EC0">
        <w:rPr>
          <w:sz w:val="22"/>
          <w:szCs w:val="22"/>
        </w:rPr>
        <w:t>.</w:t>
      </w:r>
    </w:p>
    <w:p w:rsidR="00D8231F" w:rsidRPr="00650FED" w:rsidRDefault="00D8231F" w:rsidP="00907EC0">
      <w:pPr>
        <w:pStyle w:val="Pargrafo"/>
        <w:jc w:val="both"/>
        <w:rPr>
          <w:sz w:val="22"/>
          <w:szCs w:val="22"/>
        </w:rPr>
      </w:pPr>
    </w:p>
    <w:p w:rsidR="002E3028" w:rsidRPr="00907EC0" w:rsidRDefault="009B1616" w:rsidP="00907EC0">
      <w:pPr>
        <w:spacing w:after="0"/>
        <w:ind w:left="0"/>
        <w:rPr>
          <w:sz w:val="22"/>
          <w:szCs w:val="22"/>
        </w:rPr>
      </w:pPr>
      <w:r w:rsidRPr="00907EC0">
        <w:rPr>
          <w:b/>
          <w:sz w:val="22"/>
          <w:szCs w:val="22"/>
        </w:rPr>
        <w:t>Contratação de serviços: 1 - A</w:t>
      </w:r>
      <w:r w:rsidR="002E3028" w:rsidRPr="00907EC0">
        <w:rPr>
          <w:b/>
          <w:sz w:val="22"/>
          <w:szCs w:val="22"/>
        </w:rPr>
        <w:t xml:space="preserve"> obrigatoriedade da vistoria prévia prejudica a competitividade e a impessoalidade do certame </w:t>
      </w:r>
    </w:p>
    <w:p w:rsidR="001922E8" w:rsidRPr="00907EC0" w:rsidRDefault="00D75469" w:rsidP="00907EC0">
      <w:pPr>
        <w:spacing w:after="0"/>
        <w:ind w:left="0"/>
        <w:rPr>
          <w:snapToGrid w:val="0"/>
          <w:sz w:val="22"/>
          <w:szCs w:val="22"/>
        </w:rPr>
      </w:pPr>
      <w:r w:rsidRPr="00907EC0">
        <w:rPr>
          <w:sz w:val="22"/>
          <w:szCs w:val="22"/>
        </w:rPr>
        <w:t>Denúncia</w:t>
      </w:r>
      <w:r w:rsidR="003B1BE7" w:rsidRPr="00907EC0">
        <w:rPr>
          <w:sz w:val="22"/>
          <w:szCs w:val="22"/>
        </w:rPr>
        <w:t xml:space="preserve"> trouxe notícias ao TCU acerca</w:t>
      </w:r>
      <w:r w:rsidRPr="00907EC0">
        <w:rPr>
          <w:sz w:val="22"/>
          <w:szCs w:val="22"/>
        </w:rPr>
        <w:t xml:space="preserve"> de supostas irregularidades envolvendo o </w:t>
      </w:r>
      <w:r w:rsidRPr="00907EC0">
        <w:rPr>
          <w:bCs/>
          <w:sz w:val="22"/>
          <w:szCs w:val="22"/>
        </w:rPr>
        <w:t>Serviço Brasileiro de Apoio às Micro e Pequenas Empresas (Sebrae) – Nacional</w:t>
      </w:r>
      <w:r w:rsidRPr="00907EC0">
        <w:rPr>
          <w:sz w:val="22"/>
          <w:szCs w:val="22"/>
        </w:rPr>
        <w:t xml:space="preserve">. </w:t>
      </w:r>
      <w:r w:rsidR="00650FED">
        <w:rPr>
          <w:sz w:val="22"/>
          <w:szCs w:val="22"/>
        </w:rPr>
        <w:t>I</w:t>
      </w:r>
      <w:r w:rsidR="003B1BE7" w:rsidRPr="00907EC0">
        <w:rPr>
          <w:sz w:val="22"/>
          <w:szCs w:val="22"/>
        </w:rPr>
        <w:t xml:space="preserve">nformou-se que, na </w:t>
      </w:r>
      <w:r w:rsidRPr="00907EC0">
        <w:rPr>
          <w:sz w:val="22"/>
          <w:szCs w:val="22"/>
        </w:rPr>
        <w:t>Concorrência nº 08/2010</w:t>
      </w:r>
      <w:r w:rsidR="003B1BE7" w:rsidRPr="00907EC0">
        <w:rPr>
          <w:sz w:val="22"/>
          <w:szCs w:val="22"/>
        </w:rPr>
        <w:t>,</w:t>
      </w:r>
      <w:r w:rsidRPr="00907EC0">
        <w:rPr>
          <w:sz w:val="22"/>
          <w:szCs w:val="22"/>
        </w:rPr>
        <w:t xml:space="preserve"> </w:t>
      </w:r>
      <w:r w:rsidR="006D3784" w:rsidRPr="00907EC0">
        <w:rPr>
          <w:snapToGrid w:val="0"/>
          <w:sz w:val="22"/>
          <w:szCs w:val="22"/>
        </w:rPr>
        <w:t>voltada à contratação de empresa para a prestação de serviços de limpeza e conservação predial da nova sede do Sebrae,</w:t>
      </w:r>
      <w:r w:rsidR="006D3784" w:rsidRPr="00907EC0">
        <w:rPr>
          <w:sz w:val="22"/>
          <w:szCs w:val="22"/>
        </w:rPr>
        <w:t xml:space="preserve"> </w:t>
      </w:r>
      <w:r w:rsidRPr="00907EC0">
        <w:rPr>
          <w:sz w:val="22"/>
          <w:szCs w:val="22"/>
        </w:rPr>
        <w:t>empresas teriam sido impedidas de realizar vistoria no local da prestação de serviços</w:t>
      </w:r>
      <w:r w:rsidR="003B1BE7" w:rsidRPr="00907EC0">
        <w:rPr>
          <w:sz w:val="22"/>
          <w:szCs w:val="22"/>
        </w:rPr>
        <w:t>.</w:t>
      </w:r>
      <w:r w:rsidR="003B1BE7" w:rsidRPr="00907EC0">
        <w:rPr>
          <w:i/>
          <w:sz w:val="22"/>
          <w:szCs w:val="22"/>
        </w:rPr>
        <w:t xml:space="preserve"> </w:t>
      </w:r>
      <w:r w:rsidR="003C2D50" w:rsidRPr="00907EC0">
        <w:rPr>
          <w:sz w:val="22"/>
          <w:szCs w:val="22"/>
        </w:rPr>
        <w:t>Em procedimento de inspeção, a unidade técnica apurou que “</w:t>
      </w:r>
      <w:r w:rsidR="003C2D50" w:rsidRPr="00907EC0">
        <w:rPr>
          <w:i/>
          <w:sz w:val="22"/>
          <w:szCs w:val="22"/>
        </w:rPr>
        <w:t>os termos do edital eram obscuros em relação à efetiva data limite para a realização da vistoria obrigatória, o que alijou algumas empresas da concorrência</w:t>
      </w:r>
      <w:r w:rsidR="00E25764" w:rsidRPr="00907EC0">
        <w:rPr>
          <w:sz w:val="22"/>
          <w:szCs w:val="22"/>
        </w:rPr>
        <w:t>”</w:t>
      </w:r>
      <w:r w:rsidR="003C2D50" w:rsidRPr="00907EC0">
        <w:rPr>
          <w:sz w:val="22"/>
          <w:szCs w:val="22"/>
        </w:rPr>
        <w:t xml:space="preserve">. Ainda sobre esse ponto, a unidade </w:t>
      </w:r>
      <w:r w:rsidR="006825D6" w:rsidRPr="00907EC0">
        <w:rPr>
          <w:sz w:val="22"/>
          <w:szCs w:val="22"/>
        </w:rPr>
        <w:t>instrutiva</w:t>
      </w:r>
      <w:r w:rsidR="003C2D50" w:rsidRPr="00907EC0">
        <w:rPr>
          <w:sz w:val="22"/>
          <w:szCs w:val="22"/>
        </w:rPr>
        <w:t xml:space="preserve"> consign</w:t>
      </w:r>
      <w:r w:rsidR="00E25764" w:rsidRPr="00907EC0">
        <w:rPr>
          <w:sz w:val="22"/>
          <w:szCs w:val="22"/>
        </w:rPr>
        <w:t>ou</w:t>
      </w:r>
      <w:r w:rsidR="003C2D50" w:rsidRPr="00907EC0">
        <w:rPr>
          <w:sz w:val="22"/>
          <w:szCs w:val="22"/>
        </w:rPr>
        <w:t xml:space="preserve"> </w:t>
      </w:r>
      <w:r w:rsidR="00E25764" w:rsidRPr="00907EC0">
        <w:rPr>
          <w:sz w:val="22"/>
          <w:szCs w:val="22"/>
        </w:rPr>
        <w:t>“</w:t>
      </w:r>
      <w:r w:rsidR="003C2D50" w:rsidRPr="00907EC0">
        <w:rPr>
          <w:i/>
          <w:sz w:val="22"/>
          <w:szCs w:val="22"/>
        </w:rPr>
        <w:t>que a obrigatoriedade da vistoria prévia prejudica a competitividade e a impessoalidade do certame, sendo reprovada pela jurisprudência do Tribunal</w:t>
      </w:r>
      <w:r w:rsidR="00E25764" w:rsidRPr="00907EC0">
        <w:rPr>
          <w:sz w:val="22"/>
          <w:szCs w:val="22"/>
        </w:rPr>
        <w:t>”. Todavia, ponderou que</w:t>
      </w:r>
      <w:r w:rsidR="00073D80" w:rsidRPr="00907EC0">
        <w:rPr>
          <w:sz w:val="22"/>
          <w:szCs w:val="22"/>
        </w:rPr>
        <w:t xml:space="preserve">, antes mesmo da apresentação da denúncia, a Concorrência </w:t>
      </w:r>
      <w:r w:rsidR="00650FED" w:rsidRPr="00907EC0">
        <w:rPr>
          <w:sz w:val="22"/>
          <w:szCs w:val="22"/>
        </w:rPr>
        <w:t xml:space="preserve">nº </w:t>
      </w:r>
      <w:r w:rsidR="00073D80" w:rsidRPr="00907EC0">
        <w:rPr>
          <w:sz w:val="22"/>
          <w:szCs w:val="22"/>
        </w:rPr>
        <w:t>08/2010</w:t>
      </w:r>
      <w:r w:rsidR="00073D80" w:rsidRPr="00907EC0">
        <w:rPr>
          <w:snapToGrid w:val="0"/>
          <w:sz w:val="22"/>
          <w:szCs w:val="22"/>
        </w:rPr>
        <w:t xml:space="preserve"> já estava encerrada e com o respectivo contrato assinado, o que torna</w:t>
      </w:r>
      <w:r w:rsidR="006C351F">
        <w:rPr>
          <w:snapToGrid w:val="0"/>
          <w:sz w:val="22"/>
          <w:szCs w:val="22"/>
        </w:rPr>
        <w:t>ria</w:t>
      </w:r>
      <w:r w:rsidR="00073D80" w:rsidRPr="00907EC0">
        <w:rPr>
          <w:snapToGrid w:val="0"/>
          <w:sz w:val="22"/>
          <w:szCs w:val="22"/>
        </w:rPr>
        <w:t xml:space="preserve"> inviável a suspensão do certame. Além disso</w:t>
      </w:r>
      <w:r w:rsidR="006825D6" w:rsidRPr="00907EC0">
        <w:rPr>
          <w:snapToGrid w:val="0"/>
          <w:sz w:val="22"/>
          <w:szCs w:val="22"/>
        </w:rPr>
        <w:t>,</w:t>
      </w:r>
      <w:r w:rsidR="00073D80" w:rsidRPr="00907EC0">
        <w:rPr>
          <w:snapToGrid w:val="0"/>
          <w:sz w:val="22"/>
          <w:szCs w:val="22"/>
        </w:rPr>
        <w:t xml:space="preserve"> a declaração de nulidade da licitação, </w:t>
      </w:r>
      <w:r w:rsidR="00650FED">
        <w:rPr>
          <w:snapToGrid w:val="0"/>
          <w:sz w:val="22"/>
          <w:szCs w:val="22"/>
        </w:rPr>
        <w:t>bem como</w:t>
      </w:r>
      <w:r w:rsidR="00073D80" w:rsidRPr="00907EC0">
        <w:rPr>
          <w:snapToGrid w:val="0"/>
          <w:sz w:val="22"/>
          <w:szCs w:val="22"/>
        </w:rPr>
        <w:t xml:space="preserve"> do contrato </w:t>
      </w:r>
      <w:r w:rsidR="00650FED">
        <w:rPr>
          <w:snapToGrid w:val="0"/>
          <w:sz w:val="22"/>
          <w:szCs w:val="22"/>
        </w:rPr>
        <w:t>dela decorrente</w:t>
      </w:r>
      <w:r w:rsidR="00073D80" w:rsidRPr="00907EC0">
        <w:rPr>
          <w:snapToGrid w:val="0"/>
          <w:sz w:val="22"/>
          <w:szCs w:val="22"/>
        </w:rPr>
        <w:t xml:space="preserve">, certamente traria transtornos à continuidade da prestação dos serviços de limpeza e conservação na nova sede do Sebrae, impondo </w:t>
      </w:r>
      <w:r w:rsidR="006825D6" w:rsidRPr="00907EC0">
        <w:rPr>
          <w:snapToGrid w:val="0"/>
          <w:sz w:val="22"/>
          <w:szCs w:val="22"/>
        </w:rPr>
        <w:t>a</w:t>
      </w:r>
      <w:r w:rsidR="00073D80" w:rsidRPr="00907EC0">
        <w:rPr>
          <w:snapToGrid w:val="0"/>
          <w:sz w:val="22"/>
          <w:szCs w:val="22"/>
        </w:rPr>
        <w:t xml:space="preserve"> contratação emergencial de tais serviços, em face de sua natureza essencial. </w:t>
      </w:r>
      <w:r w:rsidR="002E3028" w:rsidRPr="00907EC0">
        <w:rPr>
          <w:snapToGrid w:val="0"/>
          <w:sz w:val="22"/>
          <w:szCs w:val="22"/>
        </w:rPr>
        <w:t>Assim</w:t>
      </w:r>
      <w:r w:rsidR="00650FED">
        <w:rPr>
          <w:snapToGrid w:val="0"/>
          <w:sz w:val="22"/>
          <w:szCs w:val="22"/>
        </w:rPr>
        <w:t xml:space="preserve"> sendo</w:t>
      </w:r>
      <w:r w:rsidR="002E3028" w:rsidRPr="00907EC0">
        <w:rPr>
          <w:snapToGrid w:val="0"/>
          <w:sz w:val="22"/>
          <w:szCs w:val="22"/>
        </w:rPr>
        <w:t xml:space="preserve">, </w:t>
      </w:r>
      <w:r w:rsidR="00650FED">
        <w:rPr>
          <w:snapToGrid w:val="0"/>
          <w:sz w:val="22"/>
          <w:szCs w:val="22"/>
        </w:rPr>
        <w:t xml:space="preserve">a unidade técnica </w:t>
      </w:r>
      <w:r w:rsidR="002E3028" w:rsidRPr="00907EC0">
        <w:rPr>
          <w:snapToGrid w:val="0"/>
          <w:sz w:val="22"/>
          <w:szCs w:val="22"/>
        </w:rPr>
        <w:t>propôs que fosse determina</w:t>
      </w:r>
      <w:r w:rsidR="006825D6" w:rsidRPr="00907EC0">
        <w:rPr>
          <w:snapToGrid w:val="0"/>
          <w:sz w:val="22"/>
          <w:szCs w:val="22"/>
        </w:rPr>
        <w:t>d</w:t>
      </w:r>
      <w:r w:rsidR="002E3028" w:rsidRPr="00907EC0">
        <w:rPr>
          <w:snapToGrid w:val="0"/>
          <w:sz w:val="22"/>
          <w:szCs w:val="22"/>
        </w:rPr>
        <w:t>o ao Sebrae que “</w:t>
      </w:r>
      <w:r w:rsidR="002E3028" w:rsidRPr="00907EC0">
        <w:rPr>
          <w:i/>
          <w:snapToGrid w:val="0"/>
          <w:sz w:val="22"/>
          <w:szCs w:val="22"/>
        </w:rPr>
        <w:t>abstenha-se de prorrogar o Contrato 286/2010, promovendo tempestivamente nova licitação, em que deverão ser corrigidas as impropriedades apontadas</w:t>
      </w:r>
      <w:r w:rsidR="002E3028" w:rsidRPr="00907EC0">
        <w:rPr>
          <w:snapToGrid w:val="0"/>
          <w:sz w:val="22"/>
          <w:szCs w:val="22"/>
        </w:rPr>
        <w:t>”</w:t>
      </w:r>
      <w:r w:rsidR="00650FED">
        <w:rPr>
          <w:snapToGrid w:val="0"/>
          <w:sz w:val="22"/>
          <w:szCs w:val="22"/>
        </w:rPr>
        <w:t xml:space="preserve">. A proposta </w:t>
      </w:r>
      <w:r w:rsidR="002E3028" w:rsidRPr="00907EC0">
        <w:rPr>
          <w:snapToGrid w:val="0"/>
          <w:sz w:val="22"/>
          <w:szCs w:val="22"/>
        </w:rPr>
        <w:t>foi acolhid</w:t>
      </w:r>
      <w:r w:rsidR="00650FED">
        <w:rPr>
          <w:snapToGrid w:val="0"/>
          <w:sz w:val="22"/>
          <w:szCs w:val="22"/>
        </w:rPr>
        <w:t>a</w:t>
      </w:r>
      <w:r w:rsidR="002E3028" w:rsidRPr="00907EC0">
        <w:rPr>
          <w:snapToGrid w:val="0"/>
          <w:sz w:val="22"/>
          <w:szCs w:val="22"/>
        </w:rPr>
        <w:t xml:space="preserve"> pelo relator e contou com a anuência do Plenário.</w:t>
      </w:r>
      <w:r w:rsidR="001922E8" w:rsidRPr="00907EC0">
        <w:rPr>
          <w:color w:val="FF0000"/>
          <w:sz w:val="22"/>
          <w:szCs w:val="22"/>
        </w:rPr>
        <w:t xml:space="preserve"> </w:t>
      </w:r>
      <w:r w:rsidR="001922E8" w:rsidRPr="00907EC0">
        <w:rPr>
          <w:sz w:val="22"/>
          <w:szCs w:val="22"/>
        </w:rPr>
        <w:t xml:space="preserve">Precedentes citados: Acórdãos </w:t>
      </w:r>
      <w:r w:rsidR="001922E8" w:rsidRPr="00907EC0">
        <w:rPr>
          <w:sz w:val="22"/>
          <w:szCs w:val="22"/>
          <w:lang w:val="pt-PT" w:eastAsia="pt-PT"/>
        </w:rPr>
        <w:t>n</w:t>
      </w:r>
      <w:r w:rsidR="00650FED" w:rsidRPr="00650FED">
        <w:rPr>
          <w:sz w:val="22"/>
          <w:szCs w:val="22"/>
          <w:vertAlign w:val="superscript"/>
          <w:lang w:val="pt-PT" w:eastAsia="pt-PT"/>
        </w:rPr>
        <w:t>os</w:t>
      </w:r>
      <w:r w:rsidR="001922E8" w:rsidRPr="00907EC0">
        <w:rPr>
          <w:sz w:val="22"/>
          <w:szCs w:val="22"/>
          <w:lang w:val="pt-PT" w:eastAsia="pt-PT"/>
        </w:rPr>
        <w:t xml:space="preserve"> </w:t>
      </w:r>
      <w:r w:rsidR="00E25764" w:rsidRPr="00907EC0">
        <w:rPr>
          <w:sz w:val="22"/>
          <w:szCs w:val="22"/>
        </w:rPr>
        <w:t xml:space="preserve">983/2008 e 2395/2010, </w:t>
      </w:r>
      <w:r w:rsidR="00650FED">
        <w:rPr>
          <w:sz w:val="22"/>
          <w:szCs w:val="22"/>
        </w:rPr>
        <w:t xml:space="preserve">ambos </w:t>
      </w:r>
      <w:r w:rsidR="00E25764" w:rsidRPr="00907EC0">
        <w:rPr>
          <w:sz w:val="22"/>
          <w:szCs w:val="22"/>
        </w:rPr>
        <w:t>do Plenário</w:t>
      </w:r>
      <w:r w:rsidR="001922E8" w:rsidRPr="00907EC0">
        <w:rPr>
          <w:color w:val="FF0000"/>
          <w:sz w:val="22"/>
          <w:szCs w:val="22"/>
        </w:rPr>
        <w:t xml:space="preserve">. </w:t>
      </w:r>
      <w:r w:rsidR="001922E8" w:rsidRPr="00907EC0">
        <w:rPr>
          <w:b/>
          <w:i/>
          <w:sz w:val="22"/>
          <w:szCs w:val="22"/>
        </w:rPr>
        <w:t>Acórdão n.º 2</w:t>
      </w:r>
      <w:r w:rsidRPr="00907EC0">
        <w:rPr>
          <w:b/>
          <w:i/>
          <w:sz w:val="22"/>
          <w:szCs w:val="22"/>
        </w:rPr>
        <w:t>990</w:t>
      </w:r>
      <w:r w:rsidR="001922E8" w:rsidRPr="00907EC0">
        <w:rPr>
          <w:b/>
          <w:i/>
          <w:sz w:val="22"/>
          <w:szCs w:val="22"/>
        </w:rPr>
        <w:t>/2010-Plenário, TC-0</w:t>
      </w:r>
      <w:r w:rsidRPr="00907EC0">
        <w:rPr>
          <w:b/>
          <w:i/>
          <w:sz w:val="22"/>
          <w:szCs w:val="22"/>
        </w:rPr>
        <w:t>2</w:t>
      </w:r>
      <w:r w:rsidR="001922E8" w:rsidRPr="00907EC0">
        <w:rPr>
          <w:b/>
          <w:i/>
          <w:sz w:val="22"/>
          <w:szCs w:val="22"/>
        </w:rPr>
        <w:t>7.</w:t>
      </w:r>
      <w:r w:rsidRPr="00907EC0">
        <w:rPr>
          <w:b/>
          <w:i/>
          <w:sz w:val="22"/>
          <w:szCs w:val="22"/>
        </w:rPr>
        <w:t>991</w:t>
      </w:r>
      <w:r w:rsidR="00377522" w:rsidRPr="00907EC0">
        <w:rPr>
          <w:b/>
          <w:i/>
          <w:sz w:val="22"/>
          <w:szCs w:val="22"/>
        </w:rPr>
        <w:t>/20</w:t>
      </w:r>
      <w:r w:rsidRPr="00907EC0">
        <w:rPr>
          <w:b/>
          <w:i/>
          <w:sz w:val="22"/>
          <w:szCs w:val="22"/>
        </w:rPr>
        <w:t>1</w:t>
      </w:r>
      <w:r w:rsidR="00377522" w:rsidRPr="00907EC0">
        <w:rPr>
          <w:b/>
          <w:i/>
          <w:sz w:val="22"/>
          <w:szCs w:val="22"/>
        </w:rPr>
        <w:t>0-</w:t>
      </w:r>
      <w:r w:rsidRPr="00907EC0">
        <w:rPr>
          <w:b/>
          <w:i/>
          <w:sz w:val="22"/>
          <w:szCs w:val="22"/>
        </w:rPr>
        <w:t>5</w:t>
      </w:r>
      <w:r w:rsidR="001922E8" w:rsidRPr="00907EC0">
        <w:rPr>
          <w:b/>
          <w:i/>
          <w:sz w:val="22"/>
          <w:szCs w:val="22"/>
        </w:rPr>
        <w:t xml:space="preserve">, rel. Min. </w:t>
      </w:r>
      <w:r w:rsidRPr="00907EC0">
        <w:rPr>
          <w:b/>
          <w:i/>
          <w:sz w:val="22"/>
          <w:szCs w:val="22"/>
        </w:rPr>
        <w:t>Raimundo Carreiro</w:t>
      </w:r>
      <w:r w:rsidR="001922E8" w:rsidRPr="00907EC0">
        <w:rPr>
          <w:b/>
          <w:i/>
          <w:sz w:val="22"/>
          <w:szCs w:val="22"/>
        </w:rPr>
        <w:t>, 03.11.2010</w:t>
      </w:r>
      <w:r w:rsidR="001922E8" w:rsidRPr="00907EC0">
        <w:rPr>
          <w:sz w:val="22"/>
          <w:szCs w:val="22"/>
        </w:rPr>
        <w:t>.</w:t>
      </w:r>
    </w:p>
    <w:p w:rsidR="00DD6D17" w:rsidRPr="00907EC0" w:rsidRDefault="00DD6D17" w:rsidP="00907EC0">
      <w:pPr>
        <w:spacing w:after="0"/>
        <w:ind w:left="0"/>
        <w:rPr>
          <w:b/>
          <w:sz w:val="22"/>
          <w:szCs w:val="22"/>
        </w:rPr>
      </w:pPr>
    </w:p>
    <w:p w:rsidR="00DD6D17" w:rsidRPr="001D44E7" w:rsidRDefault="009B1616" w:rsidP="00907EC0">
      <w:pPr>
        <w:spacing w:after="0"/>
        <w:ind w:left="0"/>
        <w:rPr>
          <w:sz w:val="22"/>
          <w:szCs w:val="22"/>
        </w:rPr>
      </w:pPr>
      <w:r w:rsidRPr="00907EC0">
        <w:rPr>
          <w:b/>
          <w:sz w:val="22"/>
          <w:szCs w:val="22"/>
        </w:rPr>
        <w:t xml:space="preserve">Contratação de serviços: 2 </w:t>
      </w:r>
      <w:r w:rsidR="001D44E7">
        <w:rPr>
          <w:b/>
          <w:sz w:val="22"/>
          <w:szCs w:val="22"/>
        </w:rPr>
        <w:t>-</w:t>
      </w:r>
      <w:r w:rsidRPr="00907EC0">
        <w:rPr>
          <w:b/>
          <w:sz w:val="22"/>
          <w:szCs w:val="22"/>
        </w:rPr>
        <w:t xml:space="preserve"> Serviços de limpeza e conservação predial são comuns</w:t>
      </w:r>
    </w:p>
    <w:p w:rsidR="00DD6D17" w:rsidRPr="00907EC0" w:rsidRDefault="00DD6D17" w:rsidP="00907EC0">
      <w:pPr>
        <w:tabs>
          <w:tab w:val="left" w:pos="709"/>
        </w:tabs>
        <w:spacing w:after="0"/>
        <w:ind w:left="0"/>
        <w:rPr>
          <w:snapToGrid w:val="0"/>
          <w:sz w:val="22"/>
          <w:szCs w:val="22"/>
        </w:rPr>
      </w:pPr>
      <w:r w:rsidRPr="00907EC0">
        <w:rPr>
          <w:sz w:val="22"/>
          <w:szCs w:val="22"/>
        </w:rPr>
        <w:t xml:space="preserve">Ainda na denúncia </w:t>
      </w:r>
      <w:r w:rsidR="006D3784" w:rsidRPr="00907EC0">
        <w:rPr>
          <w:sz w:val="22"/>
          <w:szCs w:val="22"/>
        </w:rPr>
        <w:t xml:space="preserve">que </w:t>
      </w:r>
      <w:r w:rsidRPr="00907EC0">
        <w:rPr>
          <w:sz w:val="22"/>
          <w:szCs w:val="22"/>
        </w:rPr>
        <w:t xml:space="preserve">trouxe notícias ao TCU acerca de supostas irregularidades envolvendo o </w:t>
      </w:r>
      <w:r w:rsidRPr="00907EC0">
        <w:rPr>
          <w:bCs/>
          <w:sz w:val="22"/>
          <w:szCs w:val="22"/>
        </w:rPr>
        <w:t>Serviço Brasileiro de Apoio às Micro e Pequenas Empresas (Sebrae) – Nacional</w:t>
      </w:r>
      <w:r w:rsidR="006D3784" w:rsidRPr="00907EC0">
        <w:rPr>
          <w:bCs/>
          <w:sz w:val="22"/>
          <w:szCs w:val="22"/>
        </w:rPr>
        <w:t xml:space="preserve">, a unidade técnica apresentou proposta de recomendação de que, </w:t>
      </w:r>
      <w:r w:rsidR="006D3784" w:rsidRPr="00907EC0">
        <w:rPr>
          <w:snapToGrid w:val="0"/>
          <w:sz w:val="22"/>
          <w:szCs w:val="22"/>
        </w:rPr>
        <w:t>doravante, o Sebrae utilize o pregão, preferencialmente eletrônico, em licitações que tenham por objeto</w:t>
      </w:r>
      <w:r w:rsidR="006825D6" w:rsidRPr="00907EC0">
        <w:rPr>
          <w:snapToGrid w:val="0"/>
          <w:sz w:val="22"/>
          <w:szCs w:val="22"/>
        </w:rPr>
        <w:t xml:space="preserve"> a prestação de serviços de limpeza e conservação predial</w:t>
      </w:r>
      <w:r w:rsidR="009B1616" w:rsidRPr="00907EC0">
        <w:rPr>
          <w:snapToGrid w:val="0"/>
          <w:sz w:val="22"/>
          <w:szCs w:val="22"/>
        </w:rPr>
        <w:t xml:space="preserve">. </w:t>
      </w:r>
      <w:r w:rsidR="001D44E7">
        <w:rPr>
          <w:snapToGrid w:val="0"/>
          <w:sz w:val="22"/>
          <w:szCs w:val="22"/>
        </w:rPr>
        <w:t>A</w:t>
      </w:r>
      <w:r w:rsidR="009B1616" w:rsidRPr="00907EC0">
        <w:rPr>
          <w:snapToGrid w:val="0"/>
          <w:sz w:val="22"/>
          <w:szCs w:val="22"/>
        </w:rPr>
        <w:t xml:space="preserve">o examinar a matéria, </w:t>
      </w:r>
      <w:r w:rsidR="001D44E7">
        <w:rPr>
          <w:snapToGrid w:val="0"/>
          <w:sz w:val="22"/>
          <w:szCs w:val="22"/>
        </w:rPr>
        <w:t xml:space="preserve">o relator </w:t>
      </w:r>
      <w:r w:rsidR="009B1616" w:rsidRPr="00907EC0">
        <w:rPr>
          <w:snapToGrid w:val="0"/>
          <w:sz w:val="22"/>
          <w:szCs w:val="22"/>
        </w:rPr>
        <w:t>destacou que “</w:t>
      </w:r>
      <w:r w:rsidR="009B1616" w:rsidRPr="00907EC0">
        <w:rPr>
          <w:i/>
          <w:snapToGrid w:val="0"/>
          <w:sz w:val="22"/>
          <w:szCs w:val="22"/>
        </w:rPr>
        <w:t>o objeto do Contrato 286/2010, por ser de natureza comum, ajusta-se à Instrução Normativa do Sebrae aprovada pela Resolução CDN 6/2004, que dispõe, precisamente, sobre o uso do pregão eletrônico para contratação de serviços de natureza comum</w:t>
      </w:r>
      <w:r w:rsidR="009B1616" w:rsidRPr="00907EC0">
        <w:rPr>
          <w:snapToGrid w:val="0"/>
          <w:sz w:val="22"/>
          <w:szCs w:val="22"/>
        </w:rPr>
        <w:t>”</w:t>
      </w:r>
      <w:r w:rsidR="00A9375D" w:rsidRPr="00907EC0">
        <w:rPr>
          <w:snapToGrid w:val="0"/>
          <w:sz w:val="22"/>
          <w:szCs w:val="22"/>
        </w:rPr>
        <w:t>, e que, “</w:t>
      </w:r>
      <w:r w:rsidR="00A9375D" w:rsidRPr="00907EC0">
        <w:rPr>
          <w:i/>
          <w:snapToGrid w:val="0"/>
          <w:sz w:val="22"/>
          <w:szCs w:val="22"/>
        </w:rPr>
        <w:t>conquanto a referida norma não estabeleça que os serviços de conservação e limpeza predial e jardinagem sejam de natureza comum, essa lacuna pode ser preenchida invocando-se, por analogia, o Anexo II do Decreto 3.555/2000, cujo item 17 dispõe expressamente nesse sentido</w:t>
      </w:r>
      <w:r w:rsidR="00A9375D" w:rsidRPr="00907EC0">
        <w:rPr>
          <w:snapToGrid w:val="0"/>
          <w:sz w:val="22"/>
          <w:szCs w:val="22"/>
        </w:rPr>
        <w:t xml:space="preserve">”. Desse modo, </w:t>
      </w:r>
      <w:r w:rsidR="00742835" w:rsidRPr="00907EC0">
        <w:rPr>
          <w:snapToGrid w:val="0"/>
          <w:sz w:val="22"/>
          <w:szCs w:val="22"/>
        </w:rPr>
        <w:t>votou o relator por se determina</w:t>
      </w:r>
      <w:r w:rsidR="001D44E7">
        <w:rPr>
          <w:snapToGrid w:val="0"/>
          <w:sz w:val="22"/>
          <w:szCs w:val="22"/>
        </w:rPr>
        <w:t>r</w:t>
      </w:r>
      <w:r w:rsidR="00742835" w:rsidRPr="00907EC0">
        <w:rPr>
          <w:snapToGrid w:val="0"/>
          <w:sz w:val="22"/>
          <w:szCs w:val="22"/>
        </w:rPr>
        <w:t xml:space="preserve"> ao</w:t>
      </w:r>
      <w:r w:rsidR="00A9375D" w:rsidRPr="00907EC0">
        <w:rPr>
          <w:snapToGrid w:val="0"/>
          <w:sz w:val="22"/>
          <w:szCs w:val="22"/>
        </w:rPr>
        <w:t xml:space="preserve"> Sebrae que</w:t>
      </w:r>
      <w:r w:rsidR="00907EC0" w:rsidRPr="00907EC0">
        <w:rPr>
          <w:snapToGrid w:val="0"/>
          <w:sz w:val="22"/>
          <w:szCs w:val="22"/>
        </w:rPr>
        <w:t xml:space="preserve"> </w:t>
      </w:r>
      <w:r w:rsidR="00A9375D" w:rsidRPr="00907EC0">
        <w:rPr>
          <w:snapToGrid w:val="0"/>
          <w:sz w:val="22"/>
          <w:szCs w:val="22"/>
        </w:rPr>
        <w:t xml:space="preserve">a </w:t>
      </w:r>
      <w:r w:rsidR="00742835" w:rsidRPr="00907EC0">
        <w:rPr>
          <w:snapToGrid w:val="0"/>
          <w:sz w:val="22"/>
          <w:szCs w:val="22"/>
        </w:rPr>
        <w:t xml:space="preserve">nova </w:t>
      </w:r>
      <w:r w:rsidR="00A9375D" w:rsidRPr="00907EC0">
        <w:rPr>
          <w:snapToGrid w:val="0"/>
          <w:sz w:val="22"/>
          <w:szCs w:val="22"/>
        </w:rPr>
        <w:t xml:space="preserve">licitação para </w:t>
      </w:r>
      <w:r w:rsidR="00742835" w:rsidRPr="00907EC0">
        <w:rPr>
          <w:snapToGrid w:val="0"/>
          <w:sz w:val="22"/>
          <w:szCs w:val="22"/>
        </w:rPr>
        <w:t xml:space="preserve">contratação dos </w:t>
      </w:r>
      <w:r w:rsidR="00A9375D" w:rsidRPr="00907EC0">
        <w:rPr>
          <w:snapToGrid w:val="0"/>
          <w:sz w:val="22"/>
          <w:szCs w:val="22"/>
        </w:rPr>
        <w:t>serviços de limpeza e conservação predial</w:t>
      </w:r>
      <w:r w:rsidR="00742835" w:rsidRPr="00907EC0">
        <w:rPr>
          <w:snapToGrid w:val="0"/>
          <w:sz w:val="22"/>
          <w:szCs w:val="22"/>
        </w:rPr>
        <w:t xml:space="preserve"> da sua sede</w:t>
      </w:r>
      <w:r w:rsidR="00A9375D" w:rsidRPr="00907EC0">
        <w:rPr>
          <w:snapToGrid w:val="0"/>
          <w:sz w:val="22"/>
          <w:szCs w:val="22"/>
        </w:rPr>
        <w:t xml:space="preserve"> </w:t>
      </w:r>
      <w:r w:rsidR="00742835" w:rsidRPr="00907EC0">
        <w:rPr>
          <w:snapToGrid w:val="0"/>
          <w:sz w:val="22"/>
          <w:szCs w:val="22"/>
        </w:rPr>
        <w:t xml:space="preserve">seja </w:t>
      </w:r>
      <w:r w:rsidR="00907EC0" w:rsidRPr="00907EC0">
        <w:rPr>
          <w:snapToGrid w:val="0"/>
          <w:sz w:val="22"/>
          <w:szCs w:val="22"/>
        </w:rPr>
        <w:t>procedida “</w:t>
      </w:r>
      <w:r w:rsidR="00907EC0" w:rsidRPr="00265B6F">
        <w:rPr>
          <w:i/>
          <w:snapToGrid w:val="0"/>
          <w:sz w:val="22"/>
          <w:szCs w:val="22"/>
        </w:rPr>
        <w:t>preferencialmente sob a modalidade de pregão eletrônico</w:t>
      </w:r>
      <w:r w:rsidR="00907EC0" w:rsidRPr="00907EC0">
        <w:rPr>
          <w:snapToGrid w:val="0"/>
          <w:sz w:val="22"/>
          <w:szCs w:val="22"/>
        </w:rPr>
        <w:t>”, o que foi acolhido pelo Plenário.</w:t>
      </w:r>
      <w:r w:rsidRPr="00907EC0">
        <w:rPr>
          <w:color w:val="FF0000"/>
          <w:sz w:val="22"/>
          <w:szCs w:val="22"/>
        </w:rPr>
        <w:t xml:space="preserve"> </w:t>
      </w:r>
      <w:r w:rsidRPr="00907EC0">
        <w:rPr>
          <w:b/>
          <w:i/>
          <w:sz w:val="22"/>
          <w:szCs w:val="22"/>
        </w:rPr>
        <w:t>Acórdão n.º 2990/2010-Plenário, TC-027.991/2010-5, rel. Min. Raimundo Carreiro, 03.11.2010</w:t>
      </w:r>
      <w:r w:rsidRPr="00907EC0">
        <w:rPr>
          <w:sz w:val="22"/>
          <w:szCs w:val="22"/>
        </w:rPr>
        <w:t>.</w:t>
      </w:r>
    </w:p>
    <w:p w:rsidR="001922E8" w:rsidRPr="0090240C" w:rsidRDefault="001922E8" w:rsidP="00907EC0">
      <w:pPr>
        <w:pStyle w:val="Pargrafo"/>
        <w:jc w:val="both"/>
        <w:rPr>
          <w:sz w:val="22"/>
          <w:szCs w:val="22"/>
        </w:rPr>
      </w:pPr>
    </w:p>
    <w:p w:rsidR="00191894" w:rsidRPr="0090240C" w:rsidRDefault="0090240C" w:rsidP="00907EC0">
      <w:pPr>
        <w:pStyle w:val="indice"/>
        <w:tabs>
          <w:tab w:val="left" w:pos="567"/>
        </w:tabs>
        <w:spacing w:line="240" w:lineRule="auto"/>
        <w:rPr>
          <w:b/>
          <w:color w:val="auto"/>
        </w:rPr>
      </w:pPr>
      <w:r w:rsidRPr="0090240C">
        <w:rPr>
          <w:b/>
          <w:color w:val="auto"/>
        </w:rPr>
        <w:t>Pregão para serviços de natureza contínua: exigência, para fim de habilitação, de experiência temporal mínima</w:t>
      </w:r>
    </w:p>
    <w:p w:rsidR="00191894" w:rsidRPr="00907EC0" w:rsidRDefault="00191894" w:rsidP="00907EC0">
      <w:pPr>
        <w:spacing w:after="0"/>
        <w:ind w:left="0"/>
        <w:rPr>
          <w:color w:val="000000"/>
          <w:sz w:val="22"/>
          <w:szCs w:val="22"/>
        </w:rPr>
      </w:pPr>
      <w:r w:rsidRPr="00907EC0">
        <w:rPr>
          <w:sz w:val="22"/>
          <w:szCs w:val="22"/>
        </w:rPr>
        <w:t xml:space="preserve">Representação contra o </w:t>
      </w:r>
      <w:r w:rsidR="0090240C">
        <w:rPr>
          <w:sz w:val="22"/>
          <w:szCs w:val="22"/>
        </w:rPr>
        <w:t>P</w:t>
      </w:r>
      <w:r w:rsidRPr="00907EC0">
        <w:rPr>
          <w:sz w:val="22"/>
          <w:szCs w:val="22"/>
        </w:rPr>
        <w:t xml:space="preserve">regão </w:t>
      </w:r>
      <w:r w:rsidR="0090240C">
        <w:rPr>
          <w:sz w:val="22"/>
          <w:szCs w:val="22"/>
        </w:rPr>
        <w:t>E</w:t>
      </w:r>
      <w:r w:rsidRPr="00907EC0">
        <w:rPr>
          <w:sz w:val="22"/>
          <w:szCs w:val="22"/>
        </w:rPr>
        <w:t xml:space="preserve">letrônico </w:t>
      </w:r>
      <w:r w:rsidR="0090240C">
        <w:rPr>
          <w:sz w:val="22"/>
          <w:szCs w:val="22"/>
        </w:rPr>
        <w:t xml:space="preserve">n.º </w:t>
      </w:r>
      <w:r w:rsidRPr="00907EC0">
        <w:rPr>
          <w:sz w:val="22"/>
          <w:szCs w:val="22"/>
        </w:rPr>
        <w:t xml:space="preserve">48/2010, promovido pelo </w:t>
      </w:r>
      <w:r w:rsidR="0090240C">
        <w:rPr>
          <w:sz w:val="22"/>
          <w:szCs w:val="22"/>
        </w:rPr>
        <w:t>TCU</w:t>
      </w:r>
      <w:r w:rsidRPr="00907EC0">
        <w:rPr>
          <w:sz w:val="22"/>
          <w:szCs w:val="22"/>
        </w:rPr>
        <w:t xml:space="preserve"> </w:t>
      </w:r>
      <w:r w:rsidR="0090240C">
        <w:rPr>
          <w:sz w:val="22"/>
          <w:szCs w:val="22"/>
        </w:rPr>
        <w:t>com vistas à</w:t>
      </w:r>
      <w:r w:rsidRPr="00907EC0">
        <w:rPr>
          <w:sz w:val="22"/>
          <w:szCs w:val="22"/>
        </w:rPr>
        <w:t xml:space="preserve"> contratação de serviços contínuos de operação e manutenção predial preventiva e corretiva dos sistemas, equipamentos e instalações do Tribunal, em Brasília/DF, apontou possíveis </w:t>
      </w:r>
      <w:r w:rsidR="004906BD" w:rsidRPr="00907EC0">
        <w:rPr>
          <w:sz w:val="22"/>
          <w:szCs w:val="22"/>
        </w:rPr>
        <w:t>irregularidades no instrumento convocatório do certame</w:t>
      </w:r>
      <w:r w:rsidR="0090240C">
        <w:rPr>
          <w:sz w:val="22"/>
          <w:szCs w:val="22"/>
        </w:rPr>
        <w:t>, d</w:t>
      </w:r>
      <w:r w:rsidR="004906BD" w:rsidRPr="00907EC0">
        <w:rPr>
          <w:sz w:val="22"/>
          <w:szCs w:val="22"/>
        </w:rPr>
        <w:t>entre elas a comprovação</w:t>
      </w:r>
      <w:r w:rsidR="0090240C">
        <w:rPr>
          <w:sz w:val="22"/>
          <w:szCs w:val="22"/>
        </w:rPr>
        <w:t>,</w:t>
      </w:r>
      <w:r w:rsidR="004906BD" w:rsidRPr="00907EC0">
        <w:rPr>
          <w:sz w:val="22"/>
          <w:szCs w:val="22"/>
        </w:rPr>
        <w:t xml:space="preserve"> pelos licitantes</w:t>
      </w:r>
      <w:r w:rsidR="0090240C">
        <w:rPr>
          <w:sz w:val="22"/>
          <w:szCs w:val="22"/>
        </w:rPr>
        <w:t>,</w:t>
      </w:r>
      <w:r w:rsidR="004906BD" w:rsidRPr="00907EC0">
        <w:rPr>
          <w:sz w:val="22"/>
          <w:szCs w:val="22"/>
        </w:rPr>
        <w:t xml:space="preserve"> de experiência mínima de três anos no mercado do objeto licitado. </w:t>
      </w:r>
      <w:r w:rsidR="0090240C">
        <w:rPr>
          <w:sz w:val="22"/>
          <w:szCs w:val="22"/>
        </w:rPr>
        <w:t>A</w:t>
      </w:r>
      <w:r w:rsidR="00172915" w:rsidRPr="00907EC0">
        <w:rPr>
          <w:sz w:val="22"/>
          <w:szCs w:val="22"/>
        </w:rPr>
        <w:t xml:space="preserve"> u</w:t>
      </w:r>
      <w:r w:rsidR="004906BD" w:rsidRPr="00907EC0">
        <w:rPr>
          <w:sz w:val="22"/>
          <w:szCs w:val="22"/>
        </w:rPr>
        <w:t xml:space="preserve">nidade técnica responsável pela instrução </w:t>
      </w:r>
      <w:r w:rsidR="0090240C">
        <w:rPr>
          <w:sz w:val="22"/>
          <w:szCs w:val="22"/>
        </w:rPr>
        <w:t>considerou</w:t>
      </w:r>
      <w:r w:rsidR="004906BD" w:rsidRPr="00907EC0">
        <w:rPr>
          <w:sz w:val="22"/>
          <w:szCs w:val="22"/>
        </w:rPr>
        <w:t xml:space="preserve"> tal exigência compatível com a magnitude e complexidade do objeto</w:t>
      </w:r>
      <w:r w:rsidR="00172915" w:rsidRPr="00907EC0">
        <w:rPr>
          <w:sz w:val="22"/>
          <w:szCs w:val="22"/>
        </w:rPr>
        <w:t xml:space="preserve">. </w:t>
      </w:r>
      <w:r w:rsidR="0090240C">
        <w:rPr>
          <w:sz w:val="22"/>
          <w:szCs w:val="22"/>
        </w:rPr>
        <w:t>E</w:t>
      </w:r>
      <w:r w:rsidR="00172915" w:rsidRPr="00907EC0">
        <w:rPr>
          <w:sz w:val="22"/>
          <w:szCs w:val="22"/>
        </w:rPr>
        <w:t xml:space="preserve">m seu voto, </w:t>
      </w:r>
      <w:r w:rsidR="0090240C">
        <w:rPr>
          <w:sz w:val="22"/>
          <w:szCs w:val="22"/>
        </w:rPr>
        <w:t xml:space="preserve">o relator </w:t>
      </w:r>
      <w:r w:rsidR="00172915" w:rsidRPr="00907EC0">
        <w:rPr>
          <w:sz w:val="22"/>
          <w:szCs w:val="22"/>
        </w:rPr>
        <w:t xml:space="preserve">destacou que os serviços a serem contratados, por </w:t>
      </w:r>
      <w:r w:rsidR="0090240C">
        <w:rPr>
          <w:sz w:val="22"/>
          <w:szCs w:val="22"/>
        </w:rPr>
        <w:t>sua</w:t>
      </w:r>
      <w:r w:rsidR="00172915" w:rsidRPr="00907EC0">
        <w:rPr>
          <w:sz w:val="22"/>
          <w:szCs w:val="22"/>
        </w:rPr>
        <w:t xml:space="preserve"> natureza contínua, </w:t>
      </w:r>
      <w:r w:rsidR="0090240C">
        <w:rPr>
          <w:sz w:val="22"/>
          <w:szCs w:val="22"/>
        </w:rPr>
        <w:t>consoante</w:t>
      </w:r>
      <w:r w:rsidR="00172915" w:rsidRPr="00907EC0">
        <w:rPr>
          <w:sz w:val="22"/>
          <w:szCs w:val="22"/>
        </w:rPr>
        <w:t xml:space="preserve"> o art. 57 da Lei </w:t>
      </w:r>
      <w:r w:rsidR="0090240C">
        <w:rPr>
          <w:sz w:val="22"/>
          <w:szCs w:val="22"/>
        </w:rPr>
        <w:t xml:space="preserve">n.º </w:t>
      </w:r>
      <w:r w:rsidR="00172915" w:rsidRPr="00907EC0">
        <w:rPr>
          <w:sz w:val="22"/>
          <w:szCs w:val="22"/>
        </w:rPr>
        <w:t>8.666/93, poderiam se estender por longo período e, assim, “</w:t>
      </w:r>
      <w:r w:rsidR="00172915" w:rsidRPr="00907EC0">
        <w:rPr>
          <w:i/>
          <w:sz w:val="22"/>
          <w:szCs w:val="22"/>
        </w:rPr>
        <w:t>a exigência temporal de experiência mínima no mercado do objeto também é, em princípio, compatível com o dispositivo legal há pouco mencionado, já que o tempo de atuação é critério relevante para avaliar a solidez do futuro fornecedor e, com isso, assegurar boa execução do objeto</w:t>
      </w:r>
      <w:r w:rsidR="00172915" w:rsidRPr="00907EC0">
        <w:rPr>
          <w:sz w:val="22"/>
          <w:szCs w:val="22"/>
        </w:rPr>
        <w:t>”.</w:t>
      </w:r>
      <w:r w:rsidR="00D8231F" w:rsidRPr="00907EC0">
        <w:rPr>
          <w:sz w:val="22"/>
          <w:szCs w:val="22"/>
        </w:rPr>
        <w:t xml:space="preserve"> Desse modo, o “</w:t>
      </w:r>
      <w:r w:rsidR="00D8231F" w:rsidRPr="00907EC0">
        <w:rPr>
          <w:i/>
          <w:sz w:val="22"/>
          <w:szCs w:val="22"/>
        </w:rPr>
        <w:t>estipulado prazo de três anos de atuação no mercado (...) é compatível, dada a natureza contínua dos serviços em questão, com o prazo máximo de 60 meses autorizado pelo inciso II do art. 57 da Lei 8.666/1993</w:t>
      </w:r>
      <w:r w:rsidR="00D8231F" w:rsidRPr="00907EC0">
        <w:rPr>
          <w:sz w:val="22"/>
          <w:szCs w:val="22"/>
        </w:rPr>
        <w:t>”. Com base nos fundamentos apresentados pelo relator, deliberou o Plenário pela improcedência da representação.</w:t>
      </w:r>
      <w:r w:rsidR="00D8231F" w:rsidRPr="00907EC0">
        <w:rPr>
          <w:color w:val="FF0000"/>
          <w:sz w:val="22"/>
          <w:szCs w:val="22"/>
        </w:rPr>
        <w:t xml:space="preserve"> </w:t>
      </w:r>
      <w:r w:rsidRPr="00907EC0">
        <w:rPr>
          <w:b/>
          <w:i/>
          <w:color w:val="000000"/>
          <w:sz w:val="22"/>
          <w:szCs w:val="22"/>
        </w:rPr>
        <w:t>Acórdão n.º 2939/2010-Plenário, TC-019.549/2010-5, rel. Min. Aroldo Cedraz, 03.11.2010</w:t>
      </w:r>
      <w:r w:rsidRPr="00907EC0">
        <w:rPr>
          <w:color w:val="000000"/>
          <w:sz w:val="22"/>
          <w:szCs w:val="22"/>
        </w:rPr>
        <w:t>.</w:t>
      </w:r>
    </w:p>
    <w:p w:rsidR="0055716D" w:rsidRPr="0090240C" w:rsidRDefault="0055716D" w:rsidP="0090240C">
      <w:pPr>
        <w:pStyle w:val="enter-3pt"/>
        <w:spacing w:line="240" w:lineRule="auto"/>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6"/>
      </w:tblGrid>
      <w:tr w:rsidR="00BE6A12" w:rsidRPr="00337E16" w:rsidTr="007E60D5">
        <w:trPr>
          <w:trHeight w:val="779"/>
          <w:jc w:val="center"/>
        </w:trPr>
        <w:tc>
          <w:tcPr>
            <w:tcW w:w="0" w:type="auto"/>
            <w:vAlign w:val="center"/>
          </w:tcPr>
          <w:p w:rsidR="00BE6A12" w:rsidRPr="00337E16" w:rsidRDefault="00BE6A12" w:rsidP="007E60D5">
            <w:pPr>
              <w:pStyle w:val="enter-3pt"/>
              <w:spacing w:line="240" w:lineRule="auto"/>
              <w:jc w:val="center"/>
              <w:rPr>
                <w:b/>
                <w:i/>
                <w:sz w:val="18"/>
                <w:szCs w:val="18"/>
              </w:rPr>
            </w:pPr>
            <w:r w:rsidRPr="00337E16">
              <w:rPr>
                <w:b/>
                <w:i/>
                <w:sz w:val="18"/>
                <w:szCs w:val="18"/>
              </w:rPr>
              <w:t>Responsáveis pelo Informativo:</w:t>
            </w:r>
          </w:p>
          <w:p w:rsidR="00BE6A12" w:rsidRPr="00337E16" w:rsidRDefault="00BE6A12" w:rsidP="007E60D5">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Pr="00BF5733">
              <w:rPr>
                <w:i/>
                <w:sz w:val="18"/>
                <w:szCs w:val="18"/>
              </w:rPr>
              <w:t>Sandro Henrique Maciel Bernardes, Assessor em substit</w:t>
            </w:r>
            <w:r>
              <w:rPr>
                <w:i/>
                <w:sz w:val="18"/>
                <w:szCs w:val="18"/>
              </w:rPr>
              <w:t>uição da Secretaria das Sessões</w:t>
            </w:r>
          </w:p>
          <w:p w:rsidR="00BE6A12" w:rsidRPr="00337E16" w:rsidRDefault="00BE6A12" w:rsidP="007E60D5">
            <w:pPr>
              <w:pStyle w:val="enter-3pt"/>
              <w:spacing w:line="240" w:lineRule="auto"/>
              <w:jc w:val="center"/>
              <w:rPr>
                <w:i/>
                <w:sz w:val="18"/>
                <w:szCs w:val="18"/>
              </w:rPr>
            </w:pPr>
            <w:r>
              <w:rPr>
                <w:b/>
                <w:i/>
                <w:sz w:val="18"/>
                <w:szCs w:val="18"/>
              </w:rPr>
              <w:t>Revisão</w:t>
            </w:r>
            <w:r w:rsidRPr="00337E16">
              <w:rPr>
                <w:b/>
                <w:i/>
                <w:sz w:val="18"/>
                <w:szCs w:val="18"/>
              </w:rPr>
              <w:t>:</w:t>
            </w:r>
            <w:r w:rsidRPr="00337E16">
              <w:rPr>
                <w:i/>
                <w:sz w:val="18"/>
                <w:szCs w:val="18"/>
              </w:rPr>
              <w:t xml:space="preserve"> Luiz Felipe Bezerra Almeida Simões, Assessor da Secretaria das Sessões</w:t>
            </w:r>
          </w:p>
          <w:p w:rsidR="00BE6A12" w:rsidRPr="00337E16" w:rsidRDefault="00BE6A12" w:rsidP="007E60D5">
            <w:pPr>
              <w:pStyle w:val="enter-3pt"/>
              <w:spacing w:line="240" w:lineRule="auto"/>
              <w:jc w:val="center"/>
              <w:rPr>
                <w:b/>
                <w:i/>
                <w:sz w:val="22"/>
                <w:szCs w:val="22"/>
              </w:rPr>
            </w:pPr>
            <w:r w:rsidRPr="00337E16">
              <w:rPr>
                <w:b/>
                <w:i/>
                <w:sz w:val="18"/>
                <w:szCs w:val="18"/>
              </w:rPr>
              <w:t xml:space="preserve">Contato: </w:t>
            </w:r>
            <w:hyperlink r:id="rId7" w:history="1">
              <w:r w:rsidRPr="00337E16">
                <w:rPr>
                  <w:rStyle w:val="Hyperlink"/>
                  <w:b/>
                  <w:i/>
                  <w:color w:val="auto"/>
                  <w:sz w:val="18"/>
                  <w:szCs w:val="18"/>
                </w:rPr>
                <w:t>infojuris@tcu.gov.br</w:t>
              </w:r>
            </w:hyperlink>
          </w:p>
        </w:tc>
      </w:tr>
    </w:tbl>
    <w:p w:rsidR="00BE6A12" w:rsidRPr="00337E16" w:rsidRDefault="00BE6A12" w:rsidP="00BE6A12">
      <w:pPr>
        <w:pStyle w:val="enter-3pt"/>
        <w:spacing w:line="240" w:lineRule="auto"/>
        <w:jc w:val="center"/>
        <w:rPr>
          <w:b/>
          <w:sz w:val="22"/>
          <w:szCs w:val="22"/>
        </w:rPr>
      </w:pPr>
    </w:p>
    <w:sectPr w:rsidR="00BE6A12" w:rsidRPr="00337E16" w:rsidSect="00337E16">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0F" w:rsidRDefault="00A5220F" w:rsidP="008B0547">
      <w:pPr>
        <w:spacing w:after="0"/>
      </w:pPr>
      <w:r>
        <w:separator/>
      </w:r>
    </w:p>
  </w:endnote>
  <w:endnote w:type="continuationSeparator" w:id="0">
    <w:p w:rsidR="00A5220F" w:rsidRDefault="00A5220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1907BF">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0F" w:rsidRDefault="00A5220F" w:rsidP="008B0547">
      <w:pPr>
        <w:spacing w:after="0"/>
      </w:pPr>
      <w:r>
        <w:separator/>
      </w:r>
    </w:p>
  </w:footnote>
  <w:footnote w:type="continuationSeparator" w:id="0">
    <w:p w:rsidR="00A5220F" w:rsidRDefault="00A5220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4705B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4705B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543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4B6B81">
      <w:rPr>
        <w:rFonts w:ascii="Arial" w:hAnsi="Arial" w:cs="Arial"/>
        <w:noProof/>
        <w:lang w:eastAsia="pt-BR"/>
      </w:rPr>
      <w:t>4</w:t>
    </w:r>
    <w:r w:rsidR="007615E7">
      <w:rPr>
        <w:rFonts w:ascii="Arial" w:hAnsi="Arial" w:cs="Arial"/>
        <w:noProof/>
        <w:lang w:eastAsia="pt-BR"/>
      </w:rPr>
      <w:t>1</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028010A"/>
    <w:multiLevelType w:val="hybridMultilevel"/>
    <w:tmpl w:val="087E3884"/>
    <w:lvl w:ilvl="0" w:tplc="D81EB728">
      <w:start w:val="1"/>
      <w:numFmt w:val="decimal"/>
      <w:lvlText w:val="%1)"/>
      <w:lvlJc w:val="left"/>
      <w:pPr>
        <w:ind w:left="1064" w:hanging="360"/>
      </w:pPr>
      <w:rPr>
        <w:rFonts w:cs="Times New Roman" w:hint="default"/>
      </w:rPr>
    </w:lvl>
    <w:lvl w:ilvl="1" w:tplc="04160019" w:tentative="1">
      <w:start w:val="1"/>
      <w:numFmt w:val="lowerLetter"/>
      <w:lvlText w:val="%2."/>
      <w:lvlJc w:val="left"/>
      <w:pPr>
        <w:ind w:left="1784" w:hanging="360"/>
      </w:pPr>
      <w:rPr>
        <w:rFonts w:cs="Times New Roman"/>
      </w:rPr>
    </w:lvl>
    <w:lvl w:ilvl="2" w:tplc="0416001B" w:tentative="1">
      <w:start w:val="1"/>
      <w:numFmt w:val="lowerRoman"/>
      <w:lvlText w:val="%3."/>
      <w:lvlJc w:val="right"/>
      <w:pPr>
        <w:ind w:left="2504" w:hanging="180"/>
      </w:pPr>
      <w:rPr>
        <w:rFonts w:cs="Times New Roman"/>
      </w:rPr>
    </w:lvl>
    <w:lvl w:ilvl="3" w:tplc="0416000F" w:tentative="1">
      <w:start w:val="1"/>
      <w:numFmt w:val="decimal"/>
      <w:lvlText w:val="%4."/>
      <w:lvlJc w:val="left"/>
      <w:pPr>
        <w:ind w:left="3224" w:hanging="360"/>
      </w:pPr>
      <w:rPr>
        <w:rFonts w:cs="Times New Roman"/>
      </w:rPr>
    </w:lvl>
    <w:lvl w:ilvl="4" w:tplc="04160019" w:tentative="1">
      <w:start w:val="1"/>
      <w:numFmt w:val="lowerLetter"/>
      <w:lvlText w:val="%5."/>
      <w:lvlJc w:val="left"/>
      <w:pPr>
        <w:ind w:left="3944" w:hanging="360"/>
      </w:pPr>
      <w:rPr>
        <w:rFonts w:cs="Times New Roman"/>
      </w:rPr>
    </w:lvl>
    <w:lvl w:ilvl="5" w:tplc="0416001B" w:tentative="1">
      <w:start w:val="1"/>
      <w:numFmt w:val="lowerRoman"/>
      <w:lvlText w:val="%6."/>
      <w:lvlJc w:val="right"/>
      <w:pPr>
        <w:ind w:left="4664" w:hanging="180"/>
      </w:pPr>
      <w:rPr>
        <w:rFonts w:cs="Times New Roman"/>
      </w:rPr>
    </w:lvl>
    <w:lvl w:ilvl="6" w:tplc="0416000F" w:tentative="1">
      <w:start w:val="1"/>
      <w:numFmt w:val="decimal"/>
      <w:lvlText w:val="%7."/>
      <w:lvlJc w:val="left"/>
      <w:pPr>
        <w:ind w:left="5384" w:hanging="360"/>
      </w:pPr>
      <w:rPr>
        <w:rFonts w:cs="Times New Roman"/>
      </w:rPr>
    </w:lvl>
    <w:lvl w:ilvl="7" w:tplc="04160019" w:tentative="1">
      <w:start w:val="1"/>
      <w:numFmt w:val="lowerLetter"/>
      <w:lvlText w:val="%8."/>
      <w:lvlJc w:val="left"/>
      <w:pPr>
        <w:ind w:left="6104" w:hanging="360"/>
      </w:pPr>
      <w:rPr>
        <w:rFonts w:cs="Times New Roman"/>
      </w:rPr>
    </w:lvl>
    <w:lvl w:ilvl="8" w:tplc="0416001B" w:tentative="1">
      <w:start w:val="1"/>
      <w:numFmt w:val="lowerRoman"/>
      <w:lvlText w:val="%9."/>
      <w:lvlJc w:val="right"/>
      <w:pPr>
        <w:ind w:left="6824" w:hanging="180"/>
      </w:pPr>
      <w:rPr>
        <w:rFonts w:cs="Times New Roman"/>
      </w:rPr>
    </w:lvl>
  </w:abstractNum>
  <w:abstractNum w:abstractNumId="3">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282D4B"/>
    <w:multiLevelType w:val="hybridMultilevel"/>
    <w:tmpl w:val="FA9E460C"/>
    <w:lvl w:ilvl="0" w:tplc="8C3C7376">
      <w:start w:val="1"/>
      <w:numFmt w:val="lowerLetter"/>
      <w:lvlText w:val="%1)"/>
      <w:lvlJc w:val="left"/>
      <w:pPr>
        <w:ind w:left="1494" w:hanging="360"/>
      </w:pPr>
      <w:rPr>
        <w:rFonts w:cs="Times New Roman" w:hint="default"/>
        <w:color w:val="000000"/>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1"/>
  </w:num>
  <w:num w:numId="3">
    <w:abstractNumId w:val="5"/>
  </w:num>
  <w:num w:numId="4">
    <w:abstractNumId w:val="0"/>
  </w:num>
  <w:num w:numId="5">
    <w:abstractNumId w:val="6"/>
  </w:num>
  <w:num w:numId="6">
    <w:abstractNumId w:val="10"/>
  </w:num>
  <w:num w:numId="7">
    <w:abstractNumId w:val="17"/>
  </w:num>
  <w:num w:numId="8">
    <w:abstractNumId w:val="15"/>
  </w:num>
  <w:num w:numId="9">
    <w:abstractNumId w:val="12"/>
  </w:num>
  <w:num w:numId="10">
    <w:abstractNumId w:val="4"/>
  </w:num>
  <w:num w:numId="11">
    <w:abstractNumId w:val="18"/>
  </w:num>
  <w:num w:numId="12">
    <w:abstractNumId w:val="3"/>
  </w:num>
  <w:num w:numId="13">
    <w:abstractNumId w:val="9"/>
  </w:num>
  <w:num w:numId="14">
    <w:abstractNumId w:val="16"/>
  </w:num>
  <w:num w:numId="15">
    <w:abstractNumId w:val="8"/>
  </w:num>
  <w:num w:numId="16">
    <w:abstractNumId w:val="1"/>
  </w:num>
  <w:num w:numId="17">
    <w:abstractNumId w:val="7"/>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865"/>
    <w:rsid w:val="00003CEA"/>
    <w:rsid w:val="00004614"/>
    <w:rsid w:val="00004ED4"/>
    <w:rsid w:val="00005435"/>
    <w:rsid w:val="00005E1E"/>
    <w:rsid w:val="00012468"/>
    <w:rsid w:val="0001636D"/>
    <w:rsid w:val="00023D72"/>
    <w:rsid w:val="00026EA5"/>
    <w:rsid w:val="000271FA"/>
    <w:rsid w:val="00032198"/>
    <w:rsid w:val="00034AE2"/>
    <w:rsid w:val="000411E4"/>
    <w:rsid w:val="00041450"/>
    <w:rsid w:val="0004660A"/>
    <w:rsid w:val="0005011C"/>
    <w:rsid w:val="00051442"/>
    <w:rsid w:val="00052B15"/>
    <w:rsid w:val="00054432"/>
    <w:rsid w:val="000562CD"/>
    <w:rsid w:val="00056D51"/>
    <w:rsid w:val="0006028E"/>
    <w:rsid w:val="000607C4"/>
    <w:rsid w:val="00061C2E"/>
    <w:rsid w:val="0006274B"/>
    <w:rsid w:val="00065E95"/>
    <w:rsid w:val="00066F28"/>
    <w:rsid w:val="000673A2"/>
    <w:rsid w:val="00073D80"/>
    <w:rsid w:val="00080148"/>
    <w:rsid w:val="00084727"/>
    <w:rsid w:val="0009133A"/>
    <w:rsid w:val="00092C2E"/>
    <w:rsid w:val="000A2C56"/>
    <w:rsid w:val="000B0ECB"/>
    <w:rsid w:val="000B0FEA"/>
    <w:rsid w:val="000B2AFA"/>
    <w:rsid w:val="000D1FD7"/>
    <w:rsid w:val="000D6418"/>
    <w:rsid w:val="000D7DB6"/>
    <w:rsid w:val="000D7DED"/>
    <w:rsid w:val="000E3B31"/>
    <w:rsid w:val="000E63B7"/>
    <w:rsid w:val="000F6D85"/>
    <w:rsid w:val="000F7CEE"/>
    <w:rsid w:val="00105847"/>
    <w:rsid w:val="001104BA"/>
    <w:rsid w:val="00112676"/>
    <w:rsid w:val="0011373A"/>
    <w:rsid w:val="00113987"/>
    <w:rsid w:val="00114511"/>
    <w:rsid w:val="00115C80"/>
    <w:rsid w:val="00124350"/>
    <w:rsid w:val="00125BF0"/>
    <w:rsid w:val="00126026"/>
    <w:rsid w:val="00133EA9"/>
    <w:rsid w:val="00141D7A"/>
    <w:rsid w:val="001420D1"/>
    <w:rsid w:val="001444A2"/>
    <w:rsid w:val="00151F92"/>
    <w:rsid w:val="0015258E"/>
    <w:rsid w:val="00152ECC"/>
    <w:rsid w:val="001532E4"/>
    <w:rsid w:val="00156A48"/>
    <w:rsid w:val="00157AFE"/>
    <w:rsid w:val="00157C0F"/>
    <w:rsid w:val="00172915"/>
    <w:rsid w:val="001744E7"/>
    <w:rsid w:val="00176375"/>
    <w:rsid w:val="00177900"/>
    <w:rsid w:val="001907BF"/>
    <w:rsid w:val="00191894"/>
    <w:rsid w:val="001922E8"/>
    <w:rsid w:val="001A330B"/>
    <w:rsid w:val="001A60A2"/>
    <w:rsid w:val="001B0889"/>
    <w:rsid w:val="001B3E8E"/>
    <w:rsid w:val="001B452D"/>
    <w:rsid w:val="001B4F90"/>
    <w:rsid w:val="001C0575"/>
    <w:rsid w:val="001C437E"/>
    <w:rsid w:val="001D03C7"/>
    <w:rsid w:val="001D1478"/>
    <w:rsid w:val="001D44E7"/>
    <w:rsid w:val="001D74CE"/>
    <w:rsid w:val="001E0BF1"/>
    <w:rsid w:val="001E1E28"/>
    <w:rsid w:val="001E2620"/>
    <w:rsid w:val="001E4147"/>
    <w:rsid w:val="001E6F03"/>
    <w:rsid w:val="001E7C3D"/>
    <w:rsid w:val="001F00DF"/>
    <w:rsid w:val="001F30A9"/>
    <w:rsid w:val="002002CE"/>
    <w:rsid w:val="0020066F"/>
    <w:rsid w:val="00203A6F"/>
    <w:rsid w:val="00204361"/>
    <w:rsid w:val="00207B22"/>
    <w:rsid w:val="00211816"/>
    <w:rsid w:val="00211E33"/>
    <w:rsid w:val="00226D9D"/>
    <w:rsid w:val="00232158"/>
    <w:rsid w:val="002328F9"/>
    <w:rsid w:val="00233CE3"/>
    <w:rsid w:val="0024146C"/>
    <w:rsid w:val="0024593F"/>
    <w:rsid w:val="002476B6"/>
    <w:rsid w:val="002522F9"/>
    <w:rsid w:val="00252623"/>
    <w:rsid w:val="00253470"/>
    <w:rsid w:val="00254590"/>
    <w:rsid w:val="0026362E"/>
    <w:rsid w:val="002649A7"/>
    <w:rsid w:val="00265B6F"/>
    <w:rsid w:val="002663B7"/>
    <w:rsid w:val="00271D81"/>
    <w:rsid w:val="00273E72"/>
    <w:rsid w:val="00276DC0"/>
    <w:rsid w:val="00277EF9"/>
    <w:rsid w:val="002810D9"/>
    <w:rsid w:val="00281830"/>
    <w:rsid w:val="0029043B"/>
    <w:rsid w:val="00290A06"/>
    <w:rsid w:val="0029211E"/>
    <w:rsid w:val="0029450E"/>
    <w:rsid w:val="002A190F"/>
    <w:rsid w:val="002A3B3F"/>
    <w:rsid w:val="002A7275"/>
    <w:rsid w:val="002B71BA"/>
    <w:rsid w:val="002C7B61"/>
    <w:rsid w:val="002C7B6D"/>
    <w:rsid w:val="002C7EF7"/>
    <w:rsid w:val="002D0768"/>
    <w:rsid w:val="002D314E"/>
    <w:rsid w:val="002D35F5"/>
    <w:rsid w:val="002D47FE"/>
    <w:rsid w:val="002D739A"/>
    <w:rsid w:val="002D76AB"/>
    <w:rsid w:val="002E3028"/>
    <w:rsid w:val="002E361C"/>
    <w:rsid w:val="002E3943"/>
    <w:rsid w:val="002E4254"/>
    <w:rsid w:val="002F2FE7"/>
    <w:rsid w:val="002F5F3B"/>
    <w:rsid w:val="002F693C"/>
    <w:rsid w:val="003020F4"/>
    <w:rsid w:val="00304A73"/>
    <w:rsid w:val="003069F9"/>
    <w:rsid w:val="003077BE"/>
    <w:rsid w:val="00310208"/>
    <w:rsid w:val="0031058F"/>
    <w:rsid w:val="0031089E"/>
    <w:rsid w:val="00310D69"/>
    <w:rsid w:val="003147B7"/>
    <w:rsid w:val="003173AA"/>
    <w:rsid w:val="00317CF4"/>
    <w:rsid w:val="00317E59"/>
    <w:rsid w:val="00322AE7"/>
    <w:rsid w:val="003275E4"/>
    <w:rsid w:val="00337E16"/>
    <w:rsid w:val="00340E66"/>
    <w:rsid w:val="00340F10"/>
    <w:rsid w:val="0034486B"/>
    <w:rsid w:val="00344D92"/>
    <w:rsid w:val="003455A2"/>
    <w:rsid w:val="00350394"/>
    <w:rsid w:val="00350E87"/>
    <w:rsid w:val="00353B7C"/>
    <w:rsid w:val="0035438E"/>
    <w:rsid w:val="003549D1"/>
    <w:rsid w:val="00355373"/>
    <w:rsid w:val="00355828"/>
    <w:rsid w:val="00357CBE"/>
    <w:rsid w:val="00361661"/>
    <w:rsid w:val="00377522"/>
    <w:rsid w:val="003817A7"/>
    <w:rsid w:val="003824E4"/>
    <w:rsid w:val="00385DAB"/>
    <w:rsid w:val="0038696B"/>
    <w:rsid w:val="00392509"/>
    <w:rsid w:val="003943E5"/>
    <w:rsid w:val="0039686C"/>
    <w:rsid w:val="00397D8E"/>
    <w:rsid w:val="003A2222"/>
    <w:rsid w:val="003A5479"/>
    <w:rsid w:val="003A5C1B"/>
    <w:rsid w:val="003A7C7F"/>
    <w:rsid w:val="003B0304"/>
    <w:rsid w:val="003B043F"/>
    <w:rsid w:val="003B1BE7"/>
    <w:rsid w:val="003B2E10"/>
    <w:rsid w:val="003B33CE"/>
    <w:rsid w:val="003B343D"/>
    <w:rsid w:val="003B56D7"/>
    <w:rsid w:val="003C1B4F"/>
    <w:rsid w:val="003C2288"/>
    <w:rsid w:val="003C2D50"/>
    <w:rsid w:val="003C6DEB"/>
    <w:rsid w:val="003C7A5C"/>
    <w:rsid w:val="003D3B68"/>
    <w:rsid w:val="003D73BD"/>
    <w:rsid w:val="003D7CCE"/>
    <w:rsid w:val="003E1B68"/>
    <w:rsid w:val="003E337A"/>
    <w:rsid w:val="003E65D7"/>
    <w:rsid w:val="003F413A"/>
    <w:rsid w:val="003F54FB"/>
    <w:rsid w:val="003F6D1F"/>
    <w:rsid w:val="00401539"/>
    <w:rsid w:val="00411094"/>
    <w:rsid w:val="0041493F"/>
    <w:rsid w:val="004169D8"/>
    <w:rsid w:val="00417586"/>
    <w:rsid w:val="004201AF"/>
    <w:rsid w:val="00425FF9"/>
    <w:rsid w:val="00427105"/>
    <w:rsid w:val="0042756B"/>
    <w:rsid w:val="00427B3B"/>
    <w:rsid w:val="00427EBF"/>
    <w:rsid w:val="00432585"/>
    <w:rsid w:val="004362AB"/>
    <w:rsid w:val="004415FB"/>
    <w:rsid w:val="00441CE3"/>
    <w:rsid w:val="0044434A"/>
    <w:rsid w:val="00445E76"/>
    <w:rsid w:val="00452C60"/>
    <w:rsid w:val="0046384E"/>
    <w:rsid w:val="00463F17"/>
    <w:rsid w:val="0046706B"/>
    <w:rsid w:val="004705B8"/>
    <w:rsid w:val="00471284"/>
    <w:rsid w:val="00473696"/>
    <w:rsid w:val="0047491E"/>
    <w:rsid w:val="004837C6"/>
    <w:rsid w:val="00483998"/>
    <w:rsid w:val="00484E4C"/>
    <w:rsid w:val="004906BD"/>
    <w:rsid w:val="00491438"/>
    <w:rsid w:val="00492D23"/>
    <w:rsid w:val="00492E3F"/>
    <w:rsid w:val="00493F5C"/>
    <w:rsid w:val="004A171B"/>
    <w:rsid w:val="004B1DC3"/>
    <w:rsid w:val="004B6B81"/>
    <w:rsid w:val="004C2755"/>
    <w:rsid w:val="004C51D4"/>
    <w:rsid w:val="004C5FF6"/>
    <w:rsid w:val="004C780C"/>
    <w:rsid w:val="004D5460"/>
    <w:rsid w:val="004D708E"/>
    <w:rsid w:val="004E254C"/>
    <w:rsid w:val="004E357A"/>
    <w:rsid w:val="004E65EB"/>
    <w:rsid w:val="004F7174"/>
    <w:rsid w:val="0050355D"/>
    <w:rsid w:val="005055B5"/>
    <w:rsid w:val="00511BBF"/>
    <w:rsid w:val="00515E7B"/>
    <w:rsid w:val="005217F8"/>
    <w:rsid w:val="0052267A"/>
    <w:rsid w:val="00526260"/>
    <w:rsid w:val="00531143"/>
    <w:rsid w:val="00533E30"/>
    <w:rsid w:val="00536332"/>
    <w:rsid w:val="00543EB8"/>
    <w:rsid w:val="00554A33"/>
    <w:rsid w:val="0055716D"/>
    <w:rsid w:val="00557953"/>
    <w:rsid w:val="00560E55"/>
    <w:rsid w:val="0056301A"/>
    <w:rsid w:val="005640E1"/>
    <w:rsid w:val="00564EA1"/>
    <w:rsid w:val="0056534C"/>
    <w:rsid w:val="00567CEE"/>
    <w:rsid w:val="005713F4"/>
    <w:rsid w:val="00571E64"/>
    <w:rsid w:val="00580F26"/>
    <w:rsid w:val="0058427E"/>
    <w:rsid w:val="00585DD4"/>
    <w:rsid w:val="005876B5"/>
    <w:rsid w:val="00590907"/>
    <w:rsid w:val="005A72F2"/>
    <w:rsid w:val="005B2194"/>
    <w:rsid w:val="005B2BC3"/>
    <w:rsid w:val="005B4CFA"/>
    <w:rsid w:val="005B6CB5"/>
    <w:rsid w:val="005C1A79"/>
    <w:rsid w:val="005E269C"/>
    <w:rsid w:val="005E3586"/>
    <w:rsid w:val="005E4DEE"/>
    <w:rsid w:val="005E5FF1"/>
    <w:rsid w:val="005F01CE"/>
    <w:rsid w:val="005F70B6"/>
    <w:rsid w:val="0060427D"/>
    <w:rsid w:val="00604DBE"/>
    <w:rsid w:val="006063E1"/>
    <w:rsid w:val="006065E4"/>
    <w:rsid w:val="0061032A"/>
    <w:rsid w:val="00612045"/>
    <w:rsid w:val="00613AC9"/>
    <w:rsid w:val="00620E86"/>
    <w:rsid w:val="006219DD"/>
    <w:rsid w:val="006254B9"/>
    <w:rsid w:val="00632ACC"/>
    <w:rsid w:val="0063461C"/>
    <w:rsid w:val="0064312A"/>
    <w:rsid w:val="0064475B"/>
    <w:rsid w:val="00650463"/>
    <w:rsid w:val="00650FED"/>
    <w:rsid w:val="00651660"/>
    <w:rsid w:val="00652171"/>
    <w:rsid w:val="006530D9"/>
    <w:rsid w:val="00664980"/>
    <w:rsid w:val="00667848"/>
    <w:rsid w:val="00670FEA"/>
    <w:rsid w:val="0067353C"/>
    <w:rsid w:val="00676163"/>
    <w:rsid w:val="00677C22"/>
    <w:rsid w:val="006808CC"/>
    <w:rsid w:val="006825D6"/>
    <w:rsid w:val="00685899"/>
    <w:rsid w:val="00692D30"/>
    <w:rsid w:val="00697477"/>
    <w:rsid w:val="006A037E"/>
    <w:rsid w:val="006A420B"/>
    <w:rsid w:val="006A45B2"/>
    <w:rsid w:val="006A7796"/>
    <w:rsid w:val="006B0495"/>
    <w:rsid w:val="006B07E3"/>
    <w:rsid w:val="006B0DCB"/>
    <w:rsid w:val="006B2408"/>
    <w:rsid w:val="006B3AF9"/>
    <w:rsid w:val="006B414C"/>
    <w:rsid w:val="006B4B0F"/>
    <w:rsid w:val="006B633B"/>
    <w:rsid w:val="006C351F"/>
    <w:rsid w:val="006C6767"/>
    <w:rsid w:val="006D3784"/>
    <w:rsid w:val="006F4DE0"/>
    <w:rsid w:val="006F7332"/>
    <w:rsid w:val="006F7B80"/>
    <w:rsid w:val="0070385B"/>
    <w:rsid w:val="0070494F"/>
    <w:rsid w:val="00705758"/>
    <w:rsid w:val="0070717A"/>
    <w:rsid w:val="00713DE5"/>
    <w:rsid w:val="007174DA"/>
    <w:rsid w:val="00720910"/>
    <w:rsid w:val="00720F29"/>
    <w:rsid w:val="007224C2"/>
    <w:rsid w:val="00737FEC"/>
    <w:rsid w:val="00740BAE"/>
    <w:rsid w:val="00742835"/>
    <w:rsid w:val="007438D0"/>
    <w:rsid w:val="00744814"/>
    <w:rsid w:val="00756AA0"/>
    <w:rsid w:val="00757CE6"/>
    <w:rsid w:val="00761359"/>
    <w:rsid w:val="007615E7"/>
    <w:rsid w:val="007671B6"/>
    <w:rsid w:val="007671DA"/>
    <w:rsid w:val="007719A8"/>
    <w:rsid w:val="00771F88"/>
    <w:rsid w:val="00774593"/>
    <w:rsid w:val="00774801"/>
    <w:rsid w:val="00777599"/>
    <w:rsid w:val="00785CF8"/>
    <w:rsid w:val="00796CC0"/>
    <w:rsid w:val="007A0B3F"/>
    <w:rsid w:val="007A1A35"/>
    <w:rsid w:val="007A5922"/>
    <w:rsid w:val="007B0329"/>
    <w:rsid w:val="007B259B"/>
    <w:rsid w:val="007B5018"/>
    <w:rsid w:val="007C670D"/>
    <w:rsid w:val="007D09C6"/>
    <w:rsid w:val="007D0ED0"/>
    <w:rsid w:val="007D4A4A"/>
    <w:rsid w:val="007D4CB9"/>
    <w:rsid w:val="007E0E05"/>
    <w:rsid w:val="007E1DD3"/>
    <w:rsid w:val="007E209F"/>
    <w:rsid w:val="007E359F"/>
    <w:rsid w:val="007E4655"/>
    <w:rsid w:val="007E55E0"/>
    <w:rsid w:val="007E5C50"/>
    <w:rsid w:val="007E60D5"/>
    <w:rsid w:val="007F22A5"/>
    <w:rsid w:val="00810CC2"/>
    <w:rsid w:val="0081324B"/>
    <w:rsid w:val="00815738"/>
    <w:rsid w:val="00816193"/>
    <w:rsid w:val="008165E4"/>
    <w:rsid w:val="00824725"/>
    <w:rsid w:val="00825155"/>
    <w:rsid w:val="00825EB9"/>
    <w:rsid w:val="008303E2"/>
    <w:rsid w:val="008341F8"/>
    <w:rsid w:val="008359F3"/>
    <w:rsid w:val="00835DB6"/>
    <w:rsid w:val="00836356"/>
    <w:rsid w:val="00836AC2"/>
    <w:rsid w:val="00844C5B"/>
    <w:rsid w:val="008501A4"/>
    <w:rsid w:val="008505A1"/>
    <w:rsid w:val="00850817"/>
    <w:rsid w:val="008530C8"/>
    <w:rsid w:val="0086124E"/>
    <w:rsid w:val="008652C9"/>
    <w:rsid w:val="00866992"/>
    <w:rsid w:val="00870986"/>
    <w:rsid w:val="00875991"/>
    <w:rsid w:val="00877FDD"/>
    <w:rsid w:val="00880FED"/>
    <w:rsid w:val="008841C8"/>
    <w:rsid w:val="00892BB8"/>
    <w:rsid w:val="00893014"/>
    <w:rsid w:val="00896755"/>
    <w:rsid w:val="008A2417"/>
    <w:rsid w:val="008A5D49"/>
    <w:rsid w:val="008A751E"/>
    <w:rsid w:val="008B0547"/>
    <w:rsid w:val="008B11A3"/>
    <w:rsid w:val="008B1FE5"/>
    <w:rsid w:val="008B434A"/>
    <w:rsid w:val="008B7B55"/>
    <w:rsid w:val="008C3A5B"/>
    <w:rsid w:val="008D6F5D"/>
    <w:rsid w:val="008E003A"/>
    <w:rsid w:val="008E15E3"/>
    <w:rsid w:val="008E4C62"/>
    <w:rsid w:val="008E727E"/>
    <w:rsid w:val="008F2902"/>
    <w:rsid w:val="008F660B"/>
    <w:rsid w:val="009005CE"/>
    <w:rsid w:val="00901376"/>
    <w:rsid w:val="009021A4"/>
    <w:rsid w:val="0090240C"/>
    <w:rsid w:val="00907EC0"/>
    <w:rsid w:val="0091511B"/>
    <w:rsid w:val="009239AA"/>
    <w:rsid w:val="009245B5"/>
    <w:rsid w:val="00925974"/>
    <w:rsid w:val="0093318A"/>
    <w:rsid w:val="009339B0"/>
    <w:rsid w:val="00935D76"/>
    <w:rsid w:val="0093795C"/>
    <w:rsid w:val="009444E6"/>
    <w:rsid w:val="00944A8E"/>
    <w:rsid w:val="009455E6"/>
    <w:rsid w:val="00947F98"/>
    <w:rsid w:val="00950890"/>
    <w:rsid w:val="00952B4A"/>
    <w:rsid w:val="00956BA7"/>
    <w:rsid w:val="00956FD8"/>
    <w:rsid w:val="009575F7"/>
    <w:rsid w:val="0096021A"/>
    <w:rsid w:val="00960F73"/>
    <w:rsid w:val="00971139"/>
    <w:rsid w:val="0097401F"/>
    <w:rsid w:val="00981FA0"/>
    <w:rsid w:val="00984366"/>
    <w:rsid w:val="00984E80"/>
    <w:rsid w:val="0098690F"/>
    <w:rsid w:val="00987EE5"/>
    <w:rsid w:val="009923C2"/>
    <w:rsid w:val="00997C8A"/>
    <w:rsid w:val="009A1339"/>
    <w:rsid w:val="009A3006"/>
    <w:rsid w:val="009A3994"/>
    <w:rsid w:val="009B1616"/>
    <w:rsid w:val="009B62AF"/>
    <w:rsid w:val="009D1B99"/>
    <w:rsid w:val="009D5445"/>
    <w:rsid w:val="009D565F"/>
    <w:rsid w:val="009D65B9"/>
    <w:rsid w:val="009E04DC"/>
    <w:rsid w:val="009E0FB3"/>
    <w:rsid w:val="009E5105"/>
    <w:rsid w:val="009F1E67"/>
    <w:rsid w:val="00A0244C"/>
    <w:rsid w:val="00A033FF"/>
    <w:rsid w:val="00A1329C"/>
    <w:rsid w:val="00A14E25"/>
    <w:rsid w:val="00A16A60"/>
    <w:rsid w:val="00A17A3D"/>
    <w:rsid w:val="00A2062A"/>
    <w:rsid w:val="00A21E19"/>
    <w:rsid w:val="00A30683"/>
    <w:rsid w:val="00A3115F"/>
    <w:rsid w:val="00A33030"/>
    <w:rsid w:val="00A378A2"/>
    <w:rsid w:val="00A5220F"/>
    <w:rsid w:val="00A60F52"/>
    <w:rsid w:val="00A63B4C"/>
    <w:rsid w:val="00A664E7"/>
    <w:rsid w:val="00A66E7F"/>
    <w:rsid w:val="00A75C52"/>
    <w:rsid w:val="00A76182"/>
    <w:rsid w:val="00A7619D"/>
    <w:rsid w:val="00A767B2"/>
    <w:rsid w:val="00A774C5"/>
    <w:rsid w:val="00A82B9E"/>
    <w:rsid w:val="00A84186"/>
    <w:rsid w:val="00A85B14"/>
    <w:rsid w:val="00A9375D"/>
    <w:rsid w:val="00A944D7"/>
    <w:rsid w:val="00A9704A"/>
    <w:rsid w:val="00A97AD0"/>
    <w:rsid w:val="00AA1244"/>
    <w:rsid w:val="00AA1377"/>
    <w:rsid w:val="00AA49AF"/>
    <w:rsid w:val="00AA57CE"/>
    <w:rsid w:val="00AA7540"/>
    <w:rsid w:val="00AB2697"/>
    <w:rsid w:val="00AB30C8"/>
    <w:rsid w:val="00AC0BAE"/>
    <w:rsid w:val="00AC126F"/>
    <w:rsid w:val="00AE1128"/>
    <w:rsid w:val="00AE1AB0"/>
    <w:rsid w:val="00AE2609"/>
    <w:rsid w:val="00AE439A"/>
    <w:rsid w:val="00AF09C7"/>
    <w:rsid w:val="00B03D35"/>
    <w:rsid w:val="00B05065"/>
    <w:rsid w:val="00B05194"/>
    <w:rsid w:val="00B152FD"/>
    <w:rsid w:val="00B17303"/>
    <w:rsid w:val="00B2328D"/>
    <w:rsid w:val="00B25143"/>
    <w:rsid w:val="00B2585D"/>
    <w:rsid w:val="00B27359"/>
    <w:rsid w:val="00B321B3"/>
    <w:rsid w:val="00B33FC2"/>
    <w:rsid w:val="00B347F1"/>
    <w:rsid w:val="00B3502B"/>
    <w:rsid w:val="00B35C3E"/>
    <w:rsid w:val="00B36473"/>
    <w:rsid w:val="00B44029"/>
    <w:rsid w:val="00B45FD8"/>
    <w:rsid w:val="00B47943"/>
    <w:rsid w:val="00B50446"/>
    <w:rsid w:val="00B530FD"/>
    <w:rsid w:val="00B54650"/>
    <w:rsid w:val="00B5639B"/>
    <w:rsid w:val="00B57CB0"/>
    <w:rsid w:val="00B60C3E"/>
    <w:rsid w:val="00B64775"/>
    <w:rsid w:val="00B67B4F"/>
    <w:rsid w:val="00B81718"/>
    <w:rsid w:val="00B86AF6"/>
    <w:rsid w:val="00B86E2A"/>
    <w:rsid w:val="00B951C1"/>
    <w:rsid w:val="00B96EA4"/>
    <w:rsid w:val="00B97198"/>
    <w:rsid w:val="00B97A3E"/>
    <w:rsid w:val="00BA2FFD"/>
    <w:rsid w:val="00BB227D"/>
    <w:rsid w:val="00BB37AF"/>
    <w:rsid w:val="00BB4C08"/>
    <w:rsid w:val="00BC5737"/>
    <w:rsid w:val="00BD0BA7"/>
    <w:rsid w:val="00BD3C68"/>
    <w:rsid w:val="00BD421D"/>
    <w:rsid w:val="00BE0777"/>
    <w:rsid w:val="00BE1B8E"/>
    <w:rsid w:val="00BE4614"/>
    <w:rsid w:val="00BE4E6F"/>
    <w:rsid w:val="00BE529D"/>
    <w:rsid w:val="00BE6637"/>
    <w:rsid w:val="00BE6A12"/>
    <w:rsid w:val="00BF0EB2"/>
    <w:rsid w:val="00BF10E8"/>
    <w:rsid w:val="00BF3158"/>
    <w:rsid w:val="00BF79D3"/>
    <w:rsid w:val="00C03A04"/>
    <w:rsid w:val="00C046F7"/>
    <w:rsid w:val="00C10C0B"/>
    <w:rsid w:val="00C1776A"/>
    <w:rsid w:val="00C22519"/>
    <w:rsid w:val="00C2305C"/>
    <w:rsid w:val="00C233D0"/>
    <w:rsid w:val="00C24162"/>
    <w:rsid w:val="00C2509D"/>
    <w:rsid w:val="00C34ABD"/>
    <w:rsid w:val="00C35F43"/>
    <w:rsid w:val="00C44A07"/>
    <w:rsid w:val="00C44BDC"/>
    <w:rsid w:val="00C45BFB"/>
    <w:rsid w:val="00C54B14"/>
    <w:rsid w:val="00C6352A"/>
    <w:rsid w:val="00C65B2D"/>
    <w:rsid w:val="00C65C5D"/>
    <w:rsid w:val="00C70657"/>
    <w:rsid w:val="00C711E5"/>
    <w:rsid w:val="00C733F0"/>
    <w:rsid w:val="00C83AEE"/>
    <w:rsid w:val="00C85AC7"/>
    <w:rsid w:val="00C906CD"/>
    <w:rsid w:val="00CA6716"/>
    <w:rsid w:val="00CC14B7"/>
    <w:rsid w:val="00CC42D4"/>
    <w:rsid w:val="00CC47AE"/>
    <w:rsid w:val="00CD2536"/>
    <w:rsid w:val="00CF230D"/>
    <w:rsid w:val="00CF5489"/>
    <w:rsid w:val="00CF7615"/>
    <w:rsid w:val="00D003F8"/>
    <w:rsid w:val="00D024B0"/>
    <w:rsid w:val="00D10769"/>
    <w:rsid w:val="00D116C7"/>
    <w:rsid w:val="00D13AC5"/>
    <w:rsid w:val="00D14E5F"/>
    <w:rsid w:val="00D2041E"/>
    <w:rsid w:val="00D22A8F"/>
    <w:rsid w:val="00D32EAB"/>
    <w:rsid w:val="00D341C9"/>
    <w:rsid w:val="00D3447D"/>
    <w:rsid w:val="00D3488B"/>
    <w:rsid w:val="00D361DE"/>
    <w:rsid w:val="00D3771F"/>
    <w:rsid w:val="00D46C12"/>
    <w:rsid w:val="00D46C4C"/>
    <w:rsid w:val="00D51F18"/>
    <w:rsid w:val="00D55020"/>
    <w:rsid w:val="00D564BB"/>
    <w:rsid w:val="00D565FA"/>
    <w:rsid w:val="00D568ED"/>
    <w:rsid w:val="00D6014E"/>
    <w:rsid w:val="00D630E7"/>
    <w:rsid w:val="00D700E5"/>
    <w:rsid w:val="00D7048E"/>
    <w:rsid w:val="00D75469"/>
    <w:rsid w:val="00D76186"/>
    <w:rsid w:val="00D8231F"/>
    <w:rsid w:val="00D86DD4"/>
    <w:rsid w:val="00D90984"/>
    <w:rsid w:val="00D92529"/>
    <w:rsid w:val="00DA5AAB"/>
    <w:rsid w:val="00DA6858"/>
    <w:rsid w:val="00DB1CD7"/>
    <w:rsid w:val="00DB2651"/>
    <w:rsid w:val="00DB4717"/>
    <w:rsid w:val="00DC6F31"/>
    <w:rsid w:val="00DD6D17"/>
    <w:rsid w:val="00DD6D82"/>
    <w:rsid w:val="00DE045E"/>
    <w:rsid w:val="00DE23D6"/>
    <w:rsid w:val="00DE2CB6"/>
    <w:rsid w:val="00DE2DDE"/>
    <w:rsid w:val="00DE5414"/>
    <w:rsid w:val="00DF0C37"/>
    <w:rsid w:val="00DF2506"/>
    <w:rsid w:val="00DF301A"/>
    <w:rsid w:val="00DF31D7"/>
    <w:rsid w:val="00DF3469"/>
    <w:rsid w:val="00DF3BE2"/>
    <w:rsid w:val="00DF4E2C"/>
    <w:rsid w:val="00DF5463"/>
    <w:rsid w:val="00DF75EC"/>
    <w:rsid w:val="00DF7CB1"/>
    <w:rsid w:val="00E079C6"/>
    <w:rsid w:val="00E13BB4"/>
    <w:rsid w:val="00E146CF"/>
    <w:rsid w:val="00E2003B"/>
    <w:rsid w:val="00E23C05"/>
    <w:rsid w:val="00E247E2"/>
    <w:rsid w:val="00E25764"/>
    <w:rsid w:val="00E30127"/>
    <w:rsid w:val="00E304EB"/>
    <w:rsid w:val="00E329D0"/>
    <w:rsid w:val="00E33746"/>
    <w:rsid w:val="00E36B53"/>
    <w:rsid w:val="00E37585"/>
    <w:rsid w:val="00E45EE9"/>
    <w:rsid w:val="00E469D5"/>
    <w:rsid w:val="00E46CD5"/>
    <w:rsid w:val="00E47F90"/>
    <w:rsid w:val="00E500D9"/>
    <w:rsid w:val="00E51AB5"/>
    <w:rsid w:val="00E52345"/>
    <w:rsid w:val="00E52694"/>
    <w:rsid w:val="00E52763"/>
    <w:rsid w:val="00E563AE"/>
    <w:rsid w:val="00E607C0"/>
    <w:rsid w:val="00E63136"/>
    <w:rsid w:val="00E65B5B"/>
    <w:rsid w:val="00E662CD"/>
    <w:rsid w:val="00E67B62"/>
    <w:rsid w:val="00E73271"/>
    <w:rsid w:val="00E74214"/>
    <w:rsid w:val="00E74D52"/>
    <w:rsid w:val="00E75855"/>
    <w:rsid w:val="00E86458"/>
    <w:rsid w:val="00E86566"/>
    <w:rsid w:val="00E875F5"/>
    <w:rsid w:val="00E87C16"/>
    <w:rsid w:val="00E92527"/>
    <w:rsid w:val="00E97045"/>
    <w:rsid w:val="00EA270C"/>
    <w:rsid w:val="00EA445E"/>
    <w:rsid w:val="00EA5CF4"/>
    <w:rsid w:val="00EB09B9"/>
    <w:rsid w:val="00EB7CB1"/>
    <w:rsid w:val="00EC0445"/>
    <w:rsid w:val="00EC1C35"/>
    <w:rsid w:val="00ED0557"/>
    <w:rsid w:val="00ED34D4"/>
    <w:rsid w:val="00ED70D1"/>
    <w:rsid w:val="00EE30EE"/>
    <w:rsid w:val="00EE4BD9"/>
    <w:rsid w:val="00EE5656"/>
    <w:rsid w:val="00EE6DE6"/>
    <w:rsid w:val="00EF057C"/>
    <w:rsid w:val="00EF1D14"/>
    <w:rsid w:val="00EF25FB"/>
    <w:rsid w:val="00F01B31"/>
    <w:rsid w:val="00F03AB9"/>
    <w:rsid w:val="00F0466F"/>
    <w:rsid w:val="00F06479"/>
    <w:rsid w:val="00F076C5"/>
    <w:rsid w:val="00F120D9"/>
    <w:rsid w:val="00F124BE"/>
    <w:rsid w:val="00F24C67"/>
    <w:rsid w:val="00F26AE3"/>
    <w:rsid w:val="00F27170"/>
    <w:rsid w:val="00F30016"/>
    <w:rsid w:val="00F31C75"/>
    <w:rsid w:val="00F341CC"/>
    <w:rsid w:val="00F40CAB"/>
    <w:rsid w:val="00F47C5C"/>
    <w:rsid w:val="00F53E20"/>
    <w:rsid w:val="00F54856"/>
    <w:rsid w:val="00F64F51"/>
    <w:rsid w:val="00F765E8"/>
    <w:rsid w:val="00F86D88"/>
    <w:rsid w:val="00F8741B"/>
    <w:rsid w:val="00F87FA7"/>
    <w:rsid w:val="00F9473C"/>
    <w:rsid w:val="00FA0BEB"/>
    <w:rsid w:val="00FA1F86"/>
    <w:rsid w:val="00FA40A3"/>
    <w:rsid w:val="00FB3BA6"/>
    <w:rsid w:val="00FB40F7"/>
    <w:rsid w:val="00FB4D65"/>
    <w:rsid w:val="00FB5954"/>
    <w:rsid w:val="00FB5A53"/>
    <w:rsid w:val="00FB7C09"/>
    <w:rsid w:val="00FC0CDF"/>
    <w:rsid w:val="00FC183A"/>
    <w:rsid w:val="00FC1C7C"/>
    <w:rsid w:val="00FC1D17"/>
    <w:rsid w:val="00FC3D1C"/>
    <w:rsid w:val="00FC5D80"/>
    <w:rsid w:val="00FD08A7"/>
    <w:rsid w:val="00FD2E55"/>
    <w:rsid w:val="00FD2FA9"/>
    <w:rsid w:val="00FE4B60"/>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819C341-DB5F-4B73-87F5-3CC0DA0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styleId="PargrafodaLista">
    <w:name w:val="List Paragraph"/>
    <w:basedOn w:val="Normal"/>
    <w:uiPriority w:val="34"/>
    <w:qFormat/>
    <w:rsid w:val="00836356"/>
    <w:pPr>
      <w:ind w:left="720"/>
      <w:contextualSpacing/>
    </w:pPr>
    <w:rPr>
      <w:rFonts w:eastAsia="Times New Roman"/>
    </w:rPr>
  </w:style>
  <w:style w:type="paragraph" w:customStyle="1" w:styleId="TCU-Ac-item9-">
    <w:name w:val="TCU - Ac - item 9 - §§"/>
    <w:basedOn w:val="TCU-RelVoto-1"/>
    <w:qFormat/>
    <w:rsid w:val="00FC5D80"/>
    <w:pPr>
      <w:spacing w:after="0"/>
    </w:pPr>
  </w:style>
  <w:style w:type="paragraph" w:customStyle="1" w:styleId="TCU-SemRecuo">
    <w:name w:val="TCU - Sem Recuo"/>
    <w:basedOn w:val="Normal"/>
    <w:rsid w:val="00AB30C8"/>
    <w:pPr>
      <w:tabs>
        <w:tab w:val="left" w:pos="1134"/>
      </w:tabs>
      <w:spacing w:after="160"/>
      <w:ind w:left="0"/>
    </w:pPr>
    <w:rPr>
      <w:rFonts w:eastAsia="Times New Roman"/>
      <w:szCs w:val="20"/>
      <w:lang w:eastAsia="pt-BR"/>
    </w:rPr>
  </w:style>
  <w:style w:type="paragraph" w:customStyle="1" w:styleId="Corpo">
    <w:name w:val="Corpo"/>
    <w:basedOn w:val="Normal"/>
    <w:rsid w:val="00AB30C8"/>
    <w:pPr>
      <w:tabs>
        <w:tab w:val="left" w:pos="2268"/>
      </w:tabs>
      <w:spacing w:before="284" w:after="0"/>
      <w:ind w:left="0" w:firstLine="1418"/>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2347</Words>
  <Characters>12676</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14994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2010-11-22T19:05:00Z</cp:lastPrinted>
  <dcterms:created xsi:type="dcterms:W3CDTF">2015-05-07T12:34:00Z</dcterms:created>
  <dcterms:modified xsi:type="dcterms:W3CDTF">2015-05-07T12:34:00Z</dcterms:modified>
</cp:coreProperties>
</file>