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337E16" w:rsidRDefault="009444E6" w:rsidP="00337E16">
      <w:pPr>
        <w:pStyle w:val="Ttulo8"/>
        <w:tabs>
          <w:tab w:val="right" w:pos="4423"/>
        </w:tabs>
        <w:spacing w:before="0" w:after="0"/>
        <w:ind w:left="0"/>
        <w:rPr>
          <w:rFonts w:ascii="Times New Roman" w:hAnsi="Times New Roman"/>
          <w:b/>
          <w:i w:val="0"/>
          <w:sz w:val="22"/>
          <w:szCs w:val="22"/>
        </w:rPr>
      </w:pPr>
      <w:bookmarkStart w:id="0" w:name="_GoBack"/>
      <w:bookmarkEnd w:id="0"/>
      <w:r w:rsidRPr="00337E16">
        <w:rPr>
          <w:rFonts w:ascii="Times New Roman" w:hAnsi="Times New Roman"/>
          <w:b/>
          <w:i w:val="0"/>
          <w:sz w:val="22"/>
          <w:szCs w:val="22"/>
        </w:rPr>
        <w:t xml:space="preserve">Sessões: </w:t>
      </w:r>
      <w:r w:rsidR="00BB227D">
        <w:rPr>
          <w:rFonts w:ascii="Times New Roman" w:hAnsi="Times New Roman"/>
          <w:b/>
          <w:i w:val="0"/>
          <w:sz w:val="22"/>
          <w:szCs w:val="22"/>
        </w:rPr>
        <w:t>26</w:t>
      </w:r>
      <w:r w:rsidR="00F01B31" w:rsidRPr="00337E16">
        <w:rPr>
          <w:rFonts w:ascii="Times New Roman" w:hAnsi="Times New Roman"/>
          <w:b/>
          <w:i w:val="0"/>
          <w:sz w:val="22"/>
          <w:szCs w:val="22"/>
        </w:rPr>
        <w:t xml:space="preserve"> e </w:t>
      </w:r>
      <w:r w:rsidR="00BB227D">
        <w:rPr>
          <w:rFonts w:ascii="Times New Roman" w:hAnsi="Times New Roman"/>
          <w:b/>
          <w:i w:val="0"/>
          <w:sz w:val="22"/>
          <w:szCs w:val="22"/>
        </w:rPr>
        <w:t>27</w:t>
      </w:r>
      <w:r w:rsidRPr="00337E16">
        <w:rPr>
          <w:rFonts w:ascii="Times New Roman" w:hAnsi="Times New Roman"/>
          <w:b/>
          <w:i w:val="0"/>
          <w:sz w:val="22"/>
          <w:szCs w:val="22"/>
        </w:rPr>
        <w:t xml:space="preserve"> de </w:t>
      </w:r>
      <w:r w:rsidR="00BB227D">
        <w:rPr>
          <w:rFonts w:ascii="Times New Roman" w:hAnsi="Times New Roman"/>
          <w:b/>
          <w:i w:val="0"/>
          <w:sz w:val="22"/>
          <w:szCs w:val="22"/>
        </w:rPr>
        <w:t>outubro</w:t>
      </w:r>
      <w:r w:rsidRPr="00337E16">
        <w:rPr>
          <w:rFonts w:ascii="Times New Roman" w:hAnsi="Times New Roman"/>
          <w:b/>
          <w:i w:val="0"/>
          <w:sz w:val="22"/>
          <w:szCs w:val="22"/>
        </w:rPr>
        <w:t xml:space="preserve"> de 2010</w:t>
      </w:r>
    </w:p>
    <w:p w:rsidR="002D35F5" w:rsidRPr="00337E16" w:rsidRDefault="002D35F5" w:rsidP="00337E16">
      <w:pPr>
        <w:pStyle w:val="Corpodetexto2"/>
        <w:spacing w:after="0" w:line="240" w:lineRule="auto"/>
        <w:ind w:left="0"/>
        <w:rPr>
          <w:sz w:val="22"/>
          <w:szCs w:val="22"/>
        </w:rPr>
      </w:pPr>
      <w:r w:rsidRPr="00337E16">
        <w:rPr>
          <w:sz w:val="22"/>
          <w:szCs w:val="22"/>
        </w:rPr>
        <w:t>Este Informativo, elaborado a partir das deliberações tomadas pelo Tribunal nas sessões de julgamento das Câmaras e do Plenário, contém resumos de algumas decisões proferidas na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data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acima indicada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337E16" w:rsidRDefault="00FF7C62" w:rsidP="00337E16">
      <w:pPr>
        <w:pStyle w:val="Corpodetexto2"/>
        <w:spacing w:after="0" w:line="240" w:lineRule="auto"/>
        <w:ind w:left="0"/>
        <w:rPr>
          <w:sz w:val="22"/>
          <w:szCs w:val="22"/>
        </w:rPr>
      </w:pPr>
    </w:p>
    <w:p w:rsidR="002D35F5" w:rsidRPr="00337E16" w:rsidRDefault="002D35F5"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S</w:t>
      </w:r>
      <w:r w:rsidR="00FF7C62" w:rsidRPr="00337E16">
        <w:rPr>
          <w:rFonts w:ascii="Cambria" w:hAnsi="Cambria"/>
          <w:b/>
          <w:bCs/>
          <w:smallCaps/>
          <w:sz w:val="22"/>
          <w:szCs w:val="22"/>
        </w:rPr>
        <w:t>UMÁRIO</w:t>
      </w:r>
    </w:p>
    <w:p w:rsidR="009444E6" w:rsidRPr="00337E16" w:rsidRDefault="009444E6" w:rsidP="00337E16">
      <w:pPr>
        <w:pStyle w:val="tita"/>
        <w:spacing w:before="45" w:after="0" w:line="240" w:lineRule="auto"/>
        <w:jc w:val="both"/>
        <w:rPr>
          <w:i w:val="0"/>
          <w:iCs w:val="0"/>
          <w:sz w:val="22"/>
          <w:szCs w:val="22"/>
        </w:rPr>
      </w:pPr>
      <w:r w:rsidRPr="00337E16">
        <w:rPr>
          <w:i w:val="0"/>
          <w:iCs w:val="0"/>
          <w:sz w:val="22"/>
          <w:szCs w:val="22"/>
        </w:rPr>
        <w:t>Plenário</w:t>
      </w:r>
    </w:p>
    <w:p w:rsidR="00EB7CB1" w:rsidRDefault="00124350" w:rsidP="0058427E">
      <w:pPr>
        <w:pStyle w:val="indice"/>
        <w:spacing w:before="60" w:line="240" w:lineRule="auto"/>
      </w:pPr>
      <w:r>
        <w:t>Variação cambial como fato gerador da concessão de reequilíbrio econômico-financeiro.</w:t>
      </w:r>
    </w:p>
    <w:p w:rsidR="00124350" w:rsidRDefault="00FA1F86" w:rsidP="0058427E">
      <w:pPr>
        <w:pStyle w:val="indice"/>
        <w:spacing w:before="60" w:line="240" w:lineRule="auto"/>
      </w:pPr>
      <w:r>
        <w:t>Pregão destinado à outorga de concessão de uso de área comercial em aeroporto.</w:t>
      </w:r>
    </w:p>
    <w:p w:rsidR="00124350" w:rsidRDefault="00870986" w:rsidP="0058427E">
      <w:pPr>
        <w:pStyle w:val="indice"/>
        <w:spacing w:before="60" w:line="240" w:lineRule="auto"/>
      </w:pPr>
      <w:r>
        <w:t xml:space="preserve">A participação em licitação reservada a microempresas (ME) e a empresas de pequeno porte (EPP), por sociedade que não se enquadre na definição legal </w:t>
      </w:r>
      <w:r w:rsidR="00355373">
        <w:t>d</w:t>
      </w:r>
      <w:r>
        <w:t>essas categorias, configura fraude ao certame.</w:t>
      </w:r>
    </w:p>
    <w:p w:rsidR="00870986" w:rsidRDefault="009923C2" w:rsidP="0058427E">
      <w:pPr>
        <w:pStyle w:val="indice"/>
        <w:spacing w:before="60" w:line="240" w:lineRule="auto"/>
      </w:pPr>
      <w:r>
        <w:t>Contratação de serviços</w:t>
      </w:r>
      <w:r w:rsidR="00EE4BD9">
        <w:t xml:space="preserve"> </w:t>
      </w:r>
      <w:r>
        <w:t>de</w:t>
      </w:r>
      <w:r w:rsidR="00EE4BD9">
        <w:t xml:space="preserve"> consultoria mediante inexigibilidade de licitação.</w:t>
      </w:r>
    </w:p>
    <w:p w:rsidR="0055716D" w:rsidRPr="00337E16" w:rsidRDefault="0055716D" w:rsidP="0055716D">
      <w:pPr>
        <w:pStyle w:val="tita"/>
        <w:spacing w:before="60" w:after="0" w:line="240" w:lineRule="auto"/>
        <w:jc w:val="both"/>
        <w:rPr>
          <w:i w:val="0"/>
          <w:iCs w:val="0"/>
          <w:sz w:val="22"/>
          <w:szCs w:val="22"/>
        </w:rPr>
      </w:pPr>
      <w:r>
        <w:rPr>
          <w:i w:val="0"/>
          <w:iCs w:val="0"/>
          <w:sz w:val="22"/>
          <w:szCs w:val="22"/>
        </w:rPr>
        <w:t>Primeira</w:t>
      </w:r>
      <w:r w:rsidRPr="00337E16">
        <w:rPr>
          <w:i w:val="0"/>
          <w:iCs w:val="0"/>
          <w:sz w:val="22"/>
          <w:szCs w:val="22"/>
        </w:rPr>
        <w:t xml:space="preserve"> Câmara</w:t>
      </w:r>
    </w:p>
    <w:p w:rsidR="0055716D" w:rsidRPr="00337E16" w:rsidRDefault="0055716D" w:rsidP="0055716D">
      <w:pPr>
        <w:pStyle w:val="enter-3pt"/>
        <w:spacing w:before="60" w:line="240" w:lineRule="auto"/>
        <w:rPr>
          <w:sz w:val="22"/>
          <w:szCs w:val="22"/>
        </w:rPr>
      </w:pPr>
      <w:r>
        <w:rPr>
          <w:sz w:val="22"/>
          <w:szCs w:val="22"/>
        </w:rPr>
        <w:t xml:space="preserve">Contrato </w:t>
      </w:r>
      <w:r w:rsidR="00113987">
        <w:rPr>
          <w:sz w:val="22"/>
          <w:szCs w:val="22"/>
        </w:rPr>
        <w:t>emergencial resultante de falha de planejamento: responsabilidade do parecerista jurídico e da autoridade que decide sobre a oportunidade e a conveniência da contratação</w:t>
      </w:r>
      <w:r>
        <w:rPr>
          <w:sz w:val="22"/>
          <w:szCs w:val="22"/>
        </w:rPr>
        <w:t>.</w:t>
      </w:r>
    </w:p>
    <w:p w:rsidR="00BC5737" w:rsidRPr="00337E16" w:rsidRDefault="00BC5737" w:rsidP="00BC5737">
      <w:pPr>
        <w:pStyle w:val="tita"/>
        <w:spacing w:before="60" w:after="0" w:line="240" w:lineRule="auto"/>
        <w:jc w:val="both"/>
        <w:rPr>
          <w:i w:val="0"/>
          <w:iCs w:val="0"/>
          <w:sz w:val="22"/>
          <w:szCs w:val="22"/>
        </w:rPr>
      </w:pPr>
      <w:r>
        <w:rPr>
          <w:i w:val="0"/>
          <w:iCs w:val="0"/>
          <w:sz w:val="22"/>
          <w:szCs w:val="22"/>
        </w:rPr>
        <w:t>Segunda</w:t>
      </w:r>
      <w:r w:rsidRPr="00337E16">
        <w:rPr>
          <w:i w:val="0"/>
          <w:iCs w:val="0"/>
          <w:sz w:val="22"/>
          <w:szCs w:val="22"/>
        </w:rPr>
        <w:t xml:space="preserve"> Câmara</w:t>
      </w:r>
    </w:p>
    <w:p w:rsidR="00BC5737" w:rsidRDefault="006254B9" w:rsidP="00BC5737">
      <w:pPr>
        <w:pStyle w:val="enter-3pt"/>
        <w:spacing w:before="60" w:line="240" w:lineRule="auto"/>
        <w:rPr>
          <w:sz w:val="22"/>
          <w:szCs w:val="22"/>
        </w:rPr>
      </w:pPr>
      <w:r>
        <w:rPr>
          <w:sz w:val="22"/>
          <w:szCs w:val="22"/>
        </w:rPr>
        <w:t>C</w:t>
      </w:r>
      <w:r w:rsidR="00D90984">
        <w:rPr>
          <w:sz w:val="22"/>
          <w:szCs w:val="22"/>
        </w:rPr>
        <w:t>elebração de contrato com empresa inscrita no Cadastro Informativo de Créditos Não Quitados do Setor Público Federal (Cadin)</w:t>
      </w:r>
      <w:r w:rsidR="00BC5737">
        <w:rPr>
          <w:sz w:val="22"/>
          <w:szCs w:val="22"/>
        </w:rPr>
        <w:t>.</w:t>
      </w:r>
    </w:p>
    <w:p w:rsidR="00D90984" w:rsidRPr="00337E16" w:rsidRDefault="00252623" w:rsidP="00BC5737">
      <w:pPr>
        <w:pStyle w:val="enter-3pt"/>
        <w:spacing w:before="60" w:line="240" w:lineRule="auto"/>
        <w:rPr>
          <w:sz w:val="22"/>
          <w:szCs w:val="22"/>
        </w:rPr>
      </w:pPr>
      <w:r>
        <w:rPr>
          <w:sz w:val="22"/>
          <w:szCs w:val="22"/>
        </w:rPr>
        <w:t>Possibilidade da participação, em certames licitatórios, de entidades sem fins lucrativos.</w:t>
      </w:r>
    </w:p>
    <w:p w:rsidR="003C6DEB" w:rsidRPr="00337E16" w:rsidRDefault="003C6DEB" w:rsidP="00337E16">
      <w:pPr>
        <w:pStyle w:val="indice"/>
        <w:spacing w:line="240" w:lineRule="auto"/>
      </w:pPr>
    </w:p>
    <w:p w:rsidR="003C6DEB" w:rsidRPr="00337E16" w:rsidRDefault="003C6DEB"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PLENÁRIO</w:t>
      </w:r>
    </w:p>
    <w:p w:rsidR="003C6DEB" w:rsidRDefault="003C6DEB" w:rsidP="00252623">
      <w:pPr>
        <w:pStyle w:val="tita"/>
        <w:spacing w:before="0" w:after="0" w:line="240" w:lineRule="auto"/>
        <w:jc w:val="both"/>
        <w:rPr>
          <w:i w:val="0"/>
          <w:iCs w:val="0"/>
          <w:sz w:val="22"/>
          <w:szCs w:val="22"/>
        </w:rPr>
      </w:pPr>
    </w:p>
    <w:p w:rsidR="009E5105" w:rsidRPr="00124350" w:rsidRDefault="00124350" w:rsidP="00252623">
      <w:pPr>
        <w:pStyle w:val="indice"/>
        <w:spacing w:before="60" w:line="240" w:lineRule="auto"/>
        <w:rPr>
          <w:b/>
        </w:rPr>
      </w:pPr>
      <w:r w:rsidRPr="00124350">
        <w:rPr>
          <w:b/>
        </w:rPr>
        <w:t>Variação cambial como fato gerador da concessão de reequilíbrio econômico-financeiro</w:t>
      </w:r>
    </w:p>
    <w:p w:rsidR="009E5105" w:rsidRPr="00337E16" w:rsidRDefault="009F1E67" w:rsidP="009E5105">
      <w:pPr>
        <w:pStyle w:val="Pargrafo"/>
        <w:jc w:val="both"/>
        <w:rPr>
          <w:sz w:val="22"/>
          <w:szCs w:val="22"/>
        </w:rPr>
      </w:pPr>
      <w:r>
        <w:rPr>
          <w:sz w:val="22"/>
          <w:szCs w:val="22"/>
        </w:rPr>
        <w:t>Em sede de</w:t>
      </w:r>
      <w:r w:rsidR="00F0466F" w:rsidRPr="00F0466F">
        <w:rPr>
          <w:sz w:val="22"/>
          <w:szCs w:val="22"/>
        </w:rPr>
        <w:t xml:space="preserve"> </w:t>
      </w:r>
      <w:r>
        <w:rPr>
          <w:sz w:val="22"/>
          <w:szCs w:val="22"/>
        </w:rPr>
        <w:t>t</w:t>
      </w:r>
      <w:r w:rsidR="00F0466F" w:rsidRPr="00F0466F">
        <w:rPr>
          <w:sz w:val="22"/>
          <w:szCs w:val="22"/>
        </w:rPr>
        <w:t xml:space="preserve">omada de </w:t>
      </w:r>
      <w:r>
        <w:rPr>
          <w:sz w:val="22"/>
          <w:szCs w:val="22"/>
        </w:rPr>
        <w:t>c</w:t>
      </w:r>
      <w:r w:rsidR="00F0466F" w:rsidRPr="00F0466F">
        <w:rPr>
          <w:sz w:val="22"/>
          <w:szCs w:val="22"/>
        </w:rPr>
        <w:t xml:space="preserve">ontas </w:t>
      </w:r>
      <w:r>
        <w:rPr>
          <w:sz w:val="22"/>
          <w:szCs w:val="22"/>
        </w:rPr>
        <w:t>e</w:t>
      </w:r>
      <w:r w:rsidR="00F0466F" w:rsidRPr="00F0466F">
        <w:rPr>
          <w:sz w:val="22"/>
          <w:szCs w:val="22"/>
        </w:rPr>
        <w:t>special</w:t>
      </w:r>
      <w:r>
        <w:rPr>
          <w:sz w:val="22"/>
          <w:szCs w:val="22"/>
        </w:rPr>
        <w:t xml:space="preserve">, </w:t>
      </w:r>
      <w:r w:rsidR="00D22A8F">
        <w:rPr>
          <w:sz w:val="22"/>
          <w:szCs w:val="22"/>
        </w:rPr>
        <w:t>foi promovida a citação de</w:t>
      </w:r>
      <w:r w:rsidR="00F0466F" w:rsidRPr="00F0466F">
        <w:rPr>
          <w:sz w:val="22"/>
          <w:szCs w:val="22"/>
        </w:rPr>
        <w:t xml:space="preserve"> empregados e dirigentes da Empresa Brasi</w:t>
      </w:r>
      <w:r w:rsidR="0039686C">
        <w:rPr>
          <w:sz w:val="22"/>
          <w:szCs w:val="22"/>
        </w:rPr>
        <w:t xml:space="preserve">leira de Correios e Telégrafos – </w:t>
      </w:r>
      <w:r w:rsidR="00F0466F" w:rsidRPr="00F0466F">
        <w:rPr>
          <w:sz w:val="22"/>
          <w:szCs w:val="22"/>
        </w:rPr>
        <w:t xml:space="preserve">ECT, </w:t>
      </w:r>
      <w:r w:rsidR="00D22A8F">
        <w:rPr>
          <w:sz w:val="22"/>
          <w:szCs w:val="22"/>
        </w:rPr>
        <w:t>bem como</w:t>
      </w:r>
      <w:r w:rsidR="00F0466F" w:rsidRPr="00F0466F">
        <w:rPr>
          <w:sz w:val="22"/>
          <w:szCs w:val="22"/>
        </w:rPr>
        <w:t xml:space="preserve"> </w:t>
      </w:r>
      <w:r w:rsidR="00D22A8F">
        <w:rPr>
          <w:sz w:val="22"/>
          <w:szCs w:val="22"/>
        </w:rPr>
        <w:t>d</w:t>
      </w:r>
      <w:r w:rsidR="00F0466F" w:rsidRPr="00F0466F">
        <w:rPr>
          <w:sz w:val="22"/>
          <w:szCs w:val="22"/>
        </w:rPr>
        <w:t xml:space="preserve">as empresas integrantes do Consórcio Alpha, em razão de débito resultante da concessão indevida de reequilíbrio econômico-financeiro, mediante termo aditivo ao Contrato </w:t>
      </w:r>
      <w:r>
        <w:rPr>
          <w:sz w:val="22"/>
          <w:szCs w:val="22"/>
        </w:rPr>
        <w:t xml:space="preserve">n.º </w:t>
      </w:r>
      <w:r w:rsidR="00F0466F" w:rsidRPr="00F0466F">
        <w:rPr>
          <w:sz w:val="22"/>
          <w:szCs w:val="22"/>
        </w:rPr>
        <w:t>11.346/2002.</w:t>
      </w:r>
      <w:r>
        <w:rPr>
          <w:sz w:val="22"/>
          <w:szCs w:val="22"/>
        </w:rPr>
        <w:t xml:space="preserve"> </w:t>
      </w:r>
      <w:r w:rsidR="00F0466F" w:rsidRPr="00F0466F">
        <w:rPr>
          <w:sz w:val="22"/>
          <w:szCs w:val="22"/>
        </w:rPr>
        <w:t xml:space="preserve">Após a análise das alegações de defesa </w:t>
      </w:r>
      <w:r w:rsidR="00D22A8F">
        <w:rPr>
          <w:sz w:val="22"/>
          <w:szCs w:val="22"/>
        </w:rPr>
        <w:t>oferecidas ao TCU</w:t>
      </w:r>
      <w:r w:rsidR="00F0466F" w:rsidRPr="00F0466F">
        <w:rPr>
          <w:sz w:val="22"/>
          <w:szCs w:val="22"/>
        </w:rPr>
        <w:t xml:space="preserve">, as </w:t>
      </w:r>
      <w:r w:rsidR="00D22A8F">
        <w:rPr>
          <w:sz w:val="22"/>
          <w:szCs w:val="22"/>
        </w:rPr>
        <w:t xml:space="preserve">instruções </w:t>
      </w:r>
      <w:r w:rsidR="00F0466F" w:rsidRPr="00F0466F">
        <w:rPr>
          <w:sz w:val="22"/>
          <w:szCs w:val="22"/>
        </w:rPr>
        <w:t xml:space="preserve">técnicas </w:t>
      </w:r>
      <w:r>
        <w:rPr>
          <w:sz w:val="22"/>
          <w:szCs w:val="22"/>
        </w:rPr>
        <w:t>foram</w:t>
      </w:r>
      <w:r w:rsidR="00F0466F" w:rsidRPr="00F0466F">
        <w:rPr>
          <w:sz w:val="22"/>
          <w:szCs w:val="22"/>
        </w:rPr>
        <w:t xml:space="preserve"> unânimes em reconhecer a ausência, na espécie, dos pressupostos necessários à concessão do reequilíbrio econômico-financeiro. </w:t>
      </w:r>
      <w:r w:rsidR="00FC1C7C">
        <w:rPr>
          <w:sz w:val="22"/>
          <w:szCs w:val="22"/>
        </w:rPr>
        <w:t xml:space="preserve">De acordo com o Ministério Público junto ao TCU (MP/TCU), </w:t>
      </w:r>
      <w:r w:rsidR="00F0466F" w:rsidRPr="00F0466F">
        <w:rPr>
          <w:i/>
          <w:sz w:val="22"/>
          <w:szCs w:val="22"/>
        </w:rPr>
        <w:t xml:space="preserve">“o Consórcio dispunha de pelo menos duas medidas para melhor gerir o risco inerente a sua atividade, quais sejam: a contratação de operação de hedge com vistas à proteção contra a variação cambial e a manutenção de estoque suficiente para se proteger de variações bruscas nos preços dos insumos. A despeito disso, optou por não se valer desses mecanismos para não incorrer em </w:t>
      </w:r>
      <w:r w:rsidR="00FC1C7C">
        <w:rPr>
          <w:i/>
          <w:sz w:val="22"/>
          <w:szCs w:val="22"/>
        </w:rPr>
        <w:t>‘</w:t>
      </w:r>
      <w:r w:rsidR="00F0466F" w:rsidRPr="00F0466F">
        <w:rPr>
          <w:i/>
          <w:sz w:val="22"/>
          <w:szCs w:val="22"/>
        </w:rPr>
        <w:t>prejuízos insuportáveis</w:t>
      </w:r>
      <w:r w:rsidR="00FC1C7C">
        <w:rPr>
          <w:i/>
          <w:sz w:val="22"/>
          <w:szCs w:val="22"/>
        </w:rPr>
        <w:t>’</w:t>
      </w:r>
      <w:r w:rsidR="00F0466F" w:rsidRPr="00F0466F">
        <w:rPr>
          <w:i/>
          <w:sz w:val="22"/>
          <w:szCs w:val="22"/>
        </w:rPr>
        <w:t xml:space="preserve">. Portanto, para não arcar com os inevitáveis custos das medidas de proteção contra a variação cambial, que comprometeriam a oferta de preços competitivos na licitação, a empresa decidiu assumir o risco de fornecer equipamentos à ECT cujos custos não estariam protegidos frente a variações cambiais. </w:t>
      </w:r>
      <w:r w:rsidR="00FC1C7C">
        <w:rPr>
          <w:i/>
          <w:sz w:val="22"/>
          <w:szCs w:val="22"/>
        </w:rPr>
        <w:t xml:space="preserve">[...] </w:t>
      </w:r>
      <w:r w:rsidR="00F0466F" w:rsidRPr="00F0466F">
        <w:rPr>
          <w:i/>
          <w:sz w:val="22"/>
          <w:szCs w:val="22"/>
        </w:rPr>
        <w:t>por se tratar de uma decisão que somente a ela competia, sem nenhuma expectativa de ingerência da Administração Pública, revela-se totalmente desarrazoada a intenção do Consórcio em atribuir à ECT a obrigação de compensá-la por prejuízos manifestamente decorrentes de sua política de gerenciamento de riscos inerentes ao seu negócio.”</w:t>
      </w:r>
      <w:r w:rsidR="00FC1C7C">
        <w:rPr>
          <w:sz w:val="22"/>
          <w:szCs w:val="22"/>
        </w:rPr>
        <w:t xml:space="preserve">. Em seu voto, o relator considerou pertinente a </w:t>
      </w:r>
      <w:r w:rsidR="00F0466F" w:rsidRPr="00F0466F">
        <w:rPr>
          <w:sz w:val="22"/>
          <w:szCs w:val="22"/>
        </w:rPr>
        <w:t xml:space="preserve">manifestação do </w:t>
      </w:r>
      <w:r w:rsidR="00FC1C7C">
        <w:rPr>
          <w:sz w:val="22"/>
          <w:szCs w:val="22"/>
        </w:rPr>
        <w:t>MP/TCU</w:t>
      </w:r>
      <w:r w:rsidR="00F0466F" w:rsidRPr="00F0466F">
        <w:rPr>
          <w:sz w:val="22"/>
          <w:szCs w:val="22"/>
        </w:rPr>
        <w:t xml:space="preserve">, </w:t>
      </w:r>
      <w:r w:rsidR="00FC1C7C">
        <w:rPr>
          <w:sz w:val="22"/>
          <w:szCs w:val="22"/>
        </w:rPr>
        <w:t xml:space="preserve">para o </w:t>
      </w:r>
      <w:r w:rsidR="00F0466F" w:rsidRPr="00F0466F">
        <w:rPr>
          <w:sz w:val="22"/>
          <w:szCs w:val="22"/>
        </w:rPr>
        <w:t>qual o débito deve</w:t>
      </w:r>
      <w:r w:rsidR="00FC1C7C">
        <w:rPr>
          <w:sz w:val="22"/>
          <w:szCs w:val="22"/>
        </w:rPr>
        <w:t>ria</w:t>
      </w:r>
      <w:r w:rsidR="00F0466F" w:rsidRPr="00F0466F">
        <w:rPr>
          <w:sz w:val="22"/>
          <w:szCs w:val="22"/>
        </w:rPr>
        <w:t xml:space="preserve"> ser imputado ao ex-Diretor de Administração e às empresas integrantes do Consórcio Alpha, beneficiárias da irregular majoração dos preços.</w:t>
      </w:r>
      <w:r w:rsidR="00FC1C7C">
        <w:rPr>
          <w:sz w:val="22"/>
          <w:szCs w:val="22"/>
        </w:rPr>
        <w:t xml:space="preserve"> </w:t>
      </w:r>
      <w:r w:rsidR="001B452D">
        <w:rPr>
          <w:sz w:val="22"/>
          <w:szCs w:val="22"/>
        </w:rPr>
        <w:t>Para o relat</w:t>
      </w:r>
      <w:r w:rsidR="00FC1C7C">
        <w:rPr>
          <w:sz w:val="22"/>
          <w:szCs w:val="22"/>
        </w:rPr>
        <w:t>or</w:t>
      </w:r>
      <w:r w:rsidR="001B452D">
        <w:rPr>
          <w:sz w:val="22"/>
          <w:szCs w:val="22"/>
        </w:rPr>
        <w:t>,</w:t>
      </w:r>
      <w:r w:rsidR="00FC1C7C">
        <w:rPr>
          <w:sz w:val="22"/>
          <w:szCs w:val="22"/>
        </w:rPr>
        <w:t xml:space="preserve"> a </w:t>
      </w:r>
      <w:r w:rsidR="00F0466F" w:rsidRPr="00F0466F">
        <w:rPr>
          <w:sz w:val="22"/>
          <w:szCs w:val="22"/>
        </w:rPr>
        <w:t xml:space="preserve">mera variação cambial, em regime de câmbio flutuante, não configura causa excepcional de mutabilidade dos contratos administrativos. </w:t>
      </w:r>
      <w:r w:rsidR="001B452D">
        <w:rPr>
          <w:sz w:val="22"/>
          <w:szCs w:val="22"/>
        </w:rPr>
        <w:t>Segundo</w:t>
      </w:r>
      <w:r w:rsidR="00FC1C7C">
        <w:rPr>
          <w:sz w:val="22"/>
          <w:szCs w:val="22"/>
        </w:rPr>
        <w:t xml:space="preserve"> ele, a</w:t>
      </w:r>
      <w:r w:rsidR="00F0466F" w:rsidRPr="00F0466F">
        <w:rPr>
          <w:sz w:val="22"/>
          <w:szCs w:val="22"/>
        </w:rPr>
        <w:t xml:space="preserve"> variação diária dos índices </w:t>
      </w:r>
      <w:r w:rsidR="00FC1C7C" w:rsidRPr="00FC1C7C">
        <w:rPr>
          <w:i/>
          <w:sz w:val="22"/>
          <w:szCs w:val="22"/>
        </w:rPr>
        <w:t>“</w:t>
      </w:r>
      <w:r w:rsidR="00F0466F" w:rsidRPr="00FC1C7C">
        <w:rPr>
          <w:i/>
          <w:sz w:val="22"/>
          <w:szCs w:val="22"/>
        </w:rPr>
        <w:t>não autoriza pleitos de recomposição de preços, dada a sua ampla previsibilidade. Caso contrário, no regime de câmbio flutuante, todos os processos em que houvesse variação positiva poderiam ensejar solicitações de recomposição de preços, o que não ocorre</w:t>
      </w:r>
      <w:r w:rsidR="00FC1C7C" w:rsidRPr="00FC1C7C">
        <w:rPr>
          <w:i/>
          <w:sz w:val="22"/>
          <w:szCs w:val="22"/>
        </w:rPr>
        <w:t>”</w:t>
      </w:r>
      <w:r w:rsidR="00F0466F" w:rsidRPr="00F0466F">
        <w:rPr>
          <w:sz w:val="22"/>
          <w:szCs w:val="22"/>
        </w:rPr>
        <w:t>.</w:t>
      </w:r>
      <w:r w:rsidR="00FC1C7C">
        <w:rPr>
          <w:sz w:val="22"/>
          <w:szCs w:val="22"/>
        </w:rPr>
        <w:t xml:space="preserve"> </w:t>
      </w:r>
      <w:r w:rsidR="00BE1B8E">
        <w:rPr>
          <w:sz w:val="22"/>
          <w:szCs w:val="22"/>
        </w:rPr>
        <w:t>Na espécie</w:t>
      </w:r>
      <w:r w:rsidR="00F0466F" w:rsidRPr="00F0466F">
        <w:rPr>
          <w:sz w:val="22"/>
          <w:szCs w:val="22"/>
        </w:rPr>
        <w:t xml:space="preserve">, </w:t>
      </w:r>
      <w:r w:rsidR="001B452D">
        <w:rPr>
          <w:sz w:val="22"/>
          <w:szCs w:val="22"/>
        </w:rPr>
        <w:t>a</w:t>
      </w:r>
      <w:r w:rsidR="00FC1C7C">
        <w:rPr>
          <w:sz w:val="22"/>
          <w:szCs w:val="22"/>
        </w:rPr>
        <w:t xml:space="preserve"> </w:t>
      </w:r>
      <w:r w:rsidR="00F0466F" w:rsidRPr="00F0466F">
        <w:rPr>
          <w:sz w:val="22"/>
          <w:szCs w:val="22"/>
        </w:rPr>
        <w:t xml:space="preserve">redução dos preços dos equipamentos </w:t>
      </w:r>
      <w:r w:rsidR="001B452D">
        <w:rPr>
          <w:sz w:val="22"/>
          <w:szCs w:val="22"/>
        </w:rPr>
        <w:t>–</w:t>
      </w:r>
      <w:r w:rsidR="00BE1B8E">
        <w:rPr>
          <w:sz w:val="22"/>
          <w:szCs w:val="22"/>
        </w:rPr>
        <w:t xml:space="preserve"> </w:t>
      </w:r>
      <w:r w:rsidR="00F0466F" w:rsidRPr="00F0466F">
        <w:rPr>
          <w:sz w:val="22"/>
          <w:szCs w:val="22"/>
        </w:rPr>
        <w:t xml:space="preserve">adquiridos </w:t>
      </w:r>
      <w:r w:rsidR="001B452D">
        <w:rPr>
          <w:sz w:val="22"/>
          <w:szCs w:val="22"/>
        </w:rPr>
        <w:t>por meio do</w:t>
      </w:r>
      <w:r w:rsidR="00F0466F" w:rsidRPr="00F0466F">
        <w:rPr>
          <w:sz w:val="22"/>
          <w:szCs w:val="22"/>
        </w:rPr>
        <w:t xml:space="preserve"> 2º </w:t>
      </w:r>
      <w:r w:rsidR="00FC1C7C">
        <w:rPr>
          <w:sz w:val="22"/>
          <w:szCs w:val="22"/>
        </w:rPr>
        <w:t>T</w:t>
      </w:r>
      <w:r w:rsidR="00F0466F" w:rsidRPr="00F0466F">
        <w:rPr>
          <w:sz w:val="22"/>
          <w:szCs w:val="22"/>
        </w:rPr>
        <w:t xml:space="preserve">ermo </w:t>
      </w:r>
      <w:r w:rsidR="00FC1C7C">
        <w:rPr>
          <w:sz w:val="22"/>
          <w:szCs w:val="22"/>
        </w:rPr>
        <w:t>A</w:t>
      </w:r>
      <w:r w:rsidR="00F0466F" w:rsidRPr="00F0466F">
        <w:rPr>
          <w:sz w:val="22"/>
          <w:szCs w:val="22"/>
        </w:rPr>
        <w:t xml:space="preserve">ditivo </w:t>
      </w:r>
      <w:r w:rsidR="001B452D">
        <w:rPr>
          <w:sz w:val="22"/>
          <w:szCs w:val="22"/>
        </w:rPr>
        <w:t xml:space="preserve">– </w:t>
      </w:r>
      <w:r w:rsidR="00F0466F" w:rsidRPr="00F0466F">
        <w:rPr>
          <w:sz w:val="22"/>
          <w:szCs w:val="22"/>
        </w:rPr>
        <w:t xml:space="preserve">em relação aos originalmente contratados e a não utilização dos instrumentos de proteção contra variações cambiais, amplamente oferecidas por todas as instituições do mercado, </w:t>
      </w:r>
      <w:r w:rsidR="00BE1B8E">
        <w:rPr>
          <w:sz w:val="22"/>
          <w:szCs w:val="22"/>
        </w:rPr>
        <w:t>evidenciavam</w:t>
      </w:r>
      <w:r w:rsidR="00F0466F" w:rsidRPr="00F0466F">
        <w:rPr>
          <w:sz w:val="22"/>
          <w:szCs w:val="22"/>
        </w:rPr>
        <w:t xml:space="preserve"> que a variação cambial não influenciou os custos dos equipamentos</w:t>
      </w:r>
      <w:r w:rsidR="00FC1C7C">
        <w:rPr>
          <w:sz w:val="22"/>
          <w:szCs w:val="22"/>
        </w:rPr>
        <w:t xml:space="preserve"> </w:t>
      </w:r>
      <w:r w:rsidR="00FC1C7C" w:rsidRPr="00F0466F">
        <w:rPr>
          <w:sz w:val="22"/>
          <w:szCs w:val="22"/>
        </w:rPr>
        <w:t>de informática, objeto do contrato</w:t>
      </w:r>
      <w:r w:rsidR="00F0466F" w:rsidRPr="00F0466F">
        <w:rPr>
          <w:sz w:val="22"/>
          <w:szCs w:val="22"/>
        </w:rPr>
        <w:t xml:space="preserve">, consistindo a variação em risco próprio do negócio. </w:t>
      </w:r>
      <w:r w:rsidR="001B452D">
        <w:rPr>
          <w:sz w:val="22"/>
          <w:szCs w:val="22"/>
        </w:rPr>
        <w:t>A</w:t>
      </w:r>
      <w:r w:rsidR="00F0466F" w:rsidRPr="00F0466F">
        <w:rPr>
          <w:sz w:val="22"/>
          <w:szCs w:val="22"/>
        </w:rPr>
        <w:t xml:space="preserve">usentes os pressupostos necessários à concessão do reequilíbrio, os pagamentos efetuados a esse título </w:t>
      </w:r>
      <w:r w:rsidR="00207B22" w:rsidRPr="00207B22">
        <w:rPr>
          <w:i/>
          <w:sz w:val="22"/>
          <w:szCs w:val="22"/>
        </w:rPr>
        <w:t>“</w:t>
      </w:r>
      <w:r w:rsidR="00F0466F" w:rsidRPr="00207B22">
        <w:rPr>
          <w:i/>
          <w:sz w:val="22"/>
          <w:szCs w:val="22"/>
        </w:rPr>
        <w:t>constituem dano a ser ressarcido à ECT</w:t>
      </w:r>
      <w:r w:rsidR="00207B22" w:rsidRPr="00207B22">
        <w:rPr>
          <w:i/>
          <w:sz w:val="22"/>
          <w:szCs w:val="22"/>
        </w:rPr>
        <w:t>”</w:t>
      </w:r>
      <w:r w:rsidR="00F0466F" w:rsidRPr="00F0466F">
        <w:rPr>
          <w:sz w:val="22"/>
          <w:szCs w:val="22"/>
        </w:rPr>
        <w:t xml:space="preserve">. </w:t>
      </w:r>
      <w:r w:rsidR="00207B22">
        <w:rPr>
          <w:sz w:val="22"/>
          <w:szCs w:val="22"/>
        </w:rPr>
        <w:t xml:space="preserve">Acolhendo o voto do relator, o Plenário decidiu rejeitar </w:t>
      </w:r>
      <w:r w:rsidR="00F0466F" w:rsidRPr="00F0466F">
        <w:rPr>
          <w:sz w:val="22"/>
          <w:szCs w:val="22"/>
        </w:rPr>
        <w:t>as alegações de defesa e julg</w:t>
      </w:r>
      <w:r w:rsidR="00207B22">
        <w:rPr>
          <w:sz w:val="22"/>
          <w:szCs w:val="22"/>
        </w:rPr>
        <w:t>ar</w:t>
      </w:r>
      <w:r w:rsidR="00F0466F" w:rsidRPr="00F0466F">
        <w:rPr>
          <w:sz w:val="22"/>
          <w:szCs w:val="22"/>
        </w:rPr>
        <w:t xml:space="preserve"> irregulares as contas</w:t>
      </w:r>
      <w:r w:rsidR="001B452D">
        <w:rPr>
          <w:sz w:val="22"/>
          <w:szCs w:val="22"/>
        </w:rPr>
        <w:t xml:space="preserve"> do </w:t>
      </w:r>
      <w:r w:rsidR="001B452D" w:rsidRPr="00F0466F">
        <w:rPr>
          <w:sz w:val="22"/>
          <w:szCs w:val="22"/>
        </w:rPr>
        <w:t>ex-Diretor de Administração</w:t>
      </w:r>
      <w:r w:rsidR="00F0466F" w:rsidRPr="00F0466F">
        <w:rPr>
          <w:sz w:val="22"/>
          <w:szCs w:val="22"/>
        </w:rPr>
        <w:t xml:space="preserve">, </w:t>
      </w:r>
      <w:r w:rsidR="00B2328D">
        <w:rPr>
          <w:sz w:val="22"/>
          <w:szCs w:val="22"/>
        </w:rPr>
        <w:t xml:space="preserve">imputando-lhe </w:t>
      </w:r>
      <w:r w:rsidR="00F0466F" w:rsidRPr="00F0466F">
        <w:rPr>
          <w:sz w:val="22"/>
          <w:szCs w:val="22"/>
        </w:rPr>
        <w:t xml:space="preserve">débito </w:t>
      </w:r>
      <w:r w:rsidR="001B452D">
        <w:rPr>
          <w:sz w:val="22"/>
          <w:szCs w:val="22"/>
        </w:rPr>
        <w:t xml:space="preserve">solidário </w:t>
      </w:r>
      <w:r w:rsidR="00B2328D">
        <w:rPr>
          <w:sz w:val="22"/>
          <w:szCs w:val="22"/>
        </w:rPr>
        <w:t xml:space="preserve">com as </w:t>
      </w:r>
      <w:r w:rsidR="00B2328D" w:rsidRPr="00F0466F">
        <w:rPr>
          <w:sz w:val="22"/>
          <w:szCs w:val="22"/>
        </w:rPr>
        <w:t xml:space="preserve">empresas integrantes do </w:t>
      </w:r>
      <w:r w:rsidR="00BE1B8E" w:rsidRPr="00F0466F">
        <w:rPr>
          <w:sz w:val="22"/>
          <w:szCs w:val="22"/>
        </w:rPr>
        <w:t xml:space="preserve">Consórcio Alpha </w:t>
      </w:r>
      <w:r w:rsidR="00F0466F" w:rsidRPr="00F0466F">
        <w:rPr>
          <w:sz w:val="22"/>
          <w:szCs w:val="22"/>
        </w:rPr>
        <w:t>e multa.</w:t>
      </w:r>
      <w:r w:rsidR="00207B22">
        <w:rPr>
          <w:sz w:val="22"/>
          <w:szCs w:val="22"/>
        </w:rPr>
        <w:t xml:space="preserve"> </w:t>
      </w:r>
      <w:r w:rsidR="009E5105" w:rsidRPr="00337E16">
        <w:rPr>
          <w:b/>
          <w:i/>
          <w:sz w:val="22"/>
          <w:szCs w:val="22"/>
        </w:rPr>
        <w:t xml:space="preserve">Acórdão n.º </w:t>
      </w:r>
      <w:r w:rsidR="00061C2E">
        <w:rPr>
          <w:b/>
          <w:i/>
          <w:sz w:val="22"/>
          <w:szCs w:val="22"/>
        </w:rPr>
        <w:t>2</w:t>
      </w:r>
      <w:r w:rsidR="00F0466F">
        <w:rPr>
          <w:b/>
          <w:i/>
          <w:sz w:val="22"/>
          <w:szCs w:val="22"/>
        </w:rPr>
        <w:t>837</w:t>
      </w:r>
      <w:r w:rsidR="009E5105" w:rsidRPr="00337E16">
        <w:rPr>
          <w:b/>
          <w:i/>
          <w:sz w:val="22"/>
          <w:szCs w:val="22"/>
        </w:rPr>
        <w:t>/2010</w:t>
      </w:r>
      <w:r w:rsidR="009E5105">
        <w:rPr>
          <w:b/>
          <w:i/>
          <w:sz w:val="22"/>
          <w:szCs w:val="22"/>
        </w:rPr>
        <w:t>-Plenário</w:t>
      </w:r>
      <w:r w:rsidR="009E5105" w:rsidRPr="00337E16">
        <w:rPr>
          <w:b/>
          <w:i/>
          <w:sz w:val="22"/>
          <w:szCs w:val="22"/>
        </w:rPr>
        <w:t>, TC-0</w:t>
      </w:r>
      <w:r w:rsidR="00F0466F">
        <w:rPr>
          <w:b/>
          <w:i/>
          <w:sz w:val="22"/>
          <w:szCs w:val="22"/>
        </w:rPr>
        <w:t>18</w:t>
      </w:r>
      <w:r w:rsidR="009E5105" w:rsidRPr="00337E16">
        <w:rPr>
          <w:b/>
          <w:i/>
          <w:sz w:val="22"/>
          <w:szCs w:val="22"/>
        </w:rPr>
        <w:t>.</w:t>
      </w:r>
      <w:r w:rsidR="00061C2E">
        <w:rPr>
          <w:b/>
          <w:i/>
          <w:sz w:val="22"/>
          <w:szCs w:val="22"/>
        </w:rPr>
        <w:t>0</w:t>
      </w:r>
      <w:r w:rsidR="00F0466F">
        <w:rPr>
          <w:b/>
          <w:i/>
          <w:sz w:val="22"/>
          <w:szCs w:val="22"/>
        </w:rPr>
        <w:t>16</w:t>
      </w:r>
      <w:r w:rsidR="009E5105" w:rsidRPr="00337E16">
        <w:rPr>
          <w:b/>
          <w:i/>
          <w:sz w:val="22"/>
          <w:szCs w:val="22"/>
        </w:rPr>
        <w:t>/20</w:t>
      </w:r>
      <w:r w:rsidR="00F0466F">
        <w:rPr>
          <w:b/>
          <w:i/>
          <w:sz w:val="22"/>
          <w:szCs w:val="22"/>
        </w:rPr>
        <w:t>05</w:t>
      </w:r>
      <w:r w:rsidR="009E5105" w:rsidRPr="00337E16">
        <w:rPr>
          <w:b/>
          <w:i/>
          <w:sz w:val="22"/>
          <w:szCs w:val="22"/>
        </w:rPr>
        <w:t>-</w:t>
      </w:r>
      <w:r w:rsidR="00061C2E">
        <w:rPr>
          <w:b/>
          <w:i/>
          <w:sz w:val="22"/>
          <w:szCs w:val="22"/>
        </w:rPr>
        <w:t>1</w:t>
      </w:r>
      <w:r w:rsidR="009E5105" w:rsidRPr="00337E16">
        <w:rPr>
          <w:b/>
          <w:i/>
          <w:sz w:val="22"/>
          <w:szCs w:val="22"/>
        </w:rPr>
        <w:t>, rel. Min</w:t>
      </w:r>
      <w:r w:rsidR="009E5105">
        <w:rPr>
          <w:b/>
          <w:i/>
          <w:sz w:val="22"/>
          <w:szCs w:val="22"/>
        </w:rPr>
        <w:t xml:space="preserve">. </w:t>
      </w:r>
      <w:r w:rsidR="00F0466F">
        <w:rPr>
          <w:b/>
          <w:i/>
          <w:sz w:val="22"/>
          <w:szCs w:val="22"/>
        </w:rPr>
        <w:t>Walton Alencar Rodrigues</w:t>
      </w:r>
      <w:r w:rsidR="009E5105" w:rsidRPr="00337E16">
        <w:rPr>
          <w:b/>
          <w:i/>
          <w:sz w:val="22"/>
          <w:szCs w:val="22"/>
        </w:rPr>
        <w:t xml:space="preserve">, </w:t>
      </w:r>
      <w:r w:rsidR="00F0466F">
        <w:rPr>
          <w:b/>
          <w:i/>
          <w:sz w:val="22"/>
          <w:szCs w:val="22"/>
        </w:rPr>
        <w:t>27</w:t>
      </w:r>
      <w:r w:rsidR="009E5105" w:rsidRPr="00337E16">
        <w:rPr>
          <w:b/>
          <w:i/>
          <w:sz w:val="22"/>
          <w:szCs w:val="22"/>
        </w:rPr>
        <w:t>.</w:t>
      </w:r>
      <w:r w:rsidR="00F0466F">
        <w:rPr>
          <w:b/>
          <w:i/>
          <w:sz w:val="22"/>
          <w:szCs w:val="22"/>
        </w:rPr>
        <w:t>10</w:t>
      </w:r>
      <w:r w:rsidR="009E5105" w:rsidRPr="00337E16">
        <w:rPr>
          <w:b/>
          <w:i/>
          <w:sz w:val="22"/>
          <w:szCs w:val="22"/>
        </w:rPr>
        <w:t>.2010</w:t>
      </w:r>
      <w:r w:rsidR="009E5105" w:rsidRPr="00337E16">
        <w:rPr>
          <w:sz w:val="22"/>
          <w:szCs w:val="22"/>
        </w:rPr>
        <w:t>.</w:t>
      </w:r>
    </w:p>
    <w:p w:rsidR="009E5105" w:rsidRDefault="009E5105" w:rsidP="007D4CB9">
      <w:pPr>
        <w:pStyle w:val="indice"/>
        <w:tabs>
          <w:tab w:val="left" w:pos="567"/>
        </w:tabs>
        <w:spacing w:before="60" w:line="240" w:lineRule="auto"/>
      </w:pPr>
    </w:p>
    <w:p w:rsidR="00F0466F" w:rsidRDefault="00FA1F86" w:rsidP="007D4CB9">
      <w:pPr>
        <w:pStyle w:val="indice"/>
        <w:tabs>
          <w:tab w:val="left" w:pos="567"/>
        </w:tabs>
        <w:spacing w:before="60" w:line="240" w:lineRule="auto"/>
        <w:rPr>
          <w:b/>
        </w:rPr>
      </w:pPr>
      <w:r w:rsidRPr="00FA1F86">
        <w:rPr>
          <w:b/>
        </w:rPr>
        <w:t>Pregão destinado à outorga de concessão de uso de área comercial em aeroporto</w:t>
      </w:r>
    </w:p>
    <w:p w:rsidR="00E47F90" w:rsidRPr="00337E16" w:rsidRDefault="002C7EF7" w:rsidP="00E47F90">
      <w:pPr>
        <w:pStyle w:val="Pargrafo"/>
        <w:jc w:val="both"/>
        <w:rPr>
          <w:sz w:val="22"/>
          <w:szCs w:val="22"/>
        </w:rPr>
      </w:pPr>
      <w:r w:rsidRPr="002C7EF7">
        <w:rPr>
          <w:sz w:val="22"/>
          <w:szCs w:val="22"/>
        </w:rPr>
        <w:t xml:space="preserve">A </w:t>
      </w:r>
      <w:r w:rsidR="00ED70D1">
        <w:rPr>
          <w:sz w:val="22"/>
          <w:szCs w:val="22"/>
        </w:rPr>
        <w:t>decisão</w:t>
      </w:r>
      <w:r w:rsidRPr="002C7EF7">
        <w:rPr>
          <w:sz w:val="22"/>
          <w:szCs w:val="22"/>
        </w:rPr>
        <w:t xml:space="preserve"> da </w:t>
      </w:r>
      <w:r w:rsidR="00ED70D1" w:rsidRPr="002C7EF7">
        <w:rPr>
          <w:sz w:val="22"/>
          <w:szCs w:val="22"/>
        </w:rPr>
        <w:t xml:space="preserve">Empresa Brasileira de Infra-Estrutura Aeroportuária </w:t>
      </w:r>
      <w:r w:rsidR="0039686C">
        <w:rPr>
          <w:sz w:val="22"/>
          <w:szCs w:val="22"/>
        </w:rPr>
        <w:t>–</w:t>
      </w:r>
      <w:r w:rsidR="00ED70D1" w:rsidRPr="002C7EF7">
        <w:rPr>
          <w:sz w:val="22"/>
          <w:szCs w:val="22"/>
        </w:rPr>
        <w:t xml:space="preserve"> Infraero</w:t>
      </w:r>
      <w:r w:rsidRPr="002C7EF7">
        <w:rPr>
          <w:sz w:val="22"/>
          <w:szCs w:val="22"/>
        </w:rPr>
        <w:t xml:space="preserve">, ao estabelecer o pregão para a licitação de concessões de uso de áreas comerciais nos aeroportos brasileiros, encontra respaldo na legislação e atende plenamente </w:t>
      </w:r>
      <w:r w:rsidR="00ED70D1">
        <w:rPr>
          <w:sz w:val="22"/>
          <w:szCs w:val="22"/>
        </w:rPr>
        <w:t>a</w:t>
      </w:r>
      <w:r w:rsidRPr="002C7EF7">
        <w:rPr>
          <w:sz w:val="22"/>
          <w:szCs w:val="22"/>
        </w:rPr>
        <w:t>o interesse público.</w:t>
      </w:r>
      <w:r w:rsidR="00ED70D1">
        <w:rPr>
          <w:sz w:val="22"/>
          <w:szCs w:val="22"/>
        </w:rPr>
        <w:t xml:space="preserve"> Foi esse o entendimento defendido pelo relator, ao apreciar </w:t>
      </w:r>
      <w:r w:rsidRPr="002C7EF7">
        <w:rPr>
          <w:sz w:val="22"/>
          <w:szCs w:val="22"/>
        </w:rPr>
        <w:t xml:space="preserve">representação </w:t>
      </w:r>
      <w:r w:rsidR="00ED70D1">
        <w:rPr>
          <w:sz w:val="22"/>
          <w:szCs w:val="22"/>
        </w:rPr>
        <w:t>formulada ao TCU</w:t>
      </w:r>
      <w:r w:rsidRPr="002C7EF7">
        <w:rPr>
          <w:sz w:val="22"/>
          <w:szCs w:val="22"/>
        </w:rPr>
        <w:t xml:space="preserve"> em razão de possíveis irregularidades </w:t>
      </w:r>
      <w:r w:rsidR="0039686C">
        <w:rPr>
          <w:sz w:val="22"/>
          <w:szCs w:val="22"/>
        </w:rPr>
        <w:t>perpetradas</w:t>
      </w:r>
      <w:r w:rsidRPr="002C7EF7">
        <w:rPr>
          <w:sz w:val="22"/>
          <w:szCs w:val="22"/>
        </w:rPr>
        <w:t xml:space="preserve"> pela Infraero no âmbito do Pregão Presencial n</w:t>
      </w:r>
      <w:r w:rsidR="00ED70D1">
        <w:rPr>
          <w:sz w:val="22"/>
          <w:szCs w:val="22"/>
        </w:rPr>
        <w:t>.</w:t>
      </w:r>
      <w:r w:rsidRPr="002C7EF7">
        <w:rPr>
          <w:sz w:val="22"/>
          <w:szCs w:val="22"/>
        </w:rPr>
        <w:t xml:space="preserve">º 030/GRAD-3-SBGR/2010, </w:t>
      </w:r>
      <w:r w:rsidR="00ED70D1">
        <w:rPr>
          <w:sz w:val="22"/>
          <w:szCs w:val="22"/>
        </w:rPr>
        <w:t>tendo por</w:t>
      </w:r>
      <w:r w:rsidRPr="002C7EF7">
        <w:rPr>
          <w:sz w:val="22"/>
          <w:szCs w:val="22"/>
        </w:rPr>
        <w:t xml:space="preserve"> objeto a concessão de uso de área</w:t>
      </w:r>
      <w:r w:rsidR="00ED70D1">
        <w:rPr>
          <w:sz w:val="22"/>
          <w:szCs w:val="22"/>
        </w:rPr>
        <w:t xml:space="preserve"> </w:t>
      </w:r>
      <w:r w:rsidRPr="002C7EF7">
        <w:rPr>
          <w:sz w:val="22"/>
          <w:szCs w:val="22"/>
        </w:rPr>
        <w:t xml:space="preserve">destinada à </w:t>
      </w:r>
      <w:r w:rsidR="00E13BB4" w:rsidRPr="00E13BB4">
        <w:rPr>
          <w:i/>
          <w:sz w:val="22"/>
          <w:szCs w:val="22"/>
        </w:rPr>
        <w:t>“</w:t>
      </w:r>
      <w:r w:rsidRPr="00E13BB4">
        <w:rPr>
          <w:i/>
          <w:sz w:val="22"/>
          <w:szCs w:val="22"/>
        </w:rPr>
        <w:t>instalação e exploração comercial de chocolateria de rede de lojas exclusivas no segmento de chocolateria, a ser localizada no piso superior do Terminal de Passageiros n</w:t>
      </w:r>
      <w:r w:rsidR="00E13BB4" w:rsidRPr="00E13BB4">
        <w:rPr>
          <w:i/>
          <w:sz w:val="22"/>
          <w:szCs w:val="22"/>
        </w:rPr>
        <w:t>.</w:t>
      </w:r>
      <w:r w:rsidRPr="00E13BB4">
        <w:rPr>
          <w:i/>
          <w:sz w:val="22"/>
          <w:szCs w:val="22"/>
        </w:rPr>
        <w:t>º 2, do Aeroporto Internacional de São Paulo/Guarulhos</w:t>
      </w:r>
      <w:r w:rsidR="00E13BB4" w:rsidRPr="00E13BB4">
        <w:rPr>
          <w:i/>
          <w:sz w:val="22"/>
          <w:szCs w:val="22"/>
        </w:rPr>
        <w:t xml:space="preserve"> </w:t>
      </w:r>
      <w:r w:rsidRPr="00E13BB4">
        <w:rPr>
          <w:i/>
          <w:sz w:val="22"/>
          <w:szCs w:val="22"/>
        </w:rPr>
        <w:t>-</w:t>
      </w:r>
      <w:r w:rsidR="00E13BB4" w:rsidRPr="00E13BB4">
        <w:rPr>
          <w:i/>
          <w:sz w:val="22"/>
          <w:szCs w:val="22"/>
        </w:rPr>
        <w:t xml:space="preserve"> </w:t>
      </w:r>
      <w:r w:rsidRPr="00E13BB4">
        <w:rPr>
          <w:i/>
          <w:sz w:val="22"/>
          <w:szCs w:val="22"/>
        </w:rPr>
        <w:t>Governador André Franco Montoro</w:t>
      </w:r>
      <w:r w:rsidR="00E13BB4" w:rsidRPr="00E13BB4">
        <w:rPr>
          <w:i/>
          <w:sz w:val="22"/>
          <w:szCs w:val="22"/>
        </w:rPr>
        <w:t>”</w:t>
      </w:r>
      <w:r w:rsidRPr="002C7EF7">
        <w:rPr>
          <w:sz w:val="22"/>
          <w:szCs w:val="22"/>
        </w:rPr>
        <w:t>.</w:t>
      </w:r>
      <w:r w:rsidR="00E13BB4">
        <w:rPr>
          <w:sz w:val="22"/>
          <w:szCs w:val="22"/>
        </w:rPr>
        <w:t xml:space="preserve"> </w:t>
      </w:r>
      <w:r w:rsidRPr="002C7EF7">
        <w:rPr>
          <w:sz w:val="22"/>
          <w:szCs w:val="22"/>
        </w:rPr>
        <w:t>A representante aleg</w:t>
      </w:r>
      <w:r w:rsidR="00E13BB4">
        <w:rPr>
          <w:sz w:val="22"/>
          <w:szCs w:val="22"/>
        </w:rPr>
        <w:t>ou</w:t>
      </w:r>
      <w:r w:rsidRPr="002C7EF7">
        <w:rPr>
          <w:sz w:val="22"/>
          <w:szCs w:val="22"/>
        </w:rPr>
        <w:t xml:space="preserve">, em síntese, </w:t>
      </w:r>
      <w:r w:rsidR="0039686C">
        <w:rPr>
          <w:sz w:val="22"/>
          <w:szCs w:val="22"/>
        </w:rPr>
        <w:t>não haver</w:t>
      </w:r>
      <w:r w:rsidRPr="002C7EF7">
        <w:rPr>
          <w:sz w:val="22"/>
          <w:szCs w:val="22"/>
        </w:rPr>
        <w:t xml:space="preserve"> previsão legal para a licitação de concessão de espaço público por meio de pregão, devendo</w:t>
      </w:r>
      <w:r w:rsidR="00D024B0">
        <w:rPr>
          <w:sz w:val="22"/>
          <w:szCs w:val="22"/>
        </w:rPr>
        <w:t>, para tanto,</w:t>
      </w:r>
      <w:r w:rsidRPr="002C7EF7">
        <w:rPr>
          <w:sz w:val="22"/>
          <w:szCs w:val="22"/>
        </w:rPr>
        <w:t xml:space="preserve"> ser aplicada a Lei n</w:t>
      </w:r>
      <w:r w:rsidR="00E13BB4">
        <w:rPr>
          <w:sz w:val="22"/>
          <w:szCs w:val="22"/>
        </w:rPr>
        <w:t>.</w:t>
      </w:r>
      <w:r w:rsidRPr="002C7EF7">
        <w:rPr>
          <w:sz w:val="22"/>
          <w:szCs w:val="22"/>
        </w:rPr>
        <w:t>º 8.987/95</w:t>
      </w:r>
      <w:r w:rsidR="0039686C">
        <w:rPr>
          <w:sz w:val="22"/>
          <w:szCs w:val="22"/>
        </w:rPr>
        <w:t xml:space="preserve"> –</w:t>
      </w:r>
      <w:r w:rsidR="00D024B0">
        <w:rPr>
          <w:sz w:val="22"/>
          <w:szCs w:val="22"/>
        </w:rPr>
        <w:t xml:space="preserve"> </w:t>
      </w:r>
      <w:r w:rsidRPr="002C7EF7">
        <w:rPr>
          <w:sz w:val="22"/>
          <w:szCs w:val="22"/>
        </w:rPr>
        <w:t>dispõe sobre o regime de concessão e permissão da prestação de serviços públicos</w:t>
      </w:r>
      <w:r w:rsidR="0039686C">
        <w:rPr>
          <w:sz w:val="22"/>
          <w:szCs w:val="22"/>
        </w:rPr>
        <w:t xml:space="preserve"> –</w:t>
      </w:r>
      <w:r w:rsidRPr="002C7EF7">
        <w:rPr>
          <w:sz w:val="22"/>
          <w:szCs w:val="22"/>
        </w:rPr>
        <w:t>, adotando-se</w:t>
      </w:r>
      <w:r w:rsidR="00E13BB4">
        <w:rPr>
          <w:sz w:val="22"/>
          <w:szCs w:val="22"/>
        </w:rPr>
        <w:t>, portanto,</w:t>
      </w:r>
      <w:r w:rsidRPr="002C7EF7">
        <w:rPr>
          <w:sz w:val="22"/>
          <w:szCs w:val="22"/>
        </w:rPr>
        <w:t xml:space="preserve"> a modalidade de concorrência pública.</w:t>
      </w:r>
      <w:r w:rsidR="00E13BB4">
        <w:rPr>
          <w:sz w:val="22"/>
          <w:szCs w:val="22"/>
        </w:rPr>
        <w:t xml:space="preserve"> </w:t>
      </w:r>
      <w:r w:rsidR="00026EA5">
        <w:rPr>
          <w:sz w:val="22"/>
          <w:szCs w:val="22"/>
        </w:rPr>
        <w:t>De acordo com o relator</w:t>
      </w:r>
      <w:r w:rsidR="00E87C16">
        <w:rPr>
          <w:sz w:val="22"/>
          <w:szCs w:val="22"/>
        </w:rPr>
        <w:t xml:space="preserve">, a </w:t>
      </w:r>
      <w:r w:rsidRPr="002C7EF7">
        <w:rPr>
          <w:sz w:val="22"/>
          <w:szCs w:val="22"/>
        </w:rPr>
        <w:t>utilização do pregão atende perfeitamente aos objetivos da Infraero, possibilitando decisões em que se preserva</w:t>
      </w:r>
      <w:r w:rsidR="0039686C">
        <w:rPr>
          <w:sz w:val="22"/>
          <w:szCs w:val="22"/>
        </w:rPr>
        <w:t>m</w:t>
      </w:r>
      <w:r w:rsidRPr="002C7EF7">
        <w:rPr>
          <w:sz w:val="22"/>
          <w:szCs w:val="22"/>
        </w:rPr>
        <w:t xml:space="preserve"> a isonomia de todos os interessados e os interesses da Administração na obtenção da melhor proposta.</w:t>
      </w:r>
      <w:r w:rsidR="00026EA5">
        <w:rPr>
          <w:sz w:val="22"/>
          <w:szCs w:val="22"/>
        </w:rPr>
        <w:t xml:space="preserve"> Segundo ele</w:t>
      </w:r>
      <w:r w:rsidR="00E87C16">
        <w:rPr>
          <w:sz w:val="22"/>
          <w:szCs w:val="22"/>
        </w:rPr>
        <w:t xml:space="preserve">, </w:t>
      </w:r>
      <w:r w:rsidR="00317CF4">
        <w:rPr>
          <w:sz w:val="22"/>
          <w:szCs w:val="22"/>
        </w:rPr>
        <w:t xml:space="preserve">o </w:t>
      </w:r>
      <w:r w:rsidR="00317CF4" w:rsidRPr="002C7EF7">
        <w:rPr>
          <w:sz w:val="22"/>
          <w:szCs w:val="22"/>
        </w:rPr>
        <w:t>Regulamento de Lic</w:t>
      </w:r>
      <w:r w:rsidR="00317CF4">
        <w:rPr>
          <w:sz w:val="22"/>
          <w:szCs w:val="22"/>
        </w:rPr>
        <w:t>itações e Contratos da Infraero</w:t>
      </w:r>
      <w:r w:rsidR="00317CF4" w:rsidRPr="002C7EF7">
        <w:rPr>
          <w:sz w:val="22"/>
          <w:szCs w:val="22"/>
        </w:rPr>
        <w:t>, aprovado pela Portaria Normativa n</w:t>
      </w:r>
      <w:r w:rsidR="00317CF4">
        <w:rPr>
          <w:sz w:val="22"/>
          <w:szCs w:val="22"/>
        </w:rPr>
        <w:t>.</w:t>
      </w:r>
      <w:r w:rsidR="00317CF4" w:rsidRPr="002C7EF7">
        <w:rPr>
          <w:sz w:val="22"/>
          <w:szCs w:val="22"/>
        </w:rPr>
        <w:t>º 935/2009, do Ministério da Defesa</w:t>
      </w:r>
      <w:r w:rsidR="00317CF4">
        <w:rPr>
          <w:sz w:val="22"/>
          <w:szCs w:val="22"/>
        </w:rPr>
        <w:t>,</w:t>
      </w:r>
      <w:r w:rsidRPr="002C7EF7">
        <w:rPr>
          <w:sz w:val="22"/>
          <w:szCs w:val="22"/>
        </w:rPr>
        <w:t xml:space="preserve"> trouxe adequada modificação nos procedimentos até então adotados pela Infraero, passando a prever a possibilidade de utilização do pregão nos casos em que a concessão de uso </w:t>
      </w:r>
      <w:r w:rsidR="00026EA5" w:rsidRPr="002C7EF7">
        <w:rPr>
          <w:sz w:val="22"/>
          <w:szCs w:val="22"/>
        </w:rPr>
        <w:t xml:space="preserve">de área </w:t>
      </w:r>
      <w:r w:rsidRPr="002C7EF7">
        <w:rPr>
          <w:sz w:val="22"/>
          <w:szCs w:val="22"/>
        </w:rPr>
        <w:t>não demandar investimentos em benfeitorias permanentes (art. 31, § 13).</w:t>
      </w:r>
      <w:r w:rsidR="00E45EE9">
        <w:rPr>
          <w:sz w:val="22"/>
          <w:szCs w:val="22"/>
        </w:rPr>
        <w:t xml:space="preserve"> </w:t>
      </w:r>
      <w:r w:rsidRPr="002C7EF7">
        <w:rPr>
          <w:sz w:val="22"/>
          <w:szCs w:val="22"/>
        </w:rPr>
        <w:t xml:space="preserve">No caso concreto, a licitação na modalidade pregão, com critério de julgamento na maior oferta, </w:t>
      </w:r>
      <w:r w:rsidR="00E45EE9" w:rsidRPr="00E45EE9">
        <w:rPr>
          <w:i/>
          <w:sz w:val="22"/>
          <w:szCs w:val="22"/>
        </w:rPr>
        <w:t>“</w:t>
      </w:r>
      <w:r w:rsidRPr="00E45EE9">
        <w:rPr>
          <w:i/>
          <w:sz w:val="22"/>
          <w:szCs w:val="22"/>
        </w:rPr>
        <w:t>não constitui utilização de critério de julgamento não previsto por lei, mas, sim, a utilização do critério legalmente estabelecido e plenamente adequado ao objeto do certame, com a utilização do instrumento legal mais especialmente pertinente para os objetivos da Administração</w:t>
      </w:r>
      <w:r w:rsidR="00E45EE9" w:rsidRPr="00E45EE9">
        <w:rPr>
          <w:i/>
          <w:sz w:val="22"/>
          <w:szCs w:val="22"/>
        </w:rPr>
        <w:t>”</w:t>
      </w:r>
      <w:r w:rsidRPr="002C7EF7">
        <w:rPr>
          <w:sz w:val="22"/>
          <w:szCs w:val="22"/>
        </w:rPr>
        <w:t>.</w:t>
      </w:r>
      <w:r w:rsidR="00E45EE9">
        <w:rPr>
          <w:sz w:val="22"/>
          <w:szCs w:val="22"/>
        </w:rPr>
        <w:t xml:space="preserve"> O relator considerou i</w:t>
      </w:r>
      <w:r w:rsidRPr="002C7EF7">
        <w:rPr>
          <w:sz w:val="22"/>
          <w:szCs w:val="22"/>
        </w:rPr>
        <w:t xml:space="preserve">ncabível, na </w:t>
      </w:r>
      <w:r w:rsidR="00317CF4">
        <w:rPr>
          <w:sz w:val="22"/>
          <w:szCs w:val="22"/>
        </w:rPr>
        <w:t>espécie</w:t>
      </w:r>
      <w:r w:rsidRPr="002C7EF7">
        <w:rPr>
          <w:sz w:val="22"/>
          <w:szCs w:val="22"/>
        </w:rPr>
        <w:t xml:space="preserve">, a aplicação da </w:t>
      </w:r>
      <w:r w:rsidR="00317CF4" w:rsidRPr="002C7EF7">
        <w:rPr>
          <w:sz w:val="22"/>
          <w:szCs w:val="22"/>
        </w:rPr>
        <w:t>Lei n</w:t>
      </w:r>
      <w:r w:rsidR="00317CF4">
        <w:rPr>
          <w:sz w:val="22"/>
          <w:szCs w:val="22"/>
        </w:rPr>
        <w:t>.</w:t>
      </w:r>
      <w:r w:rsidR="00317CF4" w:rsidRPr="002C7EF7">
        <w:rPr>
          <w:sz w:val="22"/>
          <w:szCs w:val="22"/>
        </w:rPr>
        <w:t>º 8.987/95</w:t>
      </w:r>
      <w:r w:rsidRPr="002C7EF7">
        <w:rPr>
          <w:sz w:val="22"/>
          <w:szCs w:val="22"/>
        </w:rPr>
        <w:t>, como pretend</w:t>
      </w:r>
      <w:r w:rsidR="00E45EE9">
        <w:rPr>
          <w:sz w:val="22"/>
          <w:szCs w:val="22"/>
        </w:rPr>
        <w:t>ia</w:t>
      </w:r>
      <w:r w:rsidRPr="002C7EF7">
        <w:rPr>
          <w:sz w:val="22"/>
          <w:szCs w:val="22"/>
        </w:rPr>
        <w:t xml:space="preserve"> a representante, uma vez que </w:t>
      </w:r>
      <w:r w:rsidR="00E45EE9" w:rsidRPr="00E45EE9">
        <w:rPr>
          <w:i/>
          <w:sz w:val="22"/>
          <w:szCs w:val="22"/>
        </w:rPr>
        <w:t>“</w:t>
      </w:r>
      <w:r w:rsidRPr="00E45EE9">
        <w:rPr>
          <w:i/>
          <w:sz w:val="22"/>
          <w:szCs w:val="22"/>
        </w:rPr>
        <w:t>o objeto licitado não é delegação de serviço público</w:t>
      </w:r>
      <w:r w:rsidR="00317CF4">
        <w:rPr>
          <w:i/>
          <w:sz w:val="22"/>
          <w:szCs w:val="22"/>
        </w:rPr>
        <w:t>,</w:t>
      </w:r>
      <w:r w:rsidRPr="00E45EE9">
        <w:rPr>
          <w:i/>
          <w:sz w:val="22"/>
          <w:szCs w:val="22"/>
        </w:rPr>
        <w:t xml:space="preserve"> e a hipótese está expressamente prevista no Regulamento de Licitações da Infraero</w:t>
      </w:r>
      <w:r w:rsidR="00E45EE9" w:rsidRPr="00E45EE9">
        <w:rPr>
          <w:i/>
          <w:sz w:val="22"/>
          <w:szCs w:val="22"/>
        </w:rPr>
        <w:t>”</w:t>
      </w:r>
      <w:r w:rsidRPr="002C7EF7">
        <w:rPr>
          <w:sz w:val="22"/>
          <w:szCs w:val="22"/>
        </w:rPr>
        <w:t>.</w:t>
      </w:r>
      <w:r w:rsidR="00E45EE9">
        <w:rPr>
          <w:sz w:val="22"/>
          <w:szCs w:val="22"/>
        </w:rPr>
        <w:t xml:space="preserve"> Portanto, </w:t>
      </w:r>
      <w:r w:rsidRPr="002C7EF7">
        <w:rPr>
          <w:sz w:val="22"/>
          <w:szCs w:val="22"/>
        </w:rPr>
        <w:t xml:space="preserve">sob a ótica da consecução do interesse público, os procedimentos licitatórios adotados pela Infraero </w:t>
      </w:r>
      <w:r w:rsidR="00E45EE9" w:rsidRPr="00E45EE9">
        <w:rPr>
          <w:i/>
          <w:sz w:val="22"/>
          <w:szCs w:val="22"/>
        </w:rPr>
        <w:t>“</w:t>
      </w:r>
      <w:r w:rsidRPr="00E45EE9">
        <w:rPr>
          <w:i/>
          <w:sz w:val="22"/>
          <w:szCs w:val="22"/>
        </w:rPr>
        <w:t>se mostram especialmente louváveis, porque concretizam os princípios da eficiência, isonomia, impessoalidade, moralidade, dentre outros</w:t>
      </w:r>
      <w:r w:rsidR="00E45EE9" w:rsidRPr="00E45EE9">
        <w:rPr>
          <w:i/>
          <w:sz w:val="22"/>
          <w:szCs w:val="22"/>
        </w:rPr>
        <w:t>”</w:t>
      </w:r>
      <w:r w:rsidRPr="002C7EF7">
        <w:rPr>
          <w:sz w:val="22"/>
          <w:szCs w:val="22"/>
        </w:rPr>
        <w:t>.</w:t>
      </w:r>
      <w:r w:rsidR="00E45EE9">
        <w:rPr>
          <w:sz w:val="22"/>
          <w:szCs w:val="22"/>
        </w:rPr>
        <w:t xml:space="preserve"> Ao final, o relator ponderou que, </w:t>
      </w:r>
      <w:r w:rsidR="00E45EE9" w:rsidRPr="00E45EE9">
        <w:rPr>
          <w:i/>
          <w:sz w:val="22"/>
          <w:szCs w:val="22"/>
        </w:rPr>
        <w:t xml:space="preserve">“para </w:t>
      </w:r>
      <w:r w:rsidRPr="00E45EE9">
        <w:rPr>
          <w:i/>
          <w:sz w:val="22"/>
          <w:szCs w:val="22"/>
        </w:rPr>
        <w:t>a concretização dos imperativos constitucionais da isonomia e da melhor proposta para a Administração, a Infraero deve evoluir dos pregões presenciais, para a modalidade totalmente eletrônica, que dispensa a participação física e o contato entre os interessados</w:t>
      </w:r>
      <w:r w:rsidR="00E45EE9" w:rsidRPr="00E45EE9">
        <w:rPr>
          <w:i/>
          <w:sz w:val="22"/>
          <w:szCs w:val="22"/>
        </w:rPr>
        <w:t>”</w:t>
      </w:r>
      <w:r w:rsidRPr="002C7EF7">
        <w:rPr>
          <w:sz w:val="22"/>
          <w:szCs w:val="22"/>
        </w:rPr>
        <w:t>.</w:t>
      </w:r>
      <w:r w:rsidR="00E45EE9">
        <w:rPr>
          <w:sz w:val="22"/>
          <w:szCs w:val="22"/>
        </w:rPr>
        <w:t xml:space="preserve"> Com base nos fundamentos apresentados pelo relator, deliberou o Plenário </w:t>
      </w:r>
      <w:r w:rsidR="00317CF4">
        <w:rPr>
          <w:sz w:val="22"/>
          <w:szCs w:val="22"/>
        </w:rPr>
        <w:t>pela improcedência</w:t>
      </w:r>
      <w:r w:rsidRPr="002C7EF7">
        <w:rPr>
          <w:sz w:val="22"/>
          <w:szCs w:val="22"/>
        </w:rPr>
        <w:t xml:space="preserve"> da representação</w:t>
      </w:r>
      <w:r w:rsidR="00E45EE9">
        <w:rPr>
          <w:sz w:val="22"/>
          <w:szCs w:val="22"/>
        </w:rPr>
        <w:t xml:space="preserve">. </w:t>
      </w:r>
      <w:r w:rsidR="00744814">
        <w:rPr>
          <w:sz w:val="22"/>
          <w:szCs w:val="22"/>
        </w:rPr>
        <w:t xml:space="preserve">Precedente citado: Acórdão n.º 3042/2008-Plenário. </w:t>
      </w:r>
      <w:r w:rsidR="00E47F90" w:rsidRPr="00337E16">
        <w:rPr>
          <w:b/>
          <w:i/>
          <w:sz w:val="22"/>
          <w:szCs w:val="22"/>
        </w:rPr>
        <w:t xml:space="preserve">Acórdão n.º </w:t>
      </w:r>
      <w:r w:rsidR="00E47F90">
        <w:rPr>
          <w:b/>
          <w:i/>
          <w:sz w:val="22"/>
          <w:szCs w:val="22"/>
        </w:rPr>
        <w:t>2844</w:t>
      </w:r>
      <w:r w:rsidR="00E47F90" w:rsidRPr="00337E16">
        <w:rPr>
          <w:b/>
          <w:i/>
          <w:sz w:val="22"/>
          <w:szCs w:val="22"/>
        </w:rPr>
        <w:t>/2010</w:t>
      </w:r>
      <w:r w:rsidR="00E47F90">
        <w:rPr>
          <w:b/>
          <w:i/>
          <w:sz w:val="22"/>
          <w:szCs w:val="22"/>
        </w:rPr>
        <w:t>-Plenário</w:t>
      </w:r>
      <w:r w:rsidR="00E47F90" w:rsidRPr="00337E16">
        <w:rPr>
          <w:b/>
          <w:i/>
          <w:sz w:val="22"/>
          <w:szCs w:val="22"/>
        </w:rPr>
        <w:t>, TC-0</w:t>
      </w:r>
      <w:r w:rsidR="00E47F90">
        <w:rPr>
          <w:b/>
          <w:i/>
          <w:sz w:val="22"/>
          <w:szCs w:val="22"/>
        </w:rPr>
        <w:t>11</w:t>
      </w:r>
      <w:r w:rsidR="00E47F90" w:rsidRPr="00337E16">
        <w:rPr>
          <w:b/>
          <w:i/>
          <w:sz w:val="22"/>
          <w:szCs w:val="22"/>
        </w:rPr>
        <w:t>.</w:t>
      </w:r>
      <w:r w:rsidR="00E47F90">
        <w:rPr>
          <w:b/>
          <w:i/>
          <w:sz w:val="22"/>
          <w:szCs w:val="22"/>
        </w:rPr>
        <w:t>355</w:t>
      </w:r>
      <w:r w:rsidR="00E47F90" w:rsidRPr="00337E16">
        <w:rPr>
          <w:b/>
          <w:i/>
          <w:sz w:val="22"/>
          <w:szCs w:val="22"/>
        </w:rPr>
        <w:t>/20</w:t>
      </w:r>
      <w:r w:rsidR="00E47F90">
        <w:rPr>
          <w:b/>
          <w:i/>
          <w:sz w:val="22"/>
          <w:szCs w:val="22"/>
        </w:rPr>
        <w:t>10</w:t>
      </w:r>
      <w:r w:rsidR="00E47F90" w:rsidRPr="00337E16">
        <w:rPr>
          <w:b/>
          <w:i/>
          <w:sz w:val="22"/>
          <w:szCs w:val="22"/>
        </w:rPr>
        <w:t>-</w:t>
      </w:r>
      <w:r w:rsidR="00E47F90">
        <w:rPr>
          <w:b/>
          <w:i/>
          <w:sz w:val="22"/>
          <w:szCs w:val="22"/>
        </w:rPr>
        <w:t>7</w:t>
      </w:r>
      <w:r w:rsidR="00E47F90" w:rsidRPr="00337E16">
        <w:rPr>
          <w:b/>
          <w:i/>
          <w:sz w:val="22"/>
          <w:szCs w:val="22"/>
        </w:rPr>
        <w:t>, rel. Min</w:t>
      </w:r>
      <w:r w:rsidR="00E47F90">
        <w:rPr>
          <w:b/>
          <w:i/>
          <w:sz w:val="22"/>
          <w:szCs w:val="22"/>
        </w:rPr>
        <w:t>. Walton Alencar Rodrigues</w:t>
      </w:r>
      <w:r w:rsidR="00E47F90" w:rsidRPr="00337E16">
        <w:rPr>
          <w:b/>
          <w:i/>
          <w:sz w:val="22"/>
          <w:szCs w:val="22"/>
        </w:rPr>
        <w:t xml:space="preserve">, </w:t>
      </w:r>
      <w:r w:rsidR="00E47F90">
        <w:rPr>
          <w:b/>
          <w:i/>
          <w:sz w:val="22"/>
          <w:szCs w:val="22"/>
        </w:rPr>
        <w:t>27</w:t>
      </w:r>
      <w:r w:rsidR="00E47F90" w:rsidRPr="00337E16">
        <w:rPr>
          <w:b/>
          <w:i/>
          <w:sz w:val="22"/>
          <w:szCs w:val="22"/>
        </w:rPr>
        <w:t>.</w:t>
      </w:r>
      <w:r w:rsidR="00E47F90">
        <w:rPr>
          <w:b/>
          <w:i/>
          <w:sz w:val="22"/>
          <w:szCs w:val="22"/>
        </w:rPr>
        <w:t>10</w:t>
      </w:r>
      <w:r w:rsidR="00E47F90" w:rsidRPr="00337E16">
        <w:rPr>
          <w:b/>
          <w:i/>
          <w:sz w:val="22"/>
          <w:szCs w:val="22"/>
        </w:rPr>
        <w:t>.2010</w:t>
      </w:r>
      <w:r w:rsidR="00E47F90" w:rsidRPr="00337E16">
        <w:rPr>
          <w:sz w:val="22"/>
          <w:szCs w:val="22"/>
        </w:rPr>
        <w:t>.</w:t>
      </w:r>
    </w:p>
    <w:p w:rsidR="00E47F90" w:rsidRDefault="00E47F90" w:rsidP="007D4CB9">
      <w:pPr>
        <w:pStyle w:val="Pargrafo"/>
        <w:spacing w:before="60"/>
        <w:jc w:val="both"/>
        <w:rPr>
          <w:sz w:val="22"/>
          <w:szCs w:val="22"/>
        </w:rPr>
      </w:pPr>
    </w:p>
    <w:p w:rsidR="00870986" w:rsidRPr="00870986" w:rsidRDefault="00870986" w:rsidP="007D4CB9">
      <w:pPr>
        <w:pStyle w:val="Pargrafo"/>
        <w:spacing w:before="60"/>
        <w:jc w:val="both"/>
        <w:rPr>
          <w:b/>
          <w:sz w:val="22"/>
          <w:szCs w:val="22"/>
        </w:rPr>
      </w:pPr>
      <w:r w:rsidRPr="00870986">
        <w:rPr>
          <w:b/>
          <w:sz w:val="22"/>
          <w:szCs w:val="22"/>
        </w:rPr>
        <w:t xml:space="preserve">A participação em licitação reservada a microempresas (ME) e a empresas de pequeno porte (EPP), por sociedade que não se enquadre na definição legal </w:t>
      </w:r>
      <w:r w:rsidR="00355373">
        <w:rPr>
          <w:b/>
          <w:sz w:val="22"/>
          <w:szCs w:val="22"/>
        </w:rPr>
        <w:t>d</w:t>
      </w:r>
      <w:r w:rsidRPr="00870986">
        <w:rPr>
          <w:b/>
          <w:sz w:val="22"/>
          <w:szCs w:val="22"/>
        </w:rPr>
        <w:t>essas categorias, configura fraude ao certame</w:t>
      </w:r>
    </w:p>
    <w:p w:rsidR="00870986" w:rsidRPr="00337E16" w:rsidRDefault="00533E30" w:rsidP="00870986">
      <w:pPr>
        <w:pStyle w:val="Pargrafo"/>
        <w:jc w:val="both"/>
        <w:rPr>
          <w:sz w:val="22"/>
          <w:szCs w:val="22"/>
        </w:rPr>
      </w:pPr>
      <w:r>
        <w:rPr>
          <w:sz w:val="22"/>
          <w:szCs w:val="22"/>
        </w:rPr>
        <w:t>Em</w:t>
      </w:r>
      <w:r w:rsidR="00870986" w:rsidRPr="001E6F03">
        <w:rPr>
          <w:sz w:val="22"/>
          <w:szCs w:val="22"/>
        </w:rPr>
        <w:t xml:space="preserve"> </w:t>
      </w:r>
      <w:r>
        <w:rPr>
          <w:sz w:val="22"/>
          <w:szCs w:val="22"/>
        </w:rPr>
        <w:t>processo</w:t>
      </w:r>
      <w:r w:rsidR="00870986" w:rsidRPr="001E6F03">
        <w:rPr>
          <w:sz w:val="22"/>
          <w:szCs w:val="22"/>
        </w:rPr>
        <w:t xml:space="preserve"> </w:t>
      </w:r>
      <w:r w:rsidR="00355373">
        <w:rPr>
          <w:sz w:val="22"/>
          <w:szCs w:val="22"/>
        </w:rPr>
        <w:t>instaurado para</w:t>
      </w:r>
      <w:r w:rsidR="00870986" w:rsidRPr="001E6F03">
        <w:rPr>
          <w:sz w:val="22"/>
          <w:szCs w:val="22"/>
        </w:rPr>
        <w:t xml:space="preserve"> apurar possíveis irregularidades praticadas por empresas que supostamente</w:t>
      </w:r>
      <w:r w:rsidR="0042756B">
        <w:rPr>
          <w:sz w:val="22"/>
          <w:szCs w:val="22"/>
        </w:rPr>
        <w:t xml:space="preserve"> teriam </w:t>
      </w:r>
      <w:r w:rsidR="00870986" w:rsidRPr="001E6F03">
        <w:rPr>
          <w:sz w:val="22"/>
          <w:szCs w:val="22"/>
        </w:rPr>
        <w:t>participa</w:t>
      </w:r>
      <w:r w:rsidR="0042756B">
        <w:rPr>
          <w:sz w:val="22"/>
          <w:szCs w:val="22"/>
        </w:rPr>
        <w:t>do,</w:t>
      </w:r>
      <w:r w:rsidR="00870986" w:rsidRPr="001E6F03">
        <w:rPr>
          <w:sz w:val="22"/>
          <w:szCs w:val="22"/>
        </w:rPr>
        <w:t xml:space="preserve"> de forma indevida</w:t>
      </w:r>
      <w:r w:rsidR="0042756B">
        <w:rPr>
          <w:sz w:val="22"/>
          <w:szCs w:val="22"/>
        </w:rPr>
        <w:t>,</w:t>
      </w:r>
      <w:r w:rsidR="00870986" w:rsidRPr="001E6F03">
        <w:rPr>
          <w:sz w:val="22"/>
          <w:szCs w:val="22"/>
        </w:rPr>
        <w:t xml:space="preserve"> de licitações públicas</w:t>
      </w:r>
      <w:r w:rsidR="00B951C1">
        <w:rPr>
          <w:sz w:val="22"/>
          <w:szCs w:val="22"/>
        </w:rPr>
        <w:t>,</w:t>
      </w:r>
      <w:r w:rsidR="00870986" w:rsidRPr="001E6F03">
        <w:rPr>
          <w:sz w:val="22"/>
          <w:szCs w:val="22"/>
        </w:rPr>
        <w:t xml:space="preserve"> </w:t>
      </w:r>
      <w:r>
        <w:rPr>
          <w:sz w:val="22"/>
          <w:szCs w:val="22"/>
        </w:rPr>
        <w:t xml:space="preserve">a </w:t>
      </w:r>
      <w:r w:rsidR="00870986" w:rsidRPr="001E6F03">
        <w:rPr>
          <w:sz w:val="22"/>
          <w:szCs w:val="22"/>
        </w:rPr>
        <w:t xml:space="preserve">empresa Premier Produtos Alimentícios Ltda. foi instada a se manifestar quanto ao fato de ter vencido, em 2008, licitações destinadas exclusivamente </w:t>
      </w:r>
      <w:r w:rsidR="00EC0445">
        <w:rPr>
          <w:sz w:val="22"/>
          <w:szCs w:val="22"/>
        </w:rPr>
        <w:t>a</w:t>
      </w:r>
      <w:r w:rsidR="00870986" w:rsidRPr="001E6F03">
        <w:rPr>
          <w:sz w:val="22"/>
          <w:szCs w:val="22"/>
        </w:rPr>
        <w:t xml:space="preserve"> </w:t>
      </w:r>
      <w:r>
        <w:rPr>
          <w:sz w:val="22"/>
          <w:szCs w:val="22"/>
        </w:rPr>
        <w:t>ME e EPP</w:t>
      </w:r>
      <w:r w:rsidR="00870986" w:rsidRPr="001E6F03">
        <w:rPr>
          <w:sz w:val="22"/>
          <w:szCs w:val="22"/>
        </w:rPr>
        <w:t xml:space="preserve">, sendo que seu faturamento bruto no ano anterior ao dos certames havia </w:t>
      </w:r>
      <w:r>
        <w:rPr>
          <w:sz w:val="22"/>
          <w:szCs w:val="22"/>
        </w:rPr>
        <w:t>extrapolado</w:t>
      </w:r>
      <w:r w:rsidR="00870986" w:rsidRPr="001E6F03">
        <w:rPr>
          <w:sz w:val="22"/>
          <w:szCs w:val="22"/>
        </w:rPr>
        <w:t xml:space="preserve"> </w:t>
      </w:r>
      <w:r w:rsidRPr="001E6F03">
        <w:rPr>
          <w:sz w:val="22"/>
          <w:szCs w:val="22"/>
        </w:rPr>
        <w:t xml:space="preserve">os limites </w:t>
      </w:r>
      <w:r w:rsidR="0042756B">
        <w:rPr>
          <w:sz w:val="22"/>
          <w:szCs w:val="22"/>
        </w:rPr>
        <w:t>legais</w:t>
      </w:r>
      <w:r w:rsidR="00A944D7">
        <w:rPr>
          <w:sz w:val="22"/>
          <w:szCs w:val="22"/>
        </w:rPr>
        <w:t xml:space="preserve"> fixados para o respectivo enquadramento</w:t>
      </w:r>
      <w:r w:rsidR="00870986" w:rsidRPr="001E6F03">
        <w:rPr>
          <w:sz w:val="22"/>
          <w:szCs w:val="22"/>
        </w:rPr>
        <w:t xml:space="preserve">. </w:t>
      </w:r>
      <w:r w:rsidR="000673A2">
        <w:rPr>
          <w:sz w:val="22"/>
          <w:szCs w:val="22"/>
        </w:rPr>
        <w:t xml:space="preserve">Segundo </w:t>
      </w:r>
      <w:r w:rsidR="00BE0777">
        <w:rPr>
          <w:sz w:val="22"/>
          <w:szCs w:val="22"/>
        </w:rPr>
        <w:t>a unidade técnica,</w:t>
      </w:r>
      <w:r>
        <w:rPr>
          <w:sz w:val="22"/>
          <w:szCs w:val="22"/>
        </w:rPr>
        <w:t xml:space="preserve"> </w:t>
      </w:r>
      <w:r w:rsidR="001E6F03" w:rsidRPr="001E6F03">
        <w:rPr>
          <w:sz w:val="22"/>
          <w:szCs w:val="22"/>
        </w:rPr>
        <w:t xml:space="preserve">caberia à </w:t>
      </w:r>
      <w:r w:rsidR="00EC0445">
        <w:rPr>
          <w:sz w:val="22"/>
          <w:szCs w:val="22"/>
        </w:rPr>
        <w:t>empresa</w:t>
      </w:r>
      <w:r w:rsidR="001E6F03" w:rsidRPr="001E6F03">
        <w:rPr>
          <w:sz w:val="22"/>
          <w:szCs w:val="22"/>
        </w:rPr>
        <w:t xml:space="preserve"> dirigir-se à competente Junta Comercial para declarar seu desenquadramento da condição de EPP</w:t>
      </w:r>
      <w:r w:rsidR="00EC0445">
        <w:rPr>
          <w:sz w:val="22"/>
          <w:szCs w:val="22"/>
        </w:rPr>
        <w:t>, i</w:t>
      </w:r>
      <w:r w:rsidR="001E6F03" w:rsidRPr="001E6F03">
        <w:rPr>
          <w:sz w:val="22"/>
          <w:szCs w:val="22"/>
        </w:rPr>
        <w:t xml:space="preserve">sso porque, no exercício de 2007, </w:t>
      </w:r>
      <w:r w:rsidR="00EC0445">
        <w:rPr>
          <w:sz w:val="22"/>
          <w:szCs w:val="22"/>
        </w:rPr>
        <w:t>ela</w:t>
      </w:r>
      <w:r w:rsidR="001E6F03" w:rsidRPr="001E6F03">
        <w:rPr>
          <w:sz w:val="22"/>
          <w:szCs w:val="22"/>
        </w:rPr>
        <w:t xml:space="preserve"> extrapola</w:t>
      </w:r>
      <w:r w:rsidR="00EC0445">
        <w:rPr>
          <w:sz w:val="22"/>
          <w:szCs w:val="22"/>
        </w:rPr>
        <w:t>ra</w:t>
      </w:r>
      <w:r w:rsidR="001E6F03" w:rsidRPr="001E6F03">
        <w:rPr>
          <w:sz w:val="22"/>
          <w:szCs w:val="22"/>
        </w:rPr>
        <w:t xml:space="preserve"> o faturamento de R$ 2.400.000,00.</w:t>
      </w:r>
      <w:r>
        <w:rPr>
          <w:sz w:val="22"/>
          <w:szCs w:val="22"/>
        </w:rPr>
        <w:t xml:space="preserve"> </w:t>
      </w:r>
      <w:r w:rsidR="00BE0777">
        <w:rPr>
          <w:sz w:val="22"/>
          <w:szCs w:val="22"/>
        </w:rPr>
        <w:t>Em seu voto, o relator ressaltou que, a</w:t>
      </w:r>
      <w:r w:rsidR="00A944D7">
        <w:rPr>
          <w:sz w:val="22"/>
          <w:szCs w:val="22"/>
        </w:rPr>
        <w:t>o não adotar tal conduta</w:t>
      </w:r>
      <w:r w:rsidR="001E6F03" w:rsidRPr="001E6F03">
        <w:rPr>
          <w:sz w:val="22"/>
          <w:szCs w:val="22"/>
        </w:rPr>
        <w:t xml:space="preserve">, a </w:t>
      </w:r>
      <w:r w:rsidR="00B951C1">
        <w:rPr>
          <w:sz w:val="22"/>
          <w:szCs w:val="22"/>
        </w:rPr>
        <w:t>empresa</w:t>
      </w:r>
      <w:r w:rsidR="001E6F03" w:rsidRPr="001E6F03">
        <w:rPr>
          <w:sz w:val="22"/>
          <w:szCs w:val="22"/>
        </w:rPr>
        <w:t xml:space="preserve"> descumpri</w:t>
      </w:r>
      <w:r w:rsidR="0042756B">
        <w:rPr>
          <w:sz w:val="22"/>
          <w:szCs w:val="22"/>
        </w:rPr>
        <w:t>ra</w:t>
      </w:r>
      <w:r w:rsidR="001E6F03" w:rsidRPr="001E6F03">
        <w:rPr>
          <w:sz w:val="22"/>
          <w:szCs w:val="22"/>
        </w:rPr>
        <w:t xml:space="preserve"> o art. 3º, §</w:t>
      </w:r>
      <w:r w:rsidR="00B951C1">
        <w:rPr>
          <w:sz w:val="22"/>
          <w:szCs w:val="22"/>
        </w:rPr>
        <w:t xml:space="preserve"> </w:t>
      </w:r>
      <w:r w:rsidR="001E6F03" w:rsidRPr="001E6F03">
        <w:rPr>
          <w:sz w:val="22"/>
          <w:szCs w:val="22"/>
        </w:rPr>
        <w:t>9</w:t>
      </w:r>
      <w:r w:rsidR="00B951C1">
        <w:rPr>
          <w:sz w:val="22"/>
          <w:szCs w:val="22"/>
        </w:rPr>
        <w:t>º</w:t>
      </w:r>
      <w:r w:rsidR="001E6F03" w:rsidRPr="001E6F03">
        <w:rPr>
          <w:sz w:val="22"/>
          <w:szCs w:val="22"/>
        </w:rPr>
        <w:t>, da Lei Complementar n</w:t>
      </w:r>
      <w:r w:rsidR="00B951C1">
        <w:rPr>
          <w:sz w:val="22"/>
          <w:szCs w:val="22"/>
        </w:rPr>
        <w:t>.</w:t>
      </w:r>
      <w:r w:rsidR="001E6F03" w:rsidRPr="001E6F03">
        <w:rPr>
          <w:sz w:val="22"/>
          <w:szCs w:val="22"/>
        </w:rPr>
        <w:t>º 123/2006, o art. 11 do Decreto n</w:t>
      </w:r>
      <w:r w:rsidR="00B951C1">
        <w:rPr>
          <w:sz w:val="22"/>
          <w:szCs w:val="22"/>
        </w:rPr>
        <w:t>.</w:t>
      </w:r>
      <w:r w:rsidR="001E6F03" w:rsidRPr="001E6F03">
        <w:rPr>
          <w:sz w:val="22"/>
          <w:szCs w:val="22"/>
        </w:rPr>
        <w:t>º 6.204/2007 e o art. 1º da Instrução Normativa do Departamento Nacional de Registro do Comércio n</w:t>
      </w:r>
      <w:r w:rsidR="00B951C1">
        <w:rPr>
          <w:sz w:val="22"/>
          <w:szCs w:val="22"/>
        </w:rPr>
        <w:t>.</w:t>
      </w:r>
      <w:r w:rsidR="001E6F03" w:rsidRPr="001E6F03">
        <w:rPr>
          <w:sz w:val="22"/>
          <w:szCs w:val="22"/>
        </w:rPr>
        <w:t>º 103/2007</w:t>
      </w:r>
      <w:r w:rsidR="00A944D7">
        <w:rPr>
          <w:sz w:val="22"/>
          <w:szCs w:val="22"/>
        </w:rPr>
        <w:t>, beneficiando-se de sua própria omissão</w:t>
      </w:r>
      <w:r w:rsidR="001E6F03" w:rsidRPr="001E6F03">
        <w:rPr>
          <w:sz w:val="22"/>
          <w:szCs w:val="22"/>
        </w:rPr>
        <w:t xml:space="preserve">. </w:t>
      </w:r>
      <w:r w:rsidR="000673A2">
        <w:rPr>
          <w:sz w:val="22"/>
          <w:szCs w:val="22"/>
        </w:rPr>
        <w:t xml:space="preserve">Nos termos do </w:t>
      </w:r>
      <w:r w:rsidR="00A944D7">
        <w:rPr>
          <w:sz w:val="22"/>
          <w:szCs w:val="22"/>
        </w:rPr>
        <w:t>voto do relator</w:t>
      </w:r>
      <w:r w:rsidR="00B951C1">
        <w:rPr>
          <w:sz w:val="22"/>
          <w:szCs w:val="22"/>
        </w:rPr>
        <w:t xml:space="preserve">, deliberou o Plenário no sentido de </w:t>
      </w:r>
      <w:r w:rsidR="001E6F03" w:rsidRPr="001E6F03">
        <w:rPr>
          <w:sz w:val="22"/>
          <w:szCs w:val="22"/>
        </w:rPr>
        <w:t xml:space="preserve">declarar, </w:t>
      </w:r>
      <w:r w:rsidR="00B951C1" w:rsidRPr="00B951C1">
        <w:rPr>
          <w:i/>
          <w:sz w:val="22"/>
          <w:szCs w:val="22"/>
        </w:rPr>
        <w:t>“</w:t>
      </w:r>
      <w:r w:rsidR="001E6F03" w:rsidRPr="00B951C1">
        <w:rPr>
          <w:i/>
          <w:sz w:val="22"/>
          <w:szCs w:val="22"/>
        </w:rPr>
        <w:t>com fundamento no art. 46 da Lei nº 8.443/1992 e no inciso III do art. 88 da Lei nº 8.666/1993, a inidoneidade da empresa Premier Produtos Alimentícios Ltda. (CNPJ</w:t>
      </w:r>
      <w:r w:rsidR="00B951C1" w:rsidRPr="00B951C1">
        <w:rPr>
          <w:i/>
          <w:sz w:val="22"/>
          <w:szCs w:val="22"/>
        </w:rPr>
        <w:t xml:space="preserve"> </w:t>
      </w:r>
      <w:r w:rsidR="001E6F03" w:rsidRPr="00B951C1">
        <w:rPr>
          <w:i/>
          <w:sz w:val="22"/>
          <w:szCs w:val="22"/>
        </w:rPr>
        <w:t>01.392.601/0001-50) para licitar e contratar com a Administração Pública, pelo período de seis meses</w:t>
      </w:r>
      <w:r w:rsidR="00B951C1" w:rsidRPr="00B951C1">
        <w:rPr>
          <w:i/>
          <w:sz w:val="22"/>
          <w:szCs w:val="22"/>
        </w:rPr>
        <w:t>”</w:t>
      </w:r>
      <w:r w:rsidR="00B951C1">
        <w:rPr>
          <w:sz w:val="22"/>
          <w:szCs w:val="22"/>
        </w:rPr>
        <w:t xml:space="preserve">. Precedentes citados: </w:t>
      </w:r>
      <w:r w:rsidR="00B951C1" w:rsidRPr="001E6F03">
        <w:rPr>
          <w:sz w:val="22"/>
          <w:szCs w:val="22"/>
        </w:rPr>
        <w:t xml:space="preserve">Acórdãos </w:t>
      </w:r>
      <w:r w:rsidR="00B951C1">
        <w:rPr>
          <w:sz w:val="22"/>
          <w:szCs w:val="22"/>
        </w:rPr>
        <w:t>n.</w:t>
      </w:r>
      <w:r w:rsidR="00B951C1" w:rsidRPr="00B951C1">
        <w:rPr>
          <w:sz w:val="22"/>
          <w:szCs w:val="22"/>
          <w:vertAlign w:val="superscript"/>
        </w:rPr>
        <w:t>os</w:t>
      </w:r>
      <w:r w:rsidR="00B951C1">
        <w:rPr>
          <w:sz w:val="22"/>
          <w:szCs w:val="22"/>
        </w:rPr>
        <w:t xml:space="preserve"> </w:t>
      </w:r>
      <w:r w:rsidR="00B951C1" w:rsidRPr="001E6F03">
        <w:rPr>
          <w:sz w:val="22"/>
          <w:szCs w:val="22"/>
        </w:rPr>
        <w:t>1028/2010</w:t>
      </w:r>
      <w:r w:rsidR="00B951C1">
        <w:rPr>
          <w:sz w:val="22"/>
          <w:szCs w:val="22"/>
        </w:rPr>
        <w:t xml:space="preserve">, </w:t>
      </w:r>
      <w:r w:rsidR="00B951C1" w:rsidRPr="001E6F03">
        <w:rPr>
          <w:sz w:val="22"/>
          <w:szCs w:val="22"/>
        </w:rPr>
        <w:t>1972/2010</w:t>
      </w:r>
      <w:r w:rsidR="00B951C1">
        <w:rPr>
          <w:sz w:val="22"/>
          <w:szCs w:val="22"/>
        </w:rPr>
        <w:t xml:space="preserve"> e </w:t>
      </w:r>
      <w:r w:rsidR="00B951C1" w:rsidRPr="001E6F03">
        <w:rPr>
          <w:sz w:val="22"/>
          <w:szCs w:val="22"/>
        </w:rPr>
        <w:t>2578/2010</w:t>
      </w:r>
      <w:r w:rsidR="00B951C1">
        <w:rPr>
          <w:sz w:val="22"/>
          <w:szCs w:val="22"/>
        </w:rPr>
        <w:t xml:space="preserve">, todos do Plenário. </w:t>
      </w:r>
      <w:r w:rsidR="00870986" w:rsidRPr="00337E16">
        <w:rPr>
          <w:b/>
          <w:i/>
          <w:sz w:val="22"/>
          <w:szCs w:val="22"/>
        </w:rPr>
        <w:t xml:space="preserve">Acórdão n.º </w:t>
      </w:r>
      <w:r w:rsidR="00870986">
        <w:rPr>
          <w:b/>
          <w:i/>
          <w:sz w:val="22"/>
          <w:szCs w:val="22"/>
        </w:rPr>
        <w:t>284</w:t>
      </w:r>
      <w:r w:rsidR="001E6F03">
        <w:rPr>
          <w:b/>
          <w:i/>
          <w:sz w:val="22"/>
          <w:szCs w:val="22"/>
        </w:rPr>
        <w:t>6</w:t>
      </w:r>
      <w:r w:rsidR="00870986" w:rsidRPr="00337E16">
        <w:rPr>
          <w:b/>
          <w:i/>
          <w:sz w:val="22"/>
          <w:szCs w:val="22"/>
        </w:rPr>
        <w:t>/2010</w:t>
      </w:r>
      <w:r w:rsidR="00870986">
        <w:rPr>
          <w:b/>
          <w:i/>
          <w:sz w:val="22"/>
          <w:szCs w:val="22"/>
        </w:rPr>
        <w:t>-Plenário</w:t>
      </w:r>
      <w:r w:rsidR="00870986" w:rsidRPr="00337E16">
        <w:rPr>
          <w:b/>
          <w:i/>
          <w:sz w:val="22"/>
          <w:szCs w:val="22"/>
        </w:rPr>
        <w:t>, TC-0</w:t>
      </w:r>
      <w:r w:rsidR="001E6F03">
        <w:rPr>
          <w:b/>
          <w:i/>
          <w:sz w:val="22"/>
          <w:szCs w:val="22"/>
        </w:rPr>
        <w:t>08</w:t>
      </w:r>
      <w:r w:rsidR="00870986" w:rsidRPr="00337E16">
        <w:rPr>
          <w:b/>
          <w:i/>
          <w:sz w:val="22"/>
          <w:szCs w:val="22"/>
        </w:rPr>
        <w:t>.</w:t>
      </w:r>
      <w:r w:rsidR="001E6F03">
        <w:rPr>
          <w:b/>
          <w:i/>
          <w:sz w:val="22"/>
          <w:szCs w:val="22"/>
        </w:rPr>
        <w:t xml:space="preserve"> </w:t>
      </w:r>
      <w:r w:rsidR="00870986">
        <w:rPr>
          <w:b/>
          <w:i/>
          <w:sz w:val="22"/>
          <w:szCs w:val="22"/>
        </w:rPr>
        <w:t>55</w:t>
      </w:r>
      <w:r w:rsidR="001E6F03">
        <w:rPr>
          <w:b/>
          <w:i/>
          <w:sz w:val="22"/>
          <w:szCs w:val="22"/>
        </w:rPr>
        <w:t>2</w:t>
      </w:r>
      <w:r w:rsidR="00870986" w:rsidRPr="00337E16">
        <w:rPr>
          <w:b/>
          <w:i/>
          <w:sz w:val="22"/>
          <w:szCs w:val="22"/>
        </w:rPr>
        <w:t>/20</w:t>
      </w:r>
      <w:r w:rsidR="00870986">
        <w:rPr>
          <w:b/>
          <w:i/>
          <w:sz w:val="22"/>
          <w:szCs w:val="22"/>
        </w:rPr>
        <w:t>10</w:t>
      </w:r>
      <w:r w:rsidR="00870986" w:rsidRPr="00337E16">
        <w:rPr>
          <w:b/>
          <w:i/>
          <w:sz w:val="22"/>
          <w:szCs w:val="22"/>
        </w:rPr>
        <w:t>-</w:t>
      </w:r>
      <w:r w:rsidR="001E6F03">
        <w:rPr>
          <w:b/>
          <w:i/>
          <w:sz w:val="22"/>
          <w:szCs w:val="22"/>
        </w:rPr>
        <w:t>0</w:t>
      </w:r>
      <w:r w:rsidR="00870986" w:rsidRPr="00337E16">
        <w:rPr>
          <w:b/>
          <w:i/>
          <w:sz w:val="22"/>
          <w:szCs w:val="22"/>
        </w:rPr>
        <w:t>, rel. Min</w:t>
      </w:r>
      <w:r w:rsidR="00870986">
        <w:rPr>
          <w:b/>
          <w:i/>
          <w:sz w:val="22"/>
          <w:szCs w:val="22"/>
        </w:rPr>
        <w:t>. Walton Alencar Rodrigues</w:t>
      </w:r>
      <w:r w:rsidR="00870986" w:rsidRPr="00337E16">
        <w:rPr>
          <w:b/>
          <w:i/>
          <w:sz w:val="22"/>
          <w:szCs w:val="22"/>
        </w:rPr>
        <w:t xml:space="preserve">, </w:t>
      </w:r>
      <w:r w:rsidR="00870986">
        <w:rPr>
          <w:b/>
          <w:i/>
          <w:sz w:val="22"/>
          <w:szCs w:val="22"/>
        </w:rPr>
        <w:t>27</w:t>
      </w:r>
      <w:r w:rsidR="00870986" w:rsidRPr="00337E16">
        <w:rPr>
          <w:b/>
          <w:i/>
          <w:sz w:val="22"/>
          <w:szCs w:val="22"/>
        </w:rPr>
        <w:t>.</w:t>
      </w:r>
      <w:r w:rsidR="00870986">
        <w:rPr>
          <w:b/>
          <w:i/>
          <w:sz w:val="22"/>
          <w:szCs w:val="22"/>
        </w:rPr>
        <w:t>10</w:t>
      </w:r>
      <w:r w:rsidR="00870986" w:rsidRPr="00337E16">
        <w:rPr>
          <w:b/>
          <w:i/>
          <w:sz w:val="22"/>
          <w:szCs w:val="22"/>
        </w:rPr>
        <w:t>.2010</w:t>
      </w:r>
      <w:r w:rsidR="00870986" w:rsidRPr="00337E16">
        <w:rPr>
          <w:sz w:val="22"/>
          <w:szCs w:val="22"/>
        </w:rPr>
        <w:t>.</w:t>
      </w:r>
    </w:p>
    <w:p w:rsidR="00E47F90" w:rsidRDefault="00E47F90" w:rsidP="007D4CB9">
      <w:pPr>
        <w:pStyle w:val="Pargrafo"/>
        <w:spacing w:before="60"/>
        <w:jc w:val="both"/>
        <w:rPr>
          <w:sz w:val="22"/>
          <w:szCs w:val="22"/>
        </w:rPr>
      </w:pPr>
    </w:p>
    <w:p w:rsidR="00870986" w:rsidRPr="009923C2" w:rsidRDefault="009923C2" w:rsidP="007D4CB9">
      <w:pPr>
        <w:pStyle w:val="Pargrafo"/>
        <w:spacing w:before="60"/>
        <w:jc w:val="both"/>
        <w:rPr>
          <w:b/>
          <w:sz w:val="22"/>
          <w:szCs w:val="22"/>
        </w:rPr>
      </w:pPr>
      <w:r w:rsidRPr="009923C2">
        <w:rPr>
          <w:b/>
          <w:sz w:val="22"/>
          <w:szCs w:val="22"/>
        </w:rPr>
        <w:t>Contratação de serviços de consultoria mediante inexigibilidade de licitação</w:t>
      </w:r>
    </w:p>
    <w:p w:rsidR="0055716D" w:rsidRPr="00337E16" w:rsidRDefault="00BF0EB2" w:rsidP="0055716D">
      <w:pPr>
        <w:pStyle w:val="Pargrafo"/>
        <w:jc w:val="both"/>
        <w:rPr>
          <w:sz w:val="22"/>
          <w:szCs w:val="22"/>
        </w:rPr>
      </w:pPr>
      <w:r>
        <w:rPr>
          <w:sz w:val="22"/>
          <w:szCs w:val="22"/>
        </w:rPr>
        <w:t>D</w:t>
      </w:r>
      <w:r w:rsidR="00836356" w:rsidRPr="00836356">
        <w:rPr>
          <w:sz w:val="22"/>
          <w:szCs w:val="22"/>
        </w:rPr>
        <w:t xml:space="preserve">enúncia </w:t>
      </w:r>
      <w:r>
        <w:rPr>
          <w:sz w:val="22"/>
          <w:szCs w:val="22"/>
        </w:rPr>
        <w:t xml:space="preserve">formulada ao TCU </w:t>
      </w:r>
      <w:r w:rsidR="009923C2">
        <w:rPr>
          <w:sz w:val="22"/>
          <w:szCs w:val="22"/>
        </w:rPr>
        <w:t>apontou</w:t>
      </w:r>
      <w:r w:rsidR="00836356" w:rsidRPr="00836356">
        <w:rPr>
          <w:sz w:val="22"/>
          <w:szCs w:val="22"/>
        </w:rPr>
        <w:t xml:space="preserve"> indícios de irregularidades no Conselho Federal de Engenharia, Arquitetura e Agronomia – Confea e na Mútua – Caixa de Assistência dos Profissionais do Crea.</w:t>
      </w:r>
      <w:r>
        <w:rPr>
          <w:sz w:val="22"/>
          <w:szCs w:val="22"/>
        </w:rPr>
        <w:t xml:space="preserve"> </w:t>
      </w:r>
      <w:r w:rsidR="009923C2">
        <w:rPr>
          <w:sz w:val="22"/>
          <w:szCs w:val="22"/>
        </w:rPr>
        <w:t>A</w:t>
      </w:r>
      <w:r w:rsidR="00836356" w:rsidRPr="00836356">
        <w:rPr>
          <w:sz w:val="22"/>
          <w:szCs w:val="22"/>
        </w:rPr>
        <w:t xml:space="preserve"> </w:t>
      </w:r>
      <w:r w:rsidR="00FB40F7">
        <w:rPr>
          <w:sz w:val="22"/>
          <w:szCs w:val="22"/>
        </w:rPr>
        <w:t>unidade técnica</w:t>
      </w:r>
      <w:r w:rsidR="00836356" w:rsidRPr="00836356">
        <w:rPr>
          <w:sz w:val="22"/>
          <w:szCs w:val="22"/>
        </w:rPr>
        <w:t xml:space="preserve"> </w:t>
      </w:r>
      <w:r w:rsidR="009923C2">
        <w:rPr>
          <w:sz w:val="22"/>
          <w:szCs w:val="22"/>
        </w:rPr>
        <w:t>promoveu</w:t>
      </w:r>
      <w:r w:rsidR="00836356" w:rsidRPr="00836356">
        <w:rPr>
          <w:sz w:val="22"/>
          <w:szCs w:val="22"/>
        </w:rPr>
        <w:t xml:space="preserve"> audiência </w:t>
      </w:r>
      <w:r w:rsidR="009923C2">
        <w:rPr>
          <w:sz w:val="22"/>
          <w:szCs w:val="22"/>
        </w:rPr>
        <w:t xml:space="preserve">do </w:t>
      </w:r>
      <w:r w:rsidR="009923C2" w:rsidRPr="00FB40F7">
        <w:rPr>
          <w:sz w:val="22"/>
          <w:szCs w:val="22"/>
        </w:rPr>
        <w:t>Presidente</w:t>
      </w:r>
      <w:r w:rsidR="009923C2">
        <w:rPr>
          <w:sz w:val="22"/>
          <w:szCs w:val="22"/>
        </w:rPr>
        <w:t xml:space="preserve"> e da</w:t>
      </w:r>
      <w:r w:rsidR="00836356" w:rsidRPr="00836356">
        <w:rPr>
          <w:sz w:val="22"/>
          <w:szCs w:val="22"/>
        </w:rPr>
        <w:t xml:space="preserve"> </w:t>
      </w:r>
      <w:r w:rsidR="00FB40F7">
        <w:rPr>
          <w:sz w:val="22"/>
          <w:szCs w:val="22"/>
        </w:rPr>
        <w:t xml:space="preserve">Advogada da Mútua </w:t>
      </w:r>
      <w:r w:rsidR="00836356" w:rsidRPr="00836356">
        <w:rPr>
          <w:sz w:val="22"/>
          <w:szCs w:val="22"/>
        </w:rPr>
        <w:t xml:space="preserve">acerca </w:t>
      </w:r>
      <w:r w:rsidR="009923C2">
        <w:rPr>
          <w:sz w:val="22"/>
          <w:szCs w:val="22"/>
        </w:rPr>
        <w:t>da</w:t>
      </w:r>
      <w:r w:rsidR="00FB40F7">
        <w:rPr>
          <w:sz w:val="22"/>
          <w:szCs w:val="22"/>
        </w:rPr>
        <w:t xml:space="preserve"> </w:t>
      </w:r>
      <w:r w:rsidR="00836356" w:rsidRPr="00836356">
        <w:rPr>
          <w:sz w:val="22"/>
          <w:szCs w:val="22"/>
        </w:rPr>
        <w:t>contratação d</w:t>
      </w:r>
      <w:r w:rsidR="009923C2">
        <w:rPr>
          <w:sz w:val="22"/>
          <w:szCs w:val="22"/>
        </w:rPr>
        <w:t>e</w:t>
      </w:r>
      <w:r w:rsidR="00836356" w:rsidRPr="00836356">
        <w:rPr>
          <w:sz w:val="22"/>
          <w:szCs w:val="22"/>
        </w:rPr>
        <w:t xml:space="preserve"> empresa de consultoria por inexigibilidade de licitação fundamentada no art. 25, II, c/c o art. 13 da Lei n</w:t>
      </w:r>
      <w:r w:rsidR="00FB40F7">
        <w:rPr>
          <w:sz w:val="22"/>
          <w:szCs w:val="22"/>
        </w:rPr>
        <w:t>.</w:t>
      </w:r>
      <w:r w:rsidR="00836356" w:rsidRPr="00836356">
        <w:rPr>
          <w:sz w:val="22"/>
          <w:szCs w:val="22"/>
        </w:rPr>
        <w:t>º 8.666</w:t>
      </w:r>
      <w:r w:rsidR="00FB40F7">
        <w:rPr>
          <w:sz w:val="22"/>
          <w:szCs w:val="22"/>
        </w:rPr>
        <w:t>/</w:t>
      </w:r>
      <w:r w:rsidR="00836356" w:rsidRPr="00836356">
        <w:rPr>
          <w:sz w:val="22"/>
          <w:szCs w:val="22"/>
        </w:rPr>
        <w:t xml:space="preserve">93, </w:t>
      </w:r>
      <w:r w:rsidR="006B07E3">
        <w:rPr>
          <w:sz w:val="22"/>
          <w:szCs w:val="22"/>
        </w:rPr>
        <w:t>tendo em vista</w:t>
      </w:r>
      <w:r w:rsidR="00836356" w:rsidRPr="00836356">
        <w:rPr>
          <w:sz w:val="22"/>
          <w:szCs w:val="22"/>
        </w:rPr>
        <w:t xml:space="preserve"> que </w:t>
      </w:r>
      <w:r w:rsidR="00FB40F7">
        <w:rPr>
          <w:sz w:val="22"/>
          <w:szCs w:val="22"/>
        </w:rPr>
        <w:t>os serviços</w:t>
      </w:r>
      <w:r w:rsidR="00836356" w:rsidRPr="00836356">
        <w:rPr>
          <w:sz w:val="22"/>
          <w:szCs w:val="22"/>
        </w:rPr>
        <w:t xml:space="preserve"> contratad</w:t>
      </w:r>
      <w:r w:rsidR="00FB40F7">
        <w:rPr>
          <w:sz w:val="22"/>
          <w:szCs w:val="22"/>
        </w:rPr>
        <w:t>o</w:t>
      </w:r>
      <w:r w:rsidR="00D7048E">
        <w:rPr>
          <w:sz w:val="22"/>
          <w:szCs w:val="22"/>
        </w:rPr>
        <w:t>s</w:t>
      </w:r>
      <w:r w:rsidR="00815738">
        <w:rPr>
          <w:sz w:val="22"/>
          <w:szCs w:val="22"/>
        </w:rPr>
        <w:t xml:space="preserve">, envolvendo a </w:t>
      </w:r>
      <w:r w:rsidR="00FB40F7" w:rsidRPr="00FB40F7">
        <w:rPr>
          <w:sz w:val="22"/>
          <w:szCs w:val="22"/>
        </w:rPr>
        <w:t>reestruturação organizacional da Mútua</w:t>
      </w:r>
      <w:r w:rsidR="00815738">
        <w:rPr>
          <w:sz w:val="22"/>
          <w:szCs w:val="22"/>
        </w:rPr>
        <w:t>,</w:t>
      </w:r>
      <w:r w:rsidR="00D7048E">
        <w:rPr>
          <w:sz w:val="22"/>
          <w:szCs w:val="22"/>
        </w:rPr>
        <w:t xml:space="preserve"> </w:t>
      </w:r>
      <w:r w:rsidR="00FB40F7" w:rsidRPr="00FB40F7">
        <w:rPr>
          <w:i/>
          <w:sz w:val="22"/>
          <w:szCs w:val="22"/>
        </w:rPr>
        <w:t>“</w:t>
      </w:r>
      <w:r w:rsidR="00836356" w:rsidRPr="00FB40F7">
        <w:rPr>
          <w:i/>
          <w:sz w:val="22"/>
          <w:szCs w:val="22"/>
        </w:rPr>
        <w:t>não detêm características próprias que permitam concluir pela sua natureza singular</w:t>
      </w:r>
      <w:r w:rsidR="00FB40F7" w:rsidRPr="00FB40F7">
        <w:rPr>
          <w:i/>
          <w:sz w:val="22"/>
          <w:szCs w:val="22"/>
        </w:rPr>
        <w:t>”</w:t>
      </w:r>
      <w:r w:rsidR="00836356" w:rsidRPr="00836356">
        <w:rPr>
          <w:sz w:val="22"/>
          <w:szCs w:val="22"/>
        </w:rPr>
        <w:t>.</w:t>
      </w:r>
      <w:r w:rsidR="003173AA">
        <w:rPr>
          <w:sz w:val="22"/>
          <w:szCs w:val="22"/>
        </w:rPr>
        <w:t xml:space="preserve"> </w:t>
      </w:r>
      <w:r w:rsidR="00D7048E">
        <w:rPr>
          <w:sz w:val="22"/>
          <w:szCs w:val="22"/>
        </w:rPr>
        <w:t>As razões de justificativa apresentadas</w:t>
      </w:r>
      <w:r w:rsidR="00836356" w:rsidRPr="003173AA">
        <w:rPr>
          <w:sz w:val="22"/>
          <w:szCs w:val="22"/>
        </w:rPr>
        <w:t xml:space="preserve"> foram</w:t>
      </w:r>
      <w:r w:rsidR="003173AA">
        <w:rPr>
          <w:sz w:val="22"/>
          <w:szCs w:val="22"/>
        </w:rPr>
        <w:t>, em síntese,</w:t>
      </w:r>
      <w:r w:rsidR="00836356" w:rsidRPr="003173AA">
        <w:rPr>
          <w:sz w:val="22"/>
          <w:szCs w:val="22"/>
        </w:rPr>
        <w:t xml:space="preserve"> </w:t>
      </w:r>
      <w:r w:rsidR="00D7048E">
        <w:rPr>
          <w:sz w:val="22"/>
          <w:szCs w:val="22"/>
        </w:rPr>
        <w:t>a</w:t>
      </w:r>
      <w:r w:rsidR="00836356" w:rsidRPr="003173AA">
        <w:rPr>
          <w:sz w:val="22"/>
          <w:szCs w:val="22"/>
        </w:rPr>
        <w:t xml:space="preserve">s seguintes: a) </w:t>
      </w:r>
      <w:r w:rsidR="003173AA">
        <w:rPr>
          <w:sz w:val="22"/>
          <w:szCs w:val="22"/>
        </w:rPr>
        <w:t>a</w:t>
      </w:r>
      <w:r w:rsidR="00836356" w:rsidRPr="003173AA">
        <w:rPr>
          <w:sz w:val="22"/>
          <w:szCs w:val="22"/>
        </w:rPr>
        <w:t xml:space="preserve"> estruturação de uma empresa não pode</w:t>
      </w:r>
      <w:r w:rsidR="0061032A">
        <w:rPr>
          <w:sz w:val="22"/>
          <w:szCs w:val="22"/>
        </w:rPr>
        <w:t>ria</w:t>
      </w:r>
      <w:r w:rsidR="00836356" w:rsidRPr="003173AA">
        <w:rPr>
          <w:sz w:val="22"/>
          <w:szCs w:val="22"/>
        </w:rPr>
        <w:t xml:space="preserve"> ser entregue a qualquer profissional </w:t>
      </w:r>
      <w:r w:rsidR="00D7048E">
        <w:rPr>
          <w:sz w:val="22"/>
          <w:szCs w:val="22"/>
        </w:rPr>
        <w:t>d</w:t>
      </w:r>
      <w:r w:rsidR="00836356" w:rsidRPr="003173AA">
        <w:rPr>
          <w:sz w:val="22"/>
          <w:szCs w:val="22"/>
        </w:rPr>
        <w:t xml:space="preserve">o ramo, sendo necessário </w:t>
      </w:r>
      <w:r w:rsidR="0061032A">
        <w:rPr>
          <w:sz w:val="22"/>
          <w:szCs w:val="22"/>
        </w:rPr>
        <w:t>o conhecimento</w:t>
      </w:r>
      <w:r w:rsidR="00836356" w:rsidRPr="003173AA">
        <w:rPr>
          <w:sz w:val="22"/>
          <w:szCs w:val="22"/>
        </w:rPr>
        <w:t xml:space="preserve"> </w:t>
      </w:r>
      <w:r w:rsidR="0061032A">
        <w:rPr>
          <w:sz w:val="22"/>
          <w:szCs w:val="22"/>
        </w:rPr>
        <w:t>d</w:t>
      </w:r>
      <w:r w:rsidR="00836356" w:rsidRPr="003173AA">
        <w:rPr>
          <w:sz w:val="22"/>
          <w:szCs w:val="22"/>
        </w:rPr>
        <w:t>os trabalhos já desenvolvidos e os frutos gerados;</w:t>
      </w:r>
      <w:r w:rsidR="003173AA">
        <w:rPr>
          <w:sz w:val="22"/>
          <w:szCs w:val="22"/>
        </w:rPr>
        <w:t xml:space="preserve"> </w:t>
      </w:r>
      <w:r w:rsidR="0061032A">
        <w:rPr>
          <w:sz w:val="22"/>
          <w:szCs w:val="22"/>
        </w:rPr>
        <w:t>b</w:t>
      </w:r>
      <w:r w:rsidR="003173AA">
        <w:rPr>
          <w:sz w:val="22"/>
          <w:szCs w:val="22"/>
        </w:rPr>
        <w:t>) a</w:t>
      </w:r>
      <w:r w:rsidR="00836356" w:rsidRPr="003173AA">
        <w:rPr>
          <w:sz w:val="22"/>
          <w:szCs w:val="22"/>
        </w:rPr>
        <w:t xml:space="preserve"> empresa possu</w:t>
      </w:r>
      <w:r w:rsidR="0061032A">
        <w:rPr>
          <w:sz w:val="22"/>
          <w:szCs w:val="22"/>
        </w:rPr>
        <w:t>ía</w:t>
      </w:r>
      <w:r w:rsidR="00836356" w:rsidRPr="003173AA">
        <w:rPr>
          <w:sz w:val="22"/>
          <w:szCs w:val="22"/>
        </w:rPr>
        <w:t xml:space="preserve"> experiência na área administrativa e conhecia as peculiaridades do sistema Confea – Mútua;</w:t>
      </w:r>
      <w:r w:rsidR="003173AA">
        <w:rPr>
          <w:sz w:val="22"/>
          <w:szCs w:val="22"/>
        </w:rPr>
        <w:t xml:space="preserve"> </w:t>
      </w:r>
      <w:r w:rsidR="0061032A">
        <w:rPr>
          <w:sz w:val="22"/>
          <w:szCs w:val="22"/>
        </w:rPr>
        <w:t>c</w:t>
      </w:r>
      <w:r w:rsidR="00836356" w:rsidRPr="003173AA">
        <w:rPr>
          <w:sz w:val="22"/>
          <w:szCs w:val="22"/>
        </w:rPr>
        <w:t xml:space="preserve">) </w:t>
      </w:r>
      <w:r w:rsidR="003173AA">
        <w:rPr>
          <w:sz w:val="22"/>
          <w:szCs w:val="22"/>
        </w:rPr>
        <w:t>a</w:t>
      </w:r>
      <w:r w:rsidR="00836356" w:rsidRPr="003173AA">
        <w:rPr>
          <w:sz w:val="22"/>
          <w:szCs w:val="22"/>
        </w:rPr>
        <w:t xml:space="preserve"> escolha da empresa não foi realizada com o intuito de limitar a competitividade, mas assegurar que a reestruturação seguisse</w:t>
      </w:r>
      <w:r w:rsidR="0061032A">
        <w:rPr>
          <w:sz w:val="22"/>
          <w:szCs w:val="22"/>
        </w:rPr>
        <w:t>,</w:t>
      </w:r>
      <w:r w:rsidR="00836356" w:rsidRPr="003173AA">
        <w:rPr>
          <w:sz w:val="22"/>
          <w:szCs w:val="22"/>
        </w:rPr>
        <w:t xml:space="preserve"> pormenorizadamente</w:t>
      </w:r>
      <w:r w:rsidR="0061032A">
        <w:rPr>
          <w:sz w:val="22"/>
          <w:szCs w:val="22"/>
        </w:rPr>
        <w:t>,</w:t>
      </w:r>
      <w:r w:rsidR="00836356" w:rsidRPr="003173AA">
        <w:rPr>
          <w:sz w:val="22"/>
          <w:szCs w:val="22"/>
        </w:rPr>
        <w:t xml:space="preserve"> as determinações do Confea;</w:t>
      </w:r>
      <w:r w:rsidR="003173AA">
        <w:rPr>
          <w:sz w:val="22"/>
          <w:szCs w:val="22"/>
        </w:rPr>
        <w:t xml:space="preserve"> </w:t>
      </w:r>
      <w:r w:rsidR="0061032A">
        <w:rPr>
          <w:sz w:val="22"/>
          <w:szCs w:val="22"/>
        </w:rPr>
        <w:t>d</w:t>
      </w:r>
      <w:r w:rsidR="00836356" w:rsidRPr="003173AA">
        <w:rPr>
          <w:sz w:val="22"/>
          <w:szCs w:val="22"/>
        </w:rPr>
        <w:t xml:space="preserve">) </w:t>
      </w:r>
      <w:r w:rsidR="003173AA">
        <w:rPr>
          <w:sz w:val="22"/>
          <w:szCs w:val="22"/>
        </w:rPr>
        <w:t>o</w:t>
      </w:r>
      <w:r w:rsidR="00836356" w:rsidRPr="003173AA">
        <w:rPr>
          <w:sz w:val="22"/>
          <w:szCs w:val="22"/>
        </w:rPr>
        <w:t xml:space="preserve"> objeto do contrato torna</w:t>
      </w:r>
      <w:r w:rsidR="0061032A">
        <w:rPr>
          <w:sz w:val="22"/>
          <w:szCs w:val="22"/>
        </w:rPr>
        <w:t>va</w:t>
      </w:r>
      <w:r w:rsidR="00836356" w:rsidRPr="003173AA">
        <w:rPr>
          <w:sz w:val="22"/>
          <w:szCs w:val="22"/>
        </w:rPr>
        <w:t xml:space="preserve">-se singular em razão da necessidade de se ter uma empresa que </w:t>
      </w:r>
      <w:r w:rsidR="0061032A">
        <w:rPr>
          <w:sz w:val="22"/>
          <w:szCs w:val="22"/>
        </w:rPr>
        <w:t>conhecesse</w:t>
      </w:r>
      <w:r w:rsidR="00836356" w:rsidRPr="003173AA">
        <w:rPr>
          <w:sz w:val="22"/>
          <w:szCs w:val="22"/>
        </w:rPr>
        <w:t xml:space="preserve"> a estrutura do Confea e </w:t>
      </w:r>
      <w:r w:rsidR="0061032A">
        <w:rPr>
          <w:sz w:val="22"/>
          <w:szCs w:val="22"/>
        </w:rPr>
        <w:t>pudesse</w:t>
      </w:r>
      <w:r w:rsidR="00836356" w:rsidRPr="003173AA">
        <w:rPr>
          <w:sz w:val="22"/>
          <w:szCs w:val="22"/>
        </w:rPr>
        <w:t xml:space="preserve"> adequar </w:t>
      </w:r>
      <w:r w:rsidR="00836356" w:rsidRPr="003173AA">
        <w:rPr>
          <w:i/>
          <w:sz w:val="22"/>
          <w:szCs w:val="22"/>
        </w:rPr>
        <w:t>pari pass</w:t>
      </w:r>
      <w:r w:rsidR="00815738">
        <w:rPr>
          <w:i/>
          <w:sz w:val="22"/>
          <w:szCs w:val="22"/>
        </w:rPr>
        <w:t>o</w:t>
      </w:r>
      <w:r w:rsidR="00836356" w:rsidRPr="003173AA">
        <w:rPr>
          <w:sz w:val="22"/>
          <w:szCs w:val="22"/>
        </w:rPr>
        <w:t xml:space="preserve"> a reestruturação da entidade;</w:t>
      </w:r>
      <w:r w:rsidR="003173AA">
        <w:rPr>
          <w:sz w:val="22"/>
          <w:szCs w:val="22"/>
        </w:rPr>
        <w:t xml:space="preserve"> </w:t>
      </w:r>
      <w:r w:rsidR="0061032A">
        <w:rPr>
          <w:sz w:val="22"/>
          <w:szCs w:val="22"/>
        </w:rPr>
        <w:t>e</w:t>
      </w:r>
      <w:r w:rsidR="00836356" w:rsidRPr="003173AA">
        <w:rPr>
          <w:sz w:val="22"/>
          <w:szCs w:val="22"/>
        </w:rPr>
        <w:t xml:space="preserve">) </w:t>
      </w:r>
      <w:r w:rsidR="003173AA">
        <w:rPr>
          <w:sz w:val="22"/>
          <w:szCs w:val="22"/>
        </w:rPr>
        <w:t>s</w:t>
      </w:r>
      <w:r w:rsidR="00836356" w:rsidRPr="003173AA">
        <w:rPr>
          <w:sz w:val="22"/>
          <w:szCs w:val="22"/>
        </w:rPr>
        <w:t>e a Mútua optasse por contratar qualquer profissional especializado na área</w:t>
      </w:r>
      <w:r w:rsidR="00D7048E">
        <w:rPr>
          <w:sz w:val="22"/>
          <w:szCs w:val="22"/>
        </w:rPr>
        <w:t>,</w:t>
      </w:r>
      <w:r w:rsidR="00836356" w:rsidRPr="003173AA">
        <w:rPr>
          <w:sz w:val="22"/>
          <w:szCs w:val="22"/>
        </w:rPr>
        <w:t xml:space="preserve"> correria o risco de contratar um serviço que, depois de concluído, não atingiria o objetivo esperado</w:t>
      </w:r>
      <w:r w:rsidR="00D7048E">
        <w:rPr>
          <w:sz w:val="22"/>
          <w:szCs w:val="22"/>
        </w:rPr>
        <w:t>,</w:t>
      </w:r>
      <w:r w:rsidR="00836356" w:rsidRPr="003173AA">
        <w:rPr>
          <w:sz w:val="22"/>
          <w:szCs w:val="22"/>
        </w:rPr>
        <w:t xml:space="preserve"> e uma nova contratação com o mesmo objeto seria demasiadamente onerosa à instituição</w:t>
      </w:r>
      <w:r w:rsidR="003173AA">
        <w:rPr>
          <w:sz w:val="22"/>
          <w:szCs w:val="22"/>
        </w:rPr>
        <w:t xml:space="preserve">. No entanto, </w:t>
      </w:r>
      <w:r w:rsidR="0061032A">
        <w:rPr>
          <w:sz w:val="22"/>
          <w:szCs w:val="22"/>
        </w:rPr>
        <w:t>para a unidade técnica</w:t>
      </w:r>
      <w:r w:rsidR="003173AA">
        <w:rPr>
          <w:sz w:val="22"/>
          <w:szCs w:val="22"/>
        </w:rPr>
        <w:t xml:space="preserve">, </w:t>
      </w:r>
      <w:r w:rsidR="00D7048E">
        <w:rPr>
          <w:sz w:val="22"/>
          <w:szCs w:val="22"/>
        </w:rPr>
        <w:t xml:space="preserve">a empresa </w:t>
      </w:r>
      <w:r w:rsidR="00836356" w:rsidRPr="0061032A">
        <w:rPr>
          <w:sz w:val="22"/>
          <w:szCs w:val="22"/>
        </w:rPr>
        <w:t>fo</w:t>
      </w:r>
      <w:r w:rsidR="003549D1">
        <w:rPr>
          <w:sz w:val="22"/>
          <w:szCs w:val="22"/>
        </w:rPr>
        <w:t>ra</w:t>
      </w:r>
      <w:r w:rsidR="00836356" w:rsidRPr="0061032A">
        <w:rPr>
          <w:sz w:val="22"/>
          <w:szCs w:val="22"/>
        </w:rPr>
        <w:t xml:space="preserve"> contratada para</w:t>
      </w:r>
      <w:r w:rsidR="00836356" w:rsidRPr="007A0B3F">
        <w:rPr>
          <w:i/>
          <w:sz w:val="22"/>
          <w:szCs w:val="22"/>
        </w:rPr>
        <w:t xml:space="preserve"> </w:t>
      </w:r>
      <w:r w:rsidR="0061032A">
        <w:rPr>
          <w:i/>
          <w:sz w:val="22"/>
          <w:szCs w:val="22"/>
        </w:rPr>
        <w:t>“</w:t>
      </w:r>
      <w:r w:rsidR="00836356" w:rsidRPr="007A0B3F">
        <w:rPr>
          <w:i/>
          <w:sz w:val="22"/>
          <w:szCs w:val="22"/>
        </w:rPr>
        <w:t>execução de um serviço comum (reestruturação organizacional da Mútua)</w:t>
      </w:r>
      <w:r w:rsidR="003549D1">
        <w:rPr>
          <w:i/>
          <w:sz w:val="22"/>
          <w:szCs w:val="22"/>
        </w:rPr>
        <w:t>,</w:t>
      </w:r>
      <w:r w:rsidR="00836356" w:rsidRPr="007A0B3F">
        <w:rPr>
          <w:i/>
          <w:sz w:val="22"/>
          <w:szCs w:val="22"/>
        </w:rPr>
        <w:t xml:space="preserve"> que poderia ser desenvolvido</w:t>
      </w:r>
      <w:r w:rsidR="006B07E3">
        <w:rPr>
          <w:i/>
          <w:sz w:val="22"/>
          <w:szCs w:val="22"/>
        </w:rPr>
        <w:t>,</w:t>
      </w:r>
      <w:r w:rsidR="00836356" w:rsidRPr="007A0B3F">
        <w:rPr>
          <w:i/>
          <w:sz w:val="22"/>
          <w:szCs w:val="22"/>
        </w:rPr>
        <w:t xml:space="preserve"> sem maiores problemas</w:t>
      </w:r>
      <w:r w:rsidR="006B07E3">
        <w:rPr>
          <w:i/>
          <w:sz w:val="22"/>
          <w:szCs w:val="22"/>
        </w:rPr>
        <w:t>,</w:t>
      </w:r>
      <w:r w:rsidR="00836356" w:rsidRPr="007A0B3F">
        <w:rPr>
          <w:i/>
          <w:sz w:val="22"/>
          <w:szCs w:val="22"/>
        </w:rPr>
        <w:t xml:space="preserve"> por diversas empresas do setor.</w:t>
      </w:r>
      <w:r w:rsidR="003173AA">
        <w:rPr>
          <w:i/>
          <w:sz w:val="22"/>
          <w:szCs w:val="22"/>
        </w:rPr>
        <w:t xml:space="preserve"> </w:t>
      </w:r>
      <w:r w:rsidR="00836356" w:rsidRPr="007A0B3F">
        <w:rPr>
          <w:i/>
          <w:sz w:val="22"/>
          <w:szCs w:val="22"/>
        </w:rPr>
        <w:t>A Mútua cometeu irregularidade quando optou pela contratação da empresa amparada na inexigibilidade de licitação</w:t>
      </w:r>
      <w:r w:rsidR="006B07E3">
        <w:rPr>
          <w:i/>
          <w:sz w:val="22"/>
          <w:szCs w:val="22"/>
        </w:rPr>
        <w:t>,</w:t>
      </w:r>
      <w:r w:rsidR="00836356" w:rsidRPr="007A0B3F">
        <w:rPr>
          <w:i/>
          <w:sz w:val="22"/>
          <w:szCs w:val="22"/>
        </w:rPr>
        <w:t xml:space="preserve"> com o argumento de que os trabalhos eram de natureza singular.</w:t>
      </w:r>
      <w:r w:rsidR="003173AA">
        <w:rPr>
          <w:i/>
          <w:sz w:val="22"/>
          <w:szCs w:val="22"/>
        </w:rPr>
        <w:t xml:space="preserve"> </w:t>
      </w:r>
      <w:r w:rsidR="00836356" w:rsidRPr="007A0B3F">
        <w:rPr>
          <w:i/>
          <w:sz w:val="22"/>
          <w:szCs w:val="22"/>
        </w:rPr>
        <w:t>Entendemos que o fato de o profissional ou empresa possuir reconhecida expertise em determinado ramo do conhecimento não implica em desconsiderar a possibilidade de que outros concorrentes possam atuar com o mesmo nível de excelência e profissionalismo.</w:t>
      </w:r>
      <w:r w:rsidR="003173AA">
        <w:rPr>
          <w:i/>
          <w:sz w:val="22"/>
          <w:szCs w:val="22"/>
        </w:rPr>
        <w:t xml:space="preserve"> </w:t>
      </w:r>
      <w:r w:rsidR="00836356" w:rsidRPr="007A0B3F">
        <w:rPr>
          <w:i/>
          <w:sz w:val="22"/>
          <w:szCs w:val="22"/>
        </w:rPr>
        <w:t>Da mesma forma, o fato de determinado profissional possuir reconhecida experiência técnica não torna todos os seus trabalhos necessariamente singulares.</w:t>
      </w:r>
      <w:r w:rsidR="003173AA">
        <w:rPr>
          <w:i/>
          <w:sz w:val="22"/>
          <w:szCs w:val="22"/>
        </w:rPr>
        <w:t>”</w:t>
      </w:r>
      <w:r w:rsidR="00B54650">
        <w:rPr>
          <w:sz w:val="22"/>
          <w:szCs w:val="22"/>
        </w:rPr>
        <w:t xml:space="preserve">. </w:t>
      </w:r>
      <w:r w:rsidR="00D7048E">
        <w:rPr>
          <w:sz w:val="22"/>
          <w:szCs w:val="22"/>
        </w:rPr>
        <w:t>Não obstante</w:t>
      </w:r>
      <w:r w:rsidR="00B54650">
        <w:rPr>
          <w:sz w:val="22"/>
          <w:szCs w:val="22"/>
        </w:rPr>
        <w:t xml:space="preserve">, a unidade técnica </w:t>
      </w:r>
      <w:r w:rsidR="0061032A">
        <w:rPr>
          <w:sz w:val="22"/>
          <w:szCs w:val="22"/>
        </w:rPr>
        <w:t>considerou</w:t>
      </w:r>
      <w:r w:rsidR="00B54650" w:rsidRPr="00B54650">
        <w:rPr>
          <w:sz w:val="22"/>
          <w:szCs w:val="22"/>
        </w:rPr>
        <w:t xml:space="preserve"> </w:t>
      </w:r>
      <w:r w:rsidR="00D7048E">
        <w:rPr>
          <w:sz w:val="22"/>
          <w:szCs w:val="22"/>
        </w:rPr>
        <w:t>presentes</w:t>
      </w:r>
      <w:r w:rsidR="00B54650" w:rsidRPr="00B54650">
        <w:rPr>
          <w:sz w:val="22"/>
          <w:szCs w:val="22"/>
        </w:rPr>
        <w:t xml:space="preserve">, </w:t>
      </w:r>
      <w:r w:rsidR="003D3B68">
        <w:rPr>
          <w:sz w:val="22"/>
          <w:szCs w:val="22"/>
        </w:rPr>
        <w:t>na espécie</w:t>
      </w:r>
      <w:r w:rsidR="00836356" w:rsidRPr="00B54650">
        <w:rPr>
          <w:sz w:val="22"/>
          <w:szCs w:val="22"/>
        </w:rPr>
        <w:t>, circunstâncias objetivas que atenuar</w:t>
      </w:r>
      <w:r w:rsidR="00B54650">
        <w:rPr>
          <w:sz w:val="22"/>
          <w:szCs w:val="22"/>
        </w:rPr>
        <w:t>i</w:t>
      </w:r>
      <w:r w:rsidR="00836356" w:rsidRPr="00B54650">
        <w:rPr>
          <w:sz w:val="22"/>
          <w:szCs w:val="22"/>
        </w:rPr>
        <w:t>am a gravidade da falta cometida.</w:t>
      </w:r>
      <w:r w:rsidR="00836356" w:rsidRPr="007A0B3F">
        <w:rPr>
          <w:i/>
          <w:sz w:val="22"/>
          <w:szCs w:val="22"/>
        </w:rPr>
        <w:t xml:space="preserve"> </w:t>
      </w:r>
      <w:r w:rsidR="00836356" w:rsidRPr="00D7048E">
        <w:rPr>
          <w:sz w:val="22"/>
          <w:szCs w:val="22"/>
        </w:rPr>
        <w:t xml:space="preserve">Conquanto não </w:t>
      </w:r>
      <w:r w:rsidR="00D7048E">
        <w:rPr>
          <w:sz w:val="22"/>
          <w:szCs w:val="22"/>
        </w:rPr>
        <w:t>fosse</w:t>
      </w:r>
      <w:r w:rsidR="00836356" w:rsidRPr="00D7048E">
        <w:rPr>
          <w:sz w:val="22"/>
          <w:szCs w:val="22"/>
        </w:rPr>
        <w:t xml:space="preserve"> singular o serviço, </w:t>
      </w:r>
      <w:r w:rsidR="00D7048E">
        <w:rPr>
          <w:i/>
          <w:sz w:val="22"/>
          <w:szCs w:val="22"/>
        </w:rPr>
        <w:t>“</w:t>
      </w:r>
      <w:r w:rsidR="00836356" w:rsidRPr="007A0B3F">
        <w:rPr>
          <w:i/>
          <w:sz w:val="22"/>
          <w:szCs w:val="22"/>
        </w:rPr>
        <w:t>o fato é que se tratava de questão de grande relevância para a Mútua, pois referente à sua reestruturação organizacional e, por consequência, com reflexos profundos e duradouros no próprio desempenho da instituição no futuro.</w:t>
      </w:r>
      <w:r w:rsidR="00B54650">
        <w:rPr>
          <w:i/>
          <w:sz w:val="22"/>
          <w:szCs w:val="22"/>
        </w:rPr>
        <w:t xml:space="preserve"> [...] </w:t>
      </w:r>
      <w:r w:rsidR="00836356" w:rsidRPr="007A0B3F">
        <w:rPr>
          <w:i/>
          <w:sz w:val="22"/>
          <w:szCs w:val="22"/>
        </w:rPr>
        <w:t>Por outro lado, o custo da contratação foi relativamente baixo e consentâneo com o praticado no mercado.</w:t>
      </w:r>
      <w:r w:rsidR="00B54650">
        <w:rPr>
          <w:i/>
          <w:sz w:val="22"/>
          <w:szCs w:val="22"/>
        </w:rPr>
        <w:t>”</w:t>
      </w:r>
      <w:r w:rsidR="00B54650">
        <w:rPr>
          <w:sz w:val="22"/>
          <w:szCs w:val="22"/>
        </w:rPr>
        <w:t xml:space="preserve">. </w:t>
      </w:r>
      <w:r w:rsidR="0061032A">
        <w:rPr>
          <w:sz w:val="22"/>
          <w:szCs w:val="22"/>
        </w:rPr>
        <w:t xml:space="preserve">Ao manifestar </w:t>
      </w:r>
      <w:r w:rsidR="00836356" w:rsidRPr="00836356">
        <w:rPr>
          <w:sz w:val="22"/>
          <w:szCs w:val="22"/>
        </w:rPr>
        <w:t xml:space="preserve">concordância com a análise </w:t>
      </w:r>
      <w:r w:rsidR="00771F88">
        <w:rPr>
          <w:sz w:val="22"/>
          <w:szCs w:val="22"/>
        </w:rPr>
        <w:t>da</w:t>
      </w:r>
      <w:r w:rsidR="00836356" w:rsidRPr="00836356">
        <w:rPr>
          <w:sz w:val="22"/>
          <w:szCs w:val="22"/>
        </w:rPr>
        <w:t xml:space="preserve"> unidade técnica</w:t>
      </w:r>
      <w:r w:rsidR="00667848">
        <w:rPr>
          <w:sz w:val="22"/>
          <w:szCs w:val="22"/>
        </w:rPr>
        <w:t xml:space="preserve">, </w:t>
      </w:r>
      <w:r w:rsidR="003D3B68">
        <w:rPr>
          <w:sz w:val="22"/>
          <w:szCs w:val="22"/>
        </w:rPr>
        <w:t>o relator ressaltou q</w:t>
      </w:r>
      <w:r w:rsidR="00667848">
        <w:rPr>
          <w:sz w:val="22"/>
          <w:szCs w:val="22"/>
        </w:rPr>
        <w:t>ue, de fato, as</w:t>
      </w:r>
      <w:r w:rsidR="00836356" w:rsidRPr="00836356">
        <w:rPr>
          <w:sz w:val="22"/>
          <w:szCs w:val="22"/>
        </w:rPr>
        <w:t xml:space="preserve"> circunstâncias que envolve</w:t>
      </w:r>
      <w:r w:rsidR="00B54650">
        <w:rPr>
          <w:sz w:val="22"/>
          <w:szCs w:val="22"/>
        </w:rPr>
        <w:t>ra</w:t>
      </w:r>
      <w:r w:rsidR="00836356" w:rsidRPr="00836356">
        <w:rPr>
          <w:sz w:val="22"/>
          <w:szCs w:val="22"/>
        </w:rPr>
        <w:t>m o caso concreto, quais sejam, a grande relevância da matéria para a entidade, os cuidados adotados para a escolha da empresa e o custo da contratação, perfeitamente consentâneo com os preços praticados no mercado, atenua</w:t>
      </w:r>
      <w:r w:rsidR="00B54650">
        <w:rPr>
          <w:sz w:val="22"/>
          <w:szCs w:val="22"/>
        </w:rPr>
        <w:t>ra</w:t>
      </w:r>
      <w:r w:rsidR="00836356" w:rsidRPr="00836356">
        <w:rPr>
          <w:sz w:val="22"/>
          <w:szCs w:val="22"/>
        </w:rPr>
        <w:t>m a gravidade da falha, afastando a hipótese de aplicação de multa.</w:t>
      </w:r>
      <w:r w:rsidR="00B54650">
        <w:rPr>
          <w:sz w:val="22"/>
          <w:szCs w:val="22"/>
        </w:rPr>
        <w:t xml:space="preserve"> </w:t>
      </w:r>
      <w:r w:rsidR="00771F88">
        <w:rPr>
          <w:sz w:val="22"/>
          <w:szCs w:val="22"/>
        </w:rPr>
        <w:t>Ao final</w:t>
      </w:r>
      <w:r w:rsidR="00B54650">
        <w:rPr>
          <w:sz w:val="22"/>
          <w:szCs w:val="22"/>
        </w:rPr>
        <w:t xml:space="preserve">, o relator propôs e o Plenário decidiu </w:t>
      </w:r>
      <w:r w:rsidR="00836356" w:rsidRPr="00836356">
        <w:rPr>
          <w:sz w:val="22"/>
          <w:szCs w:val="22"/>
        </w:rPr>
        <w:t>acolher parcialmente as razões de justificativa apresentadas pelos responsáveis</w:t>
      </w:r>
      <w:r w:rsidR="00B54650">
        <w:rPr>
          <w:sz w:val="22"/>
          <w:szCs w:val="22"/>
        </w:rPr>
        <w:t xml:space="preserve">. </w:t>
      </w:r>
      <w:r w:rsidR="0055716D" w:rsidRPr="00337E16">
        <w:rPr>
          <w:b/>
          <w:i/>
          <w:sz w:val="22"/>
          <w:szCs w:val="22"/>
        </w:rPr>
        <w:t xml:space="preserve">Acórdão n.º </w:t>
      </w:r>
      <w:r w:rsidR="0055716D">
        <w:rPr>
          <w:b/>
          <w:i/>
          <w:sz w:val="22"/>
          <w:szCs w:val="22"/>
        </w:rPr>
        <w:t>2</w:t>
      </w:r>
      <w:r w:rsidR="00E47F90">
        <w:rPr>
          <w:b/>
          <w:i/>
          <w:sz w:val="22"/>
          <w:szCs w:val="22"/>
        </w:rPr>
        <w:t>8</w:t>
      </w:r>
      <w:r w:rsidR="007A0B3F">
        <w:rPr>
          <w:b/>
          <w:i/>
          <w:sz w:val="22"/>
          <w:szCs w:val="22"/>
        </w:rPr>
        <w:t>86</w:t>
      </w:r>
      <w:r w:rsidR="0055716D" w:rsidRPr="00337E16">
        <w:rPr>
          <w:b/>
          <w:i/>
          <w:sz w:val="22"/>
          <w:szCs w:val="22"/>
        </w:rPr>
        <w:t>/2010</w:t>
      </w:r>
      <w:r w:rsidR="0055716D">
        <w:rPr>
          <w:b/>
          <w:i/>
          <w:sz w:val="22"/>
          <w:szCs w:val="22"/>
        </w:rPr>
        <w:t>-Plenário</w:t>
      </w:r>
      <w:r w:rsidR="0055716D" w:rsidRPr="00337E16">
        <w:rPr>
          <w:b/>
          <w:i/>
          <w:sz w:val="22"/>
          <w:szCs w:val="22"/>
        </w:rPr>
        <w:t>, TC-0</w:t>
      </w:r>
      <w:r w:rsidR="007A0B3F">
        <w:rPr>
          <w:b/>
          <w:i/>
          <w:sz w:val="22"/>
          <w:szCs w:val="22"/>
        </w:rPr>
        <w:t>23</w:t>
      </w:r>
      <w:r w:rsidR="0055716D" w:rsidRPr="00337E16">
        <w:rPr>
          <w:b/>
          <w:i/>
          <w:sz w:val="22"/>
          <w:szCs w:val="22"/>
        </w:rPr>
        <w:t>.</w:t>
      </w:r>
      <w:r w:rsidR="00E47F90">
        <w:rPr>
          <w:b/>
          <w:i/>
          <w:sz w:val="22"/>
          <w:szCs w:val="22"/>
        </w:rPr>
        <w:t>3</w:t>
      </w:r>
      <w:r w:rsidR="007A0B3F">
        <w:rPr>
          <w:b/>
          <w:i/>
          <w:sz w:val="22"/>
          <w:szCs w:val="22"/>
        </w:rPr>
        <w:t>60</w:t>
      </w:r>
      <w:r w:rsidR="0055716D" w:rsidRPr="00337E16">
        <w:rPr>
          <w:b/>
          <w:i/>
          <w:sz w:val="22"/>
          <w:szCs w:val="22"/>
        </w:rPr>
        <w:t>/20</w:t>
      </w:r>
      <w:r w:rsidR="007A0B3F">
        <w:rPr>
          <w:b/>
          <w:i/>
          <w:sz w:val="22"/>
          <w:szCs w:val="22"/>
        </w:rPr>
        <w:t>08</w:t>
      </w:r>
      <w:r w:rsidR="0055716D" w:rsidRPr="00337E16">
        <w:rPr>
          <w:b/>
          <w:i/>
          <w:sz w:val="22"/>
          <w:szCs w:val="22"/>
        </w:rPr>
        <w:t>-</w:t>
      </w:r>
      <w:r w:rsidR="007A0B3F">
        <w:rPr>
          <w:b/>
          <w:i/>
          <w:sz w:val="22"/>
          <w:szCs w:val="22"/>
        </w:rPr>
        <w:t>1</w:t>
      </w:r>
      <w:r w:rsidR="0055716D" w:rsidRPr="00337E16">
        <w:rPr>
          <w:b/>
          <w:i/>
          <w:sz w:val="22"/>
          <w:szCs w:val="22"/>
        </w:rPr>
        <w:t>, rel. Min</w:t>
      </w:r>
      <w:r w:rsidR="0055716D">
        <w:rPr>
          <w:b/>
          <w:i/>
          <w:sz w:val="22"/>
          <w:szCs w:val="22"/>
        </w:rPr>
        <w:t xml:space="preserve">-Subst. </w:t>
      </w:r>
      <w:r w:rsidR="007A0B3F">
        <w:rPr>
          <w:b/>
          <w:i/>
          <w:sz w:val="22"/>
          <w:szCs w:val="22"/>
        </w:rPr>
        <w:t>André Luís de Carvalho</w:t>
      </w:r>
      <w:r w:rsidR="0055716D" w:rsidRPr="00337E16">
        <w:rPr>
          <w:b/>
          <w:i/>
          <w:sz w:val="22"/>
          <w:szCs w:val="22"/>
        </w:rPr>
        <w:t xml:space="preserve">, </w:t>
      </w:r>
      <w:r w:rsidR="007A0B3F">
        <w:rPr>
          <w:b/>
          <w:i/>
          <w:sz w:val="22"/>
          <w:szCs w:val="22"/>
        </w:rPr>
        <w:t>27</w:t>
      </w:r>
      <w:r w:rsidR="0055716D" w:rsidRPr="00337E16">
        <w:rPr>
          <w:b/>
          <w:i/>
          <w:sz w:val="22"/>
          <w:szCs w:val="22"/>
        </w:rPr>
        <w:t>.</w:t>
      </w:r>
      <w:r w:rsidR="007A0B3F">
        <w:rPr>
          <w:b/>
          <w:i/>
          <w:sz w:val="22"/>
          <w:szCs w:val="22"/>
        </w:rPr>
        <w:t>10</w:t>
      </w:r>
      <w:r w:rsidR="0055716D" w:rsidRPr="00337E16">
        <w:rPr>
          <w:b/>
          <w:i/>
          <w:sz w:val="22"/>
          <w:szCs w:val="22"/>
        </w:rPr>
        <w:t>.2010</w:t>
      </w:r>
      <w:r w:rsidR="0055716D" w:rsidRPr="00337E16">
        <w:rPr>
          <w:sz w:val="22"/>
          <w:szCs w:val="22"/>
        </w:rPr>
        <w:t>.</w:t>
      </w:r>
    </w:p>
    <w:p w:rsidR="0055716D" w:rsidRPr="00337E16" w:rsidRDefault="0055716D" w:rsidP="0055716D">
      <w:pPr>
        <w:pStyle w:val="enter-3pt"/>
        <w:spacing w:line="240" w:lineRule="auto"/>
        <w:rPr>
          <w:sz w:val="22"/>
          <w:szCs w:val="22"/>
        </w:rPr>
      </w:pPr>
    </w:p>
    <w:p w:rsidR="0055716D" w:rsidRPr="00337E16" w:rsidRDefault="0055716D" w:rsidP="0055716D">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PRIMEIRA</w:t>
      </w:r>
      <w:r w:rsidRPr="00337E16">
        <w:rPr>
          <w:rFonts w:ascii="Cambria" w:hAnsi="Cambria"/>
          <w:b/>
          <w:bCs/>
          <w:smallCaps/>
          <w:sz w:val="22"/>
          <w:szCs w:val="22"/>
        </w:rPr>
        <w:t xml:space="preserve"> CÂMARA</w:t>
      </w:r>
    </w:p>
    <w:p w:rsidR="0055716D" w:rsidRPr="00337E16" w:rsidRDefault="0055716D" w:rsidP="00252623">
      <w:pPr>
        <w:pStyle w:val="Pargrafo"/>
        <w:jc w:val="both"/>
        <w:rPr>
          <w:b/>
          <w:sz w:val="22"/>
          <w:szCs w:val="22"/>
        </w:rPr>
      </w:pPr>
    </w:p>
    <w:p w:rsidR="0055716D" w:rsidRPr="00FC5D80" w:rsidRDefault="00FC5D80" w:rsidP="00252623">
      <w:pPr>
        <w:pStyle w:val="Pargrafo"/>
        <w:spacing w:before="60"/>
        <w:jc w:val="both"/>
        <w:rPr>
          <w:b/>
          <w:sz w:val="22"/>
          <w:szCs w:val="22"/>
        </w:rPr>
      </w:pPr>
      <w:r w:rsidRPr="00FC5D80">
        <w:rPr>
          <w:b/>
          <w:sz w:val="22"/>
          <w:szCs w:val="22"/>
        </w:rPr>
        <w:t>Contrato emergencial resultante de falha de planejamento: responsabilidade do parecerista jurídico e da autoridade que decide sobre a oportunidade e a conveniência da contratação</w:t>
      </w:r>
    </w:p>
    <w:p w:rsidR="0055716D" w:rsidRPr="00337E16" w:rsidRDefault="004C2755" w:rsidP="0055716D">
      <w:pPr>
        <w:pStyle w:val="Pargrafo"/>
        <w:jc w:val="both"/>
        <w:rPr>
          <w:sz w:val="22"/>
          <w:szCs w:val="22"/>
        </w:rPr>
      </w:pPr>
      <w:r w:rsidRPr="004C2755">
        <w:rPr>
          <w:sz w:val="22"/>
          <w:szCs w:val="22"/>
        </w:rPr>
        <w:t>Ao examinar a p</w:t>
      </w:r>
      <w:r w:rsidR="00FC5D80" w:rsidRPr="004C2755">
        <w:rPr>
          <w:sz w:val="22"/>
          <w:szCs w:val="22"/>
        </w:rPr>
        <w:t xml:space="preserve">restação de </w:t>
      </w:r>
      <w:r w:rsidRPr="004C2755">
        <w:rPr>
          <w:sz w:val="22"/>
          <w:szCs w:val="22"/>
        </w:rPr>
        <w:t>c</w:t>
      </w:r>
      <w:r w:rsidR="00FC5D80" w:rsidRPr="004C2755">
        <w:rPr>
          <w:sz w:val="22"/>
          <w:szCs w:val="22"/>
        </w:rPr>
        <w:t>ontas da Companhia Brasileira de Trens Urbanos – CBTU</w:t>
      </w:r>
      <w:r w:rsidRPr="004C2755">
        <w:rPr>
          <w:sz w:val="22"/>
          <w:szCs w:val="22"/>
        </w:rPr>
        <w:t>, relativa ao exercício de 2004, a unidade técnica identificou possíveis irregularidades</w:t>
      </w:r>
      <w:r w:rsidR="00125BF0">
        <w:rPr>
          <w:sz w:val="22"/>
          <w:szCs w:val="22"/>
        </w:rPr>
        <w:t xml:space="preserve"> envolvendo</w:t>
      </w:r>
      <w:r w:rsidR="00FC5D80" w:rsidRPr="004C2755">
        <w:rPr>
          <w:sz w:val="22"/>
          <w:szCs w:val="22"/>
        </w:rPr>
        <w:t xml:space="preserve"> treze contrações diretas, </w:t>
      </w:r>
      <w:r w:rsidRPr="004C2755">
        <w:rPr>
          <w:sz w:val="22"/>
          <w:szCs w:val="22"/>
        </w:rPr>
        <w:t xml:space="preserve">celebradas </w:t>
      </w:r>
      <w:r w:rsidR="00FC5D80" w:rsidRPr="004C2755">
        <w:rPr>
          <w:sz w:val="22"/>
          <w:szCs w:val="22"/>
        </w:rPr>
        <w:t xml:space="preserve">com fundamento no art. 24, IV, da Lei </w:t>
      </w:r>
      <w:r w:rsidRPr="004C2755">
        <w:rPr>
          <w:sz w:val="22"/>
          <w:szCs w:val="22"/>
        </w:rPr>
        <w:t xml:space="preserve">n.º </w:t>
      </w:r>
      <w:r w:rsidR="00FC5D80" w:rsidRPr="004C2755">
        <w:rPr>
          <w:sz w:val="22"/>
          <w:szCs w:val="22"/>
        </w:rPr>
        <w:t>8.666/93</w:t>
      </w:r>
      <w:r w:rsidR="00125BF0">
        <w:rPr>
          <w:sz w:val="22"/>
          <w:szCs w:val="22"/>
        </w:rPr>
        <w:t>. O</w:t>
      </w:r>
      <w:r w:rsidR="00FC5D80" w:rsidRPr="004C2755">
        <w:rPr>
          <w:sz w:val="22"/>
          <w:szCs w:val="22"/>
        </w:rPr>
        <w:t xml:space="preserve"> expediente d</w:t>
      </w:r>
      <w:r w:rsidRPr="004C2755">
        <w:rPr>
          <w:sz w:val="22"/>
          <w:szCs w:val="22"/>
        </w:rPr>
        <w:t>a</w:t>
      </w:r>
      <w:r w:rsidR="00FC5D80" w:rsidRPr="004C2755">
        <w:rPr>
          <w:sz w:val="22"/>
          <w:szCs w:val="22"/>
        </w:rPr>
        <w:t xml:space="preserve"> dispensa de licitação </w:t>
      </w:r>
      <w:r w:rsidR="008530C8">
        <w:rPr>
          <w:sz w:val="22"/>
          <w:szCs w:val="22"/>
        </w:rPr>
        <w:t>teria sido</w:t>
      </w:r>
      <w:r w:rsidR="00FC5D80" w:rsidRPr="004C2755">
        <w:rPr>
          <w:sz w:val="22"/>
          <w:szCs w:val="22"/>
        </w:rPr>
        <w:t xml:space="preserve"> utilizado</w:t>
      </w:r>
      <w:r w:rsidRPr="004C2755">
        <w:rPr>
          <w:sz w:val="22"/>
          <w:szCs w:val="22"/>
        </w:rPr>
        <w:t>,</w:t>
      </w:r>
      <w:r w:rsidR="00FC5D80" w:rsidRPr="004C2755">
        <w:rPr>
          <w:sz w:val="22"/>
          <w:szCs w:val="22"/>
        </w:rPr>
        <w:t xml:space="preserve"> sucessivamente</w:t>
      </w:r>
      <w:r w:rsidRPr="004C2755">
        <w:rPr>
          <w:sz w:val="22"/>
          <w:szCs w:val="22"/>
        </w:rPr>
        <w:t>,</w:t>
      </w:r>
      <w:r w:rsidR="00FC5D80" w:rsidRPr="004C2755">
        <w:rPr>
          <w:sz w:val="22"/>
          <w:szCs w:val="22"/>
        </w:rPr>
        <w:t xml:space="preserve"> em razão de falhas no planejamento</w:t>
      </w:r>
      <w:r w:rsidR="00526260">
        <w:rPr>
          <w:sz w:val="22"/>
          <w:szCs w:val="22"/>
        </w:rPr>
        <w:t xml:space="preserve">, evidenciadas pela </w:t>
      </w:r>
      <w:r w:rsidR="00125BF0">
        <w:rPr>
          <w:sz w:val="22"/>
          <w:szCs w:val="22"/>
        </w:rPr>
        <w:t>não</w:t>
      </w:r>
      <w:r w:rsidR="00FC5D80" w:rsidRPr="004C2755">
        <w:rPr>
          <w:sz w:val="22"/>
          <w:szCs w:val="22"/>
        </w:rPr>
        <w:t xml:space="preserve"> realização</w:t>
      </w:r>
      <w:r w:rsidRPr="004C2755">
        <w:rPr>
          <w:sz w:val="22"/>
          <w:szCs w:val="22"/>
        </w:rPr>
        <w:t>,</w:t>
      </w:r>
      <w:r w:rsidR="00FC5D80" w:rsidRPr="004C2755">
        <w:rPr>
          <w:sz w:val="22"/>
          <w:szCs w:val="22"/>
        </w:rPr>
        <w:t xml:space="preserve"> em tempo hábil</w:t>
      </w:r>
      <w:r w:rsidRPr="004C2755">
        <w:rPr>
          <w:sz w:val="22"/>
          <w:szCs w:val="22"/>
        </w:rPr>
        <w:t>,</w:t>
      </w:r>
      <w:r w:rsidR="00FC5D80" w:rsidRPr="004C2755">
        <w:rPr>
          <w:sz w:val="22"/>
          <w:szCs w:val="22"/>
        </w:rPr>
        <w:t xml:space="preserve"> de licitações para a substituição de diversos contratos essenciais ao funcionamento da </w:t>
      </w:r>
      <w:r w:rsidR="00BF79D3">
        <w:rPr>
          <w:sz w:val="22"/>
          <w:szCs w:val="22"/>
        </w:rPr>
        <w:t>entidade</w:t>
      </w:r>
      <w:r w:rsidR="008530C8">
        <w:rPr>
          <w:sz w:val="22"/>
          <w:szCs w:val="22"/>
        </w:rPr>
        <w:t>, dando</w:t>
      </w:r>
      <w:r w:rsidR="00526260">
        <w:rPr>
          <w:sz w:val="22"/>
          <w:szCs w:val="22"/>
        </w:rPr>
        <w:t xml:space="preserve"> </w:t>
      </w:r>
      <w:r w:rsidR="008530C8">
        <w:rPr>
          <w:sz w:val="22"/>
          <w:szCs w:val="22"/>
        </w:rPr>
        <w:t>ensejo</w:t>
      </w:r>
      <w:r w:rsidR="00526260">
        <w:rPr>
          <w:sz w:val="22"/>
          <w:szCs w:val="22"/>
        </w:rPr>
        <w:t xml:space="preserve"> à</w:t>
      </w:r>
      <w:r w:rsidR="00FC5D80" w:rsidRPr="004C2755">
        <w:rPr>
          <w:sz w:val="22"/>
          <w:szCs w:val="22"/>
        </w:rPr>
        <w:t xml:space="preserve"> situação emergencial.</w:t>
      </w:r>
      <w:r w:rsidRPr="004C2755">
        <w:rPr>
          <w:sz w:val="22"/>
          <w:szCs w:val="22"/>
        </w:rPr>
        <w:t xml:space="preserve"> Instados a se manifestar, o </w:t>
      </w:r>
      <w:r>
        <w:rPr>
          <w:sz w:val="22"/>
          <w:szCs w:val="22"/>
        </w:rPr>
        <w:t>C</w:t>
      </w:r>
      <w:r w:rsidRPr="004C2755">
        <w:rPr>
          <w:sz w:val="22"/>
          <w:szCs w:val="22"/>
        </w:rPr>
        <w:t xml:space="preserve">hefe do Departamento Jurídico e o </w:t>
      </w:r>
      <w:r>
        <w:rPr>
          <w:sz w:val="22"/>
          <w:szCs w:val="22"/>
        </w:rPr>
        <w:t>S</w:t>
      </w:r>
      <w:r w:rsidRPr="004C2755">
        <w:rPr>
          <w:sz w:val="22"/>
          <w:szCs w:val="22"/>
        </w:rPr>
        <w:t xml:space="preserve">uperintendente da CBTU/STU-Recife </w:t>
      </w:r>
      <w:r>
        <w:rPr>
          <w:sz w:val="22"/>
          <w:szCs w:val="22"/>
        </w:rPr>
        <w:t>alegaram</w:t>
      </w:r>
      <w:r w:rsidR="00125BF0">
        <w:rPr>
          <w:sz w:val="22"/>
          <w:szCs w:val="22"/>
        </w:rPr>
        <w:t>, em síntese,</w:t>
      </w:r>
      <w:r>
        <w:rPr>
          <w:sz w:val="22"/>
          <w:szCs w:val="22"/>
        </w:rPr>
        <w:t xml:space="preserve"> </w:t>
      </w:r>
      <w:r w:rsidRPr="004C2755">
        <w:rPr>
          <w:sz w:val="22"/>
          <w:szCs w:val="22"/>
        </w:rPr>
        <w:t xml:space="preserve">que a responsabilidade pela deflagração do processo licitatório é </w:t>
      </w:r>
      <w:r w:rsidR="008530C8">
        <w:rPr>
          <w:sz w:val="22"/>
          <w:szCs w:val="22"/>
        </w:rPr>
        <w:t>d</w:t>
      </w:r>
      <w:r w:rsidRPr="004C2755">
        <w:rPr>
          <w:sz w:val="22"/>
          <w:szCs w:val="22"/>
        </w:rPr>
        <w:t>o gestor da área que necessita do serviço.</w:t>
      </w:r>
      <w:r>
        <w:rPr>
          <w:sz w:val="22"/>
          <w:szCs w:val="22"/>
        </w:rPr>
        <w:t xml:space="preserve"> De acordo com a unidade técnica, a </w:t>
      </w:r>
      <w:r w:rsidRPr="004C2755">
        <w:rPr>
          <w:sz w:val="22"/>
          <w:szCs w:val="22"/>
        </w:rPr>
        <w:t xml:space="preserve">competência para adotar as providências </w:t>
      </w:r>
      <w:r w:rsidR="00125BF0">
        <w:rPr>
          <w:sz w:val="22"/>
          <w:szCs w:val="22"/>
        </w:rPr>
        <w:t>necessárias à realização</w:t>
      </w:r>
      <w:r w:rsidRPr="004C2755">
        <w:rPr>
          <w:sz w:val="22"/>
          <w:szCs w:val="22"/>
        </w:rPr>
        <w:t xml:space="preserve"> </w:t>
      </w:r>
      <w:r w:rsidR="00125BF0">
        <w:rPr>
          <w:sz w:val="22"/>
          <w:szCs w:val="22"/>
        </w:rPr>
        <w:t>d</w:t>
      </w:r>
      <w:r w:rsidRPr="004C2755">
        <w:rPr>
          <w:sz w:val="22"/>
          <w:szCs w:val="22"/>
        </w:rPr>
        <w:t xml:space="preserve">os processos licitatórios com a </w:t>
      </w:r>
      <w:r w:rsidR="00125BF0">
        <w:rPr>
          <w:sz w:val="22"/>
          <w:szCs w:val="22"/>
        </w:rPr>
        <w:t xml:space="preserve">devida </w:t>
      </w:r>
      <w:r w:rsidRPr="004C2755">
        <w:rPr>
          <w:sz w:val="22"/>
          <w:szCs w:val="22"/>
        </w:rPr>
        <w:t>antecedência</w:t>
      </w:r>
      <w:r w:rsidR="008530C8">
        <w:rPr>
          <w:sz w:val="22"/>
          <w:szCs w:val="22"/>
        </w:rPr>
        <w:t>, de fato,</w:t>
      </w:r>
      <w:r>
        <w:rPr>
          <w:sz w:val="22"/>
          <w:szCs w:val="22"/>
        </w:rPr>
        <w:t xml:space="preserve"> </w:t>
      </w:r>
      <w:r>
        <w:rPr>
          <w:i/>
          <w:sz w:val="22"/>
          <w:szCs w:val="22"/>
        </w:rPr>
        <w:t>“</w:t>
      </w:r>
      <w:r w:rsidR="00FC5D80" w:rsidRPr="00FC5D80">
        <w:rPr>
          <w:i/>
          <w:sz w:val="22"/>
          <w:szCs w:val="22"/>
        </w:rPr>
        <w:t xml:space="preserve">não caberia ao superintendente da CBTU/STU-Recife, já que, nos termos dos </w:t>
      </w:r>
      <w:r w:rsidR="00125BF0">
        <w:rPr>
          <w:i/>
          <w:sz w:val="22"/>
          <w:szCs w:val="22"/>
        </w:rPr>
        <w:t>[...]</w:t>
      </w:r>
      <w:r w:rsidR="00FC5D80" w:rsidRPr="00FC5D80">
        <w:rPr>
          <w:i/>
          <w:sz w:val="22"/>
          <w:szCs w:val="22"/>
        </w:rPr>
        <w:t xml:space="preserve"> atos normativos, caberia à unidade interessada planejar as contratações. Entretanto, mediante delegação de competência do diretor-presidente da CBTU, as contratações diretas nas unidades regionais são autorizadas pelo superintendente, cabendo-lhe decidir sobre a oportunidade do pedido. Assim, na condição de autoridade máxima da CBTU/STU-Recife, o então superintendente regional deveria coibir o uso i</w:t>
      </w:r>
      <w:r>
        <w:rPr>
          <w:i/>
          <w:sz w:val="22"/>
          <w:szCs w:val="22"/>
        </w:rPr>
        <w:t>ndiscriminado desse expediente.”</w:t>
      </w:r>
      <w:r w:rsidR="00E52694">
        <w:rPr>
          <w:sz w:val="22"/>
          <w:szCs w:val="22"/>
        </w:rPr>
        <w:t xml:space="preserve"> Quanto às razões de justificativa do C</w:t>
      </w:r>
      <w:r w:rsidR="00FC5D80" w:rsidRPr="00E52694">
        <w:rPr>
          <w:sz w:val="22"/>
          <w:szCs w:val="22"/>
        </w:rPr>
        <w:t>hefe do Departamento Jurídico</w:t>
      </w:r>
      <w:r w:rsidR="00E52694">
        <w:rPr>
          <w:sz w:val="22"/>
          <w:szCs w:val="22"/>
        </w:rPr>
        <w:t xml:space="preserve">, a unidade técnica </w:t>
      </w:r>
      <w:r w:rsidR="00211E33">
        <w:rPr>
          <w:sz w:val="22"/>
          <w:szCs w:val="22"/>
        </w:rPr>
        <w:t>concluiu que deveriam</w:t>
      </w:r>
      <w:r w:rsidR="008530C8">
        <w:rPr>
          <w:sz w:val="22"/>
          <w:szCs w:val="22"/>
        </w:rPr>
        <w:t xml:space="preserve"> elas</w:t>
      </w:r>
      <w:r w:rsidR="00211E33">
        <w:rPr>
          <w:sz w:val="22"/>
          <w:szCs w:val="22"/>
        </w:rPr>
        <w:t xml:space="preserve"> </w:t>
      </w:r>
      <w:r w:rsidR="00FC5D80" w:rsidRPr="00211E33">
        <w:rPr>
          <w:sz w:val="22"/>
          <w:szCs w:val="22"/>
        </w:rPr>
        <w:t>ser rejeitadas,</w:t>
      </w:r>
      <w:r w:rsidR="00FC5D80" w:rsidRPr="00FC5D80">
        <w:rPr>
          <w:i/>
          <w:sz w:val="22"/>
          <w:szCs w:val="22"/>
        </w:rPr>
        <w:t xml:space="preserve"> </w:t>
      </w:r>
      <w:r w:rsidR="00FC5D80" w:rsidRPr="00BF79D3">
        <w:rPr>
          <w:sz w:val="22"/>
          <w:szCs w:val="22"/>
        </w:rPr>
        <w:t>porquanto</w:t>
      </w:r>
      <w:r w:rsidR="00BF79D3">
        <w:rPr>
          <w:sz w:val="22"/>
          <w:szCs w:val="22"/>
        </w:rPr>
        <w:t xml:space="preserve"> ele</w:t>
      </w:r>
      <w:r w:rsidR="00FC5D80" w:rsidRPr="00FC5D80">
        <w:rPr>
          <w:i/>
          <w:sz w:val="22"/>
          <w:szCs w:val="22"/>
        </w:rPr>
        <w:t xml:space="preserve"> </w:t>
      </w:r>
      <w:r w:rsidR="00BF79D3">
        <w:rPr>
          <w:i/>
          <w:sz w:val="22"/>
          <w:szCs w:val="22"/>
        </w:rPr>
        <w:t>“</w:t>
      </w:r>
      <w:r w:rsidR="00FC5D80" w:rsidRPr="00FC5D80">
        <w:rPr>
          <w:i/>
          <w:sz w:val="22"/>
          <w:szCs w:val="22"/>
        </w:rPr>
        <w:t xml:space="preserve">atestou estarem presentes os requisitos necessários para a dispensa de licitação, sem qualquer oposição ou ressalva quanto à </w:t>
      </w:r>
      <w:r w:rsidR="008530C8">
        <w:rPr>
          <w:i/>
          <w:sz w:val="22"/>
          <w:szCs w:val="22"/>
        </w:rPr>
        <w:t>[...]</w:t>
      </w:r>
      <w:r w:rsidR="00FC5D80" w:rsidRPr="00FC5D80">
        <w:rPr>
          <w:i/>
          <w:sz w:val="22"/>
          <w:szCs w:val="22"/>
        </w:rPr>
        <w:t xml:space="preserve"> contratação emergencial da prestação de serviços, cuja urgência decorreu da falta de planejamento e da desídia do administrador.</w:t>
      </w:r>
      <w:r w:rsidR="00E52694">
        <w:rPr>
          <w:i/>
          <w:sz w:val="22"/>
          <w:szCs w:val="22"/>
        </w:rPr>
        <w:t>”</w:t>
      </w:r>
      <w:r w:rsidR="000411E4">
        <w:rPr>
          <w:sz w:val="22"/>
          <w:szCs w:val="22"/>
        </w:rPr>
        <w:t xml:space="preserve">. </w:t>
      </w:r>
      <w:r w:rsidR="008530C8">
        <w:rPr>
          <w:sz w:val="22"/>
          <w:szCs w:val="22"/>
        </w:rPr>
        <w:t>Diferentemente da unidade instrutiva</w:t>
      </w:r>
      <w:r w:rsidR="00FC5D80" w:rsidRPr="00FC5D80">
        <w:rPr>
          <w:sz w:val="22"/>
          <w:szCs w:val="22"/>
        </w:rPr>
        <w:t xml:space="preserve">, </w:t>
      </w:r>
      <w:r w:rsidR="000411E4">
        <w:rPr>
          <w:sz w:val="22"/>
          <w:szCs w:val="22"/>
        </w:rPr>
        <w:t xml:space="preserve">o relator entendeu </w:t>
      </w:r>
      <w:r w:rsidR="00FC5D80" w:rsidRPr="00FC5D80">
        <w:rPr>
          <w:sz w:val="22"/>
          <w:szCs w:val="22"/>
        </w:rPr>
        <w:t>não cabe</w:t>
      </w:r>
      <w:r w:rsidR="000411E4">
        <w:rPr>
          <w:sz w:val="22"/>
          <w:szCs w:val="22"/>
        </w:rPr>
        <w:t>r</w:t>
      </w:r>
      <w:r w:rsidR="00FC5D80" w:rsidRPr="00FC5D80">
        <w:rPr>
          <w:sz w:val="22"/>
          <w:szCs w:val="22"/>
        </w:rPr>
        <w:t xml:space="preserve"> a responsabilização do </w:t>
      </w:r>
      <w:r w:rsidR="00B97198">
        <w:rPr>
          <w:sz w:val="22"/>
          <w:szCs w:val="22"/>
        </w:rPr>
        <w:t>C</w:t>
      </w:r>
      <w:r w:rsidR="00FC5D80" w:rsidRPr="00FC5D80">
        <w:rPr>
          <w:sz w:val="22"/>
          <w:szCs w:val="22"/>
        </w:rPr>
        <w:t>hefe do Departamento Jurídico</w:t>
      </w:r>
      <w:r w:rsidR="00211E33">
        <w:rPr>
          <w:sz w:val="22"/>
          <w:szCs w:val="22"/>
        </w:rPr>
        <w:t>, uma vez que</w:t>
      </w:r>
      <w:r w:rsidR="00B97198">
        <w:rPr>
          <w:sz w:val="22"/>
          <w:szCs w:val="22"/>
        </w:rPr>
        <w:t xml:space="preserve"> a</w:t>
      </w:r>
      <w:r w:rsidR="00FC5D80" w:rsidRPr="00FC5D80">
        <w:rPr>
          <w:sz w:val="22"/>
          <w:szCs w:val="22"/>
        </w:rPr>
        <w:t xml:space="preserve">s situações apresentadas </w:t>
      </w:r>
      <w:r w:rsidR="00B97198">
        <w:rPr>
          <w:sz w:val="22"/>
          <w:szCs w:val="22"/>
        </w:rPr>
        <w:t>àquele dirigente</w:t>
      </w:r>
      <w:r w:rsidR="00FC5D80" w:rsidRPr="00FC5D80">
        <w:rPr>
          <w:sz w:val="22"/>
          <w:szCs w:val="22"/>
        </w:rPr>
        <w:t xml:space="preserve"> justificavam o uso da dispensa de licitação. Ainda que o excessivo número de contratos firmados emergencial</w:t>
      </w:r>
      <w:r w:rsidR="00BF79D3">
        <w:rPr>
          <w:sz w:val="22"/>
          <w:szCs w:val="22"/>
        </w:rPr>
        <w:t>mente</w:t>
      </w:r>
      <w:r w:rsidR="00FC5D80" w:rsidRPr="00FC5D80">
        <w:rPr>
          <w:sz w:val="22"/>
          <w:szCs w:val="22"/>
        </w:rPr>
        <w:t xml:space="preserve"> fosse indicativo de que havia falhas no planejamento da </w:t>
      </w:r>
      <w:r w:rsidR="008530C8">
        <w:rPr>
          <w:sz w:val="22"/>
          <w:szCs w:val="22"/>
        </w:rPr>
        <w:t>entidade</w:t>
      </w:r>
      <w:r w:rsidR="00FC5D80" w:rsidRPr="00FC5D80">
        <w:rPr>
          <w:sz w:val="22"/>
          <w:szCs w:val="22"/>
        </w:rPr>
        <w:t xml:space="preserve">, podendo o parecerista </w:t>
      </w:r>
      <w:r w:rsidR="00211E33">
        <w:rPr>
          <w:sz w:val="22"/>
          <w:szCs w:val="22"/>
        </w:rPr>
        <w:t>ter alertado</w:t>
      </w:r>
      <w:r w:rsidR="00FC5D80" w:rsidRPr="00FC5D80">
        <w:rPr>
          <w:sz w:val="22"/>
          <w:szCs w:val="22"/>
        </w:rPr>
        <w:t xml:space="preserve"> sobre o problema, tal omissão </w:t>
      </w:r>
      <w:r w:rsidR="00B97198" w:rsidRPr="00B97198">
        <w:rPr>
          <w:i/>
          <w:sz w:val="22"/>
          <w:szCs w:val="22"/>
        </w:rPr>
        <w:t>“</w:t>
      </w:r>
      <w:r w:rsidR="00FC5D80" w:rsidRPr="00B97198">
        <w:rPr>
          <w:i/>
          <w:sz w:val="22"/>
          <w:szCs w:val="22"/>
        </w:rPr>
        <w:t>não é suficientemente grave a ponto de culminar em sua responsabilização pela falha ocorrida</w:t>
      </w:r>
      <w:r w:rsidR="00B97198" w:rsidRPr="00B97198">
        <w:rPr>
          <w:i/>
          <w:sz w:val="22"/>
          <w:szCs w:val="22"/>
        </w:rPr>
        <w:t>”</w:t>
      </w:r>
      <w:r w:rsidR="00FC5D80" w:rsidRPr="00FC5D80">
        <w:rPr>
          <w:sz w:val="22"/>
          <w:szCs w:val="22"/>
        </w:rPr>
        <w:t>.</w:t>
      </w:r>
      <w:r w:rsidR="00B97198">
        <w:rPr>
          <w:sz w:val="22"/>
          <w:szCs w:val="22"/>
        </w:rPr>
        <w:t xml:space="preserve"> </w:t>
      </w:r>
      <w:r w:rsidR="00FC5D80" w:rsidRPr="00FC5D80">
        <w:rPr>
          <w:sz w:val="22"/>
          <w:szCs w:val="22"/>
        </w:rPr>
        <w:t xml:space="preserve">O mesmo raciocínio </w:t>
      </w:r>
      <w:r w:rsidR="00B97198">
        <w:rPr>
          <w:sz w:val="22"/>
          <w:szCs w:val="22"/>
        </w:rPr>
        <w:t>seria</w:t>
      </w:r>
      <w:r w:rsidR="00FC5D80" w:rsidRPr="00FC5D80">
        <w:rPr>
          <w:sz w:val="22"/>
          <w:szCs w:val="22"/>
        </w:rPr>
        <w:t xml:space="preserve"> válido para o Superintende da CBTU/STU-Recife. Embora lhe coubesse decidir sobre a oportunidade e a conveniência das contrações diretas, </w:t>
      </w:r>
      <w:r w:rsidR="00B97198" w:rsidRPr="00B97198">
        <w:rPr>
          <w:i/>
          <w:sz w:val="22"/>
          <w:szCs w:val="22"/>
        </w:rPr>
        <w:t>“</w:t>
      </w:r>
      <w:r w:rsidR="00FC5D80" w:rsidRPr="00B97198">
        <w:rPr>
          <w:i/>
          <w:sz w:val="22"/>
          <w:szCs w:val="22"/>
        </w:rPr>
        <w:t>não há informações nos autos de que teria responsabilidade sobre as falhas de planejamento que acabaram por resultar na contração emergencial com ausência de licitação</w:t>
      </w:r>
      <w:r w:rsidR="00B97198" w:rsidRPr="00B97198">
        <w:rPr>
          <w:i/>
          <w:sz w:val="22"/>
          <w:szCs w:val="22"/>
        </w:rPr>
        <w:t>”</w:t>
      </w:r>
      <w:r w:rsidR="00FC5D80" w:rsidRPr="00FC5D80">
        <w:rPr>
          <w:sz w:val="22"/>
          <w:szCs w:val="22"/>
        </w:rPr>
        <w:t>.</w:t>
      </w:r>
      <w:r w:rsidR="00B97198">
        <w:rPr>
          <w:sz w:val="22"/>
          <w:szCs w:val="22"/>
        </w:rPr>
        <w:t xml:space="preserve"> </w:t>
      </w:r>
      <w:r w:rsidR="003077BE">
        <w:rPr>
          <w:sz w:val="22"/>
          <w:szCs w:val="22"/>
        </w:rPr>
        <w:t>Com base nos fundamentos apresentados pelo</w:t>
      </w:r>
      <w:r w:rsidR="00B97198">
        <w:rPr>
          <w:sz w:val="22"/>
          <w:szCs w:val="22"/>
        </w:rPr>
        <w:t xml:space="preserve"> relator, o Colegiado </w:t>
      </w:r>
      <w:r w:rsidR="003077BE">
        <w:rPr>
          <w:sz w:val="22"/>
          <w:szCs w:val="22"/>
        </w:rPr>
        <w:t>decidiu</w:t>
      </w:r>
      <w:r w:rsidR="00B97198">
        <w:rPr>
          <w:sz w:val="22"/>
          <w:szCs w:val="22"/>
        </w:rPr>
        <w:t xml:space="preserve"> julgar </w:t>
      </w:r>
      <w:r w:rsidR="00FC5D80" w:rsidRPr="00FC5D80">
        <w:rPr>
          <w:sz w:val="22"/>
          <w:szCs w:val="22"/>
        </w:rPr>
        <w:t xml:space="preserve">regulares com ressalva as contas dos agentes públicos arrolados, </w:t>
      </w:r>
      <w:r w:rsidR="00B97198">
        <w:rPr>
          <w:sz w:val="22"/>
          <w:szCs w:val="22"/>
        </w:rPr>
        <w:t>sem prejuízo de</w:t>
      </w:r>
      <w:r w:rsidR="00FC5D80" w:rsidRPr="00FC5D80">
        <w:rPr>
          <w:sz w:val="22"/>
          <w:szCs w:val="22"/>
        </w:rPr>
        <w:t xml:space="preserve"> determinar à CBTU que </w:t>
      </w:r>
      <w:r w:rsidR="00B97198" w:rsidRPr="00B97198">
        <w:rPr>
          <w:i/>
          <w:sz w:val="22"/>
          <w:szCs w:val="22"/>
        </w:rPr>
        <w:t>“</w:t>
      </w:r>
      <w:r w:rsidR="00FC5D80" w:rsidRPr="00B97198">
        <w:rPr>
          <w:i/>
          <w:sz w:val="22"/>
          <w:szCs w:val="22"/>
        </w:rPr>
        <w:t>inicie os procedimentos licitatórios em tempo hábil para a substituição tempestiva dos contratos vincendos, para evitar contratações emergenciais com dispensa de licitação</w:t>
      </w:r>
      <w:r w:rsidR="00B97198" w:rsidRPr="00B97198">
        <w:rPr>
          <w:i/>
          <w:sz w:val="22"/>
          <w:szCs w:val="22"/>
        </w:rPr>
        <w:t>”</w:t>
      </w:r>
      <w:r w:rsidR="00B97198">
        <w:rPr>
          <w:sz w:val="22"/>
          <w:szCs w:val="22"/>
        </w:rPr>
        <w:t xml:space="preserve">. </w:t>
      </w:r>
      <w:r w:rsidR="0055716D" w:rsidRPr="00337E16">
        <w:rPr>
          <w:b/>
          <w:i/>
          <w:sz w:val="22"/>
          <w:szCs w:val="22"/>
        </w:rPr>
        <w:t xml:space="preserve">Acórdão n.º </w:t>
      </w:r>
      <w:r w:rsidR="006B633B">
        <w:rPr>
          <w:b/>
          <w:i/>
          <w:sz w:val="22"/>
          <w:szCs w:val="22"/>
        </w:rPr>
        <w:t>7070</w:t>
      </w:r>
      <w:r w:rsidR="0055716D" w:rsidRPr="00337E16">
        <w:rPr>
          <w:b/>
          <w:i/>
          <w:sz w:val="22"/>
          <w:szCs w:val="22"/>
        </w:rPr>
        <w:t>/2010</w:t>
      </w:r>
      <w:r w:rsidR="0055716D">
        <w:rPr>
          <w:b/>
          <w:i/>
          <w:sz w:val="22"/>
          <w:szCs w:val="22"/>
        </w:rPr>
        <w:t>-</w:t>
      </w:r>
      <w:r w:rsidR="00D700E5">
        <w:rPr>
          <w:b/>
          <w:i/>
          <w:sz w:val="22"/>
          <w:szCs w:val="22"/>
        </w:rPr>
        <w:t>1</w:t>
      </w:r>
      <w:r w:rsidR="0055716D">
        <w:rPr>
          <w:b/>
          <w:i/>
          <w:sz w:val="22"/>
          <w:szCs w:val="22"/>
        </w:rPr>
        <w:t>ª Câmara</w:t>
      </w:r>
      <w:r w:rsidR="0055716D" w:rsidRPr="00337E16">
        <w:rPr>
          <w:b/>
          <w:i/>
          <w:sz w:val="22"/>
          <w:szCs w:val="22"/>
        </w:rPr>
        <w:t>, TC-0</w:t>
      </w:r>
      <w:r w:rsidR="006B633B">
        <w:rPr>
          <w:b/>
          <w:i/>
          <w:sz w:val="22"/>
          <w:szCs w:val="22"/>
        </w:rPr>
        <w:t>13</w:t>
      </w:r>
      <w:r w:rsidR="0055716D" w:rsidRPr="00337E16">
        <w:rPr>
          <w:b/>
          <w:i/>
          <w:sz w:val="22"/>
          <w:szCs w:val="22"/>
        </w:rPr>
        <w:t>.</w:t>
      </w:r>
      <w:r w:rsidR="006B633B">
        <w:rPr>
          <w:b/>
          <w:i/>
          <w:sz w:val="22"/>
          <w:szCs w:val="22"/>
        </w:rPr>
        <w:t>3</w:t>
      </w:r>
      <w:r w:rsidR="0055716D">
        <w:rPr>
          <w:b/>
          <w:i/>
          <w:sz w:val="22"/>
          <w:szCs w:val="22"/>
        </w:rPr>
        <w:t>59</w:t>
      </w:r>
      <w:r w:rsidR="0055716D" w:rsidRPr="00337E16">
        <w:rPr>
          <w:b/>
          <w:i/>
          <w:sz w:val="22"/>
          <w:szCs w:val="22"/>
        </w:rPr>
        <w:t>/200</w:t>
      </w:r>
      <w:r w:rsidR="006B633B">
        <w:rPr>
          <w:b/>
          <w:i/>
          <w:sz w:val="22"/>
          <w:szCs w:val="22"/>
        </w:rPr>
        <w:t>5</w:t>
      </w:r>
      <w:r w:rsidR="0055716D" w:rsidRPr="00337E16">
        <w:rPr>
          <w:b/>
          <w:i/>
          <w:sz w:val="22"/>
          <w:szCs w:val="22"/>
        </w:rPr>
        <w:t>-</w:t>
      </w:r>
      <w:r w:rsidR="006B633B">
        <w:rPr>
          <w:b/>
          <w:i/>
          <w:sz w:val="22"/>
          <w:szCs w:val="22"/>
        </w:rPr>
        <w:t>2</w:t>
      </w:r>
      <w:r w:rsidR="0055716D" w:rsidRPr="00337E16">
        <w:rPr>
          <w:b/>
          <w:i/>
          <w:sz w:val="22"/>
          <w:szCs w:val="22"/>
        </w:rPr>
        <w:t xml:space="preserve">, rel. Min. </w:t>
      </w:r>
      <w:r w:rsidR="006B633B">
        <w:rPr>
          <w:b/>
          <w:i/>
          <w:sz w:val="22"/>
          <w:szCs w:val="22"/>
        </w:rPr>
        <w:t>Walton Alencar Rodrigues</w:t>
      </w:r>
      <w:r w:rsidR="0055716D" w:rsidRPr="00337E16">
        <w:rPr>
          <w:b/>
          <w:i/>
          <w:sz w:val="22"/>
          <w:szCs w:val="22"/>
        </w:rPr>
        <w:t xml:space="preserve">, </w:t>
      </w:r>
      <w:r w:rsidR="006B633B">
        <w:rPr>
          <w:b/>
          <w:i/>
          <w:sz w:val="22"/>
          <w:szCs w:val="22"/>
        </w:rPr>
        <w:t>26</w:t>
      </w:r>
      <w:r w:rsidR="0055716D" w:rsidRPr="00337E16">
        <w:rPr>
          <w:b/>
          <w:i/>
          <w:sz w:val="22"/>
          <w:szCs w:val="22"/>
        </w:rPr>
        <w:t>.</w:t>
      </w:r>
      <w:r w:rsidR="006B633B">
        <w:rPr>
          <w:b/>
          <w:i/>
          <w:sz w:val="22"/>
          <w:szCs w:val="22"/>
        </w:rPr>
        <w:t>10</w:t>
      </w:r>
      <w:r w:rsidR="0055716D" w:rsidRPr="00337E16">
        <w:rPr>
          <w:b/>
          <w:i/>
          <w:sz w:val="22"/>
          <w:szCs w:val="22"/>
        </w:rPr>
        <w:t>.2010</w:t>
      </w:r>
      <w:r w:rsidR="0055716D" w:rsidRPr="00337E16">
        <w:rPr>
          <w:sz w:val="22"/>
          <w:szCs w:val="22"/>
        </w:rPr>
        <w:t>.</w:t>
      </w:r>
    </w:p>
    <w:p w:rsidR="00BC5737" w:rsidRPr="00337E16" w:rsidRDefault="00BC5737" w:rsidP="00BC5737">
      <w:pPr>
        <w:pStyle w:val="enter-3pt"/>
        <w:spacing w:line="240" w:lineRule="auto"/>
        <w:rPr>
          <w:sz w:val="22"/>
          <w:szCs w:val="22"/>
        </w:rPr>
      </w:pPr>
    </w:p>
    <w:p w:rsidR="008A2417" w:rsidRPr="00337E16" w:rsidRDefault="008A2417" w:rsidP="008A2417">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w:t>
      </w:r>
      <w:r w:rsidRPr="00337E16">
        <w:rPr>
          <w:rFonts w:ascii="Cambria" w:hAnsi="Cambria"/>
          <w:b/>
          <w:bCs/>
          <w:smallCaps/>
          <w:sz w:val="22"/>
          <w:szCs w:val="22"/>
        </w:rPr>
        <w:t xml:space="preserve"> CÂMARA</w:t>
      </w:r>
    </w:p>
    <w:p w:rsidR="008A2417" w:rsidRPr="00337E16" w:rsidRDefault="008A2417" w:rsidP="008A2417">
      <w:pPr>
        <w:pStyle w:val="Pargrafo"/>
        <w:jc w:val="both"/>
        <w:rPr>
          <w:b/>
          <w:sz w:val="22"/>
          <w:szCs w:val="22"/>
        </w:rPr>
      </w:pPr>
    </w:p>
    <w:p w:rsidR="008A2417" w:rsidRPr="00D90984" w:rsidRDefault="006254B9" w:rsidP="00252623">
      <w:pPr>
        <w:pStyle w:val="Pargrafo"/>
        <w:spacing w:before="60"/>
        <w:jc w:val="both"/>
        <w:rPr>
          <w:b/>
          <w:sz w:val="22"/>
          <w:szCs w:val="22"/>
        </w:rPr>
      </w:pPr>
      <w:r>
        <w:rPr>
          <w:b/>
          <w:sz w:val="22"/>
          <w:szCs w:val="22"/>
        </w:rPr>
        <w:t>C</w:t>
      </w:r>
      <w:r w:rsidR="00D90984" w:rsidRPr="00D90984">
        <w:rPr>
          <w:b/>
          <w:sz w:val="22"/>
          <w:szCs w:val="22"/>
        </w:rPr>
        <w:t>elebração de contrato com empresa inscrita no Cadastro Informativo de Créditos Não Quitados do Setor Público Federal (Cadin)</w:t>
      </w:r>
    </w:p>
    <w:p w:rsidR="008A2417" w:rsidRDefault="004C51D4" w:rsidP="008A2417">
      <w:pPr>
        <w:pStyle w:val="Pargrafo"/>
        <w:jc w:val="both"/>
        <w:rPr>
          <w:sz w:val="22"/>
          <w:szCs w:val="22"/>
        </w:rPr>
      </w:pPr>
      <w:r>
        <w:rPr>
          <w:sz w:val="22"/>
          <w:szCs w:val="22"/>
        </w:rPr>
        <w:t>A</w:t>
      </w:r>
      <w:r w:rsidR="00492D23">
        <w:rPr>
          <w:sz w:val="22"/>
          <w:szCs w:val="22"/>
        </w:rPr>
        <w:t xml:space="preserve">o apreciar a prestação de contas da </w:t>
      </w:r>
      <w:r w:rsidR="00492D23" w:rsidRPr="0006274B">
        <w:rPr>
          <w:sz w:val="22"/>
          <w:szCs w:val="22"/>
        </w:rPr>
        <w:t>Refinaria Alberto Pasqualini</w:t>
      </w:r>
      <w:r w:rsidR="00004ED4">
        <w:rPr>
          <w:sz w:val="22"/>
          <w:szCs w:val="22"/>
        </w:rPr>
        <w:t xml:space="preserve"> S.A. </w:t>
      </w:r>
      <w:r w:rsidR="00FB7C09">
        <w:rPr>
          <w:sz w:val="22"/>
          <w:szCs w:val="22"/>
        </w:rPr>
        <w:t>–</w:t>
      </w:r>
      <w:r w:rsidR="00004ED4">
        <w:rPr>
          <w:sz w:val="22"/>
          <w:szCs w:val="22"/>
        </w:rPr>
        <w:t xml:space="preserve"> </w:t>
      </w:r>
      <w:r w:rsidR="00492D23" w:rsidRPr="0006274B">
        <w:rPr>
          <w:sz w:val="22"/>
          <w:szCs w:val="22"/>
        </w:rPr>
        <w:t>Refap</w:t>
      </w:r>
      <w:r w:rsidR="00004ED4">
        <w:rPr>
          <w:sz w:val="22"/>
          <w:szCs w:val="22"/>
        </w:rPr>
        <w:t>,</w:t>
      </w:r>
      <w:r w:rsidR="00492D23">
        <w:rPr>
          <w:sz w:val="22"/>
          <w:szCs w:val="22"/>
        </w:rPr>
        <w:t xml:space="preserve"> </w:t>
      </w:r>
      <w:r w:rsidR="00004ED4">
        <w:rPr>
          <w:sz w:val="22"/>
          <w:szCs w:val="22"/>
        </w:rPr>
        <w:t>relativa</w:t>
      </w:r>
      <w:r w:rsidR="00004ED4" w:rsidRPr="0006274B">
        <w:rPr>
          <w:sz w:val="22"/>
          <w:szCs w:val="22"/>
        </w:rPr>
        <w:t xml:space="preserve"> ao exercício de 2003</w:t>
      </w:r>
      <w:r w:rsidR="00004ED4">
        <w:rPr>
          <w:sz w:val="22"/>
          <w:szCs w:val="22"/>
        </w:rPr>
        <w:t>,</w:t>
      </w:r>
      <w:r w:rsidR="00004ED4" w:rsidRPr="0006274B">
        <w:rPr>
          <w:sz w:val="22"/>
          <w:szCs w:val="22"/>
        </w:rPr>
        <w:t xml:space="preserve"> </w:t>
      </w:r>
      <w:r>
        <w:rPr>
          <w:sz w:val="22"/>
          <w:szCs w:val="22"/>
        </w:rPr>
        <w:t xml:space="preserve">a Segunda </w:t>
      </w:r>
      <w:r w:rsidRPr="0006274B">
        <w:rPr>
          <w:sz w:val="22"/>
          <w:szCs w:val="22"/>
        </w:rPr>
        <w:t>Câmara</w:t>
      </w:r>
      <w:r>
        <w:rPr>
          <w:sz w:val="22"/>
          <w:szCs w:val="22"/>
        </w:rPr>
        <w:t xml:space="preserve">, por intermédio do </w:t>
      </w:r>
      <w:r w:rsidRPr="0006274B">
        <w:rPr>
          <w:sz w:val="22"/>
          <w:szCs w:val="22"/>
        </w:rPr>
        <w:t>Acórdão n</w:t>
      </w:r>
      <w:r>
        <w:rPr>
          <w:sz w:val="22"/>
          <w:szCs w:val="22"/>
        </w:rPr>
        <w:t>.</w:t>
      </w:r>
      <w:r w:rsidRPr="0006274B">
        <w:rPr>
          <w:sz w:val="22"/>
          <w:szCs w:val="22"/>
        </w:rPr>
        <w:t>º 5.502/2008</w:t>
      </w:r>
      <w:r>
        <w:rPr>
          <w:sz w:val="22"/>
          <w:szCs w:val="22"/>
        </w:rPr>
        <w:t xml:space="preserve">, </w:t>
      </w:r>
      <w:r w:rsidR="00492D23" w:rsidRPr="0006274B">
        <w:rPr>
          <w:sz w:val="22"/>
          <w:szCs w:val="22"/>
        </w:rPr>
        <w:t xml:space="preserve">julgou regulares com ressalva as contas </w:t>
      </w:r>
      <w:r w:rsidR="00004ED4">
        <w:rPr>
          <w:sz w:val="22"/>
          <w:szCs w:val="22"/>
        </w:rPr>
        <w:t xml:space="preserve">dos responsáveis </w:t>
      </w:r>
      <w:r w:rsidR="00492D23" w:rsidRPr="0006274B">
        <w:rPr>
          <w:sz w:val="22"/>
          <w:szCs w:val="22"/>
        </w:rPr>
        <w:t xml:space="preserve">e expediu determinações à </w:t>
      </w:r>
      <w:r w:rsidR="00FB7C09">
        <w:rPr>
          <w:sz w:val="22"/>
          <w:szCs w:val="22"/>
        </w:rPr>
        <w:t>entidade</w:t>
      </w:r>
      <w:r w:rsidR="00492D23" w:rsidRPr="0006274B">
        <w:rPr>
          <w:sz w:val="22"/>
          <w:szCs w:val="22"/>
        </w:rPr>
        <w:t xml:space="preserve"> </w:t>
      </w:r>
      <w:r w:rsidR="00004ED4">
        <w:rPr>
          <w:sz w:val="22"/>
          <w:szCs w:val="22"/>
        </w:rPr>
        <w:t xml:space="preserve">(item 1.7), </w:t>
      </w:r>
      <w:r>
        <w:rPr>
          <w:sz w:val="22"/>
          <w:szCs w:val="22"/>
        </w:rPr>
        <w:t>d</w:t>
      </w:r>
      <w:r w:rsidR="00004ED4">
        <w:rPr>
          <w:sz w:val="22"/>
          <w:szCs w:val="22"/>
        </w:rPr>
        <w:t xml:space="preserve">entre elas: </w:t>
      </w:r>
      <w:r w:rsidR="00492D23" w:rsidRPr="0006274B">
        <w:rPr>
          <w:i/>
          <w:sz w:val="22"/>
          <w:szCs w:val="22"/>
        </w:rPr>
        <w:t>“1.7.3. não contrate com qualquer empresa de um grupo em que haja ente inscrito no Cadin (Cadastro Informativo de Créditos Não Quitados do Setor Público Federal), mesmo na qualidade de consórcio, nos termos do art. 6</w:t>
      </w:r>
      <w:r w:rsidR="00FB7C09">
        <w:rPr>
          <w:i/>
          <w:sz w:val="22"/>
          <w:szCs w:val="22"/>
        </w:rPr>
        <w:t>º</w:t>
      </w:r>
      <w:r w:rsidR="00492D23" w:rsidRPr="0006274B">
        <w:rPr>
          <w:i/>
          <w:sz w:val="22"/>
          <w:szCs w:val="22"/>
        </w:rPr>
        <w:t>, inciso III, da Lei 10.522/2002;”</w:t>
      </w:r>
      <w:r w:rsidR="00004ED4">
        <w:rPr>
          <w:sz w:val="22"/>
          <w:szCs w:val="22"/>
        </w:rPr>
        <w:t>. Contra a aludida determinaç</w:t>
      </w:r>
      <w:r w:rsidR="00FB7C09">
        <w:rPr>
          <w:sz w:val="22"/>
          <w:szCs w:val="22"/>
        </w:rPr>
        <w:t>ão</w:t>
      </w:r>
      <w:r w:rsidR="00004ED4">
        <w:rPr>
          <w:sz w:val="22"/>
          <w:szCs w:val="22"/>
        </w:rPr>
        <w:t>, a Refap interpôs recurso de reconsideração</w:t>
      </w:r>
      <w:r w:rsidR="0041493F">
        <w:rPr>
          <w:sz w:val="22"/>
          <w:szCs w:val="22"/>
        </w:rPr>
        <w:t xml:space="preserve">, alegando </w:t>
      </w:r>
      <w:r w:rsidR="0041493F">
        <w:rPr>
          <w:i/>
          <w:sz w:val="22"/>
          <w:szCs w:val="22"/>
        </w:rPr>
        <w:t>“</w:t>
      </w:r>
      <w:r w:rsidR="0006274B" w:rsidRPr="00463F17">
        <w:rPr>
          <w:i/>
          <w:sz w:val="22"/>
          <w:szCs w:val="22"/>
        </w:rPr>
        <w:t>não existir qualquer norma que impeça que o grupo Petrobras, no qual está incluída a REFAP, contrate empresas inscritas no CADIN</w:t>
      </w:r>
      <w:r w:rsidR="0041493F">
        <w:rPr>
          <w:i/>
          <w:sz w:val="22"/>
          <w:szCs w:val="22"/>
        </w:rPr>
        <w:t>”</w:t>
      </w:r>
      <w:r w:rsidR="0041493F">
        <w:rPr>
          <w:sz w:val="22"/>
          <w:szCs w:val="22"/>
        </w:rPr>
        <w:t xml:space="preserve">. Além disso, </w:t>
      </w:r>
      <w:r w:rsidR="0041493F">
        <w:rPr>
          <w:i/>
          <w:sz w:val="22"/>
          <w:szCs w:val="22"/>
        </w:rPr>
        <w:t>“</w:t>
      </w:r>
      <w:r w:rsidR="0006274B" w:rsidRPr="00463F17">
        <w:rPr>
          <w:i/>
          <w:sz w:val="22"/>
          <w:szCs w:val="22"/>
        </w:rPr>
        <w:t>não vislumbra o caráter determinante quanto ao destino da contratação no art. 6</w:t>
      </w:r>
      <w:r w:rsidR="0041493F">
        <w:rPr>
          <w:i/>
          <w:sz w:val="22"/>
          <w:szCs w:val="22"/>
        </w:rPr>
        <w:t>º</w:t>
      </w:r>
      <w:r w:rsidR="0006274B" w:rsidRPr="00463F17">
        <w:rPr>
          <w:i/>
          <w:sz w:val="22"/>
          <w:szCs w:val="22"/>
        </w:rPr>
        <w:t>, inciso III da Lei n.</w:t>
      </w:r>
      <w:r w:rsidR="0041493F">
        <w:rPr>
          <w:i/>
          <w:sz w:val="22"/>
          <w:szCs w:val="22"/>
        </w:rPr>
        <w:t>º</w:t>
      </w:r>
      <w:r w:rsidR="0006274B" w:rsidRPr="00463F17">
        <w:rPr>
          <w:i/>
          <w:sz w:val="22"/>
          <w:szCs w:val="22"/>
        </w:rPr>
        <w:t xml:space="preserve"> 10.522/2002, pois o texto legal exige a consulta, mas não estabelece o impedimento de contratação com empresas inscritas naquele cadastro. Verifica que se trata de norma restritiva e que, por esta razão, não pode ser interpretada de forma ampliativa.</w:t>
      </w:r>
      <w:r w:rsidR="0041493F">
        <w:rPr>
          <w:i/>
          <w:sz w:val="22"/>
          <w:szCs w:val="22"/>
        </w:rPr>
        <w:t>”</w:t>
      </w:r>
      <w:r w:rsidR="0041493F">
        <w:rPr>
          <w:sz w:val="22"/>
          <w:szCs w:val="22"/>
        </w:rPr>
        <w:t xml:space="preserve">. </w:t>
      </w:r>
      <w:r w:rsidR="00FB7C09">
        <w:rPr>
          <w:sz w:val="22"/>
          <w:szCs w:val="22"/>
        </w:rPr>
        <w:t>Em seu voto</w:t>
      </w:r>
      <w:r w:rsidR="0006274B" w:rsidRPr="0006274B">
        <w:rPr>
          <w:sz w:val="22"/>
          <w:szCs w:val="22"/>
        </w:rPr>
        <w:t>,</w:t>
      </w:r>
      <w:r w:rsidR="00FB7C09">
        <w:rPr>
          <w:sz w:val="22"/>
          <w:szCs w:val="22"/>
        </w:rPr>
        <w:t xml:space="preserve"> o relator destacou</w:t>
      </w:r>
      <w:r w:rsidR="0006274B" w:rsidRPr="0006274B">
        <w:rPr>
          <w:sz w:val="22"/>
          <w:szCs w:val="22"/>
        </w:rPr>
        <w:t xml:space="preserve"> que o art. 6º, III, da Lei </w:t>
      </w:r>
      <w:r>
        <w:rPr>
          <w:sz w:val="22"/>
          <w:szCs w:val="22"/>
        </w:rPr>
        <w:t xml:space="preserve">n.º </w:t>
      </w:r>
      <w:r w:rsidR="0006274B" w:rsidRPr="0006274B">
        <w:rPr>
          <w:sz w:val="22"/>
          <w:szCs w:val="22"/>
        </w:rPr>
        <w:t xml:space="preserve">10.522/2002, </w:t>
      </w:r>
      <w:r w:rsidR="00FB7C09" w:rsidRPr="00FB7C09">
        <w:rPr>
          <w:i/>
          <w:sz w:val="22"/>
          <w:szCs w:val="22"/>
        </w:rPr>
        <w:t>“</w:t>
      </w:r>
      <w:r w:rsidR="0006274B" w:rsidRPr="00FB7C09">
        <w:rPr>
          <w:i/>
          <w:sz w:val="22"/>
          <w:szCs w:val="22"/>
        </w:rPr>
        <w:t>não veta, de modo absoluto, a celebração de contratos com empresa inscrita no Cadin, vez que o citado artigo de lei prescreve apenas quanto à consulta prévia ao Cadin</w:t>
      </w:r>
      <w:r w:rsidR="00FB7C09" w:rsidRPr="00FB7C09">
        <w:rPr>
          <w:i/>
          <w:sz w:val="22"/>
          <w:szCs w:val="22"/>
        </w:rPr>
        <w:t>”</w:t>
      </w:r>
      <w:r w:rsidR="0006274B" w:rsidRPr="0006274B">
        <w:rPr>
          <w:sz w:val="22"/>
          <w:szCs w:val="22"/>
        </w:rPr>
        <w:t>.</w:t>
      </w:r>
      <w:r>
        <w:rPr>
          <w:sz w:val="22"/>
          <w:szCs w:val="22"/>
        </w:rPr>
        <w:t xml:space="preserve"> </w:t>
      </w:r>
      <w:r w:rsidR="0060427D">
        <w:rPr>
          <w:sz w:val="22"/>
          <w:szCs w:val="22"/>
        </w:rPr>
        <w:t>O relator f</w:t>
      </w:r>
      <w:r w:rsidR="00FB7C09">
        <w:rPr>
          <w:sz w:val="22"/>
          <w:szCs w:val="22"/>
        </w:rPr>
        <w:t>ez menção</w:t>
      </w:r>
      <w:r w:rsidR="0006274B" w:rsidRPr="0006274B">
        <w:rPr>
          <w:sz w:val="22"/>
          <w:szCs w:val="22"/>
        </w:rPr>
        <w:t xml:space="preserve">, </w:t>
      </w:r>
      <w:r w:rsidR="00FB7C09">
        <w:rPr>
          <w:sz w:val="22"/>
          <w:szCs w:val="22"/>
        </w:rPr>
        <w:t>ainda</w:t>
      </w:r>
      <w:r w:rsidR="0006274B" w:rsidRPr="0006274B">
        <w:rPr>
          <w:sz w:val="22"/>
          <w:szCs w:val="22"/>
        </w:rPr>
        <w:t xml:space="preserve">, </w:t>
      </w:r>
      <w:r w:rsidR="00FB7C09">
        <w:rPr>
          <w:sz w:val="22"/>
          <w:szCs w:val="22"/>
        </w:rPr>
        <w:t>ao seguinte trecho do v</w:t>
      </w:r>
      <w:r w:rsidR="0006274B" w:rsidRPr="0006274B">
        <w:rPr>
          <w:sz w:val="22"/>
          <w:szCs w:val="22"/>
        </w:rPr>
        <w:t xml:space="preserve">oto condutor do </w:t>
      </w:r>
      <w:r w:rsidRPr="0006274B">
        <w:rPr>
          <w:sz w:val="22"/>
          <w:szCs w:val="22"/>
        </w:rPr>
        <w:t>Acórdão n</w:t>
      </w:r>
      <w:r>
        <w:rPr>
          <w:sz w:val="22"/>
          <w:szCs w:val="22"/>
        </w:rPr>
        <w:t>.</w:t>
      </w:r>
      <w:r w:rsidRPr="0006274B">
        <w:rPr>
          <w:sz w:val="22"/>
          <w:szCs w:val="22"/>
        </w:rPr>
        <w:t>º 390/2004-Plenário</w:t>
      </w:r>
      <w:r w:rsidR="0006274B" w:rsidRPr="0006274B">
        <w:rPr>
          <w:sz w:val="22"/>
          <w:szCs w:val="22"/>
        </w:rPr>
        <w:t>:</w:t>
      </w:r>
      <w:r>
        <w:rPr>
          <w:sz w:val="22"/>
          <w:szCs w:val="22"/>
        </w:rPr>
        <w:t xml:space="preserve"> </w:t>
      </w:r>
      <w:r w:rsidR="0006274B" w:rsidRPr="00463F17">
        <w:rPr>
          <w:i/>
          <w:sz w:val="22"/>
          <w:szCs w:val="22"/>
        </w:rPr>
        <w:t>“A Medida Provisória nº 1.490, de 07/06/1996, assim estabelecia:</w:t>
      </w:r>
      <w:r>
        <w:rPr>
          <w:i/>
          <w:sz w:val="22"/>
          <w:szCs w:val="22"/>
        </w:rPr>
        <w:t xml:space="preserve"> ‘</w:t>
      </w:r>
      <w:r w:rsidR="0006274B" w:rsidRPr="00463F17">
        <w:rPr>
          <w:i/>
          <w:sz w:val="22"/>
          <w:szCs w:val="22"/>
        </w:rPr>
        <w:t xml:space="preserve">Art. 6º É obrigatória a consulta prévia ao </w:t>
      </w:r>
      <w:bookmarkStart w:id="1" w:name="Hit29"/>
      <w:r w:rsidR="0006274B" w:rsidRPr="00463F17">
        <w:rPr>
          <w:i/>
          <w:sz w:val="22"/>
          <w:szCs w:val="22"/>
        </w:rPr>
        <w:t>CADIN,</w:t>
      </w:r>
      <w:bookmarkEnd w:id="1"/>
      <w:r w:rsidR="0006274B" w:rsidRPr="00463F17">
        <w:rPr>
          <w:i/>
          <w:sz w:val="22"/>
          <w:szCs w:val="22"/>
        </w:rPr>
        <w:t xml:space="preserve"> pelos órgãos e entidades da Administração Pública Federal, direta e indireta, para:</w:t>
      </w:r>
      <w:r>
        <w:rPr>
          <w:i/>
          <w:sz w:val="22"/>
          <w:szCs w:val="22"/>
        </w:rPr>
        <w:t xml:space="preserve"> [...] </w:t>
      </w:r>
      <w:r w:rsidR="0006274B" w:rsidRPr="00463F17">
        <w:rPr>
          <w:i/>
          <w:sz w:val="22"/>
          <w:szCs w:val="22"/>
        </w:rPr>
        <w:t>III - celebração de convênios, acordos, ajustes ou contratos que envolvam desembolso, a qualquer título, de recursos públicos, e respectivos aditamentos.</w:t>
      </w:r>
      <w:r>
        <w:rPr>
          <w:i/>
          <w:sz w:val="22"/>
          <w:szCs w:val="22"/>
        </w:rPr>
        <w:t xml:space="preserve"> [...] </w:t>
      </w:r>
      <w:r w:rsidR="0006274B" w:rsidRPr="00463F17">
        <w:rPr>
          <w:i/>
          <w:sz w:val="22"/>
          <w:szCs w:val="22"/>
        </w:rPr>
        <w:t xml:space="preserve">Art. 7º A existência de registro no </w:t>
      </w:r>
      <w:bookmarkStart w:id="2" w:name="Hit31"/>
      <w:r w:rsidR="0006274B" w:rsidRPr="00463F17">
        <w:rPr>
          <w:i/>
          <w:sz w:val="22"/>
          <w:szCs w:val="22"/>
        </w:rPr>
        <w:t>CADIN</w:t>
      </w:r>
      <w:bookmarkEnd w:id="2"/>
      <w:r w:rsidR="0006274B" w:rsidRPr="00463F17">
        <w:rPr>
          <w:i/>
          <w:sz w:val="22"/>
          <w:szCs w:val="22"/>
        </w:rPr>
        <w:t xml:space="preserve"> há mais de trinta dias constitui fator impeditivo para a celebração de qualquer dos atos previstos no artigo anterior.</w:t>
      </w:r>
      <w:r w:rsidR="004E254C">
        <w:rPr>
          <w:i/>
          <w:sz w:val="22"/>
          <w:szCs w:val="22"/>
        </w:rPr>
        <w:t xml:space="preserve">’ </w:t>
      </w:r>
      <w:r w:rsidR="0006274B" w:rsidRPr="00463F17">
        <w:rPr>
          <w:i/>
          <w:sz w:val="22"/>
          <w:szCs w:val="22"/>
        </w:rPr>
        <w:t xml:space="preserve">Assim, pelo disposto no seu art. 7º, seria vedada a contratação de empresas inscritas no </w:t>
      </w:r>
      <w:bookmarkStart w:id="3" w:name="Hit32"/>
      <w:r w:rsidR="0006274B" w:rsidRPr="00463F17">
        <w:rPr>
          <w:i/>
          <w:sz w:val="22"/>
          <w:szCs w:val="22"/>
        </w:rPr>
        <w:t>Cadin</w:t>
      </w:r>
      <w:bookmarkEnd w:id="3"/>
      <w:r w:rsidR="0006274B" w:rsidRPr="00463F17">
        <w:rPr>
          <w:i/>
          <w:sz w:val="22"/>
          <w:szCs w:val="22"/>
        </w:rPr>
        <w:t xml:space="preserve">. O STF, em julgamento de 19/06/1996, concedeu medida liminar suspendendo os efeitos desse art. 7º. Tal ação ainda não foi julgada no mérito. O próprio Poder Executivo, entretanto, quando da edição da MP nº 1863-52, de 26/08/1999, norma que tratava do </w:t>
      </w:r>
      <w:bookmarkStart w:id="4" w:name="Hit33"/>
      <w:r w:rsidR="0006274B" w:rsidRPr="00463F17">
        <w:rPr>
          <w:i/>
          <w:sz w:val="22"/>
          <w:szCs w:val="22"/>
        </w:rPr>
        <w:t>Cadin,</w:t>
      </w:r>
      <w:bookmarkEnd w:id="4"/>
      <w:r w:rsidR="0006274B" w:rsidRPr="00463F17">
        <w:rPr>
          <w:i/>
          <w:sz w:val="22"/>
          <w:szCs w:val="22"/>
        </w:rPr>
        <w:t xml:space="preserve"> excluiu o referido art. 7º. E a própria Lei nº 10.522/02, oriunda da conversão da medida provisória, também não trouxe esse dispositivo.</w:t>
      </w:r>
      <w:r w:rsidR="00427105">
        <w:rPr>
          <w:i/>
          <w:sz w:val="22"/>
          <w:szCs w:val="22"/>
        </w:rPr>
        <w:t xml:space="preserve"> </w:t>
      </w:r>
      <w:r w:rsidR="0006274B" w:rsidRPr="00463F17">
        <w:rPr>
          <w:i/>
          <w:sz w:val="22"/>
          <w:szCs w:val="22"/>
        </w:rPr>
        <w:t xml:space="preserve">Dessa forma, não há vedação legal para a contratação de empresas inscritas no </w:t>
      </w:r>
      <w:bookmarkStart w:id="5" w:name="Hit34"/>
      <w:r w:rsidR="0006274B" w:rsidRPr="00463F17">
        <w:rPr>
          <w:i/>
          <w:sz w:val="22"/>
          <w:szCs w:val="22"/>
        </w:rPr>
        <w:t>Cadin</w:t>
      </w:r>
      <w:bookmarkEnd w:id="5"/>
      <w:r w:rsidR="0006274B" w:rsidRPr="00463F17">
        <w:rPr>
          <w:i/>
          <w:sz w:val="22"/>
          <w:szCs w:val="22"/>
        </w:rPr>
        <w:t xml:space="preserve">. Permanece em vigor a obrigatoriedade de consulta prévia ao cadastro, pelos órgãos e entidades da Administração Pública Federal, direta e indireta, para a celebração de contratos que envolvam o desembolso de recursos públicos. Trata-se de medida de pouca efetividade prática, uma vez que a inscrição ou não no </w:t>
      </w:r>
      <w:bookmarkStart w:id="6" w:name="Hit35"/>
      <w:r w:rsidR="0006274B" w:rsidRPr="00463F17">
        <w:rPr>
          <w:i/>
          <w:sz w:val="22"/>
          <w:szCs w:val="22"/>
        </w:rPr>
        <w:t>Cadin</w:t>
      </w:r>
      <w:bookmarkEnd w:id="6"/>
      <w:r w:rsidR="0006274B" w:rsidRPr="00463F17">
        <w:rPr>
          <w:i/>
          <w:sz w:val="22"/>
          <w:szCs w:val="22"/>
        </w:rPr>
        <w:t xml:space="preserve"> não trará qualquer conseqüência em relação às contratações a serem realizadas.”</w:t>
      </w:r>
      <w:r w:rsidR="00427105">
        <w:rPr>
          <w:sz w:val="22"/>
          <w:szCs w:val="22"/>
        </w:rPr>
        <w:t xml:space="preserve">. Acolhendo o voto do relator, deliberou o Colegiado no sentido de </w:t>
      </w:r>
      <w:r w:rsidR="0006274B" w:rsidRPr="0006274B">
        <w:rPr>
          <w:sz w:val="22"/>
          <w:szCs w:val="22"/>
        </w:rPr>
        <w:t>dar provimento parcial ao recurso para tornar insubsistente o subitem 1.7.3 do Acórdão n</w:t>
      </w:r>
      <w:r w:rsidR="00427105">
        <w:rPr>
          <w:sz w:val="22"/>
          <w:szCs w:val="22"/>
        </w:rPr>
        <w:t>.º</w:t>
      </w:r>
      <w:r w:rsidR="0006274B" w:rsidRPr="0006274B">
        <w:rPr>
          <w:sz w:val="22"/>
          <w:szCs w:val="22"/>
        </w:rPr>
        <w:t xml:space="preserve"> 5502/2008-2.ª Câmara</w:t>
      </w:r>
      <w:r w:rsidR="00427105">
        <w:rPr>
          <w:sz w:val="22"/>
          <w:szCs w:val="22"/>
        </w:rPr>
        <w:t xml:space="preserve">. </w:t>
      </w:r>
      <w:r w:rsidR="008A2417" w:rsidRPr="00337E16">
        <w:rPr>
          <w:b/>
          <w:i/>
          <w:sz w:val="22"/>
          <w:szCs w:val="22"/>
        </w:rPr>
        <w:t xml:space="preserve">Acórdão n.º </w:t>
      </w:r>
      <w:r w:rsidR="00B57CB0">
        <w:rPr>
          <w:b/>
          <w:i/>
          <w:sz w:val="22"/>
          <w:szCs w:val="22"/>
        </w:rPr>
        <w:t>6246</w:t>
      </w:r>
      <w:r w:rsidR="008A2417" w:rsidRPr="00337E16">
        <w:rPr>
          <w:b/>
          <w:i/>
          <w:sz w:val="22"/>
          <w:szCs w:val="22"/>
        </w:rPr>
        <w:t>/2010</w:t>
      </w:r>
      <w:r w:rsidR="00151F92">
        <w:rPr>
          <w:b/>
          <w:i/>
          <w:sz w:val="22"/>
          <w:szCs w:val="22"/>
        </w:rPr>
        <w:t>-2ª Câmara</w:t>
      </w:r>
      <w:r w:rsidR="008A2417" w:rsidRPr="00337E16">
        <w:rPr>
          <w:b/>
          <w:i/>
          <w:sz w:val="22"/>
          <w:szCs w:val="22"/>
        </w:rPr>
        <w:t>, TC-0</w:t>
      </w:r>
      <w:r w:rsidR="00B57CB0">
        <w:rPr>
          <w:b/>
          <w:i/>
          <w:sz w:val="22"/>
          <w:szCs w:val="22"/>
        </w:rPr>
        <w:t>09</w:t>
      </w:r>
      <w:r w:rsidR="008A2417" w:rsidRPr="00337E16">
        <w:rPr>
          <w:b/>
          <w:i/>
          <w:sz w:val="22"/>
          <w:szCs w:val="22"/>
        </w:rPr>
        <w:t>.</w:t>
      </w:r>
      <w:r w:rsidR="00B57CB0">
        <w:rPr>
          <w:b/>
          <w:i/>
          <w:sz w:val="22"/>
          <w:szCs w:val="22"/>
        </w:rPr>
        <w:t>487</w:t>
      </w:r>
      <w:r w:rsidR="008A2417" w:rsidRPr="00337E16">
        <w:rPr>
          <w:b/>
          <w:i/>
          <w:sz w:val="22"/>
          <w:szCs w:val="22"/>
        </w:rPr>
        <w:t>/200</w:t>
      </w:r>
      <w:r w:rsidR="00B57CB0">
        <w:rPr>
          <w:b/>
          <w:i/>
          <w:sz w:val="22"/>
          <w:szCs w:val="22"/>
        </w:rPr>
        <w:t>4</w:t>
      </w:r>
      <w:r w:rsidR="008A2417" w:rsidRPr="00337E16">
        <w:rPr>
          <w:b/>
          <w:i/>
          <w:sz w:val="22"/>
          <w:szCs w:val="22"/>
        </w:rPr>
        <w:t>-</w:t>
      </w:r>
      <w:r w:rsidR="00B57CB0">
        <w:rPr>
          <w:b/>
          <w:i/>
          <w:sz w:val="22"/>
          <w:szCs w:val="22"/>
        </w:rPr>
        <w:t>8</w:t>
      </w:r>
      <w:r w:rsidR="008A2417" w:rsidRPr="00337E16">
        <w:rPr>
          <w:b/>
          <w:i/>
          <w:sz w:val="22"/>
          <w:szCs w:val="22"/>
        </w:rPr>
        <w:t xml:space="preserve">, rel. Min. </w:t>
      </w:r>
      <w:r w:rsidR="00B57CB0">
        <w:rPr>
          <w:b/>
          <w:i/>
          <w:sz w:val="22"/>
          <w:szCs w:val="22"/>
        </w:rPr>
        <w:t>Raimundo Carreiro</w:t>
      </w:r>
      <w:r w:rsidR="008A2417" w:rsidRPr="00337E16">
        <w:rPr>
          <w:b/>
          <w:i/>
          <w:sz w:val="22"/>
          <w:szCs w:val="22"/>
        </w:rPr>
        <w:t xml:space="preserve">, </w:t>
      </w:r>
      <w:r w:rsidR="00B57CB0">
        <w:rPr>
          <w:b/>
          <w:i/>
          <w:sz w:val="22"/>
          <w:szCs w:val="22"/>
        </w:rPr>
        <w:t>26</w:t>
      </w:r>
      <w:r w:rsidR="008A2417" w:rsidRPr="00337E16">
        <w:rPr>
          <w:b/>
          <w:i/>
          <w:sz w:val="22"/>
          <w:szCs w:val="22"/>
        </w:rPr>
        <w:t>.</w:t>
      </w:r>
      <w:r w:rsidR="00B57CB0">
        <w:rPr>
          <w:b/>
          <w:i/>
          <w:sz w:val="22"/>
          <w:szCs w:val="22"/>
        </w:rPr>
        <w:t>10</w:t>
      </w:r>
      <w:r w:rsidR="008A2417" w:rsidRPr="00337E16">
        <w:rPr>
          <w:b/>
          <w:i/>
          <w:sz w:val="22"/>
          <w:szCs w:val="22"/>
        </w:rPr>
        <w:t>.2010</w:t>
      </w:r>
      <w:r w:rsidR="008A2417" w:rsidRPr="00337E16">
        <w:rPr>
          <w:sz w:val="22"/>
          <w:szCs w:val="22"/>
        </w:rPr>
        <w:t>.</w:t>
      </w:r>
    </w:p>
    <w:p w:rsidR="00D90984" w:rsidRDefault="00D90984" w:rsidP="00252623">
      <w:pPr>
        <w:pStyle w:val="Pargrafo"/>
        <w:spacing w:before="60"/>
        <w:jc w:val="both"/>
        <w:rPr>
          <w:sz w:val="22"/>
          <w:szCs w:val="22"/>
        </w:rPr>
      </w:pPr>
    </w:p>
    <w:p w:rsidR="00D90984" w:rsidRPr="00252623" w:rsidRDefault="00252623" w:rsidP="00252623">
      <w:pPr>
        <w:pStyle w:val="Pargrafo"/>
        <w:spacing w:before="60"/>
        <w:jc w:val="both"/>
        <w:rPr>
          <w:b/>
          <w:sz w:val="22"/>
          <w:szCs w:val="22"/>
        </w:rPr>
      </w:pPr>
      <w:r w:rsidRPr="00252623">
        <w:rPr>
          <w:b/>
          <w:sz w:val="22"/>
          <w:szCs w:val="22"/>
        </w:rPr>
        <w:t>Possibilidade da participação, em certames licitatórios, de entidades sem fins lucrativos</w:t>
      </w:r>
    </w:p>
    <w:p w:rsidR="00252623" w:rsidRDefault="00066F28" w:rsidP="00252623">
      <w:pPr>
        <w:pStyle w:val="Pargrafo"/>
        <w:jc w:val="both"/>
        <w:rPr>
          <w:sz w:val="22"/>
          <w:szCs w:val="22"/>
        </w:rPr>
      </w:pPr>
      <w:r>
        <w:rPr>
          <w:sz w:val="22"/>
          <w:szCs w:val="22"/>
        </w:rPr>
        <w:t>R</w:t>
      </w:r>
      <w:r w:rsidR="00F53E20" w:rsidRPr="00F53E20">
        <w:rPr>
          <w:sz w:val="22"/>
          <w:szCs w:val="22"/>
        </w:rPr>
        <w:t xml:space="preserve">epresentação </w:t>
      </w:r>
      <w:r w:rsidR="009339B0">
        <w:rPr>
          <w:sz w:val="22"/>
          <w:szCs w:val="22"/>
        </w:rPr>
        <w:t>oferecida</w:t>
      </w:r>
      <w:r w:rsidR="00F53E20" w:rsidRPr="00F53E20">
        <w:rPr>
          <w:sz w:val="22"/>
          <w:szCs w:val="22"/>
        </w:rPr>
        <w:t xml:space="preserve"> </w:t>
      </w:r>
      <w:r>
        <w:rPr>
          <w:sz w:val="22"/>
          <w:szCs w:val="22"/>
        </w:rPr>
        <w:t>ao TCU apontou</w:t>
      </w:r>
      <w:r w:rsidR="00F53E20" w:rsidRPr="00F53E20">
        <w:rPr>
          <w:sz w:val="22"/>
          <w:szCs w:val="22"/>
        </w:rPr>
        <w:t xml:space="preserve"> supostas irregularidades no Pregão Eletrônico n</w:t>
      </w:r>
      <w:r>
        <w:rPr>
          <w:sz w:val="22"/>
          <w:szCs w:val="22"/>
        </w:rPr>
        <w:t>.</w:t>
      </w:r>
      <w:r w:rsidR="00F53E20" w:rsidRPr="00F53E20">
        <w:rPr>
          <w:sz w:val="22"/>
          <w:szCs w:val="22"/>
        </w:rPr>
        <w:t xml:space="preserve">º 2/2010, realizado pelo Museu de Astronomia e Ciências Afins – MAST, tendo como objeto a contratação de empresa especializada na </w:t>
      </w:r>
      <w:r w:rsidRPr="00066F28">
        <w:rPr>
          <w:i/>
          <w:sz w:val="22"/>
          <w:szCs w:val="22"/>
        </w:rPr>
        <w:t>“</w:t>
      </w:r>
      <w:r w:rsidR="00F53E20" w:rsidRPr="00066F28">
        <w:rPr>
          <w:i/>
          <w:sz w:val="22"/>
          <w:szCs w:val="22"/>
        </w:rPr>
        <w:t>prestação de serviços de apoio administrativo, envolvendo o fornecimento de mão-de-obra para os cargos de recepcionista, supervisor, copeira, mensageiro, reprografista e motorista</w:t>
      </w:r>
      <w:r w:rsidRPr="00066F28">
        <w:rPr>
          <w:i/>
          <w:sz w:val="22"/>
          <w:szCs w:val="22"/>
        </w:rPr>
        <w:t>”</w:t>
      </w:r>
      <w:r w:rsidR="00F53E20" w:rsidRPr="00F53E20">
        <w:rPr>
          <w:sz w:val="22"/>
          <w:szCs w:val="22"/>
        </w:rPr>
        <w:t>.</w:t>
      </w:r>
      <w:r>
        <w:rPr>
          <w:sz w:val="22"/>
          <w:szCs w:val="22"/>
        </w:rPr>
        <w:t xml:space="preserve"> A representante alegou que </w:t>
      </w:r>
      <w:r w:rsidR="00F53E20" w:rsidRPr="00066F28">
        <w:rPr>
          <w:sz w:val="22"/>
          <w:szCs w:val="22"/>
        </w:rPr>
        <w:t>a licitante vencedora, a Associação Brasileira de Defesa do Consumidor e Trabalhador – Abradecont, não poderia ter incluído</w:t>
      </w:r>
      <w:r w:rsidR="009339B0">
        <w:rPr>
          <w:sz w:val="22"/>
          <w:szCs w:val="22"/>
        </w:rPr>
        <w:t>,</w:t>
      </w:r>
      <w:r w:rsidR="00F53E20" w:rsidRPr="00066F28">
        <w:rPr>
          <w:sz w:val="22"/>
          <w:szCs w:val="22"/>
        </w:rPr>
        <w:t xml:space="preserve"> em sua proposta de preços</w:t>
      </w:r>
      <w:r w:rsidR="009339B0">
        <w:rPr>
          <w:sz w:val="22"/>
          <w:szCs w:val="22"/>
        </w:rPr>
        <w:t>,</w:t>
      </w:r>
      <w:r w:rsidR="00F53E20" w:rsidRPr="00066F28">
        <w:rPr>
          <w:sz w:val="22"/>
          <w:szCs w:val="22"/>
        </w:rPr>
        <w:t xml:space="preserve"> a previsão de lucro,</w:t>
      </w:r>
      <w:r w:rsidR="00F53E20" w:rsidRPr="00F53E20">
        <w:rPr>
          <w:i/>
          <w:sz w:val="22"/>
          <w:szCs w:val="22"/>
        </w:rPr>
        <w:t xml:space="preserve"> </w:t>
      </w:r>
      <w:r>
        <w:rPr>
          <w:i/>
          <w:sz w:val="22"/>
          <w:szCs w:val="22"/>
        </w:rPr>
        <w:t>“</w:t>
      </w:r>
      <w:r w:rsidR="00F53E20" w:rsidRPr="00F53E20">
        <w:rPr>
          <w:i/>
          <w:sz w:val="22"/>
          <w:szCs w:val="22"/>
        </w:rPr>
        <w:t>já que a mesma é entidade sem fins lucrativos. Ao provisionar valores a título de lucro e também beneficiar-se da isenção do pagamento de impostos, a licitante quebra o princípio da isonomia do certame licitatório”</w:t>
      </w:r>
      <w:r>
        <w:rPr>
          <w:sz w:val="22"/>
          <w:szCs w:val="22"/>
        </w:rPr>
        <w:t xml:space="preserve">. </w:t>
      </w:r>
      <w:r w:rsidR="00EE5656">
        <w:rPr>
          <w:sz w:val="22"/>
          <w:szCs w:val="22"/>
        </w:rPr>
        <w:t xml:space="preserve">A representante </w:t>
      </w:r>
      <w:r w:rsidR="009339B0">
        <w:rPr>
          <w:sz w:val="22"/>
          <w:szCs w:val="22"/>
        </w:rPr>
        <w:t xml:space="preserve">também </w:t>
      </w:r>
      <w:r w:rsidR="00F53E20" w:rsidRPr="00F53E20">
        <w:rPr>
          <w:sz w:val="22"/>
          <w:szCs w:val="22"/>
        </w:rPr>
        <w:t xml:space="preserve">acostou aos autos o Acórdão </w:t>
      </w:r>
      <w:r w:rsidR="00EE5656">
        <w:rPr>
          <w:sz w:val="22"/>
          <w:szCs w:val="22"/>
        </w:rPr>
        <w:t xml:space="preserve">n.º </w:t>
      </w:r>
      <w:r w:rsidR="00F53E20" w:rsidRPr="00F53E20">
        <w:rPr>
          <w:sz w:val="22"/>
          <w:szCs w:val="22"/>
        </w:rPr>
        <w:t>5.555/2009</w:t>
      </w:r>
      <w:r w:rsidR="00EE5656">
        <w:rPr>
          <w:sz w:val="22"/>
          <w:szCs w:val="22"/>
        </w:rPr>
        <w:t>-</w:t>
      </w:r>
      <w:r w:rsidR="00F53E20" w:rsidRPr="00F53E20">
        <w:rPr>
          <w:sz w:val="22"/>
          <w:szCs w:val="22"/>
        </w:rPr>
        <w:t>2ª Câmara</w:t>
      </w:r>
      <w:r w:rsidR="00EE5656">
        <w:rPr>
          <w:sz w:val="22"/>
          <w:szCs w:val="22"/>
        </w:rPr>
        <w:t>, por meio do qual fo</w:t>
      </w:r>
      <w:r w:rsidR="009339B0">
        <w:rPr>
          <w:sz w:val="22"/>
          <w:szCs w:val="22"/>
        </w:rPr>
        <w:t>ra</w:t>
      </w:r>
      <w:r w:rsidR="00EE5656">
        <w:rPr>
          <w:sz w:val="22"/>
          <w:szCs w:val="22"/>
        </w:rPr>
        <w:t xml:space="preserve"> </w:t>
      </w:r>
      <w:r w:rsidR="00774801">
        <w:rPr>
          <w:sz w:val="22"/>
          <w:szCs w:val="22"/>
        </w:rPr>
        <w:t>expedida</w:t>
      </w:r>
      <w:r w:rsidR="00EE5656">
        <w:rPr>
          <w:sz w:val="22"/>
          <w:szCs w:val="22"/>
        </w:rPr>
        <w:t xml:space="preserve"> a seguinte determinação à </w:t>
      </w:r>
      <w:r w:rsidR="00F53E20" w:rsidRPr="00F53E20">
        <w:rPr>
          <w:sz w:val="22"/>
          <w:szCs w:val="22"/>
        </w:rPr>
        <w:t xml:space="preserve">Fundação Oswaldo Cruz: </w:t>
      </w:r>
      <w:r w:rsidR="00EE5656" w:rsidRPr="00EE5656">
        <w:rPr>
          <w:i/>
          <w:sz w:val="22"/>
          <w:szCs w:val="22"/>
        </w:rPr>
        <w:t>“</w:t>
      </w:r>
      <w:r w:rsidR="00F53E20" w:rsidRPr="00EE5656">
        <w:rPr>
          <w:i/>
          <w:sz w:val="22"/>
          <w:szCs w:val="22"/>
        </w:rPr>
        <w:t>não habilite em seus certames licitatórios para a contratação de serviços de terceirização ou assemelhados, como o Pregão Eletrônico 90/2009, entidades civis sem fins lucrativos, pois não há nexo de relação entre o objeto social dessas entidades e os serviços a serem prestados, considerando que terceirização de mão-de-obra não se coaduna com a natureza jurídica de tais entes, por se caracterizar como ato de comércio com finalidade econômica;</w:t>
      </w:r>
      <w:r w:rsidR="00EE5656" w:rsidRPr="00EE5656">
        <w:rPr>
          <w:i/>
          <w:sz w:val="22"/>
          <w:szCs w:val="22"/>
        </w:rPr>
        <w:t>”</w:t>
      </w:r>
      <w:r w:rsidR="00EE5656">
        <w:rPr>
          <w:sz w:val="22"/>
          <w:szCs w:val="22"/>
        </w:rPr>
        <w:t xml:space="preserve">. Em sua instrução, a unidade técnica </w:t>
      </w:r>
      <w:r w:rsidR="009339B0">
        <w:rPr>
          <w:sz w:val="22"/>
          <w:szCs w:val="22"/>
        </w:rPr>
        <w:t>salientou</w:t>
      </w:r>
      <w:r w:rsidR="00EE5656">
        <w:rPr>
          <w:sz w:val="22"/>
          <w:szCs w:val="22"/>
        </w:rPr>
        <w:t xml:space="preserve"> que </w:t>
      </w:r>
      <w:r w:rsidR="00F53E20" w:rsidRPr="00F53E20">
        <w:rPr>
          <w:sz w:val="22"/>
          <w:szCs w:val="22"/>
        </w:rPr>
        <w:t xml:space="preserve">a questão da participação de associações sem fins lucrativos em certames licitatórios ainda se encontra sob análise </w:t>
      </w:r>
      <w:r w:rsidR="00EE5656">
        <w:rPr>
          <w:sz w:val="22"/>
          <w:szCs w:val="22"/>
        </w:rPr>
        <w:t xml:space="preserve">no TCU, isso porque </w:t>
      </w:r>
      <w:r w:rsidR="009339B0">
        <w:rPr>
          <w:sz w:val="22"/>
          <w:szCs w:val="22"/>
        </w:rPr>
        <w:t xml:space="preserve">o aludido </w:t>
      </w:r>
      <w:r w:rsidR="009339B0" w:rsidRPr="00F53E20">
        <w:rPr>
          <w:sz w:val="22"/>
          <w:szCs w:val="22"/>
        </w:rPr>
        <w:t xml:space="preserve">Acórdão </w:t>
      </w:r>
      <w:r w:rsidR="009339B0">
        <w:rPr>
          <w:sz w:val="22"/>
          <w:szCs w:val="22"/>
        </w:rPr>
        <w:t xml:space="preserve">n.º </w:t>
      </w:r>
      <w:r w:rsidR="009339B0" w:rsidRPr="00F53E20">
        <w:rPr>
          <w:sz w:val="22"/>
          <w:szCs w:val="22"/>
        </w:rPr>
        <w:t>5.555/2009</w:t>
      </w:r>
      <w:r w:rsidR="009339B0">
        <w:rPr>
          <w:sz w:val="22"/>
          <w:szCs w:val="22"/>
        </w:rPr>
        <w:t>-</w:t>
      </w:r>
      <w:r w:rsidR="009339B0" w:rsidRPr="00F53E20">
        <w:rPr>
          <w:sz w:val="22"/>
          <w:szCs w:val="22"/>
        </w:rPr>
        <w:t>2ª Câmara</w:t>
      </w:r>
      <w:r w:rsidR="00F53E20" w:rsidRPr="00F53E20">
        <w:rPr>
          <w:sz w:val="22"/>
          <w:szCs w:val="22"/>
        </w:rPr>
        <w:t xml:space="preserve"> foi objeto de pedido de reexame. </w:t>
      </w:r>
      <w:r w:rsidR="009339B0">
        <w:rPr>
          <w:sz w:val="22"/>
          <w:szCs w:val="22"/>
        </w:rPr>
        <w:t>E</w:t>
      </w:r>
      <w:r w:rsidR="00F53E20" w:rsidRPr="00F53E20">
        <w:rPr>
          <w:sz w:val="22"/>
          <w:szCs w:val="22"/>
        </w:rPr>
        <w:t xml:space="preserve">m respeito aos princípios da busca da melhor proposta para a administração pública e do caráter competitivo da licitação, </w:t>
      </w:r>
      <w:r w:rsidR="009339B0">
        <w:rPr>
          <w:sz w:val="22"/>
          <w:szCs w:val="22"/>
        </w:rPr>
        <w:t xml:space="preserve">o relator entendeu que </w:t>
      </w:r>
      <w:r w:rsidR="002D314E" w:rsidRPr="002D314E">
        <w:rPr>
          <w:i/>
          <w:sz w:val="22"/>
          <w:szCs w:val="22"/>
        </w:rPr>
        <w:t>“</w:t>
      </w:r>
      <w:r w:rsidR="00F53E20" w:rsidRPr="002D314E">
        <w:rPr>
          <w:i/>
          <w:sz w:val="22"/>
          <w:szCs w:val="22"/>
        </w:rPr>
        <w:t>não seria razoável condenar a conduta do pregoeiro que aceitou a participação da Abradecon no Pregão Eletrônico nº 2/2010, até porque não há posicionamento definitivo deste Tribunal que impeça o ingresso de entidades filantrópicas nos certames licitatórios</w:t>
      </w:r>
      <w:r w:rsidR="002D314E" w:rsidRPr="002D314E">
        <w:rPr>
          <w:i/>
          <w:sz w:val="22"/>
          <w:szCs w:val="22"/>
        </w:rPr>
        <w:t>”</w:t>
      </w:r>
      <w:r w:rsidR="00F53E20" w:rsidRPr="00F53E20">
        <w:rPr>
          <w:sz w:val="22"/>
          <w:szCs w:val="22"/>
        </w:rPr>
        <w:t>.</w:t>
      </w:r>
      <w:r w:rsidR="002D314E">
        <w:rPr>
          <w:sz w:val="22"/>
          <w:szCs w:val="22"/>
        </w:rPr>
        <w:t xml:space="preserve"> Ao final, o relator propôs e </w:t>
      </w:r>
      <w:r w:rsidR="00DF7CB1">
        <w:rPr>
          <w:sz w:val="22"/>
          <w:szCs w:val="22"/>
        </w:rPr>
        <w:t xml:space="preserve">o Colegiado </w:t>
      </w:r>
      <w:r w:rsidR="002D314E">
        <w:rPr>
          <w:sz w:val="22"/>
          <w:szCs w:val="22"/>
        </w:rPr>
        <w:t>decidiu</w:t>
      </w:r>
      <w:r w:rsidR="00F53E20" w:rsidRPr="00F53E20">
        <w:rPr>
          <w:sz w:val="22"/>
          <w:szCs w:val="22"/>
        </w:rPr>
        <w:t xml:space="preserve"> consider</w:t>
      </w:r>
      <w:r w:rsidR="009339B0">
        <w:rPr>
          <w:sz w:val="22"/>
          <w:szCs w:val="22"/>
        </w:rPr>
        <w:t>ar</w:t>
      </w:r>
      <w:r w:rsidR="00F53E20" w:rsidRPr="00F53E20">
        <w:rPr>
          <w:sz w:val="22"/>
          <w:szCs w:val="22"/>
        </w:rPr>
        <w:t xml:space="preserve"> improcedente</w:t>
      </w:r>
      <w:r w:rsidR="009339B0">
        <w:rPr>
          <w:sz w:val="22"/>
          <w:szCs w:val="22"/>
        </w:rPr>
        <w:t xml:space="preserve"> a representação</w:t>
      </w:r>
      <w:r w:rsidR="002D314E">
        <w:rPr>
          <w:sz w:val="22"/>
          <w:szCs w:val="22"/>
        </w:rPr>
        <w:t xml:space="preserve">. </w:t>
      </w:r>
      <w:r w:rsidR="00252623" w:rsidRPr="00337E16">
        <w:rPr>
          <w:b/>
          <w:i/>
          <w:sz w:val="22"/>
          <w:szCs w:val="22"/>
        </w:rPr>
        <w:t xml:space="preserve">Acórdão n.º </w:t>
      </w:r>
      <w:r w:rsidR="00252623">
        <w:rPr>
          <w:b/>
          <w:i/>
          <w:sz w:val="22"/>
          <w:szCs w:val="22"/>
        </w:rPr>
        <w:t>62</w:t>
      </w:r>
      <w:r w:rsidR="00F53E20">
        <w:rPr>
          <w:b/>
          <w:i/>
          <w:sz w:val="22"/>
          <w:szCs w:val="22"/>
        </w:rPr>
        <w:t>35</w:t>
      </w:r>
      <w:r w:rsidR="00252623" w:rsidRPr="00337E16">
        <w:rPr>
          <w:b/>
          <w:i/>
          <w:sz w:val="22"/>
          <w:szCs w:val="22"/>
        </w:rPr>
        <w:t>/2010</w:t>
      </w:r>
      <w:r w:rsidR="00252623">
        <w:rPr>
          <w:b/>
          <w:i/>
          <w:sz w:val="22"/>
          <w:szCs w:val="22"/>
        </w:rPr>
        <w:t>-2ª Câmara</w:t>
      </w:r>
      <w:r w:rsidR="00252623" w:rsidRPr="00337E16">
        <w:rPr>
          <w:b/>
          <w:i/>
          <w:sz w:val="22"/>
          <w:szCs w:val="22"/>
        </w:rPr>
        <w:t>, TC-0</w:t>
      </w:r>
      <w:r w:rsidR="00F53E20">
        <w:rPr>
          <w:b/>
          <w:i/>
          <w:sz w:val="22"/>
          <w:szCs w:val="22"/>
        </w:rPr>
        <w:t>1</w:t>
      </w:r>
      <w:r w:rsidR="00252623">
        <w:rPr>
          <w:b/>
          <w:i/>
          <w:sz w:val="22"/>
          <w:szCs w:val="22"/>
        </w:rPr>
        <w:t>9</w:t>
      </w:r>
      <w:r w:rsidR="00252623" w:rsidRPr="00337E16">
        <w:rPr>
          <w:b/>
          <w:i/>
          <w:sz w:val="22"/>
          <w:szCs w:val="22"/>
        </w:rPr>
        <w:t>.</w:t>
      </w:r>
      <w:r w:rsidR="00F53E20">
        <w:rPr>
          <w:b/>
          <w:i/>
          <w:sz w:val="22"/>
          <w:szCs w:val="22"/>
        </w:rPr>
        <w:t>632</w:t>
      </w:r>
      <w:r w:rsidR="00252623" w:rsidRPr="00337E16">
        <w:rPr>
          <w:b/>
          <w:i/>
          <w:sz w:val="22"/>
          <w:szCs w:val="22"/>
        </w:rPr>
        <w:t>/20</w:t>
      </w:r>
      <w:r w:rsidR="00F53E20">
        <w:rPr>
          <w:b/>
          <w:i/>
          <w:sz w:val="22"/>
          <w:szCs w:val="22"/>
        </w:rPr>
        <w:t>10</w:t>
      </w:r>
      <w:r w:rsidR="00252623" w:rsidRPr="00337E16">
        <w:rPr>
          <w:b/>
          <w:i/>
          <w:sz w:val="22"/>
          <w:szCs w:val="22"/>
        </w:rPr>
        <w:t>-</w:t>
      </w:r>
      <w:r w:rsidR="00F53E20">
        <w:rPr>
          <w:b/>
          <w:i/>
          <w:sz w:val="22"/>
          <w:szCs w:val="22"/>
        </w:rPr>
        <w:t>0</w:t>
      </w:r>
      <w:r w:rsidR="00252623" w:rsidRPr="00337E16">
        <w:rPr>
          <w:b/>
          <w:i/>
          <w:sz w:val="22"/>
          <w:szCs w:val="22"/>
        </w:rPr>
        <w:t>, rel. Min</w:t>
      </w:r>
      <w:r w:rsidR="00252623">
        <w:rPr>
          <w:b/>
          <w:i/>
          <w:sz w:val="22"/>
          <w:szCs w:val="22"/>
        </w:rPr>
        <w:t>-Subst. André Luís de Carvalho</w:t>
      </w:r>
      <w:r w:rsidR="00252623" w:rsidRPr="00337E16">
        <w:rPr>
          <w:b/>
          <w:i/>
          <w:sz w:val="22"/>
          <w:szCs w:val="22"/>
        </w:rPr>
        <w:t xml:space="preserve">, </w:t>
      </w:r>
      <w:r w:rsidR="00252623">
        <w:rPr>
          <w:b/>
          <w:i/>
          <w:sz w:val="22"/>
          <w:szCs w:val="22"/>
        </w:rPr>
        <w:t>2</w:t>
      </w:r>
      <w:r w:rsidR="00F53E20">
        <w:rPr>
          <w:b/>
          <w:i/>
          <w:sz w:val="22"/>
          <w:szCs w:val="22"/>
        </w:rPr>
        <w:t>6</w:t>
      </w:r>
      <w:r w:rsidR="00252623" w:rsidRPr="00337E16">
        <w:rPr>
          <w:b/>
          <w:i/>
          <w:sz w:val="22"/>
          <w:szCs w:val="22"/>
        </w:rPr>
        <w:t>.</w:t>
      </w:r>
      <w:r w:rsidR="00252623">
        <w:rPr>
          <w:b/>
          <w:i/>
          <w:sz w:val="22"/>
          <w:szCs w:val="22"/>
        </w:rPr>
        <w:t>10</w:t>
      </w:r>
      <w:r w:rsidR="00252623" w:rsidRPr="00337E16">
        <w:rPr>
          <w:b/>
          <w:i/>
          <w:sz w:val="22"/>
          <w:szCs w:val="22"/>
        </w:rPr>
        <w:t>.2010</w:t>
      </w:r>
      <w:r w:rsidR="00252623" w:rsidRPr="00337E16">
        <w:rPr>
          <w:sz w:val="22"/>
          <w:szCs w:val="22"/>
        </w:rPr>
        <w:t>.</w:t>
      </w:r>
    </w:p>
    <w:p w:rsidR="00785CF8" w:rsidRPr="00337E16" w:rsidRDefault="00785CF8" w:rsidP="00337E16">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6"/>
      </w:tblGrid>
      <w:tr w:rsidR="00D2041E" w:rsidRPr="00337E16" w:rsidTr="00F03AB9">
        <w:trPr>
          <w:trHeight w:val="779"/>
          <w:jc w:val="center"/>
        </w:trPr>
        <w:tc>
          <w:tcPr>
            <w:tcW w:w="0" w:type="auto"/>
            <w:vAlign w:val="center"/>
          </w:tcPr>
          <w:p w:rsidR="00F27170" w:rsidRPr="00337E16" w:rsidRDefault="005E5FF1" w:rsidP="00337E16">
            <w:pPr>
              <w:pStyle w:val="enter-3pt"/>
              <w:spacing w:line="240" w:lineRule="auto"/>
              <w:jc w:val="center"/>
              <w:rPr>
                <w:b/>
                <w:i/>
                <w:sz w:val="18"/>
                <w:szCs w:val="18"/>
              </w:rPr>
            </w:pPr>
            <w:r w:rsidRPr="00337E16">
              <w:rPr>
                <w:b/>
                <w:i/>
                <w:sz w:val="18"/>
                <w:szCs w:val="18"/>
              </w:rPr>
              <w:t>R</w:t>
            </w:r>
            <w:r w:rsidR="00F27170" w:rsidRPr="00337E16">
              <w:rPr>
                <w:b/>
                <w:i/>
                <w:sz w:val="18"/>
                <w:szCs w:val="18"/>
              </w:rPr>
              <w:t>esponsáve</w:t>
            </w:r>
            <w:r w:rsidR="004B6B81">
              <w:rPr>
                <w:b/>
                <w:i/>
                <w:sz w:val="18"/>
                <w:szCs w:val="18"/>
              </w:rPr>
              <w:t>l</w:t>
            </w:r>
            <w:r w:rsidR="00F27170" w:rsidRPr="00337E16">
              <w:rPr>
                <w:b/>
                <w:i/>
                <w:sz w:val="18"/>
                <w:szCs w:val="18"/>
              </w:rPr>
              <w:t xml:space="preserve"> pelo Informativo:</w:t>
            </w:r>
          </w:p>
          <w:p w:rsidR="00F27170" w:rsidRPr="00337E16" w:rsidRDefault="00F27170" w:rsidP="00337E16">
            <w:pPr>
              <w:pStyle w:val="enter-3pt"/>
              <w:spacing w:line="240" w:lineRule="auto"/>
              <w:jc w:val="center"/>
              <w:rPr>
                <w:i/>
                <w:sz w:val="18"/>
                <w:szCs w:val="18"/>
              </w:rPr>
            </w:pPr>
            <w:r w:rsidRPr="00337E16">
              <w:rPr>
                <w:i/>
                <w:sz w:val="18"/>
                <w:szCs w:val="18"/>
              </w:rPr>
              <w:t>Luiz Felipe Bezerra Almeida Simões</w:t>
            </w:r>
            <w:r w:rsidR="00713DE5" w:rsidRPr="00337E16">
              <w:rPr>
                <w:i/>
                <w:sz w:val="18"/>
                <w:szCs w:val="18"/>
              </w:rPr>
              <w:t>, Assessor da Secretaria das Sessões</w:t>
            </w:r>
          </w:p>
          <w:p w:rsidR="00D2041E" w:rsidRPr="00337E16" w:rsidRDefault="00D2041E" w:rsidP="00337E16">
            <w:pPr>
              <w:pStyle w:val="enter-3pt"/>
              <w:spacing w:line="240" w:lineRule="auto"/>
              <w:jc w:val="center"/>
              <w:rPr>
                <w:b/>
                <w:i/>
                <w:sz w:val="22"/>
                <w:szCs w:val="22"/>
              </w:rPr>
            </w:pPr>
            <w:r w:rsidRPr="00337E16">
              <w:rPr>
                <w:b/>
                <w:i/>
                <w:sz w:val="18"/>
                <w:szCs w:val="18"/>
              </w:rPr>
              <w:t xml:space="preserve">Contato: </w:t>
            </w:r>
            <w:hyperlink r:id="rId8" w:history="1">
              <w:r w:rsidRPr="00337E16">
                <w:rPr>
                  <w:rStyle w:val="Hyperlink"/>
                  <w:b/>
                  <w:i/>
                  <w:color w:val="auto"/>
                  <w:sz w:val="18"/>
                  <w:szCs w:val="18"/>
                </w:rPr>
                <w:t>infojuris@tcu.gov.br</w:t>
              </w:r>
            </w:hyperlink>
          </w:p>
        </w:tc>
      </w:tr>
    </w:tbl>
    <w:p w:rsidR="00D2041E" w:rsidRPr="00337E16" w:rsidRDefault="00D2041E" w:rsidP="00337E16">
      <w:pPr>
        <w:pStyle w:val="enter-3pt"/>
        <w:spacing w:line="240" w:lineRule="auto"/>
        <w:jc w:val="center"/>
        <w:rPr>
          <w:b/>
          <w:sz w:val="22"/>
          <w:szCs w:val="22"/>
        </w:rPr>
      </w:pPr>
    </w:p>
    <w:sectPr w:rsidR="00D2041E" w:rsidRPr="00337E16" w:rsidSect="00337E16">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9D" w:rsidRDefault="00A7619D" w:rsidP="008B0547">
      <w:pPr>
        <w:spacing w:after="0"/>
      </w:pPr>
      <w:r>
        <w:separator/>
      </w:r>
    </w:p>
  </w:endnote>
  <w:endnote w:type="continuationSeparator" w:id="0">
    <w:p w:rsidR="00A7619D" w:rsidRDefault="00A7619D"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F05A13">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9D" w:rsidRDefault="00A7619D" w:rsidP="008B0547">
      <w:pPr>
        <w:spacing w:after="0"/>
      </w:pPr>
      <w:r>
        <w:separator/>
      </w:r>
    </w:p>
  </w:footnote>
  <w:footnote w:type="continuationSeparator" w:id="0">
    <w:p w:rsidR="00A7619D" w:rsidRDefault="00A7619D"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8630FD"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8630FD"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669E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4B6B81">
      <w:rPr>
        <w:rFonts w:ascii="Arial" w:hAnsi="Arial" w:cs="Arial"/>
        <w:noProof/>
        <w:lang w:eastAsia="pt-BR"/>
      </w:rPr>
      <w:t>40</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028010A"/>
    <w:multiLevelType w:val="hybridMultilevel"/>
    <w:tmpl w:val="087E3884"/>
    <w:lvl w:ilvl="0" w:tplc="D81EB728">
      <w:start w:val="1"/>
      <w:numFmt w:val="decimal"/>
      <w:lvlText w:val="%1)"/>
      <w:lvlJc w:val="left"/>
      <w:pPr>
        <w:ind w:left="1064" w:hanging="360"/>
      </w:pPr>
      <w:rPr>
        <w:rFonts w:cs="Times New Roman" w:hint="default"/>
      </w:rPr>
    </w:lvl>
    <w:lvl w:ilvl="1" w:tplc="04160019" w:tentative="1">
      <w:start w:val="1"/>
      <w:numFmt w:val="lowerLetter"/>
      <w:lvlText w:val="%2."/>
      <w:lvlJc w:val="left"/>
      <w:pPr>
        <w:ind w:left="1784" w:hanging="360"/>
      </w:pPr>
      <w:rPr>
        <w:rFonts w:cs="Times New Roman"/>
      </w:rPr>
    </w:lvl>
    <w:lvl w:ilvl="2" w:tplc="0416001B" w:tentative="1">
      <w:start w:val="1"/>
      <w:numFmt w:val="lowerRoman"/>
      <w:lvlText w:val="%3."/>
      <w:lvlJc w:val="right"/>
      <w:pPr>
        <w:ind w:left="2504" w:hanging="180"/>
      </w:pPr>
      <w:rPr>
        <w:rFonts w:cs="Times New Roman"/>
      </w:rPr>
    </w:lvl>
    <w:lvl w:ilvl="3" w:tplc="0416000F" w:tentative="1">
      <w:start w:val="1"/>
      <w:numFmt w:val="decimal"/>
      <w:lvlText w:val="%4."/>
      <w:lvlJc w:val="left"/>
      <w:pPr>
        <w:ind w:left="3224" w:hanging="360"/>
      </w:pPr>
      <w:rPr>
        <w:rFonts w:cs="Times New Roman"/>
      </w:rPr>
    </w:lvl>
    <w:lvl w:ilvl="4" w:tplc="04160019" w:tentative="1">
      <w:start w:val="1"/>
      <w:numFmt w:val="lowerLetter"/>
      <w:lvlText w:val="%5."/>
      <w:lvlJc w:val="left"/>
      <w:pPr>
        <w:ind w:left="3944" w:hanging="360"/>
      </w:pPr>
      <w:rPr>
        <w:rFonts w:cs="Times New Roman"/>
      </w:rPr>
    </w:lvl>
    <w:lvl w:ilvl="5" w:tplc="0416001B" w:tentative="1">
      <w:start w:val="1"/>
      <w:numFmt w:val="lowerRoman"/>
      <w:lvlText w:val="%6."/>
      <w:lvlJc w:val="right"/>
      <w:pPr>
        <w:ind w:left="4664" w:hanging="180"/>
      </w:pPr>
      <w:rPr>
        <w:rFonts w:cs="Times New Roman"/>
      </w:rPr>
    </w:lvl>
    <w:lvl w:ilvl="6" w:tplc="0416000F" w:tentative="1">
      <w:start w:val="1"/>
      <w:numFmt w:val="decimal"/>
      <w:lvlText w:val="%7."/>
      <w:lvlJc w:val="left"/>
      <w:pPr>
        <w:ind w:left="5384" w:hanging="360"/>
      </w:pPr>
      <w:rPr>
        <w:rFonts w:cs="Times New Roman"/>
      </w:rPr>
    </w:lvl>
    <w:lvl w:ilvl="7" w:tplc="04160019" w:tentative="1">
      <w:start w:val="1"/>
      <w:numFmt w:val="lowerLetter"/>
      <w:lvlText w:val="%8."/>
      <w:lvlJc w:val="left"/>
      <w:pPr>
        <w:ind w:left="6104" w:hanging="360"/>
      </w:pPr>
      <w:rPr>
        <w:rFonts w:cs="Times New Roman"/>
      </w:rPr>
    </w:lvl>
    <w:lvl w:ilvl="8" w:tplc="0416001B" w:tentative="1">
      <w:start w:val="1"/>
      <w:numFmt w:val="lowerRoman"/>
      <w:lvlText w:val="%9."/>
      <w:lvlJc w:val="right"/>
      <w:pPr>
        <w:ind w:left="6824" w:hanging="180"/>
      </w:pPr>
      <w:rPr>
        <w:rFonts w:cs="Times New Roman"/>
      </w:rPr>
    </w:lvl>
  </w:abstractNum>
  <w:abstractNum w:abstractNumId="3">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9282D4B"/>
    <w:multiLevelType w:val="hybridMultilevel"/>
    <w:tmpl w:val="FA9E460C"/>
    <w:lvl w:ilvl="0" w:tplc="8C3C7376">
      <w:start w:val="1"/>
      <w:numFmt w:val="lowerLetter"/>
      <w:lvlText w:val="%1)"/>
      <w:lvlJc w:val="left"/>
      <w:pPr>
        <w:ind w:left="1494" w:hanging="360"/>
      </w:pPr>
      <w:rPr>
        <w:rFonts w:cs="Times New Roman" w:hint="default"/>
        <w:color w:val="000000"/>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15">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1"/>
  </w:num>
  <w:num w:numId="3">
    <w:abstractNumId w:val="5"/>
  </w:num>
  <w:num w:numId="4">
    <w:abstractNumId w:val="0"/>
  </w:num>
  <w:num w:numId="5">
    <w:abstractNumId w:val="6"/>
  </w:num>
  <w:num w:numId="6">
    <w:abstractNumId w:val="10"/>
  </w:num>
  <w:num w:numId="7">
    <w:abstractNumId w:val="17"/>
  </w:num>
  <w:num w:numId="8">
    <w:abstractNumId w:val="15"/>
  </w:num>
  <w:num w:numId="9">
    <w:abstractNumId w:val="12"/>
  </w:num>
  <w:num w:numId="10">
    <w:abstractNumId w:val="4"/>
  </w:num>
  <w:num w:numId="11">
    <w:abstractNumId w:val="18"/>
  </w:num>
  <w:num w:numId="12">
    <w:abstractNumId w:val="3"/>
  </w:num>
  <w:num w:numId="13">
    <w:abstractNumId w:val="9"/>
  </w:num>
  <w:num w:numId="14">
    <w:abstractNumId w:val="16"/>
  </w:num>
  <w:num w:numId="15">
    <w:abstractNumId w:val="8"/>
  </w:num>
  <w:num w:numId="16">
    <w:abstractNumId w:val="1"/>
  </w:num>
  <w:num w:numId="17">
    <w:abstractNumId w:val="7"/>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865"/>
    <w:rsid w:val="00003CEA"/>
    <w:rsid w:val="00004614"/>
    <w:rsid w:val="00004ED4"/>
    <w:rsid w:val="00005435"/>
    <w:rsid w:val="00005E1E"/>
    <w:rsid w:val="00012468"/>
    <w:rsid w:val="0001636D"/>
    <w:rsid w:val="00023D72"/>
    <w:rsid w:val="00026EA5"/>
    <w:rsid w:val="000271FA"/>
    <w:rsid w:val="00032198"/>
    <w:rsid w:val="000411E4"/>
    <w:rsid w:val="00041450"/>
    <w:rsid w:val="0004660A"/>
    <w:rsid w:val="00051442"/>
    <w:rsid w:val="00052B15"/>
    <w:rsid w:val="00054432"/>
    <w:rsid w:val="000562CD"/>
    <w:rsid w:val="00056D51"/>
    <w:rsid w:val="0006028E"/>
    <w:rsid w:val="000607C4"/>
    <w:rsid w:val="00061C2E"/>
    <w:rsid w:val="0006274B"/>
    <w:rsid w:val="00065E95"/>
    <w:rsid w:val="00066F28"/>
    <w:rsid w:val="000673A2"/>
    <w:rsid w:val="00080148"/>
    <w:rsid w:val="00084727"/>
    <w:rsid w:val="0009133A"/>
    <w:rsid w:val="00092C2E"/>
    <w:rsid w:val="000A2C56"/>
    <w:rsid w:val="000B0ECB"/>
    <w:rsid w:val="000B0FEA"/>
    <w:rsid w:val="000B2AFA"/>
    <w:rsid w:val="000D1FD7"/>
    <w:rsid w:val="000D6418"/>
    <w:rsid w:val="000D7DB6"/>
    <w:rsid w:val="000D7DED"/>
    <w:rsid w:val="000E3B31"/>
    <w:rsid w:val="000E63B7"/>
    <w:rsid w:val="000F6D85"/>
    <w:rsid w:val="000F7CEE"/>
    <w:rsid w:val="001104BA"/>
    <w:rsid w:val="00112676"/>
    <w:rsid w:val="0011373A"/>
    <w:rsid w:val="00113987"/>
    <w:rsid w:val="00114511"/>
    <w:rsid w:val="00124350"/>
    <w:rsid w:val="00125BF0"/>
    <w:rsid w:val="00126026"/>
    <w:rsid w:val="00133EA9"/>
    <w:rsid w:val="00141D7A"/>
    <w:rsid w:val="001420D1"/>
    <w:rsid w:val="001444A2"/>
    <w:rsid w:val="00151F92"/>
    <w:rsid w:val="0015258E"/>
    <w:rsid w:val="00152ECC"/>
    <w:rsid w:val="001532E4"/>
    <w:rsid w:val="00156A48"/>
    <w:rsid w:val="00157AFE"/>
    <w:rsid w:val="00157C0F"/>
    <w:rsid w:val="001744E7"/>
    <w:rsid w:val="00176375"/>
    <w:rsid w:val="00177900"/>
    <w:rsid w:val="001A330B"/>
    <w:rsid w:val="001A60A2"/>
    <w:rsid w:val="001B3E8E"/>
    <w:rsid w:val="001B452D"/>
    <w:rsid w:val="001B4F90"/>
    <w:rsid w:val="001C0575"/>
    <w:rsid w:val="001C437E"/>
    <w:rsid w:val="001D03C7"/>
    <w:rsid w:val="001D1478"/>
    <w:rsid w:val="001D74CE"/>
    <w:rsid w:val="001E0BF1"/>
    <w:rsid w:val="001E1E28"/>
    <w:rsid w:val="001E2620"/>
    <w:rsid w:val="001E4147"/>
    <w:rsid w:val="001E6F03"/>
    <w:rsid w:val="001E7C3D"/>
    <w:rsid w:val="001F00DF"/>
    <w:rsid w:val="002002CE"/>
    <w:rsid w:val="0020066F"/>
    <w:rsid w:val="00203A6F"/>
    <w:rsid w:val="00207B22"/>
    <w:rsid w:val="00211816"/>
    <w:rsid w:val="00211E33"/>
    <w:rsid w:val="00226D9D"/>
    <w:rsid w:val="00232158"/>
    <w:rsid w:val="002328F9"/>
    <w:rsid w:val="00233CE3"/>
    <w:rsid w:val="0024146C"/>
    <w:rsid w:val="0024593F"/>
    <w:rsid w:val="002476B6"/>
    <w:rsid w:val="002522F9"/>
    <w:rsid w:val="00252623"/>
    <w:rsid w:val="00254590"/>
    <w:rsid w:val="0026362E"/>
    <w:rsid w:val="002649A7"/>
    <w:rsid w:val="002663B7"/>
    <w:rsid w:val="00271D81"/>
    <w:rsid w:val="00273E72"/>
    <w:rsid w:val="00276DC0"/>
    <w:rsid w:val="002810D9"/>
    <w:rsid w:val="00281830"/>
    <w:rsid w:val="0029043B"/>
    <w:rsid w:val="00290A06"/>
    <w:rsid w:val="0029211E"/>
    <w:rsid w:val="0029450E"/>
    <w:rsid w:val="002A190F"/>
    <w:rsid w:val="002A3B3F"/>
    <w:rsid w:val="002B71BA"/>
    <w:rsid w:val="002C7B61"/>
    <w:rsid w:val="002C7B6D"/>
    <w:rsid w:val="002C7EF7"/>
    <w:rsid w:val="002D0768"/>
    <w:rsid w:val="002D314E"/>
    <w:rsid w:val="002D35F5"/>
    <w:rsid w:val="002D47FE"/>
    <w:rsid w:val="002D739A"/>
    <w:rsid w:val="002D76AB"/>
    <w:rsid w:val="002E361C"/>
    <w:rsid w:val="002E3943"/>
    <w:rsid w:val="002E4254"/>
    <w:rsid w:val="002F5F3B"/>
    <w:rsid w:val="002F693C"/>
    <w:rsid w:val="003020F4"/>
    <w:rsid w:val="00304A73"/>
    <w:rsid w:val="003069F9"/>
    <w:rsid w:val="003077BE"/>
    <w:rsid w:val="00310208"/>
    <w:rsid w:val="0031058F"/>
    <w:rsid w:val="0031089E"/>
    <w:rsid w:val="00310D69"/>
    <w:rsid w:val="003147B7"/>
    <w:rsid w:val="003173AA"/>
    <w:rsid w:val="00317CF4"/>
    <w:rsid w:val="00317E59"/>
    <w:rsid w:val="00322AE7"/>
    <w:rsid w:val="003275E4"/>
    <w:rsid w:val="00337E16"/>
    <w:rsid w:val="00340E66"/>
    <w:rsid w:val="00340F10"/>
    <w:rsid w:val="0034486B"/>
    <w:rsid w:val="00344D92"/>
    <w:rsid w:val="003455A2"/>
    <w:rsid w:val="00350E87"/>
    <w:rsid w:val="00353B7C"/>
    <w:rsid w:val="0035438E"/>
    <w:rsid w:val="003549D1"/>
    <w:rsid w:val="00355373"/>
    <w:rsid w:val="00355828"/>
    <w:rsid w:val="00357CBE"/>
    <w:rsid w:val="00361661"/>
    <w:rsid w:val="003824E4"/>
    <w:rsid w:val="00385DAB"/>
    <w:rsid w:val="0038696B"/>
    <w:rsid w:val="00392509"/>
    <w:rsid w:val="003943E5"/>
    <w:rsid w:val="0039686C"/>
    <w:rsid w:val="00397D8E"/>
    <w:rsid w:val="003A2222"/>
    <w:rsid w:val="003A5479"/>
    <w:rsid w:val="003A5C1B"/>
    <w:rsid w:val="003A7C7F"/>
    <w:rsid w:val="003B0304"/>
    <w:rsid w:val="003B043F"/>
    <w:rsid w:val="003B2E10"/>
    <w:rsid w:val="003B33CE"/>
    <w:rsid w:val="003B343D"/>
    <w:rsid w:val="003B56D7"/>
    <w:rsid w:val="003C1B4F"/>
    <w:rsid w:val="003C2288"/>
    <w:rsid w:val="003C6DEB"/>
    <w:rsid w:val="003C7A5C"/>
    <w:rsid w:val="003D3B68"/>
    <w:rsid w:val="003D73BD"/>
    <w:rsid w:val="003D7CCE"/>
    <w:rsid w:val="003E1B68"/>
    <w:rsid w:val="003E65D7"/>
    <w:rsid w:val="003F413A"/>
    <w:rsid w:val="003F54FB"/>
    <w:rsid w:val="003F6D1F"/>
    <w:rsid w:val="0041493F"/>
    <w:rsid w:val="004169D8"/>
    <w:rsid w:val="004201AF"/>
    <w:rsid w:val="00425FF9"/>
    <w:rsid w:val="00427105"/>
    <w:rsid w:val="0042756B"/>
    <w:rsid w:val="00427B3B"/>
    <w:rsid w:val="00427EBF"/>
    <w:rsid w:val="00432585"/>
    <w:rsid w:val="004362AB"/>
    <w:rsid w:val="004415FB"/>
    <w:rsid w:val="00441CE3"/>
    <w:rsid w:val="0044434A"/>
    <w:rsid w:val="00445E76"/>
    <w:rsid w:val="00452C60"/>
    <w:rsid w:val="0046384E"/>
    <w:rsid w:val="00463F17"/>
    <w:rsid w:val="0046706B"/>
    <w:rsid w:val="00471284"/>
    <w:rsid w:val="00473696"/>
    <w:rsid w:val="0047491E"/>
    <w:rsid w:val="004837C6"/>
    <w:rsid w:val="00483998"/>
    <w:rsid w:val="00484E4C"/>
    <w:rsid w:val="00491438"/>
    <w:rsid w:val="00492D23"/>
    <w:rsid w:val="00492E3F"/>
    <w:rsid w:val="00493F5C"/>
    <w:rsid w:val="004A171B"/>
    <w:rsid w:val="004B1DC3"/>
    <w:rsid w:val="004B6B81"/>
    <w:rsid w:val="004C2755"/>
    <w:rsid w:val="004C51D4"/>
    <w:rsid w:val="004C780C"/>
    <w:rsid w:val="004D708E"/>
    <w:rsid w:val="004E254C"/>
    <w:rsid w:val="004E357A"/>
    <w:rsid w:val="004E65EB"/>
    <w:rsid w:val="004F7174"/>
    <w:rsid w:val="0050355D"/>
    <w:rsid w:val="005055B5"/>
    <w:rsid w:val="00511BBF"/>
    <w:rsid w:val="00515E7B"/>
    <w:rsid w:val="005217F8"/>
    <w:rsid w:val="0052267A"/>
    <w:rsid w:val="00526260"/>
    <w:rsid w:val="00531143"/>
    <w:rsid w:val="00533E30"/>
    <w:rsid w:val="00536332"/>
    <w:rsid w:val="00543EB8"/>
    <w:rsid w:val="00554A33"/>
    <w:rsid w:val="0055716D"/>
    <w:rsid w:val="00557953"/>
    <w:rsid w:val="00560E55"/>
    <w:rsid w:val="0056301A"/>
    <w:rsid w:val="005640E1"/>
    <w:rsid w:val="00564EA1"/>
    <w:rsid w:val="0056534C"/>
    <w:rsid w:val="00567CEE"/>
    <w:rsid w:val="005713F4"/>
    <w:rsid w:val="00571E64"/>
    <w:rsid w:val="00580F26"/>
    <w:rsid w:val="0058427E"/>
    <w:rsid w:val="005876B5"/>
    <w:rsid w:val="00590907"/>
    <w:rsid w:val="005A72F2"/>
    <w:rsid w:val="005B2194"/>
    <w:rsid w:val="005B2BC3"/>
    <w:rsid w:val="005B4CFA"/>
    <w:rsid w:val="005B6CB5"/>
    <w:rsid w:val="005C1A79"/>
    <w:rsid w:val="005E269C"/>
    <w:rsid w:val="005E3586"/>
    <w:rsid w:val="005E4DEE"/>
    <w:rsid w:val="005E5FF1"/>
    <w:rsid w:val="005F01CE"/>
    <w:rsid w:val="005F70B6"/>
    <w:rsid w:val="0060427D"/>
    <w:rsid w:val="00604DBE"/>
    <w:rsid w:val="006063E1"/>
    <w:rsid w:val="006065E4"/>
    <w:rsid w:val="0061032A"/>
    <w:rsid w:val="00612045"/>
    <w:rsid w:val="00613AC9"/>
    <w:rsid w:val="00620E86"/>
    <w:rsid w:val="006219DD"/>
    <w:rsid w:val="006254B9"/>
    <w:rsid w:val="00632ACC"/>
    <w:rsid w:val="0064312A"/>
    <w:rsid w:val="0064475B"/>
    <w:rsid w:val="00650463"/>
    <w:rsid w:val="00651660"/>
    <w:rsid w:val="00652171"/>
    <w:rsid w:val="006530D9"/>
    <w:rsid w:val="00664980"/>
    <w:rsid w:val="00667848"/>
    <w:rsid w:val="00670FEA"/>
    <w:rsid w:val="0067353C"/>
    <w:rsid w:val="00676163"/>
    <w:rsid w:val="00677C22"/>
    <w:rsid w:val="006808CC"/>
    <w:rsid w:val="00685899"/>
    <w:rsid w:val="00692D30"/>
    <w:rsid w:val="00697477"/>
    <w:rsid w:val="006A037E"/>
    <w:rsid w:val="006A7796"/>
    <w:rsid w:val="006B0495"/>
    <w:rsid w:val="006B07E3"/>
    <w:rsid w:val="006B0DCB"/>
    <w:rsid w:val="006B2408"/>
    <w:rsid w:val="006B3AF9"/>
    <w:rsid w:val="006B414C"/>
    <w:rsid w:val="006B4B0F"/>
    <w:rsid w:val="006B633B"/>
    <w:rsid w:val="006C6767"/>
    <w:rsid w:val="006F4DE0"/>
    <w:rsid w:val="006F7332"/>
    <w:rsid w:val="0070385B"/>
    <w:rsid w:val="0070494F"/>
    <w:rsid w:val="00705758"/>
    <w:rsid w:val="0070717A"/>
    <w:rsid w:val="00713DE5"/>
    <w:rsid w:val="007174DA"/>
    <w:rsid w:val="00720910"/>
    <w:rsid w:val="00720F29"/>
    <w:rsid w:val="007224C2"/>
    <w:rsid w:val="00737FEC"/>
    <w:rsid w:val="00740BAE"/>
    <w:rsid w:val="00744814"/>
    <w:rsid w:val="00756AA0"/>
    <w:rsid w:val="00757CE6"/>
    <w:rsid w:val="007671B6"/>
    <w:rsid w:val="007671DA"/>
    <w:rsid w:val="007719A8"/>
    <w:rsid w:val="00771F88"/>
    <w:rsid w:val="00774593"/>
    <w:rsid w:val="00774801"/>
    <w:rsid w:val="00777599"/>
    <w:rsid w:val="00785CF8"/>
    <w:rsid w:val="00796CC0"/>
    <w:rsid w:val="007A0B3F"/>
    <w:rsid w:val="007A1A35"/>
    <w:rsid w:val="007A5922"/>
    <w:rsid w:val="007B0329"/>
    <w:rsid w:val="007B259B"/>
    <w:rsid w:val="007B5018"/>
    <w:rsid w:val="007C670D"/>
    <w:rsid w:val="007D0ED0"/>
    <w:rsid w:val="007D4A4A"/>
    <w:rsid w:val="007D4CB9"/>
    <w:rsid w:val="007E0E05"/>
    <w:rsid w:val="007E1DD3"/>
    <w:rsid w:val="007E209F"/>
    <w:rsid w:val="007E359F"/>
    <w:rsid w:val="007E4655"/>
    <w:rsid w:val="007E55E0"/>
    <w:rsid w:val="007E5C50"/>
    <w:rsid w:val="007F22A5"/>
    <w:rsid w:val="00810CC2"/>
    <w:rsid w:val="0081324B"/>
    <w:rsid w:val="00815738"/>
    <w:rsid w:val="00816193"/>
    <w:rsid w:val="008165E4"/>
    <w:rsid w:val="00825155"/>
    <w:rsid w:val="00825EB9"/>
    <w:rsid w:val="008303E2"/>
    <w:rsid w:val="008341F8"/>
    <w:rsid w:val="008359F3"/>
    <w:rsid w:val="00835DB6"/>
    <w:rsid w:val="00836356"/>
    <w:rsid w:val="00836AC2"/>
    <w:rsid w:val="00844C5B"/>
    <w:rsid w:val="008501A4"/>
    <w:rsid w:val="008505A1"/>
    <w:rsid w:val="00850817"/>
    <w:rsid w:val="008530C8"/>
    <w:rsid w:val="0086124E"/>
    <w:rsid w:val="008630FD"/>
    <w:rsid w:val="008652C9"/>
    <w:rsid w:val="00866992"/>
    <w:rsid w:val="00870986"/>
    <w:rsid w:val="00875991"/>
    <w:rsid w:val="00877FDD"/>
    <w:rsid w:val="00880FED"/>
    <w:rsid w:val="008841C8"/>
    <w:rsid w:val="00892BB8"/>
    <w:rsid w:val="00893014"/>
    <w:rsid w:val="00896755"/>
    <w:rsid w:val="008A2417"/>
    <w:rsid w:val="008A5D49"/>
    <w:rsid w:val="008A751E"/>
    <w:rsid w:val="008B0547"/>
    <w:rsid w:val="008B11A3"/>
    <w:rsid w:val="008B1FE5"/>
    <w:rsid w:val="008B434A"/>
    <w:rsid w:val="008B7B55"/>
    <w:rsid w:val="008C3A5B"/>
    <w:rsid w:val="008D6F5D"/>
    <w:rsid w:val="008E003A"/>
    <w:rsid w:val="008E15E3"/>
    <w:rsid w:val="008E4C62"/>
    <w:rsid w:val="008E727E"/>
    <w:rsid w:val="008F2902"/>
    <w:rsid w:val="008F660B"/>
    <w:rsid w:val="009005CE"/>
    <w:rsid w:val="00901376"/>
    <w:rsid w:val="009021A4"/>
    <w:rsid w:val="0091511B"/>
    <w:rsid w:val="009239AA"/>
    <w:rsid w:val="009245B5"/>
    <w:rsid w:val="009339B0"/>
    <w:rsid w:val="00935D76"/>
    <w:rsid w:val="0093795C"/>
    <w:rsid w:val="009444E6"/>
    <w:rsid w:val="00944A8E"/>
    <w:rsid w:val="009455E6"/>
    <w:rsid w:val="00947F98"/>
    <w:rsid w:val="00952B4A"/>
    <w:rsid w:val="00956BA7"/>
    <w:rsid w:val="00956FD8"/>
    <w:rsid w:val="009575F7"/>
    <w:rsid w:val="0096021A"/>
    <w:rsid w:val="00960F73"/>
    <w:rsid w:val="00971139"/>
    <w:rsid w:val="0097401F"/>
    <w:rsid w:val="00981FA0"/>
    <w:rsid w:val="00984366"/>
    <w:rsid w:val="00984E80"/>
    <w:rsid w:val="0098690F"/>
    <w:rsid w:val="00987EE5"/>
    <w:rsid w:val="009923C2"/>
    <w:rsid w:val="00997C8A"/>
    <w:rsid w:val="009A1339"/>
    <w:rsid w:val="009A3006"/>
    <w:rsid w:val="009A3994"/>
    <w:rsid w:val="009B62AF"/>
    <w:rsid w:val="009D1B99"/>
    <w:rsid w:val="009D5445"/>
    <w:rsid w:val="009D565F"/>
    <w:rsid w:val="009D65B9"/>
    <w:rsid w:val="009E04DC"/>
    <w:rsid w:val="009E0FB3"/>
    <w:rsid w:val="009E5105"/>
    <w:rsid w:val="009F1E67"/>
    <w:rsid w:val="00A0244C"/>
    <w:rsid w:val="00A033FF"/>
    <w:rsid w:val="00A1329C"/>
    <w:rsid w:val="00A14E25"/>
    <w:rsid w:val="00A16A60"/>
    <w:rsid w:val="00A17A3D"/>
    <w:rsid w:val="00A2062A"/>
    <w:rsid w:val="00A21E19"/>
    <w:rsid w:val="00A30683"/>
    <w:rsid w:val="00A3115F"/>
    <w:rsid w:val="00A33030"/>
    <w:rsid w:val="00A378A2"/>
    <w:rsid w:val="00A60F52"/>
    <w:rsid w:val="00A63B4C"/>
    <w:rsid w:val="00A664E7"/>
    <w:rsid w:val="00A66E7F"/>
    <w:rsid w:val="00A75C52"/>
    <w:rsid w:val="00A7619D"/>
    <w:rsid w:val="00A767B2"/>
    <w:rsid w:val="00A774C5"/>
    <w:rsid w:val="00A82B9E"/>
    <w:rsid w:val="00A84186"/>
    <w:rsid w:val="00A85B14"/>
    <w:rsid w:val="00A944D7"/>
    <w:rsid w:val="00A9704A"/>
    <w:rsid w:val="00A97AD0"/>
    <w:rsid w:val="00AA1377"/>
    <w:rsid w:val="00AA49AF"/>
    <w:rsid w:val="00AA57CE"/>
    <w:rsid w:val="00AA7540"/>
    <w:rsid w:val="00AC0BAE"/>
    <w:rsid w:val="00AC126F"/>
    <w:rsid w:val="00AE1128"/>
    <w:rsid w:val="00AE1AB0"/>
    <w:rsid w:val="00AE2609"/>
    <w:rsid w:val="00AE439A"/>
    <w:rsid w:val="00AF09C7"/>
    <w:rsid w:val="00B03D35"/>
    <w:rsid w:val="00B05065"/>
    <w:rsid w:val="00B05194"/>
    <w:rsid w:val="00B17303"/>
    <w:rsid w:val="00B2328D"/>
    <w:rsid w:val="00B25143"/>
    <w:rsid w:val="00B2585D"/>
    <w:rsid w:val="00B27359"/>
    <w:rsid w:val="00B321B3"/>
    <w:rsid w:val="00B33FC2"/>
    <w:rsid w:val="00B347F1"/>
    <w:rsid w:val="00B3502B"/>
    <w:rsid w:val="00B35C3E"/>
    <w:rsid w:val="00B36473"/>
    <w:rsid w:val="00B44029"/>
    <w:rsid w:val="00B47943"/>
    <w:rsid w:val="00B50446"/>
    <w:rsid w:val="00B530FD"/>
    <w:rsid w:val="00B54650"/>
    <w:rsid w:val="00B5639B"/>
    <w:rsid w:val="00B57CB0"/>
    <w:rsid w:val="00B60C3E"/>
    <w:rsid w:val="00B64775"/>
    <w:rsid w:val="00B67B4F"/>
    <w:rsid w:val="00B81718"/>
    <w:rsid w:val="00B86AF6"/>
    <w:rsid w:val="00B86E2A"/>
    <w:rsid w:val="00B951C1"/>
    <w:rsid w:val="00B96EA4"/>
    <w:rsid w:val="00B97198"/>
    <w:rsid w:val="00B97A3E"/>
    <w:rsid w:val="00BA2FFD"/>
    <w:rsid w:val="00BB227D"/>
    <w:rsid w:val="00BB37AF"/>
    <w:rsid w:val="00BB4C08"/>
    <w:rsid w:val="00BC5737"/>
    <w:rsid w:val="00BD0BA7"/>
    <w:rsid w:val="00BD3C68"/>
    <w:rsid w:val="00BD421D"/>
    <w:rsid w:val="00BE0777"/>
    <w:rsid w:val="00BE1B8E"/>
    <w:rsid w:val="00BE4614"/>
    <w:rsid w:val="00BE4E6F"/>
    <w:rsid w:val="00BE529D"/>
    <w:rsid w:val="00BE6637"/>
    <w:rsid w:val="00BF0EB2"/>
    <w:rsid w:val="00BF10E8"/>
    <w:rsid w:val="00BF3158"/>
    <w:rsid w:val="00BF79D3"/>
    <w:rsid w:val="00C03A04"/>
    <w:rsid w:val="00C046F7"/>
    <w:rsid w:val="00C10C0B"/>
    <w:rsid w:val="00C1776A"/>
    <w:rsid w:val="00C22519"/>
    <w:rsid w:val="00C2305C"/>
    <w:rsid w:val="00C233D0"/>
    <w:rsid w:val="00C24162"/>
    <w:rsid w:val="00C2509D"/>
    <w:rsid w:val="00C34ABD"/>
    <w:rsid w:val="00C35F43"/>
    <w:rsid w:val="00C44A07"/>
    <w:rsid w:val="00C44BDC"/>
    <w:rsid w:val="00C45BFB"/>
    <w:rsid w:val="00C54B14"/>
    <w:rsid w:val="00C6352A"/>
    <w:rsid w:val="00C65B2D"/>
    <w:rsid w:val="00C65C5D"/>
    <w:rsid w:val="00C711E5"/>
    <w:rsid w:val="00C733F0"/>
    <w:rsid w:val="00C83AEE"/>
    <w:rsid w:val="00C85AC7"/>
    <w:rsid w:val="00C906CD"/>
    <w:rsid w:val="00CA6716"/>
    <w:rsid w:val="00CC14B7"/>
    <w:rsid w:val="00CC42D4"/>
    <w:rsid w:val="00CD2536"/>
    <w:rsid w:val="00CF230D"/>
    <w:rsid w:val="00CF5489"/>
    <w:rsid w:val="00CF7615"/>
    <w:rsid w:val="00D003F8"/>
    <w:rsid w:val="00D024B0"/>
    <w:rsid w:val="00D10769"/>
    <w:rsid w:val="00D116C7"/>
    <w:rsid w:val="00D13AC5"/>
    <w:rsid w:val="00D14E5F"/>
    <w:rsid w:val="00D2041E"/>
    <w:rsid w:val="00D22A8F"/>
    <w:rsid w:val="00D341C9"/>
    <w:rsid w:val="00D3447D"/>
    <w:rsid w:val="00D3488B"/>
    <w:rsid w:val="00D361DE"/>
    <w:rsid w:val="00D46C12"/>
    <w:rsid w:val="00D46C4C"/>
    <w:rsid w:val="00D51F18"/>
    <w:rsid w:val="00D564BB"/>
    <w:rsid w:val="00D565FA"/>
    <w:rsid w:val="00D568ED"/>
    <w:rsid w:val="00D6014E"/>
    <w:rsid w:val="00D630E7"/>
    <w:rsid w:val="00D700E5"/>
    <w:rsid w:val="00D7048E"/>
    <w:rsid w:val="00D76186"/>
    <w:rsid w:val="00D86DD4"/>
    <w:rsid w:val="00D90984"/>
    <w:rsid w:val="00D92529"/>
    <w:rsid w:val="00DA5AAB"/>
    <w:rsid w:val="00DA6858"/>
    <w:rsid w:val="00DB1CD7"/>
    <w:rsid w:val="00DB2651"/>
    <w:rsid w:val="00DB4717"/>
    <w:rsid w:val="00DC6F31"/>
    <w:rsid w:val="00DD6D82"/>
    <w:rsid w:val="00DE045E"/>
    <w:rsid w:val="00DE23D6"/>
    <w:rsid w:val="00DE2CB6"/>
    <w:rsid w:val="00DE2DDE"/>
    <w:rsid w:val="00DE5414"/>
    <w:rsid w:val="00DF0C37"/>
    <w:rsid w:val="00DF2506"/>
    <w:rsid w:val="00DF301A"/>
    <w:rsid w:val="00DF3469"/>
    <w:rsid w:val="00DF3BE2"/>
    <w:rsid w:val="00DF4E2C"/>
    <w:rsid w:val="00DF75EC"/>
    <w:rsid w:val="00DF7CB1"/>
    <w:rsid w:val="00E079C6"/>
    <w:rsid w:val="00E13BB4"/>
    <w:rsid w:val="00E146CF"/>
    <w:rsid w:val="00E23C05"/>
    <w:rsid w:val="00E247E2"/>
    <w:rsid w:val="00E304EB"/>
    <w:rsid w:val="00E329D0"/>
    <w:rsid w:val="00E33746"/>
    <w:rsid w:val="00E36B53"/>
    <w:rsid w:val="00E37585"/>
    <w:rsid w:val="00E45EE9"/>
    <w:rsid w:val="00E469D5"/>
    <w:rsid w:val="00E46CD5"/>
    <w:rsid w:val="00E47F90"/>
    <w:rsid w:val="00E500D9"/>
    <w:rsid w:val="00E51AB5"/>
    <w:rsid w:val="00E52345"/>
    <w:rsid w:val="00E52694"/>
    <w:rsid w:val="00E52763"/>
    <w:rsid w:val="00E563AE"/>
    <w:rsid w:val="00E607C0"/>
    <w:rsid w:val="00E662CD"/>
    <w:rsid w:val="00E67B62"/>
    <w:rsid w:val="00E73271"/>
    <w:rsid w:val="00E74214"/>
    <w:rsid w:val="00E74D52"/>
    <w:rsid w:val="00E75855"/>
    <w:rsid w:val="00E86566"/>
    <w:rsid w:val="00E875F5"/>
    <w:rsid w:val="00E87C16"/>
    <w:rsid w:val="00E92527"/>
    <w:rsid w:val="00E97045"/>
    <w:rsid w:val="00EA270C"/>
    <w:rsid w:val="00EA5CF4"/>
    <w:rsid w:val="00EB09B9"/>
    <w:rsid w:val="00EB7CB1"/>
    <w:rsid w:val="00EC0445"/>
    <w:rsid w:val="00EC1C35"/>
    <w:rsid w:val="00ED0557"/>
    <w:rsid w:val="00ED34D4"/>
    <w:rsid w:val="00ED70D1"/>
    <w:rsid w:val="00EE30EE"/>
    <w:rsid w:val="00EE4BD9"/>
    <w:rsid w:val="00EE5656"/>
    <w:rsid w:val="00EE6DE6"/>
    <w:rsid w:val="00EF057C"/>
    <w:rsid w:val="00EF1D14"/>
    <w:rsid w:val="00EF25FB"/>
    <w:rsid w:val="00F01B31"/>
    <w:rsid w:val="00F03AB9"/>
    <w:rsid w:val="00F0466F"/>
    <w:rsid w:val="00F05A13"/>
    <w:rsid w:val="00F06479"/>
    <w:rsid w:val="00F076C5"/>
    <w:rsid w:val="00F120D9"/>
    <w:rsid w:val="00F124BE"/>
    <w:rsid w:val="00F24C67"/>
    <w:rsid w:val="00F26AE3"/>
    <w:rsid w:val="00F27170"/>
    <w:rsid w:val="00F30016"/>
    <w:rsid w:val="00F31C75"/>
    <w:rsid w:val="00F341CC"/>
    <w:rsid w:val="00F40CAB"/>
    <w:rsid w:val="00F47C5C"/>
    <w:rsid w:val="00F53E20"/>
    <w:rsid w:val="00F54856"/>
    <w:rsid w:val="00F64F51"/>
    <w:rsid w:val="00F765E8"/>
    <w:rsid w:val="00F86D88"/>
    <w:rsid w:val="00F87FA7"/>
    <w:rsid w:val="00F9473C"/>
    <w:rsid w:val="00FA1F86"/>
    <w:rsid w:val="00FA40A3"/>
    <w:rsid w:val="00FB3BA6"/>
    <w:rsid w:val="00FB40F7"/>
    <w:rsid w:val="00FB4D65"/>
    <w:rsid w:val="00FB5954"/>
    <w:rsid w:val="00FB7C09"/>
    <w:rsid w:val="00FC0CDF"/>
    <w:rsid w:val="00FC183A"/>
    <w:rsid w:val="00FC1C7C"/>
    <w:rsid w:val="00FC3D1C"/>
    <w:rsid w:val="00FC5D80"/>
    <w:rsid w:val="00FD08A7"/>
    <w:rsid w:val="00FD2E55"/>
    <w:rsid w:val="00FD2FA9"/>
    <w:rsid w:val="00FF025A"/>
    <w:rsid w:val="00FF088B"/>
    <w:rsid w:val="00FF10AF"/>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C18470EB-72D0-48F4-8CEC-94CCEABD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styleId="PargrafodaLista">
    <w:name w:val="List Paragraph"/>
    <w:basedOn w:val="Normal"/>
    <w:uiPriority w:val="34"/>
    <w:qFormat/>
    <w:rsid w:val="00836356"/>
    <w:pPr>
      <w:ind w:left="720"/>
      <w:contextualSpacing/>
    </w:pPr>
    <w:rPr>
      <w:rFonts w:eastAsia="Times New Roman"/>
    </w:rPr>
  </w:style>
  <w:style w:type="paragraph" w:customStyle="1" w:styleId="TCU-Ac-item9-">
    <w:name w:val="TCU - Ac - item 9 - §§"/>
    <w:basedOn w:val="TCU-RelVoto-1"/>
    <w:qFormat/>
    <w:rsid w:val="00FC5D8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F26F-9403-466F-A9EB-DA57C13F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3592</Words>
  <Characters>19397</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22944</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2010-05-26T15:17:00Z</cp:lastPrinted>
  <dcterms:created xsi:type="dcterms:W3CDTF">2015-05-07T12:33:00Z</dcterms:created>
  <dcterms:modified xsi:type="dcterms:W3CDTF">2015-05-07T12:33:00Z</dcterms:modified>
</cp:coreProperties>
</file>