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37E16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835DB6">
        <w:rPr>
          <w:rFonts w:ascii="Times New Roman" w:hAnsi="Times New Roman"/>
          <w:b/>
          <w:i w:val="0"/>
          <w:sz w:val="22"/>
          <w:szCs w:val="22"/>
        </w:rPr>
        <w:t>1</w:t>
      </w:r>
      <w:r w:rsidR="00CB28B0">
        <w:rPr>
          <w:rFonts w:ascii="Times New Roman" w:hAnsi="Times New Roman"/>
          <w:b/>
          <w:i w:val="0"/>
          <w:sz w:val="22"/>
          <w:szCs w:val="22"/>
        </w:rPr>
        <w:t>2 de outubro (não houve)</w:t>
      </w:r>
      <w:r w:rsidR="00F01B31" w:rsidRPr="00337E16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835DB6">
        <w:rPr>
          <w:rFonts w:ascii="Times New Roman" w:hAnsi="Times New Roman"/>
          <w:b/>
          <w:i w:val="0"/>
          <w:sz w:val="22"/>
          <w:szCs w:val="22"/>
        </w:rPr>
        <w:t>1</w:t>
      </w:r>
      <w:r w:rsidR="00CB28B0">
        <w:rPr>
          <w:rFonts w:ascii="Times New Roman" w:hAnsi="Times New Roman"/>
          <w:b/>
          <w:i w:val="0"/>
          <w:sz w:val="22"/>
          <w:szCs w:val="22"/>
        </w:rPr>
        <w:t>3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CB28B0">
        <w:rPr>
          <w:rFonts w:ascii="Times New Roman" w:hAnsi="Times New Roman"/>
          <w:b/>
          <w:i w:val="0"/>
          <w:sz w:val="22"/>
          <w:szCs w:val="22"/>
        </w:rPr>
        <w:t>outubro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337E16" w:rsidRDefault="009444E6" w:rsidP="00337E16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 w:rsidRPr="00337E16">
        <w:rPr>
          <w:i w:val="0"/>
          <w:iCs w:val="0"/>
          <w:sz w:val="22"/>
          <w:szCs w:val="22"/>
        </w:rPr>
        <w:t>Plenário</w:t>
      </w:r>
    </w:p>
    <w:p w:rsidR="00EB7CB1" w:rsidRDefault="00CB28B0" w:rsidP="0058427E">
      <w:pPr>
        <w:pStyle w:val="indice"/>
        <w:spacing w:before="60" w:line="240" w:lineRule="auto"/>
      </w:pPr>
      <w:r>
        <w:t xml:space="preserve">A simples participação de empresas </w:t>
      </w:r>
      <w:r w:rsidR="004805E9">
        <w:t>cujos</w:t>
      </w:r>
      <w:r>
        <w:t xml:space="preserve"> sócios possuem relação de parentesco não é suficiente para caracterizar fraude à licitação.</w:t>
      </w:r>
    </w:p>
    <w:p w:rsidR="00CB28B0" w:rsidRDefault="00D54455" w:rsidP="00CB28B0">
      <w:pPr>
        <w:pStyle w:val="indice"/>
        <w:spacing w:before="60" w:line="240" w:lineRule="auto"/>
      </w:pPr>
      <w:r>
        <w:t xml:space="preserve">O parecer jurídico, mesmo aquele de caráter eminentemente opinativo, pode </w:t>
      </w:r>
      <w:r w:rsidR="00FE5658">
        <w:t>ensejar</w:t>
      </w:r>
      <w:r>
        <w:t xml:space="preserve"> a responsabilização do agente que, injustificadamente, descuidou do seu dever de bem opinar e orientar.</w:t>
      </w:r>
    </w:p>
    <w:p w:rsidR="00D54455" w:rsidRDefault="004D7DAF" w:rsidP="00CB28B0">
      <w:pPr>
        <w:pStyle w:val="indice"/>
        <w:spacing w:before="60" w:line="240" w:lineRule="auto"/>
      </w:pPr>
      <w:r>
        <w:t xml:space="preserve">Modernização de central telefônica a custo superior ao de </w:t>
      </w:r>
      <w:r w:rsidR="008536D0">
        <w:t xml:space="preserve">sua </w:t>
      </w:r>
      <w:r>
        <w:t>substituição: prática de ato de gestão antieconômico.</w:t>
      </w:r>
    </w:p>
    <w:p w:rsidR="004D7DAF" w:rsidRDefault="007B3800" w:rsidP="00CB28B0">
      <w:pPr>
        <w:pStyle w:val="indice"/>
        <w:spacing w:before="60" w:line="240" w:lineRule="auto"/>
      </w:pPr>
      <w:r>
        <w:t>Pregão para serviços de coleta seletiva conteinerizada, reciclagem, compostagem, transbordo, transporte e destinação final de resíduos.</w:t>
      </w:r>
    </w:p>
    <w:p w:rsidR="007B3800" w:rsidRDefault="004A44C0" w:rsidP="00CB28B0">
      <w:pPr>
        <w:pStyle w:val="indice"/>
        <w:spacing w:before="60" w:line="240" w:lineRule="auto"/>
      </w:pPr>
      <w:r>
        <w:t>Desclassificação de proposta de licitante com base em critério não disposto claramente no edital.</w:t>
      </w:r>
    </w:p>
    <w:p w:rsidR="006808CC" w:rsidRDefault="00FA370A" w:rsidP="00FA370A">
      <w:pPr>
        <w:pStyle w:val="indice"/>
        <w:spacing w:before="60" w:line="240" w:lineRule="auto"/>
      </w:pPr>
      <w:r>
        <w:t>Formalidades exigidas para adesões a atas de registro de preços.</w:t>
      </w:r>
    </w:p>
    <w:p w:rsidR="00A963F2" w:rsidRPr="00337E16" w:rsidRDefault="00281500" w:rsidP="00A963F2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Inovação Legislativa</w:t>
      </w:r>
    </w:p>
    <w:p w:rsidR="00A963F2" w:rsidRDefault="00281500" w:rsidP="00A963F2">
      <w:pPr>
        <w:pStyle w:val="indice"/>
        <w:spacing w:before="60" w:line="240" w:lineRule="auto"/>
      </w:pPr>
      <w:r>
        <w:t>Instrução Normativa SLTI/MP n.º 02, de 11 de outubro de 2010</w:t>
      </w:r>
      <w:r w:rsidR="00A963F2">
        <w:t>.</w:t>
      </w:r>
    </w:p>
    <w:p w:rsidR="003C6DEB" w:rsidRPr="00337E16" w:rsidRDefault="003C6DEB" w:rsidP="00337E16">
      <w:pPr>
        <w:pStyle w:val="indice"/>
        <w:spacing w:line="240" w:lineRule="auto"/>
      </w:pPr>
    </w:p>
    <w:p w:rsidR="003C6DEB" w:rsidRPr="00337E16" w:rsidRDefault="003C6DEB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Default="003C6DEB" w:rsidP="00337E1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9E5105" w:rsidRPr="00CB28B0" w:rsidRDefault="00CB28B0" w:rsidP="009E5105">
      <w:pPr>
        <w:pStyle w:val="indice"/>
        <w:spacing w:before="60" w:line="240" w:lineRule="auto"/>
        <w:rPr>
          <w:b/>
        </w:rPr>
      </w:pPr>
      <w:r w:rsidRPr="00CB28B0">
        <w:rPr>
          <w:b/>
        </w:rPr>
        <w:t xml:space="preserve">A simples participação de empresas </w:t>
      </w:r>
      <w:r w:rsidR="004805E9">
        <w:rPr>
          <w:b/>
        </w:rPr>
        <w:t>cujos</w:t>
      </w:r>
      <w:r w:rsidRPr="00CB28B0">
        <w:rPr>
          <w:b/>
        </w:rPr>
        <w:t xml:space="preserve"> sócios possuem relação de parentesco não é suficiente para caracterizar fraude à licitação</w:t>
      </w:r>
    </w:p>
    <w:p w:rsidR="009E5105" w:rsidRPr="00337E16" w:rsidRDefault="004805E9" w:rsidP="00042987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CB28B0" w:rsidRPr="00CB28B0">
        <w:rPr>
          <w:sz w:val="22"/>
          <w:szCs w:val="22"/>
        </w:rPr>
        <w:t xml:space="preserve">epresentação formulada </w:t>
      </w:r>
      <w:r>
        <w:rPr>
          <w:sz w:val="22"/>
          <w:szCs w:val="22"/>
        </w:rPr>
        <w:t>ao TCU noticiou</w:t>
      </w:r>
      <w:r w:rsidR="00CB28B0" w:rsidRPr="00CB28B0">
        <w:rPr>
          <w:sz w:val="22"/>
          <w:szCs w:val="22"/>
        </w:rPr>
        <w:t xml:space="preserve"> possíveis irregularidades envolvendo o Pregão Eletrônico n</w:t>
      </w:r>
      <w:r>
        <w:rPr>
          <w:sz w:val="22"/>
          <w:szCs w:val="22"/>
        </w:rPr>
        <w:t>.</w:t>
      </w:r>
      <w:r w:rsidR="00CB28B0" w:rsidRPr="00CB28B0">
        <w:rPr>
          <w:sz w:val="22"/>
          <w:szCs w:val="22"/>
        </w:rPr>
        <w:t>º 062/7029-2009, promovido pela Caixa Econômica Federal</w:t>
      </w:r>
      <w:r w:rsidR="00C14972">
        <w:rPr>
          <w:sz w:val="22"/>
          <w:szCs w:val="22"/>
        </w:rPr>
        <w:t xml:space="preserve"> (CEF)</w:t>
      </w:r>
      <w:r w:rsidR="00CB28B0" w:rsidRPr="00CB28B0">
        <w:rPr>
          <w:sz w:val="22"/>
          <w:szCs w:val="22"/>
        </w:rPr>
        <w:t xml:space="preserve"> no Estado da Bahia, destinado a contratar Call Center pelo período de 24 meses.</w:t>
      </w:r>
      <w:r>
        <w:rPr>
          <w:sz w:val="22"/>
          <w:szCs w:val="22"/>
        </w:rPr>
        <w:t xml:space="preserve"> A</w:t>
      </w:r>
      <w:r w:rsidR="00CB28B0" w:rsidRPr="00CB28B0">
        <w:rPr>
          <w:sz w:val="22"/>
          <w:szCs w:val="22"/>
        </w:rPr>
        <w:t xml:space="preserve"> representante alud</w:t>
      </w:r>
      <w:r>
        <w:rPr>
          <w:sz w:val="22"/>
          <w:szCs w:val="22"/>
        </w:rPr>
        <w:t>ia</w:t>
      </w:r>
      <w:r w:rsidR="00CB28B0" w:rsidRPr="00CB28B0">
        <w:rPr>
          <w:sz w:val="22"/>
          <w:szCs w:val="22"/>
        </w:rPr>
        <w:t xml:space="preserve"> a possíveis indícios de fraude à licitação perpetrad</w:t>
      </w:r>
      <w:r w:rsidR="00042987">
        <w:rPr>
          <w:sz w:val="22"/>
          <w:szCs w:val="22"/>
        </w:rPr>
        <w:t>a</w:t>
      </w:r>
      <w:r w:rsidR="00CB28B0" w:rsidRPr="00CB28B0">
        <w:rPr>
          <w:sz w:val="22"/>
          <w:szCs w:val="22"/>
        </w:rPr>
        <w:t xml:space="preserve"> por empresas participantes do certame, a saber, Grenit Serviços de Telemarketing Ltda. e PCS Serviços de Processamentos de Dados</w:t>
      </w:r>
      <w:r w:rsidR="0005488C">
        <w:rPr>
          <w:sz w:val="22"/>
          <w:szCs w:val="22"/>
        </w:rPr>
        <w:t xml:space="preserve"> </w:t>
      </w:r>
      <w:r w:rsidR="00CB28B0" w:rsidRPr="00CB28B0">
        <w:rPr>
          <w:sz w:val="22"/>
          <w:szCs w:val="22"/>
        </w:rPr>
        <w:t>Ltda.</w:t>
      </w:r>
      <w:r w:rsidR="0005488C">
        <w:rPr>
          <w:sz w:val="22"/>
          <w:szCs w:val="22"/>
        </w:rPr>
        <w:t>, consistentes em: a)</w:t>
      </w:r>
      <w:r w:rsidR="00CB28B0" w:rsidRPr="00CB28B0">
        <w:rPr>
          <w:sz w:val="22"/>
          <w:szCs w:val="22"/>
        </w:rPr>
        <w:t xml:space="preserve"> endereços coincidentes das duas </w:t>
      </w:r>
      <w:r w:rsidR="0051754D">
        <w:rPr>
          <w:sz w:val="22"/>
          <w:szCs w:val="22"/>
        </w:rPr>
        <w:t>licitantes</w:t>
      </w:r>
      <w:r w:rsidR="00CB28B0" w:rsidRPr="00CB28B0">
        <w:rPr>
          <w:sz w:val="22"/>
          <w:szCs w:val="22"/>
        </w:rPr>
        <w:t>;</w:t>
      </w:r>
      <w:r w:rsidR="0005488C">
        <w:rPr>
          <w:sz w:val="22"/>
          <w:szCs w:val="22"/>
        </w:rPr>
        <w:t xml:space="preserve"> b) </w:t>
      </w:r>
      <w:r w:rsidR="00CB28B0" w:rsidRPr="00CB28B0">
        <w:rPr>
          <w:sz w:val="22"/>
          <w:szCs w:val="22"/>
        </w:rPr>
        <w:t>as sedes das duas empresas estariam situadas na mesma cidade de São Lourenço da Serra/SP;</w:t>
      </w:r>
      <w:r w:rsidR="0005488C">
        <w:rPr>
          <w:sz w:val="22"/>
          <w:szCs w:val="22"/>
        </w:rPr>
        <w:t xml:space="preserve"> c) </w:t>
      </w:r>
      <w:r w:rsidR="00CB28B0" w:rsidRPr="00CB28B0">
        <w:rPr>
          <w:sz w:val="22"/>
          <w:szCs w:val="22"/>
        </w:rPr>
        <w:t>o telefone comercial seria o mesmo, nos termos indicados nas propostas comerciais;</w:t>
      </w:r>
      <w:r w:rsidR="0005488C">
        <w:rPr>
          <w:sz w:val="22"/>
          <w:szCs w:val="22"/>
        </w:rPr>
        <w:t xml:space="preserve"> </w:t>
      </w:r>
      <w:r w:rsidR="0051754D">
        <w:rPr>
          <w:sz w:val="22"/>
          <w:szCs w:val="22"/>
        </w:rPr>
        <w:t>d</w:t>
      </w:r>
      <w:r w:rsidR="0005488C">
        <w:rPr>
          <w:sz w:val="22"/>
          <w:szCs w:val="22"/>
        </w:rPr>
        <w:t xml:space="preserve">) </w:t>
      </w:r>
      <w:r w:rsidR="00CB28B0" w:rsidRPr="00CB28B0">
        <w:rPr>
          <w:sz w:val="22"/>
          <w:szCs w:val="22"/>
        </w:rPr>
        <w:t xml:space="preserve">similaridade de dados constantes </w:t>
      </w:r>
      <w:r w:rsidR="00B12BF0">
        <w:rPr>
          <w:sz w:val="22"/>
          <w:szCs w:val="22"/>
        </w:rPr>
        <w:t>d</w:t>
      </w:r>
      <w:r w:rsidR="00CB28B0" w:rsidRPr="00CB28B0">
        <w:rPr>
          <w:sz w:val="22"/>
          <w:szCs w:val="22"/>
        </w:rPr>
        <w:t>as propostas das referidas empresas, tais como data e hora de criação do arquivo, modificação, número de revisão etc.;</w:t>
      </w:r>
      <w:r w:rsidR="0005488C">
        <w:rPr>
          <w:sz w:val="22"/>
          <w:szCs w:val="22"/>
        </w:rPr>
        <w:t xml:space="preserve"> </w:t>
      </w:r>
      <w:r w:rsidR="0051754D">
        <w:rPr>
          <w:sz w:val="22"/>
          <w:szCs w:val="22"/>
        </w:rPr>
        <w:t>e</w:t>
      </w:r>
      <w:r w:rsidR="0005488C">
        <w:rPr>
          <w:sz w:val="22"/>
          <w:szCs w:val="22"/>
        </w:rPr>
        <w:t xml:space="preserve">) </w:t>
      </w:r>
      <w:r w:rsidR="00CB28B0" w:rsidRPr="00CB28B0">
        <w:rPr>
          <w:sz w:val="22"/>
          <w:szCs w:val="22"/>
        </w:rPr>
        <w:t xml:space="preserve">similaridade de conteúdo e forma </w:t>
      </w:r>
      <w:r w:rsidR="0033777B">
        <w:rPr>
          <w:sz w:val="22"/>
          <w:szCs w:val="22"/>
        </w:rPr>
        <w:t>d</w:t>
      </w:r>
      <w:r w:rsidR="00CB28B0" w:rsidRPr="00CB28B0">
        <w:rPr>
          <w:sz w:val="22"/>
          <w:szCs w:val="22"/>
        </w:rPr>
        <w:t>as propostas des</w:t>
      </w:r>
      <w:r w:rsidR="0051754D">
        <w:rPr>
          <w:sz w:val="22"/>
          <w:szCs w:val="22"/>
        </w:rPr>
        <w:t>s</w:t>
      </w:r>
      <w:r w:rsidR="00CB28B0" w:rsidRPr="00CB28B0">
        <w:rPr>
          <w:sz w:val="22"/>
          <w:szCs w:val="22"/>
        </w:rPr>
        <w:t>as empresas, mesmo sem a disponibilização de formulário específico em anexo ao edital do certame.</w:t>
      </w:r>
      <w:r w:rsidR="0005488C">
        <w:rPr>
          <w:sz w:val="22"/>
          <w:szCs w:val="22"/>
        </w:rPr>
        <w:t xml:space="preserve"> </w:t>
      </w:r>
      <w:r w:rsidR="006421E7">
        <w:rPr>
          <w:sz w:val="22"/>
          <w:szCs w:val="22"/>
        </w:rPr>
        <w:t>Segundo</w:t>
      </w:r>
      <w:r w:rsidR="0005488C">
        <w:rPr>
          <w:sz w:val="22"/>
          <w:szCs w:val="22"/>
        </w:rPr>
        <w:t xml:space="preserve"> o relator, o mérito do proces</w:t>
      </w:r>
      <w:r w:rsidR="00CB28B0" w:rsidRPr="00CB28B0">
        <w:rPr>
          <w:sz w:val="22"/>
          <w:szCs w:val="22"/>
        </w:rPr>
        <w:t>so consist</w:t>
      </w:r>
      <w:r w:rsidR="0005488C">
        <w:rPr>
          <w:sz w:val="22"/>
          <w:szCs w:val="22"/>
        </w:rPr>
        <w:t>iria</w:t>
      </w:r>
      <w:r w:rsidR="00CB28B0" w:rsidRPr="00CB28B0">
        <w:rPr>
          <w:sz w:val="22"/>
          <w:szCs w:val="22"/>
        </w:rPr>
        <w:t xml:space="preserve"> em apreciar se efetivamente os indícios de irregularidades </w:t>
      </w:r>
      <w:r w:rsidR="0005488C">
        <w:rPr>
          <w:sz w:val="22"/>
          <w:szCs w:val="22"/>
        </w:rPr>
        <w:t>tin</w:t>
      </w:r>
      <w:r w:rsidR="00042987">
        <w:rPr>
          <w:sz w:val="22"/>
          <w:szCs w:val="22"/>
        </w:rPr>
        <w:t>ha</w:t>
      </w:r>
      <w:r w:rsidR="0005488C">
        <w:rPr>
          <w:sz w:val="22"/>
          <w:szCs w:val="22"/>
        </w:rPr>
        <w:t>m</w:t>
      </w:r>
      <w:r w:rsidR="00CB28B0" w:rsidRPr="00CB28B0">
        <w:rPr>
          <w:sz w:val="22"/>
          <w:szCs w:val="22"/>
        </w:rPr>
        <w:t xml:space="preserve"> o condão de caracterizar a existência de fraude à licitação</w:t>
      </w:r>
      <w:r w:rsidR="0033777B">
        <w:rPr>
          <w:sz w:val="22"/>
          <w:szCs w:val="22"/>
        </w:rPr>
        <w:t>,</w:t>
      </w:r>
      <w:r w:rsidR="00CB28B0" w:rsidRPr="00CB28B0">
        <w:rPr>
          <w:sz w:val="22"/>
          <w:szCs w:val="22"/>
        </w:rPr>
        <w:t xml:space="preserve"> </w:t>
      </w:r>
      <w:r w:rsidR="0005488C" w:rsidRPr="0005488C">
        <w:rPr>
          <w:i/>
          <w:sz w:val="22"/>
          <w:szCs w:val="22"/>
        </w:rPr>
        <w:t>“</w:t>
      </w:r>
      <w:r w:rsidR="00CB28B0" w:rsidRPr="0005488C">
        <w:rPr>
          <w:i/>
          <w:sz w:val="22"/>
          <w:szCs w:val="22"/>
        </w:rPr>
        <w:t>apta a desaguar na declaração de inidoneidade para licitar com a administração pública das empresas ouvidas em audiência e a culminar na determinação para a anulação do procedimento</w:t>
      </w:r>
      <w:r w:rsidR="0005488C" w:rsidRPr="0005488C">
        <w:rPr>
          <w:i/>
          <w:sz w:val="22"/>
          <w:szCs w:val="22"/>
        </w:rPr>
        <w:t>”</w:t>
      </w:r>
      <w:r w:rsidR="00CB28B0" w:rsidRPr="00CB28B0">
        <w:rPr>
          <w:sz w:val="22"/>
          <w:szCs w:val="22"/>
        </w:rPr>
        <w:t xml:space="preserve">. Quanto ao primeiro aspecto, </w:t>
      </w:r>
      <w:r w:rsidR="0005488C">
        <w:rPr>
          <w:sz w:val="22"/>
          <w:szCs w:val="22"/>
        </w:rPr>
        <w:t>concluiu assistir razão ao</w:t>
      </w:r>
      <w:r w:rsidR="00CB28B0" w:rsidRPr="00CB28B0">
        <w:rPr>
          <w:sz w:val="22"/>
          <w:szCs w:val="22"/>
        </w:rPr>
        <w:t xml:space="preserve"> Ministério Público junto ao TCU, </w:t>
      </w:r>
      <w:r w:rsidR="003F54F0">
        <w:rPr>
          <w:sz w:val="22"/>
          <w:szCs w:val="22"/>
        </w:rPr>
        <w:t>ao</w:t>
      </w:r>
      <w:r w:rsidR="00CB28B0" w:rsidRPr="00CB28B0">
        <w:rPr>
          <w:sz w:val="22"/>
          <w:szCs w:val="22"/>
        </w:rPr>
        <w:t xml:space="preserve"> aduz</w:t>
      </w:r>
      <w:r w:rsidR="0005488C">
        <w:rPr>
          <w:sz w:val="22"/>
          <w:szCs w:val="22"/>
        </w:rPr>
        <w:t>i</w:t>
      </w:r>
      <w:r w:rsidR="003F54F0">
        <w:rPr>
          <w:sz w:val="22"/>
          <w:szCs w:val="22"/>
        </w:rPr>
        <w:t>r</w:t>
      </w:r>
      <w:r w:rsidR="00CB28B0" w:rsidRPr="00CB28B0">
        <w:rPr>
          <w:sz w:val="22"/>
          <w:szCs w:val="22"/>
        </w:rPr>
        <w:t xml:space="preserve"> que </w:t>
      </w:r>
      <w:r w:rsidR="0005488C" w:rsidRPr="0005488C">
        <w:rPr>
          <w:i/>
          <w:sz w:val="22"/>
          <w:szCs w:val="22"/>
        </w:rPr>
        <w:t>“</w:t>
      </w:r>
      <w:r w:rsidR="00CB28B0" w:rsidRPr="0005488C">
        <w:rPr>
          <w:i/>
          <w:sz w:val="22"/>
          <w:szCs w:val="22"/>
        </w:rPr>
        <w:t>a simples participação de empresa</w:t>
      </w:r>
      <w:r w:rsidR="0005488C" w:rsidRPr="0005488C">
        <w:rPr>
          <w:i/>
          <w:sz w:val="22"/>
          <w:szCs w:val="22"/>
        </w:rPr>
        <w:t>s</w:t>
      </w:r>
      <w:r w:rsidR="00CB28B0" w:rsidRPr="0005488C">
        <w:rPr>
          <w:i/>
          <w:sz w:val="22"/>
          <w:szCs w:val="22"/>
        </w:rPr>
        <w:t xml:space="preserve"> em que os sócios possuam relação de parentesco, ou mesmo de endereço, não se mostrou suficiente a caracterizar fraude à licitação, em especial ante a modalidade licitatória adotada, o pregão eletrônico</w:t>
      </w:r>
      <w:r w:rsidR="0005488C" w:rsidRPr="0005488C">
        <w:rPr>
          <w:i/>
          <w:sz w:val="22"/>
          <w:szCs w:val="22"/>
        </w:rPr>
        <w:t>”</w:t>
      </w:r>
      <w:r w:rsidR="00CB28B0" w:rsidRPr="00CB28B0">
        <w:rPr>
          <w:sz w:val="22"/>
          <w:szCs w:val="22"/>
        </w:rPr>
        <w:t>.</w:t>
      </w:r>
      <w:r w:rsidR="006421E7">
        <w:rPr>
          <w:sz w:val="22"/>
          <w:szCs w:val="22"/>
        </w:rPr>
        <w:t xml:space="preserve"> Haveria</w:t>
      </w:r>
      <w:r w:rsidR="003026B2">
        <w:rPr>
          <w:sz w:val="22"/>
          <w:szCs w:val="22"/>
        </w:rPr>
        <w:t>, portanto,</w:t>
      </w:r>
      <w:r w:rsidR="0005488C">
        <w:rPr>
          <w:sz w:val="22"/>
          <w:szCs w:val="22"/>
        </w:rPr>
        <w:t xml:space="preserve"> que se examinar </w:t>
      </w:r>
      <w:r w:rsidR="003026B2">
        <w:rPr>
          <w:sz w:val="22"/>
          <w:szCs w:val="22"/>
        </w:rPr>
        <w:t>t</w:t>
      </w:r>
      <w:r w:rsidR="00CB28B0" w:rsidRPr="00CB28B0">
        <w:rPr>
          <w:sz w:val="22"/>
          <w:szCs w:val="22"/>
        </w:rPr>
        <w:t>a</w:t>
      </w:r>
      <w:r w:rsidR="003026B2">
        <w:rPr>
          <w:sz w:val="22"/>
          <w:szCs w:val="22"/>
        </w:rPr>
        <w:t>l</w:t>
      </w:r>
      <w:r w:rsidR="00CB28B0" w:rsidRPr="00CB28B0">
        <w:rPr>
          <w:sz w:val="22"/>
          <w:szCs w:val="22"/>
        </w:rPr>
        <w:t xml:space="preserve"> situação em conjunto com outras informações. </w:t>
      </w:r>
      <w:r w:rsidR="006421E7">
        <w:rPr>
          <w:sz w:val="22"/>
          <w:szCs w:val="22"/>
        </w:rPr>
        <w:t>Foi justamente n</w:t>
      </w:r>
      <w:r w:rsidR="00CB28B0" w:rsidRPr="00CB28B0">
        <w:rPr>
          <w:sz w:val="22"/>
          <w:szCs w:val="22"/>
        </w:rPr>
        <w:t>es</w:t>
      </w:r>
      <w:r w:rsidR="0005488C">
        <w:rPr>
          <w:sz w:val="22"/>
          <w:szCs w:val="22"/>
        </w:rPr>
        <w:t>s</w:t>
      </w:r>
      <w:r w:rsidR="00CB28B0" w:rsidRPr="00CB28B0">
        <w:rPr>
          <w:sz w:val="22"/>
          <w:szCs w:val="22"/>
        </w:rPr>
        <w:t xml:space="preserve">e sentido a manifestação do Ministério Público: </w:t>
      </w:r>
      <w:r w:rsidR="00CB28B0" w:rsidRPr="00CB28B0">
        <w:rPr>
          <w:i/>
          <w:sz w:val="22"/>
          <w:szCs w:val="22"/>
        </w:rPr>
        <w:t xml:space="preserve">“Em primeiro plano, observa-se que a licitação em tela ocorreu na modalidade pregão, na qual o Poder Público não pode de antemão escolher as empresas que irão participar do certame, como ocorre em um simples convite, havendo reduzido espaço para ajustes entre os agentes públicos e as empresas concorrentes. Ressalte-se que, na licitação sob exame, houve a participação efetiva de 13 empresas, tendo sido habilitadas quatro concorrentes para a fase de lances, etapa em que resultou vencedora a empresa ora </w:t>
      </w:r>
      <w:r w:rsidR="00F661DB">
        <w:rPr>
          <w:i/>
          <w:sz w:val="22"/>
          <w:szCs w:val="22"/>
        </w:rPr>
        <w:t>representante</w:t>
      </w:r>
      <w:r w:rsidR="006421E7">
        <w:rPr>
          <w:i/>
          <w:sz w:val="22"/>
          <w:szCs w:val="22"/>
        </w:rPr>
        <w:t>,</w:t>
      </w:r>
      <w:r w:rsidR="00CB28B0" w:rsidRPr="00CB28B0">
        <w:rPr>
          <w:i/>
          <w:sz w:val="22"/>
          <w:szCs w:val="22"/>
        </w:rPr>
        <w:t xml:space="preserve"> após disputa acirrada com a empresa Grenit.</w:t>
      </w:r>
      <w:r w:rsidR="0005488C">
        <w:rPr>
          <w:i/>
          <w:sz w:val="22"/>
          <w:szCs w:val="22"/>
        </w:rPr>
        <w:t xml:space="preserve"> </w:t>
      </w:r>
      <w:r w:rsidR="00CB28B0" w:rsidRPr="00CB28B0">
        <w:rPr>
          <w:i/>
          <w:sz w:val="22"/>
          <w:szCs w:val="22"/>
        </w:rPr>
        <w:t>Ora, nesse cenário, não se vislumbra nenhum movimento concertado das empresas Grenit e PCS com o objetivo de fraudar o certame, tendo sido preservado o caráter competitivo da licitação. Assim, não há suporte fático ou jurídico para anular o Pregão Eletrônico nº 062/7029-2009, tampouco para infligir declaração de inidoneidade às empresas licitantes, nos termos aduzidos pela Unidade Técnica.</w:t>
      </w:r>
      <w:r w:rsidR="00F661DB">
        <w:rPr>
          <w:i/>
          <w:sz w:val="22"/>
          <w:szCs w:val="22"/>
        </w:rPr>
        <w:t xml:space="preserve"> </w:t>
      </w:r>
      <w:r w:rsidR="00CB28B0" w:rsidRPr="00CB28B0">
        <w:rPr>
          <w:i/>
          <w:sz w:val="22"/>
          <w:szCs w:val="22"/>
        </w:rPr>
        <w:t xml:space="preserve">Cumpre reiterar que a empresa ora </w:t>
      </w:r>
      <w:r w:rsidR="00F661DB">
        <w:rPr>
          <w:i/>
          <w:sz w:val="22"/>
          <w:szCs w:val="22"/>
        </w:rPr>
        <w:t>representante</w:t>
      </w:r>
      <w:r w:rsidR="00CB28B0" w:rsidRPr="00CB28B0">
        <w:rPr>
          <w:i/>
          <w:sz w:val="22"/>
          <w:szCs w:val="22"/>
        </w:rPr>
        <w:t>, Politec Tecnologia da Informação S. A., foi a vencedora na etapa de lances e apenas não lhe foi adjudicado o objeto porque se constatou posteriormente que o prédio que indicou para abrigar o Call Center não atendia aos requisitos exigidos no edital do certame.”</w:t>
      </w:r>
      <w:r w:rsidR="00CB070B">
        <w:rPr>
          <w:sz w:val="22"/>
          <w:szCs w:val="22"/>
        </w:rPr>
        <w:t xml:space="preserve">. Não obstante concordar com o </w:t>
      </w:r>
      <w:r w:rsidR="00CB28B0" w:rsidRPr="00CB28B0">
        <w:rPr>
          <w:sz w:val="22"/>
          <w:szCs w:val="22"/>
        </w:rPr>
        <w:t xml:space="preserve">representante do </w:t>
      </w:r>
      <w:r w:rsidR="00CB28B0" w:rsidRPr="00CB070B">
        <w:rPr>
          <w:i/>
          <w:sz w:val="22"/>
          <w:szCs w:val="22"/>
        </w:rPr>
        <w:t>Parquet</w:t>
      </w:r>
      <w:r w:rsidR="00CB28B0" w:rsidRPr="00CB28B0">
        <w:rPr>
          <w:sz w:val="22"/>
          <w:szCs w:val="22"/>
        </w:rPr>
        <w:t xml:space="preserve"> especializado, </w:t>
      </w:r>
      <w:r w:rsidR="00CB070B">
        <w:rPr>
          <w:sz w:val="22"/>
          <w:szCs w:val="22"/>
        </w:rPr>
        <w:t xml:space="preserve">o relator ressaltou não ter como </w:t>
      </w:r>
      <w:r w:rsidR="00CB28B0" w:rsidRPr="00CB28B0">
        <w:rPr>
          <w:sz w:val="22"/>
          <w:szCs w:val="22"/>
        </w:rPr>
        <w:t xml:space="preserve">considerar afastada a ocorrência de situação que, a </w:t>
      </w:r>
      <w:r w:rsidR="00CB070B">
        <w:rPr>
          <w:sz w:val="22"/>
          <w:szCs w:val="22"/>
        </w:rPr>
        <w:t>seu</w:t>
      </w:r>
      <w:r w:rsidR="00CB28B0" w:rsidRPr="00CB28B0">
        <w:rPr>
          <w:sz w:val="22"/>
          <w:szCs w:val="22"/>
        </w:rPr>
        <w:t xml:space="preserve"> ver, macula</w:t>
      </w:r>
      <w:r w:rsidR="00CB070B">
        <w:rPr>
          <w:sz w:val="22"/>
          <w:szCs w:val="22"/>
        </w:rPr>
        <w:t>va</w:t>
      </w:r>
      <w:r w:rsidR="00CB28B0" w:rsidRPr="00CB28B0">
        <w:rPr>
          <w:sz w:val="22"/>
          <w:szCs w:val="22"/>
        </w:rPr>
        <w:t xml:space="preserve"> a idoneidade do certame. Ref</w:t>
      </w:r>
      <w:r w:rsidR="00CB070B">
        <w:rPr>
          <w:sz w:val="22"/>
          <w:szCs w:val="22"/>
        </w:rPr>
        <w:t>e</w:t>
      </w:r>
      <w:r w:rsidR="00CB28B0" w:rsidRPr="00CB28B0">
        <w:rPr>
          <w:sz w:val="22"/>
          <w:szCs w:val="22"/>
        </w:rPr>
        <w:t>r</w:t>
      </w:r>
      <w:r w:rsidR="00CB070B">
        <w:rPr>
          <w:sz w:val="22"/>
          <w:szCs w:val="22"/>
        </w:rPr>
        <w:t>iu</w:t>
      </w:r>
      <w:r w:rsidR="00CB28B0" w:rsidRPr="00CB28B0">
        <w:rPr>
          <w:sz w:val="22"/>
          <w:szCs w:val="22"/>
        </w:rPr>
        <w:t>-</w:t>
      </w:r>
      <w:r w:rsidR="00CB070B">
        <w:rPr>
          <w:sz w:val="22"/>
          <w:szCs w:val="22"/>
        </w:rPr>
        <w:t>s</w:t>
      </w:r>
      <w:r w:rsidR="00CB28B0" w:rsidRPr="00CB28B0">
        <w:rPr>
          <w:sz w:val="22"/>
          <w:szCs w:val="22"/>
        </w:rPr>
        <w:t>e ao fato de que, embora as circunstâncias objetivas de identidade de sócios, endereços e compartilhamento de instalações e as demais circunstâncias que envolv</w:t>
      </w:r>
      <w:r w:rsidR="00CB070B">
        <w:rPr>
          <w:sz w:val="22"/>
          <w:szCs w:val="22"/>
        </w:rPr>
        <w:t>ia</w:t>
      </w:r>
      <w:r w:rsidR="00CB28B0" w:rsidRPr="00CB28B0">
        <w:rPr>
          <w:sz w:val="22"/>
          <w:szCs w:val="22"/>
        </w:rPr>
        <w:t xml:space="preserve">m o caso não </w:t>
      </w:r>
      <w:r w:rsidR="00CB070B">
        <w:rPr>
          <w:sz w:val="22"/>
          <w:szCs w:val="22"/>
        </w:rPr>
        <w:t>fossem</w:t>
      </w:r>
      <w:r w:rsidR="00CB28B0" w:rsidRPr="00CB28B0">
        <w:rPr>
          <w:sz w:val="22"/>
          <w:szCs w:val="22"/>
        </w:rPr>
        <w:t xml:space="preserve"> suficientes</w:t>
      </w:r>
      <w:r w:rsidR="00CB070B">
        <w:rPr>
          <w:sz w:val="22"/>
          <w:szCs w:val="22"/>
        </w:rPr>
        <w:t>,</w:t>
      </w:r>
      <w:r w:rsidR="00CB28B0" w:rsidRPr="00CB28B0">
        <w:rPr>
          <w:sz w:val="22"/>
          <w:szCs w:val="22"/>
        </w:rPr>
        <w:t xml:space="preserve"> por si só</w:t>
      </w:r>
      <w:r w:rsidR="000A6B54">
        <w:rPr>
          <w:sz w:val="22"/>
          <w:szCs w:val="22"/>
        </w:rPr>
        <w:t>s</w:t>
      </w:r>
      <w:r w:rsidR="00CB070B">
        <w:rPr>
          <w:sz w:val="22"/>
          <w:szCs w:val="22"/>
        </w:rPr>
        <w:t>,</w:t>
      </w:r>
      <w:r w:rsidR="00CB28B0" w:rsidRPr="00CB28B0">
        <w:rPr>
          <w:sz w:val="22"/>
          <w:szCs w:val="22"/>
        </w:rPr>
        <w:t xml:space="preserve"> para ter por confirmada a existência de fraude, </w:t>
      </w:r>
      <w:r w:rsidR="00CB070B">
        <w:rPr>
          <w:sz w:val="22"/>
          <w:szCs w:val="22"/>
        </w:rPr>
        <w:t>seriam</w:t>
      </w:r>
      <w:r w:rsidR="00CB28B0" w:rsidRPr="00CB28B0">
        <w:rPr>
          <w:sz w:val="22"/>
          <w:szCs w:val="22"/>
        </w:rPr>
        <w:t xml:space="preserve"> suficientemente indicadoras de que </w:t>
      </w:r>
      <w:r w:rsidR="00CB070B" w:rsidRPr="00CB070B">
        <w:rPr>
          <w:i/>
          <w:sz w:val="22"/>
          <w:szCs w:val="22"/>
        </w:rPr>
        <w:t>“</w:t>
      </w:r>
      <w:r w:rsidR="00CB28B0" w:rsidRPr="00CB070B">
        <w:rPr>
          <w:i/>
          <w:sz w:val="22"/>
          <w:szCs w:val="22"/>
        </w:rPr>
        <w:t>houve a quebra de sigilo das propostas</w:t>
      </w:r>
      <w:r w:rsidR="00CB070B" w:rsidRPr="00CB070B">
        <w:rPr>
          <w:i/>
          <w:sz w:val="22"/>
          <w:szCs w:val="22"/>
        </w:rPr>
        <w:t>”</w:t>
      </w:r>
      <w:r w:rsidR="00CB28B0" w:rsidRPr="00CB28B0">
        <w:rPr>
          <w:sz w:val="22"/>
          <w:szCs w:val="22"/>
        </w:rPr>
        <w:t xml:space="preserve">. </w:t>
      </w:r>
      <w:r w:rsidR="00042987">
        <w:rPr>
          <w:sz w:val="22"/>
          <w:szCs w:val="22"/>
        </w:rPr>
        <w:t xml:space="preserve">Nos termos do voto do relator, decidiu o Plenário fixar prazo </w:t>
      </w:r>
      <w:r w:rsidR="00CB28B0" w:rsidRPr="00CB28B0">
        <w:rPr>
          <w:sz w:val="22"/>
          <w:szCs w:val="22"/>
        </w:rPr>
        <w:t xml:space="preserve">à </w:t>
      </w:r>
      <w:r w:rsidR="00C14972">
        <w:rPr>
          <w:sz w:val="22"/>
          <w:szCs w:val="22"/>
        </w:rPr>
        <w:t>CEF</w:t>
      </w:r>
      <w:r w:rsidR="00CB28B0" w:rsidRPr="00CB28B0">
        <w:rPr>
          <w:sz w:val="22"/>
          <w:szCs w:val="22"/>
        </w:rPr>
        <w:t xml:space="preserve"> </w:t>
      </w:r>
      <w:r w:rsidR="00042987">
        <w:rPr>
          <w:sz w:val="22"/>
          <w:szCs w:val="22"/>
        </w:rPr>
        <w:t>para adotar</w:t>
      </w:r>
      <w:r w:rsidR="00CB28B0" w:rsidRPr="00CB28B0">
        <w:rPr>
          <w:sz w:val="22"/>
          <w:szCs w:val="22"/>
        </w:rPr>
        <w:t xml:space="preserve"> as providências necessárias à anulação do </w:t>
      </w:r>
      <w:r w:rsidR="00042987">
        <w:rPr>
          <w:sz w:val="22"/>
          <w:szCs w:val="22"/>
        </w:rPr>
        <w:t>aludido p</w:t>
      </w:r>
      <w:r w:rsidR="00CB28B0" w:rsidRPr="00CB28B0">
        <w:rPr>
          <w:sz w:val="22"/>
          <w:szCs w:val="22"/>
        </w:rPr>
        <w:t xml:space="preserve">regão </w:t>
      </w:r>
      <w:r w:rsidR="00042987">
        <w:rPr>
          <w:sz w:val="22"/>
          <w:szCs w:val="22"/>
        </w:rPr>
        <w:t>e</w:t>
      </w:r>
      <w:r w:rsidR="00CB28B0" w:rsidRPr="00CB28B0">
        <w:rPr>
          <w:sz w:val="22"/>
          <w:szCs w:val="22"/>
        </w:rPr>
        <w:t xml:space="preserve">letrônico, </w:t>
      </w:r>
      <w:r w:rsidR="00042987">
        <w:rPr>
          <w:sz w:val="22"/>
          <w:szCs w:val="22"/>
        </w:rPr>
        <w:t>sem prejuízo de</w:t>
      </w:r>
      <w:r w:rsidR="00C14972">
        <w:rPr>
          <w:sz w:val="22"/>
          <w:szCs w:val="22"/>
        </w:rPr>
        <w:t xml:space="preserve"> </w:t>
      </w:r>
      <w:r w:rsidR="00DB6F67">
        <w:rPr>
          <w:sz w:val="22"/>
          <w:szCs w:val="22"/>
        </w:rPr>
        <w:t xml:space="preserve">expedir-lhe </w:t>
      </w:r>
      <w:r w:rsidR="00C14972">
        <w:rPr>
          <w:sz w:val="22"/>
          <w:szCs w:val="22"/>
        </w:rPr>
        <w:t>alerta</w:t>
      </w:r>
      <w:r w:rsidR="00DB6F67">
        <w:rPr>
          <w:sz w:val="22"/>
          <w:szCs w:val="22"/>
        </w:rPr>
        <w:t xml:space="preserve"> no sentido de</w:t>
      </w:r>
      <w:r w:rsidR="00C14972">
        <w:rPr>
          <w:sz w:val="22"/>
          <w:szCs w:val="22"/>
        </w:rPr>
        <w:t xml:space="preserve"> que</w:t>
      </w:r>
      <w:r w:rsidR="00042987">
        <w:rPr>
          <w:sz w:val="22"/>
          <w:szCs w:val="22"/>
        </w:rPr>
        <w:t xml:space="preserve"> </w:t>
      </w:r>
      <w:r w:rsidR="00042987" w:rsidRPr="00042987">
        <w:rPr>
          <w:i/>
          <w:sz w:val="22"/>
          <w:szCs w:val="22"/>
        </w:rPr>
        <w:t>“</w:t>
      </w:r>
      <w:r w:rsidR="00CB28B0" w:rsidRPr="00042987">
        <w:rPr>
          <w:i/>
          <w:sz w:val="22"/>
          <w:szCs w:val="22"/>
        </w:rPr>
        <w:t>a continuidade de procedimentos licitatórios nos quais se identifique violação ao sigilo das propostas entre os concorrentes viola os princípios que norteiam a Administração Pública Federal, notadamente os da moralidade e da isonomia entre os licitantes</w:t>
      </w:r>
      <w:r w:rsidR="00042987" w:rsidRPr="00042987">
        <w:rPr>
          <w:i/>
          <w:sz w:val="22"/>
          <w:szCs w:val="22"/>
        </w:rPr>
        <w:t>”</w:t>
      </w:r>
      <w:r w:rsidR="00042987">
        <w:rPr>
          <w:sz w:val="22"/>
          <w:szCs w:val="22"/>
        </w:rPr>
        <w:t xml:space="preserve">. </w:t>
      </w:r>
      <w:r w:rsidR="0005488C">
        <w:rPr>
          <w:sz w:val="22"/>
          <w:szCs w:val="22"/>
        </w:rPr>
        <w:t xml:space="preserve">Precedente citado: </w:t>
      </w:r>
      <w:r w:rsidR="0005488C" w:rsidRPr="00CB28B0">
        <w:rPr>
          <w:sz w:val="22"/>
          <w:szCs w:val="22"/>
        </w:rPr>
        <w:t>Acórdão n</w:t>
      </w:r>
      <w:r w:rsidR="00042987">
        <w:rPr>
          <w:sz w:val="22"/>
          <w:szCs w:val="22"/>
        </w:rPr>
        <w:t>.</w:t>
      </w:r>
      <w:r w:rsidR="0005488C" w:rsidRPr="00CB28B0">
        <w:rPr>
          <w:sz w:val="22"/>
          <w:szCs w:val="22"/>
        </w:rPr>
        <w:t>º 2136/2006-Primeira Câmara</w:t>
      </w:r>
      <w:r w:rsidR="0005488C">
        <w:rPr>
          <w:sz w:val="22"/>
          <w:szCs w:val="22"/>
        </w:rPr>
        <w:t>.</w:t>
      </w:r>
      <w:r w:rsidR="00042987">
        <w:rPr>
          <w:sz w:val="22"/>
          <w:szCs w:val="22"/>
        </w:rPr>
        <w:t xml:space="preserve"> </w:t>
      </w:r>
      <w:r w:rsidR="009E5105" w:rsidRPr="00337E16">
        <w:rPr>
          <w:b/>
          <w:i/>
          <w:sz w:val="22"/>
          <w:szCs w:val="22"/>
        </w:rPr>
        <w:t xml:space="preserve">Acórdão n.º </w:t>
      </w:r>
      <w:r w:rsidR="00061C2E">
        <w:rPr>
          <w:b/>
          <w:i/>
          <w:sz w:val="22"/>
          <w:szCs w:val="22"/>
        </w:rPr>
        <w:t>2</w:t>
      </w:r>
      <w:r w:rsidR="00CB28B0">
        <w:rPr>
          <w:b/>
          <w:i/>
          <w:sz w:val="22"/>
          <w:szCs w:val="22"/>
        </w:rPr>
        <w:t>72</w:t>
      </w:r>
      <w:r w:rsidR="00061C2E">
        <w:rPr>
          <w:b/>
          <w:i/>
          <w:sz w:val="22"/>
          <w:szCs w:val="22"/>
        </w:rPr>
        <w:t>5</w:t>
      </w:r>
      <w:r w:rsidR="009E5105" w:rsidRPr="00337E16">
        <w:rPr>
          <w:b/>
          <w:i/>
          <w:sz w:val="22"/>
          <w:szCs w:val="22"/>
        </w:rPr>
        <w:t>/2010</w:t>
      </w:r>
      <w:r w:rsidR="009E5105">
        <w:rPr>
          <w:b/>
          <w:i/>
          <w:sz w:val="22"/>
          <w:szCs w:val="22"/>
        </w:rPr>
        <w:t>-Plenário</w:t>
      </w:r>
      <w:r w:rsidR="009E5105" w:rsidRPr="00337E16">
        <w:rPr>
          <w:b/>
          <w:i/>
          <w:sz w:val="22"/>
          <w:szCs w:val="22"/>
        </w:rPr>
        <w:t>, TC-0</w:t>
      </w:r>
      <w:r w:rsidR="009E5105">
        <w:rPr>
          <w:b/>
          <w:i/>
          <w:sz w:val="22"/>
          <w:szCs w:val="22"/>
        </w:rPr>
        <w:t>0</w:t>
      </w:r>
      <w:r w:rsidR="00CB28B0">
        <w:rPr>
          <w:b/>
          <w:i/>
          <w:sz w:val="22"/>
          <w:szCs w:val="22"/>
        </w:rPr>
        <w:t>9</w:t>
      </w:r>
      <w:r w:rsidR="009E5105" w:rsidRPr="00337E16">
        <w:rPr>
          <w:b/>
          <w:i/>
          <w:sz w:val="22"/>
          <w:szCs w:val="22"/>
        </w:rPr>
        <w:t>.</w:t>
      </w:r>
      <w:r w:rsidR="00CB28B0">
        <w:rPr>
          <w:b/>
          <w:i/>
          <w:sz w:val="22"/>
          <w:szCs w:val="22"/>
        </w:rPr>
        <w:t>422</w:t>
      </w:r>
      <w:r w:rsidR="009E5105" w:rsidRPr="00337E16">
        <w:rPr>
          <w:b/>
          <w:i/>
          <w:sz w:val="22"/>
          <w:szCs w:val="22"/>
        </w:rPr>
        <w:t>/20</w:t>
      </w:r>
      <w:r w:rsidR="009E5105">
        <w:rPr>
          <w:b/>
          <w:i/>
          <w:sz w:val="22"/>
          <w:szCs w:val="22"/>
        </w:rPr>
        <w:t>10</w:t>
      </w:r>
      <w:r w:rsidR="009E5105" w:rsidRPr="00337E16">
        <w:rPr>
          <w:b/>
          <w:i/>
          <w:sz w:val="22"/>
          <w:szCs w:val="22"/>
        </w:rPr>
        <w:t>-</w:t>
      </w:r>
      <w:r w:rsidR="00CB28B0">
        <w:rPr>
          <w:b/>
          <w:i/>
          <w:sz w:val="22"/>
          <w:szCs w:val="22"/>
        </w:rPr>
        <w:t>2</w:t>
      </w:r>
      <w:r w:rsidR="009E5105" w:rsidRPr="00337E16">
        <w:rPr>
          <w:b/>
          <w:i/>
          <w:sz w:val="22"/>
          <w:szCs w:val="22"/>
        </w:rPr>
        <w:t>, rel. Min</w:t>
      </w:r>
      <w:r w:rsidR="009E5105">
        <w:rPr>
          <w:b/>
          <w:i/>
          <w:sz w:val="22"/>
          <w:szCs w:val="22"/>
        </w:rPr>
        <w:t xml:space="preserve">. </w:t>
      </w:r>
      <w:r w:rsidR="00061C2E">
        <w:rPr>
          <w:b/>
          <w:i/>
          <w:sz w:val="22"/>
          <w:szCs w:val="22"/>
        </w:rPr>
        <w:t>Valmir Campelo</w:t>
      </w:r>
      <w:r w:rsidR="009E5105" w:rsidRPr="00337E16">
        <w:rPr>
          <w:b/>
          <w:i/>
          <w:sz w:val="22"/>
          <w:szCs w:val="22"/>
        </w:rPr>
        <w:t>, 1</w:t>
      </w:r>
      <w:r w:rsidR="00CB28B0">
        <w:rPr>
          <w:b/>
          <w:i/>
          <w:sz w:val="22"/>
          <w:szCs w:val="22"/>
        </w:rPr>
        <w:t>3</w:t>
      </w:r>
      <w:r w:rsidR="009E5105" w:rsidRPr="00337E16">
        <w:rPr>
          <w:b/>
          <w:i/>
          <w:sz w:val="22"/>
          <w:szCs w:val="22"/>
        </w:rPr>
        <w:t>.</w:t>
      </w:r>
      <w:r w:rsidR="00CB28B0">
        <w:rPr>
          <w:b/>
          <w:i/>
          <w:sz w:val="22"/>
          <w:szCs w:val="22"/>
        </w:rPr>
        <w:t>10</w:t>
      </w:r>
      <w:r w:rsidR="009E5105" w:rsidRPr="00337E16">
        <w:rPr>
          <w:b/>
          <w:i/>
          <w:sz w:val="22"/>
          <w:szCs w:val="22"/>
        </w:rPr>
        <w:t>.2010</w:t>
      </w:r>
      <w:r w:rsidR="009E5105" w:rsidRPr="00337E16">
        <w:rPr>
          <w:sz w:val="22"/>
          <w:szCs w:val="22"/>
        </w:rPr>
        <w:t>.</w:t>
      </w:r>
    </w:p>
    <w:p w:rsidR="009E5105" w:rsidRPr="00337E16" w:rsidRDefault="009E5105" w:rsidP="009E5105">
      <w:pPr>
        <w:pStyle w:val="indice"/>
        <w:tabs>
          <w:tab w:val="left" w:pos="567"/>
        </w:tabs>
        <w:spacing w:before="60" w:line="240" w:lineRule="auto"/>
      </w:pPr>
    </w:p>
    <w:p w:rsidR="0055716D" w:rsidRPr="00D373E4" w:rsidRDefault="00D373E4" w:rsidP="0055716D">
      <w:pPr>
        <w:pStyle w:val="enter-3pt"/>
        <w:spacing w:line="240" w:lineRule="auto"/>
        <w:rPr>
          <w:b/>
          <w:sz w:val="22"/>
          <w:szCs w:val="22"/>
        </w:rPr>
      </w:pPr>
      <w:r w:rsidRPr="00D373E4">
        <w:rPr>
          <w:b/>
          <w:sz w:val="22"/>
          <w:szCs w:val="22"/>
        </w:rPr>
        <w:t xml:space="preserve">O parecer jurídico, mesmo aquele de caráter eminentemente opinativo, pode </w:t>
      </w:r>
      <w:r w:rsidR="00FE5658">
        <w:rPr>
          <w:b/>
          <w:sz w:val="22"/>
          <w:szCs w:val="22"/>
        </w:rPr>
        <w:t>ensejar</w:t>
      </w:r>
      <w:r w:rsidRPr="00D373E4">
        <w:rPr>
          <w:b/>
          <w:sz w:val="22"/>
          <w:szCs w:val="22"/>
        </w:rPr>
        <w:t xml:space="preserve"> a responsabilização do agente que, injustificadamente, descuidou do seu dever de bem opinar e orientar</w:t>
      </w:r>
    </w:p>
    <w:p w:rsidR="00D373E4" w:rsidRPr="00337E16" w:rsidRDefault="00546B4A" w:rsidP="00E91EE1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Por intermédio do </w:t>
      </w:r>
      <w:r w:rsidRPr="00D373E4">
        <w:rPr>
          <w:sz w:val="22"/>
          <w:szCs w:val="22"/>
        </w:rPr>
        <w:t xml:space="preserve">Acórdão </w:t>
      </w:r>
      <w:r w:rsidR="003220EC">
        <w:rPr>
          <w:sz w:val="22"/>
          <w:szCs w:val="22"/>
        </w:rPr>
        <w:t xml:space="preserve">n.º </w:t>
      </w:r>
      <w:r w:rsidRPr="00D373E4">
        <w:rPr>
          <w:sz w:val="22"/>
          <w:szCs w:val="22"/>
        </w:rPr>
        <w:t>1.898/2010-Plenário</w:t>
      </w:r>
      <w:r>
        <w:rPr>
          <w:sz w:val="22"/>
          <w:szCs w:val="22"/>
        </w:rPr>
        <w:t xml:space="preserve">, o Tribunal </w:t>
      </w:r>
      <w:r w:rsidRPr="00D373E4">
        <w:rPr>
          <w:sz w:val="22"/>
          <w:szCs w:val="22"/>
        </w:rPr>
        <w:t xml:space="preserve">aplicou multa </w:t>
      </w:r>
      <w:r w:rsidR="003220EC">
        <w:rPr>
          <w:sz w:val="22"/>
          <w:szCs w:val="22"/>
        </w:rPr>
        <w:t xml:space="preserve">ao </w:t>
      </w:r>
      <w:r w:rsidR="003220EC" w:rsidRPr="00D373E4">
        <w:rPr>
          <w:sz w:val="22"/>
          <w:szCs w:val="22"/>
        </w:rPr>
        <w:t>ex-Procurador Geral do Estado de Tocantins</w:t>
      </w:r>
      <w:r w:rsidR="003220EC">
        <w:rPr>
          <w:sz w:val="22"/>
          <w:szCs w:val="22"/>
        </w:rPr>
        <w:t xml:space="preserve"> e à</w:t>
      </w:r>
      <w:r w:rsidR="003220EC" w:rsidRPr="00D373E4">
        <w:rPr>
          <w:sz w:val="22"/>
          <w:szCs w:val="22"/>
        </w:rPr>
        <w:t xml:space="preserve"> ex-Coordenadora da Procuradoria Administrativa</w:t>
      </w:r>
      <w:r w:rsidR="003220EC">
        <w:rPr>
          <w:sz w:val="22"/>
          <w:szCs w:val="22"/>
        </w:rPr>
        <w:t>, responsáveis</w:t>
      </w:r>
      <w:r w:rsidRPr="00D373E4">
        <w:rPr>
          <w:sz w:val="22"/>
          <w:szCs w:val="22"/>
        </w:rPr>
        <w:t xml:space="preserve"> pela emissão de parecer que fundamentou a celebração de contrato com objeto excessivamente amplo, destinado a suportar diversas outras subcontratações, frustrando a aplicação do princípio licitatório.</w:t>
      </w:r>
      <w:r>
        <w:rPr>
          <w:sz w:val="22"/>
          <w:szCs w:val="22"/>
        </w:rPr>
        <w:t xml:space="preserve"> Contra o aludido </w:t>
      </w:r>
      <w:r w:rsidRPr="00546B4A">
        <w:rPr>
          <w:b/>
          <w:sz w:val="22"/>
          <w:szCs w:val="22"/>
        </w:rPr>
        <w:t>decisum</w:t>
      </w:r>
      <w:r>
        <w:rPr>
          <w:sz w:val="22"/>
          <w:szCs w:val="22"/>
        </w:rPr>
        <w:t xml:space="preserve">, </w:t>
      </w:r>
      <w:r w:rsidR="003220EC">
        <w:rPr>
          <w:sz w:val="22"/>
          <w:szCs w:val="22"/>
        </w:rPr>
        <w:t>os responsáveis opuseram</w:t>
      </w:r>
      <w:r>
        <w:rPr>
          <w:sz w:val="22"/>
          <w:szCs w:val="22"/>
        </w:rPr>
        <w:t xml:space="preserve"> </w:t>
      </w:r>
      <w:r w:rsidR="00D373E4" w:rsidRPr="00D373E4">
        <w:rPr>
          <w:sz w:val="22"/>
          <w:szCs w:val="22"/>
        </w:rPr>
        <w:t>embargos declaratórios</w:t>
      </w:r>
      <w:r w:rsidR="003220EC">
        <w:rPr>
          <w:sz w:val="22"/>
          <w:szCs w:val="22"/>
        </w:rPr>
        <w:t>, a</w:t>
      </w:r>
      <w:r w:rsidR="00D373E4" w:rsidRPr="00D373E4">
        <w:rPr>
          <w:sz w:val="22"/>
          <w:szCs w:val="22"/>
        </w:rPr>
        <w:t>ponta</w:t>
      </w:r>
      <w:r w:rsidR="003220EC">
        <w:rPr>
          <w:sz w:val="22"/>
          <w:szCs w:val="22"/>
        </w:rPr>
        <w:t>ndo</w:t>
      </w:r>
      <w:r w:rsidR="00D373E4" w:rsidRPr="00D373E4">
        <w:rPr>
          <w:sz w:val="22"/>
          <w:szCs w:val="22"/>
        </w:rPr>
        <w:t xml:space="preserve"> basicamente duas contradições. Por um lado, o </w:t>
      </w:r>
      <w:r w:rsidR="00D373E4" w:rsidRPr="00D373E4">
        <w:rPr>
          <w:b/>
          <w:sz w:val="22"/>
          <w:szCs w:val="22"/>
        </w:rPr>
        <w:t>decisum</w:t>
      </w:r>
      <w:r w:rsidR="00D373E4" w:rsidRPr="00D373E4">
        <w:rPr>
          <w:sz w:val="22"/>
          <w:szCs w:val="22"/>
        </w:rPr>
        <w:t xml:space="preserve"> teria considerado que o parecer que respaldou dispensa de licitação considerada irregular possuía</w:t>
      </w:r>
      <w:r w:rsidR="00470F69">
        <w:rPr>
          <w:sz w:val="22"/>
          <w:szCs w:val="22"/>
        </w:rPr>
        <w:t>,</w:t>
      </w:r>
      <w:r w:rsidR="00D373E4" w:rsidRPr="00D373E4">
        <w:rPr>
          <w:sz w:val="22"/>
          <w:szCs w:val="22"/>
        </w:rPr>
        <w:t xml:space="preserve"> a um só tempo</w:t>
      </w:r>
      <w:r w:rsidR="00470F69">
        <w:rPr>
          <w:sz w:val="22"/>
          <w:szCs w:val="22"/>
        </w:rPr>
        <w:t>,</w:t>
      </w:r>
      <w:r w:rsidR="00D373E4" w:rsidRPr="00D373E4">
        <w:rPr>
          <w:sz w:val="22"/>
          <w:szCs w:val="22"/>
        </w:rPr>
        <w:t xml:space="preserve"> natureza opinativa e vinculante.</w:t>
      </w:r>
      <w:r w:rsidR="00470F69">
        <w:rPr>
          <w:sz w:val="22"/>
          <w:szCs w:val="22"/>
        </w:rPr>
        <w:t xml:space="preserve"> </w:t>
      </w:r>
      <w:r w:rsidR="00D373E4" w:rsidRPr="00D373E4">
        <w:rPr>
          <w:sz w:val="22"/>
          <w:szCs w:val="22"/>
        </w:rPr>
        <w:t xml:space="preserve">Por outro lado, o acórdão teria erroneamente atribuído caráter vinculativo ao parecer pelo simples fato de ele ser obrigatório, uma vez que </w:t>
      </w:r>
      <w:r w:rsidR="001A2870">
        <w:rPr>
          <w:sz w:val="22"/>
          <w:szCs w:val="22"/>
        </w:rPr>
        <w:t xml:space="preserve">a </w:t>
      </w:r>
      <w:r w:rsidR="001A2870" w:rsidRPr="00D373E4">
        <w:rPr>
          <w:sz w:val="22"/>
          <w:szCs w:val="22"/>
        </w:rPr>
        <w:t xml:space="preserve">Lei </w:t>
      </w:r>
      <w:r w:rsidR="001A2870">
        <w:rPr>
          <w:sz w:val="22"/>
          <w:szCs w:val="22"/>
        </w:rPr>
        <w:t xml:space="preserve">n.º </w:t>
      </w:r>
      <w:r w:rsidR="001A2870" w:rsidRPr="00D373E4">
        <w:rPr>
          <w:sz w:val="22"/>
          <w:szCs w:val="22"/>
        </w:rPr>
        <w:t>8.666/93</w:t>
      </w:r>
      <w:r w:rsidR="00D373E4" w:rsidRPr="00D373E4">
        <w:rPr>
          <w:sz w:val="22"/>
          <w:szCs w:val="22"/>
        </w:rPr>
        <w:t xml:space="preserve"> obriga a submissão das minutas de editais e contratos ao setor jurídico do órgão ou entidade interessa</w:t>
      </w:r>
      <w:r w:rsidR="001A2870">
        <w:rPr>
          <w:sz w:val="22"/>
          <w:szCs w:val="22"/>
        </w:rPr>
        <w:t>do (art. 38, parágrafo único</w:t>
      </w:r>
      <w:r w:rsidR="00D373E4" w:rsidRPr="00D373E4">
        <w:rPr>
          <w:sz w:val="22"/>
          <w:szCs w:val="22"/>
        </w:rPr>
        <w:t>).</w:t>
      </w:r>
      <w:r w:rsidR="00470F69">
        <w:rPr>
          <w:sz w:val="22"/>
          <w:szCs w:val="22"/>
        </w:rPr>
        <w:t xml:space="preserve"> No entanto, de acordo com o relator</w:t>
      </w:r>
      <w:r w:rsidR="00D373E4" w:rsidRPr="00D373E4">
        <w:rPr>
          <w:sz w:val="22"/>
          <w:szCs w:val="22"/>
        </w:rPr>
        <w:t>, a simples leitura do voto condutor do acórdão embargado demonstra</w:t>
      </w:r>
      <w:r w:rsidR="00470F69">
        <w:rPr>
          <w:sz w:val="22"/>
          <w:szCs w:val="22"/>
        </w:rPr>
        <w:t>va</w:t>
      </w:r>
      <w:r w:rsidR="00D373E4" w:rsidRPr="00D373E4">
        <w:rPr>
          <w:sz w:val="22"/>
          <w:szCs w:val="22"/>
        </w:rPr>
        <w:t xml:space="preserve"> claramente que nenhuma dessas linhas de entendimento fo</w:t>
      </w:r>
      <w:r w:rsidR="00E57B69">
        <w:rPr>
          <w:sz w:val="22"/>
          <w:szCs w:val="22"/>
        </w:rPr>
        <w:t>ra</w:t>
      </w:r>
      <w:r w:rsidR="00D373E4" w:rsidRPr="00D373E4">
        <w:rPr>
          <w:sz w:val="22"/>
          <w:szCs w:val="22"/>
        </w:rPr>
        <w:t xml:space="preserve"> adotada como razões de decidir. Em nenhum momento</w:t>
      </w:r>
      <w:r w:rsidR="00470F69">
        <w:rPr>
          <w:sz w:val="22"/>
          <w:szCs w:val="22"/>
        </w:rPr>
        <w:t>, afirmou o relator,</w:t>
      </w:r>
      <w:r w:rsidR="00D373E4" w:rsidRPr="00D373E4">
        <w:rPr>
          <w:sz w:val="22"/>
          <w:szCs w:val="22"/>
        </w:rPr>
        <w:t xml:space="preserve"> </w:t>
      </w:r>
      <w:r w:rsidR="00E57B69">
        <w:rPr>
          <w:sz w:val="22"/>
          <w:szCs w:val="22"/>
        </w:rPr>
        <w:t>teria sido</w:t>
      </w:r>
      <w:r w:rsidR="00D373E4" w:rsidRPr="00D373E4">
        <w:rPr>
          <w:sz w:val="22"/>
          <w:szCs w:val="22"/>
        </w:rPr>
        <w:t xml:space="preserve"> dito que o parecer prévio a que se refere o </w:t>
      </w:r>
      <w:r w:rsidR="001A2870">
        <w:rPr>
          <w:sz w:val="22"/>
          <w:szCs w:val="22"/>
        </w:rPr>
        <w:t>referido dispositivo legal</w:t>
      </w:r>
      <w:r w:rsidR="00D373E4" w:rsidRPr="00D373E4">
        <w:rPr>
          <w:sz w:val="22"/>
          <w:szCs w:val="22"/>
        </w:rPr>
        <w:t xml:space="preserve"> </w:t>
      </w:r>
      <w:r w:rsidR="001A2870" w:rsidRPr="001A2870">
        <w:rPr>
          <w:i/>
          <w:sz w:val="22"/>
          <w:szCs w:val="22"/>
        </w:rPr>
        <w:t>“</w:t>
      </w:r>
      <w:r w:rsidR="00D373E4" w:rsidRPr="001A2870">
        <w:rPr>
          <w:i/>
          <w:sz w:val="22"/>
          <w:szCs w:val="22"/>
        </w:rPr>
        <w:t>possui caráter vinculante da autoridade administrativa requisitante e, muito menos, que esse caráter advinha da simples previsão legal</w:t>
      </w:r>
      <w:r w:rsidR="001A2870" w:rsidRPr="001A2870">
        <w:rPr>
          <w:i/>
          <w:sz w:val="22"/>
          <w:szCs w:val="22"/>
        </w:rPr>
        <w:t>”</w:t>
      </w:r>
      <w:r w:rsidR="00D373E4" w:rsidRPr="00D373E4">
        <w:rPr>
          <w:sz w:val="22"/>
          <w:szCs w:val="22"/>
        </w:rPr>
        <w:t>.</w:t>
      </w:r>
      <w:r w:rsidR="00470F69">
        <w:rPr>
          <w:sz w:val="22"/>
          <w:szCs w:val="22"/>
        </w:rPr>
        <w:t xml:space="preserve"> </w:t>
      </w:r>
      <w:r w:rsidR="00D373E4" w:rsidRPr="00D373E4">
        <w:rPr>
          <w:sz w:val="22"/>
          <w:szCs w:val="22"/>
        </w:rPr>
        <w:t xml:space="preserve">Diferentemente, </w:t>
      </w:r>
      <w:r w:rsidR="00D373E4" w:rsidRPr="001A2870">
        <w:rPr>
          <w:sz w:val="22"/>
          <w:szCs w:val="22"/>
        </w:rPr>
        <w:t xml:space="preserve">o que houve foi o </w:t>
      </w:r>
      <w:r w:rsidR="001A2870">
        <w:rPr>
          <w:i/>
          <w:sz w:val="22"/>
          <w:szCs w:val="22"/>
        </w:rPr>
        <w:t>“</w:t>
      </w:r>
      <w:r w:rsidR="00D373E4" w:rsidRPr="00470F69">
        <w:rPr>
          <w:i/>
          <w:sz w:val="22"/>
          <w:szCs w:val="22"/>
        </w:rPr>
        <w:t>reconhecimento da força lógica da tese segundo a qual o gestor não está obrigado a observar as orientações emanadas de parecer meramente opinativo, arcando com a maior parte da responsabilidade, senão toda, advinda da eventual prática de ato contrário à legislação</w:t>
      </w:r>
      <w:r w:rsidR="00470F69" w:rsidRPr="00470F69">
        <w:rPr>
          <w:i/>
          <w:sz w:val="22"/>
          <w:szCs w:val="22"/>
        </w:rPr>
        <w:t>”</w:t>
      </w:r>
      <w:r w:rsidR="00D373E4" w:rsidRPr="00D373E4">
        <w:rPr>
          <w:sz w:val="22"/>
          <w:szCs w:val="22"/>
        </w:rPr>
        <w:t xml:space="preserve">. </w:t>
      </w:r>
      <w:r w:rsidR="00470F69">
        <w:rPr>
          <w:sz w:val="22"/>
          <w:szCs w:val="22"/>
        </w:rPr>
        <w:t>Para o relator,</w:t>
      </w:r>
      <w:r w:rsidR="00D373E4" w:rsidRPr="00D373E4">
        <w:rPr>
          <w:sz w:val="22"/>
          <w:szCs w:val="22"/>
        </w:rPr>
        <w:t xml:space="preserve"> </w:t>
      </w:r>
      <w:r w:rsidR="00ED474E">
        <w:rPr>
          <w:sz w:val="22"/>
          <w:szCs w:val="22"/>
        </w:rPr>
        <w:t xml:space="preserve">no entanto, </w:t>
      </w:r>
      <w:r w:rsidR="00D373E4" w:rsidRPr="00D373E4">
        <w:rPr>
          <w:sz w:val="22"/>
          <w:szCs w:val="22"/>
        </w:rPr>
        <w:t>o simples fato de o parecer ser reconhecidamente de caráter opinativo não tem o condão de liberar automaticamente seus autores de toda e qualquer responsabilidade. Resta</w:t>
      </w:r>
      <w:r w:rsidR="00470F69">
        <w:rPr>
          <w:sz w:val="22"/>
          <w:szCs w:val="22"/>
        </w:rPr>
        <w:t>ria,</w:t>
      </w:r>
      <w:r w:rsidR="00D373E4" w:rsidRPr="00D373E4">
        <w:rPr>
          <w:sz w:val="22"/>
          <w:szCs w:val="22"/>
        </w:rPr>
        <w:t xml:space="preserve"> ainda</w:t>
      </w:r>
      <w:r w:rsidR="00470F69">
        <w:rPr>
          <w:sz w:val="22"/>
          <w:szCs w:val="22"/>
        </w:rPr>
        <w:t>,</w:t>
      </w:r>
      <w:r w:rsidR="00D373E4" w:rsidRPr="00D373E4">
        <w:rPr>
          <w:sz w:val="22"/>
          <w:szCs w:val="22"/>
        </w:rPr>
        <w:t xml:space="preserve"> a responsabilidade pela produção da própria peça opinativa, </w:t>
      </w:r>
      <w:r w:rsidR="00470F69" w:rsidRPr="00470F69">
        <w:rPr>
          <w:i/>
          <w:sz w:val="22"/>
          <w:szCs w:val="22"/>
        </w:rPr>
        <w:t>“</w:t>
      </w:r>
      <w:r w:rsidR="00D373E4" w:rsidRPr="00470F69">
        <w:rPr>
          <w:i/>
          <w:sz w:val="22"/>
          <w:szCs w:val="22"/>
        </w:rPr>
        <w:t>que não pode dissociar-se dos objetivos que a lei para ela estabelece</w:t>
      </w:r>
      <w:r w:rsidR="00470F69" w:rsidRPr="00470F69">
        <w:rPr>
          <w:i/>
          <w:sz w:val="22"/>
          <w:szCs w:val="22"/>
        </w:rPr>
        <w:t>”</w:t>
      </w:r>
      <w:r w:rsidR="00D373E4" w:rsidRPr="00D373E4">
        <w:rPr>
          <w:sz w:val="22"/>
          <w:szCs w:val="22"/>
        </w:rPr>
        <w:t xml:space="preserve">. Ao não alertar o gestor para as manifestas ilegalidades implícitas na contratação pretendida, </w:t>
      </w:r>
      <w:r w:rsidR="00470F69" w:rsidRPr="00470F69">
        <w:rPr>
          <w:i/>
          <w:sz w:val="22"/>
          <w:szCs w:val="22"/>
        </w:rPr>
        <w:t>“</w:t>
      </w:r>
      <w:r w:rsidR="00D373E4" w:rsidRPr="00470F69">
        <w:rPr>
          <w:i/>
          <w:sz w:val="22"/>
          <w:szCs w:val="22"/>
        </w:rPr>
        <w:t>o parecer deixa de cumprir a função precípua que lhe reserva a lei</w:t>
      </w:r>
      <w:r w:rsidR="00470F69" w:rsidRPr="00470F69">
        <w:rPr>
          <w:i/>
          <w:sz w:val="22"/>
          <w:szCs w:val="22"/>
        </w:rPr>
        <w:t>”</w:t>
      </w:r>
      <w:r w:rsidR="00D373E4" w:rsidRPr="00D373E4">
        <w:rPr>
          <w:sz w:val="22"/>
          <w:szCs w:val="22"/>
        </w:rPr>
        <w:t xml:space="preserve">, atraindo inevitavelmente a responsabilidade dos seus autores, salvo o erro de avaliação ou a omissão escusáveis, excludentes </w:t>
      </w:r>
      <w:r w:rsidR="00470F69">
        <w:rPr>
          <w:sz w:val="22"/>
          <w:szCs w:val="22"/>
        </w:rPr>
        <w:t>reputados, pelo relator,</w:t>
      </w:r>
      <w:r w:rsidR="00F55063">
        <w:rPr>
          <w:sz w:val="22"/>
          <w:szCs w:val="22"/>
        </w:rPr>
        <w:t xml:space="preserve"> inexistentes no caso.</w:t>
      </w:r>
      <w:r w:rsidR="00470F69">
        <w:rPr>
          <w:sz w:val="22"/>
          <w:szCs w:val="22"/>
        </w:rPr>
        <w:t xml:space="preserve"> </w:t>
      </w:r>
      <w:r w:rsidR="00D373E4" w:rsidRPr="00D373E4">
        <w:rPr>
          <w:sz w:val="22"/>
          <w:szCs w:val="22"/>
        </w:rPr>
        <w:t xml:space="preserve">Concretamente, </w:t>
      </w:r>
      <w:r w:rsidR="00470F69">
        <w:rPr>
          <w:sz w:val="22"/>
          <w:szCs w:val="22"/>
        </w:rPr>
        <w:t xml:space="preserve">o relator entendeu que </w:t>
      </w:r>
      <w:r w:rsidR="00D373E4" w:rsidRPr="00D373E4">
        <w:rPr>
          <w:sz w:val="22"/>
          <w:szCs w:val="22"/>
        </w:rPr>
        <w:t xml:space="preserve">a irregularidade da dispensa de licitação pretendida pelo gestor era flagrante e foi expressamente apontada no voto condutor da deliberação embargada. </w:t>
      </w:r>
      <w:r w:rsidR="00470F69">
        <w:rPr>
          <w:sz w:val="22"/>
          <w:szCs w:val="22"/>
        </w:rPr>
        <w:t xml:space="preserve">Para </w:t>
      </w:r>
      <w:r w:rsidR="008956EC">
        <w:rPr>
          <w:sz w:val="22"/>
          <w:szCs w:val="22"/>
        </w:rPr>
        <w:t>ele</w:t>
      </w:r>
      <w:r w:rsidR="00470F69">
        <w:rPr>
          <w:sz w:val="22"/>
          <w:szCs w:val="22"/>
        </w:rPr>
        <w:t xml:space="preserve">, </w:t>
      </w:r>
      <w:r w:rsidR="00470F69" w:rsidRPr="00E91EE1">
        <w:rPr>
          <w:i/>
          <w:sz w:val="22"/>
          <w:szCs w:val="22"/>
        </w:rPr>
        <w:t>“</w:t>
      </w:r>
      <w:r w:rsidR="00D373E4" w:rsidRPr="00E91EE1">
        <w:rPr>
          <w:i/>
          <w:sz w:val="22"/>
          <w:szCs w:val="22"/>
        </w:rPr>
        <w:t>o dano maior da ilegalidade reside na frontal violação do princípio licitatório, resultando no favorecimento de empresa que não foi submetida à competição licitatória com outras firmas que certamente seriam atraídas pela amplitude da contratação</w:t>
      </w:r>
      <w:r w:rsidR="00E91EE1" w:rsidRPr="00E91EE1">
        <w:rPr>
          <w:i/>
          <w:sz w:val="22"/>
          <w:szCs w:val="22"/>
        </w:rPr>
        <w:t>”</w:t>
      </w:r>
      <w:r w:rsidR="00D373E4" w:rsidRPr="00D373E4">
        <w:rPr>
          <w:sz w:val="22"/>
          <w:szCs w:val="22"/>
        </w:rPr>
        <w:t xml:space="preserve">. </w:t>
      </w:r>
      <w:r w:rsidR="00E91EE1">
        <w:rPr>
          <w:sz w:val="22"/>
          <w:szCs w:val="22"/>
        </w:rPr>
        <w:t xml:space="preserve">Acolhendo o voto do relator, deliberou o Plenário pela rejeição dos embargos. </w:t>
      </w:r>
      <w:r w:rsidR="00D373E4" w:rsidRPr="00337E16">
        <w:rPr>
          <w:b/>
          <w:i/>
          <w:sz w:val="22"/>
          <w:szCs w:val="22"/>
        </w:rPr>
        <w:t xml:space="preserve">Acórdão n.º </w:t>
      </w:r>
      <w:r w:rsidR="00D373E4">
        <w:rPr>
          <w:b/>
          <w:i/>
          <w:sz w:val="22"/>
          <w:szCs w:val="22"/>
        </w:rPr>
        <w:t>2739</w:t>
      </w:r>
      <w:r w:rsidR="00D373E4" w:rsidRPr="00337E16">
        <w:rPr>
          <w:b/>
          <w:i/>
          <w:sz w:val="22"/>
          <w:szCs w:val="22"/>
        </w:rPr>
        <w:t>/2010</w:t>
      </w:r>
      <w:r w:rsidR="00D373E4">
        <w:rPr>
          <w:b/>
          <w:i/>
          <w:sz w:val="22"/>
          <w:szCs w:val="22"/>
        </w:rPr>
        <w:t>-Plenário</w:t>
      </w:r>
      <w:r w:rsidR="00D373E4" w:rsidRPr="00337E16">
        <w:rPr>
          <w:b/>
          <w:i/>
          <w:sz w:val="22"/>
          <w:szCs w:val="22"/>
        </w:rPr>
        <w:t>, TC-0</w:t>
      </w:r>
      <w:r w:rsidR="00D373E4">
        <w:rPr>
          <w:b/>
          <w:i/>
          <w:sz w:val="22"/>
          <w:szCs w:val="22"/>
        </w:rPr>
        <w:t>19</w:t>
      </w:r>
      <w:r w:rsidR="00D373E4" w:rsidRPr="00337E16">
        <w:rPr>
          <w:b/>
          <w:i/>
          <w:sz w:val="22"/>
          <w:szCs w:val="22"/>
        </w:rPr>
        <w:t>.</w:t>
      </w:r>
      <w:r w:rsidR="00D373E4">
        <w:rPr>
          <w:b/>
          <w:i/>
          <w:sz w:val="22"/>
          <w:szCs w:val="22"/>
        </w:rPr>
        <w:t>814</w:t>
      </w:r>
      <w:r w:rsidR="00D373E4" w:rsidRPr="00337E16">
        <w:rPr>
          <w:b/>
          <w:i/>
          <w:sz w:val="22"/>
          <w:szCs w:val="22"/>
        </w:rPr>
        <w:t>/20</w:t>
      </w:r>
      <w:r w:rsidR="00D373E4">
        <w:rPr>
          <w:b/>
          <w:i/>
          <w:sz w:val="22"/>
          <w:szCs w:val="22"/>
        </w:rPr>
        <w:t>07</w:t>
      </w:r>
      <w:r w:rsidR="00D373E4" w:rsidRPr="00337E16">
        <w:rPr>
          <w:b/>
          <w:i/>
          <w:sz w:val="22"/>
          <w:szCs w:val="22"/>
        </w:rPr>
        <w:t>-</w:t>
      </w:r>
      <w:r w:rsidR="00D373E4">
        <w:rPr>
          <w:b/>
          <w:i/>
          <w:sz w:val="22"/>
          <w:szCs w:val="22"/>
        </w:rPr>
        <w:t>1</w:t>
      </w:r>
      <w:r w:rsidR="00D373E4" w:rsidRPr="00337E16">
        <w:rPr>
          <w:b/>
          <w:i/>
          <w:sz w:val="22"/>
          <w:szCs w:val="22"/>
        </w:rPr>
        <w:t>, rel. Min</w:t>
      </w:r>
      <w:r w:rsidR="00D373E4">
        <w:rPr>
          <w:b/>
          <w:i/>
          <w:sz w:val="22"/>
          <w:szCs w:val="22"/>
        </w:rPr>
        <w:t>. Augusto Nardes</w:t>
      </w:r>
      <w:r w:rsidR="00D373E4" w:rsidRPr="00337E16">
        <w:rPr>
          <w:b/>
          <w:i/>
          <w:sz w:val="22"/>
          <w:szCs w:val="22"/>
        </w:rPr>
        <w:t>, 1</w:t>
      </w:r>
      <w:r w:rsidR="00D373E4">
        <w:rPr>
          <w:b/>
          <w:i/>
          <w:sz w:val="22"/>
          <w:szCs w:val="22"/>
        </w:rPr>
        <w:t>3</w:t>
      </w:r>
      <w:r w:rsidR="00D373E4" w:rsidRPr="00337E16">
        <w:rPr>
          <w:b/>
          <w:i/>
          <w:sz w:val="22"/>
          <w:szCs w:val="22"/>
        </w:rPr>
        <w:t>.</w:t>
      </w:r>
      <w:r w:rsidR="00D373E4">
        <w:rPr>
          <w:b/>
          <w:i/>
          <w:sz w:val="22"/>
          <w:szCs w:val="22"/>
        </w:rPr>
        <w:t>10</w:t>
      </w:r>
      <w:r w:rsidR="00D373E4" w:rsidRPr="00337E16">
        <w:rPr>
          <w:b/>
          <w:i/>
          <w:sz w:val="22"/>
          <w:szCs w:val="22"/>
        </w:rPr>
        <w:t>.2010</w:t>
      </w:r>
      <w:r w:rsidR="00D373E4" w:rsidRPr="00337E16">
        <w:rPr>
          <w:sz w:val="22"/>
          <w:szCs w:val="22"/>
        </w:rPr>
        <w:t>.</w:t>
      </w:r>
    </w:p>
    <w:p w:rsidR="00D373E4" w:rsidRDefault="00D373E4" w:rsidP="00355FB1">
      <w:pPr>
        <w:pStyle w:val="enter-3pt"/>
        <w:spacing w:before="60" w:line="240" w:lineRule="auto"/>
        <w:rPr>
          <w:sz w:val="22"/>
          <w:szCs w:val="22"/>
        </w:rPr>
      </w:pPr>
    </w:p>
    <w:p w:rsidR="00D373E4" w:rsidRPr="004D7DAF" w:rsidRDefault="004D7DAF" w:rsidP="0055716D">
      <w:pPr>
        <w:pStyle w:val="enter-3pt"/>
        <w:spacing w:line="240" w:lineRule="auto"/>
        <w:rPr>
          <w:b/>
          <w:sz w:val="22"/>
          <w:szCs w:val="22"/>
        </w:rPr>
      </w:pPr>
      <w:r w:rsidRPr="004D7DAF">
        <w:rPr>
          <w:b/>
          <w:sz w:val="22"/>
          <w:szCs w:val="22"/>
        </w:rPr>
        <w:t xml:space="preserve">Modernização de central telefônica a custo superior ao de </w:t>
      </w:r>
      <w:r w:rsidR="008536D0">
        <w:rPr>
          <w:b/>
          <w:sz w:val="22"/>
          <w:szCs w:val="22"/>
        </w:rPr>
        <w:t xml:space="preserve">sua </w:t>
      </w:r>
      <w:r w:rsidRPr="004D7DAF">
        <w:rPr>
          <w:b/>
          <w:sz w:val="22"/>
          <w:szCs w:val="22"/>
        </w:rPr>
        <w:t>substituição: prática de ato de gestão antieconômico</w:t>
      </w:r>
    </w:p>
    <w:p w:rsidR="004D7DAF" w:rsidRPr="00337E16" w:rsidRDefault="00975629" w:rsidP="00056428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Por meio do</w:t>
      </w:r>
      <w:r w:rsidR="004D7DAF" w:rsidRPr="004D7DA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D7DAF" w:rsidRPr="004D7DAF">
        <w:rPr>
          <w:sz w:val="22"/>
          <w:szCs w:val="22"/>
        </w:rPr>
        <w:t xml:space="preserve">córdão </w:t>
      </w:r>
      <w:r>
        <w:rPr>
          <w:sz w:val="22"/>
          <w:szCs w:val="22"/>
        </w:rPr>
        <w:t xml:space="preserve">n.º </w:t>
      </w:r>
      <w:r w:rsidR="004D7DAF" w:rsidRPr="004D7DAF">
        <w:rPr>
          <w:sz w:val="22"/>
          <w:szCs w:val="22"/>
        </w:rPr>
        <w:t>3.821/2008</w:t>
      </w:r>
      <w:r>
        <w:rPr>
          <w:sz w:val="22"/>
          <w:szCs w:val="22"/>
        </w:rPr>
        <w:t>-</w:t>
      </w:r>
      <w:r w:rsidR="004D7DAF" w:rsidRPr="004D7DAF">
        <w:rPr>
          <w:sz w:val="22"/>
          <w:szCs w:val="22"/>
        </w:rPr>
        <w:t xml:space="preserve">1ª Câmara, </w:t>
      </w:r>
      <w:r w:rsidR="000B132C">
        <w:rPr>
          <w:sz w:val="22"/>
          <w:szCs w:val="22"/>
        </w:rPr>
        <w:t xml:space="preserve">ao </w:t>
      </w:r>
      <w:r w:rsidR="004D7DAF" w:rsidRPr="004D7DAF">
        <w:rPr>
          <w:sz w:val="22"/>
          <w:szCs w:val="22"/>
        </w:rPr>
        <w:t>aprecia</w:t>
      </w:r>
      <w:r w:rsidR="000B132C">
        <w:rPr>
          <w:sz w:val="22"/>
          <w:szCs w:val="22"/>
        </w:rPr>
        <w:t>r</w:t>
      </w:r>
      <w:r w:rsidR="004D7DAF" w:rsidRPr="004D7DAF">
        <w:rPr>
          <w:sz w:val="22"/>
          <w:szCs w:val="22"/>
        </w:rPr>
        <w:t xml:space="preserve"> as contas de 2006 da Secretaria Executiva do Ministério da Agricultura, Pecuária e Abastecimento </w:t>
      </w:r>
      <w:r w:rsidR="000B132C">
        <w:rPr>
          <w:sz w:val="22"/>
          <w:szCs w:val="22"/>
        </w:rPr>
        <w:t>(</w:t>
      </w:r>
      <w:r w:rsidR="004D7DAF" w:rsidRPr="004D7DAF">
        <w:rPr>
          <w:sz w:val="22"/>
          <w:szCs w:val="22"/>
        </w:rPr>
        <w:t>SE/Mapa</w:t>
      </w:r>
      <w:r w:rsidR="000B132C">
        <w:rPr>
          <w:sz w:val="22"/>
          <w:szCs w:val="22"/>
        </w:rPr>
        <w:t>)</w:t>
      </w:r>
      <w:r w:rsidR="004D7DAF" w:rsidRPr="004D7DAF">
        <w:rPr>
          <w:sz w:val="22"/>
          <w:szCs w:val="22"/>
        </w:rPr>
        <w:t>, deliberou</w:t>
      </w:r>
      <w:r w:rsidR="00D76325">
        <w:rPr>
          <w:sz w:val="22"/>
          <w:szCs w:val="22"/>
        </w:rPr>
        <w:t xml:space="preserve"> o Colegiado</w:t>
      </w:r>
      <w:r w:rsidR="000B132C">
        <w:rPr>
          <w:sz w:val="22"/>
          <w:szCs w:val="22"/>
        </w:rPr>
        <w:t xml:space="preserve"> </w:t>
      </w:r>
      <w:r w:rsidR="00D76325">
        <w:rPr>
          <w:sz w:val="22"/>
          <w:szCs w:val="22"/>
        </w:rPr>
        <w:t xml:space="preserve">por </w:t>
      </w:r>
      <w:r w:rsidR="004D7DAF" w:rsidRPr="004D7DAF">
        <w:rPr>
          <w:sz w:val="22"/>
          <w:szCs w:val="22"/>
        </w:rPr>
        <w:t>julgar regulares com ressalvas as contas do ex-</w:t>
      </w:r>
      <w:r w:rsidR="000B132C">
        <w:rPr>
          <w:sz w:val="22"/>
          <w:szCs w:val="22"/>
        </w:rPr>
        <w:t>C</w:t>
      </w:r>
      <w:r w:rsidR="004D7DAF" w:rsidRPr="004D7DAF">
        <w:rPr>
          <w:sz w:val="22"/>
          <w:szCs w:val="22"/>
        </w:rPr>
        <w:t>oordenador-</w:t>
      </w:r>
      <w:r w:rsidR="000B132C">
        <w:rPr>
          <w:sz w:val="22"/>
          <w:szCs w:val="22"/>
        </w:rPr>
        <w:t>G</w:t>
      </w:r>
      <w:r w:rsidR="004D7DAF" w:rsidRPr="004D7DAF">
        <w:rPr>
          <w:sz w:val="22"/>
          <w:szCs w:val="22"/>
        </w:rPr>
        <w:t xml:space="preserve">eral de </w:t>
      </w:r>
      <w:r w:rsidR="000B132C">
        <w:rPr>
          <w:sz w:val="22"/>
          <w:szCs w:val="22"/>
        </w:rPr>
        <w:t>L</w:t>
      </w:r>
      <w:r w:rsidR="004D7DAF" w:rsidRPr="004D7DAF">
        <w:rPr>
          <w:sz w:val="22"/>
          <w:szCs w:val="22"/>
        </w:rPr>
        <w:t xml:space="preserve">ogística e </w:t>
      </w:r>
      <w:r w:rsidR="000B132C">
        <w:rPr>
          <w:sz w:val="22"/>
          <w:szCs w:val="22"/>
        </w:rPr>
        <w:t>S</w:t>
      </w:r>
      <w:r w:rsidR="004D7DAF" w:rsidRPr="004D7DAF">
        <w:rPr>
          <w:sz w:val="22"/>
          <w:szCs w:val="22"/>
        </w:rPr>
        <w:t xml:space="preserve">erviços </w:t>
      </w:r>
      <w:r w:rsidR="000B132C">
        <w:rPr>
          <w:sz w:val="22"/>
          <w:szCs w:val="22"/>
        </w:rPr>
        <w:t>G</w:t>
      </w:r>
      <w:r w:rsidR="004D7DAF" w:rsidRPr="004D7DAF">
        <w:rPr>
          <w:sz w:val="22"/>
          <w:szCs w:val="22"/>
        </w:rPr>
        <w:t>erais e dar-lhe quitação.</w:t>
      </w:r>
      <w:r w:rsidR="00D76325">
        <w:rPr>
          <w:sz w:val="22"/>
          <w:szCs w:val="22"/>
        </w:rPr>
        <w:t xml:space="preserve"> </w:t>
      </w:r>
      <w:r w:rsidR="000B132C">
        <w:rPr>
          <w:sz w:val="22"/>
          <w:szCs w:val="22"/>
        </w:rPr>
        <w:t>C</w:t>
      </w:r>
      <w:r w:rsidR="000B132C" w:rsidRPr="004D7DAF">
        <w:rPr>
          <w:sz w:val="22"/>
          <w:szCs w:val="22"/>
        </w:rPr>
        <w:t>ontra</w:t>
      </w:r>
      <w:r w:rsidR="000B132C">
        <w:rPr>
          <w:sz w:val="22"/>
          <w:szCs w:val="22"/>
        </w:rPr>
        <w:t xml:space="preserve"> o aludido </w:t>
      </w:r>
      <w:r w:rsidR="000B132C" w:rsidRPr="00D76325">
        <w:rPr>
          <w:b/>
          <w:sz w:val="22"/>
          <w:szCs w:val="22"/>
        </w:rPr>
        <w:t>decisum</w:t>
      </w:r>
      <w:r w:rsidR="00D76325">
        <w:rPr>
          <w:sz w:val="22"/>
          <w:szCs w:val="22"/>
        </w:rPr>
        <w:t xml:space="preserve">, o </w:t>
      </w:r>
      <w:r w:rsidRPr="004D7DAF">
        <w:rPr>
          <w:sz w:val="22"/>
          <w:szCs w:val="22"/>
        </w:rPr>
        <w:t>Ministério Público junto ao TCU interpôs recurso de revisão</w:t>
      </w:r>
      <w:r w:rsidR="00D76325">
        <w:rPr>
          <w:sz w:val="22"/>
          <w:szCs w:val="22"/>
        </w:rPr>
        <w:t xml:space="preserve">, </w:t>
      </w:r>
      <w:r w:rsidR="004D7DAF" w:rsidRPr="004D7DAF">
        <w:rPr>
          <w:sz w:val="22"/>
          <w:szCs w:val="22"/>
        </w:rPr>
        <w:t xml:space="preserve">motivado por possíveis irregularidades apontadas em representação acerca do </w:t>
      </w:r>
      <w:r w:rsidR="00D76325">
        <w:rPr>
          <w:sz w:val="22"/>
          <w:szCs w:val="22"/>
        </w:rPr>
        <w:t>P</w:t>
      </w:r>
      <w:r w:rsidR="004D7DAF" w:rsidRPr="004D7DAF">
        <w:rPr>
          <w:sz w:val="22"/>
          <w:szCs w:val="22"/>
        </w:rPr>
        <w:t xml:space="preserve">regão </w:t>
      </w:r>
      <w:r w:rsidR="00D76325">
        <w:rPr>
          <w:sz w:val="22"/>
          <w:szCs w:val="22"/>
        </w:rPr>
        <w:t>P</w:t>
      </w:r>
      <w:r w:rsidR="004D7DAF" w:rsidRPr="004D7DAF">
        <w:rPr>
          <w:sz w:val="22"/>
          <w:szCs w:val="22"/>
        </w:rPr>
        <w:t xml:space="preserve">resencial </w:t>
      </w:r>
      <w:r w:rsidR="00D76325">
        <w:rPr>
          <w:sz w:val="22"/>
          <w:szCs w:val="22"/>
        </w:rPr>
        <w:t xml:space="preserve">n.º </w:t>
      </w:r>
      <w:r w:rsidR="004D7DAF" w:rsidRPr="004D7DAF">
        <w:rPr>
          <w:sz w:val="22"/>
          <w:szCs w:val="22"/>
        </w:rPr>
        <w:t>52/2006 do Mapa, cujo objeto</w:t>
      </w:r>
      <w:r w:rsidR="000B132C">
        <w:rPr>
          <w:sz w:val="22"/>
          <w:szCs w:val="22"/>
        </w:rPr>
        <w:t xml:space="preserve"> –</w:t>
      </w:r>
      <w:r w:rsidR="004D7DAF" w:rsidRPr="004D7DAF">
        <w:rPr>
          <w:sz w:val="22"/>
          <w:szCs w:val="22"/>
        </w:rPr>
        <w:t xml:space="preserve"> a contratação de expansão e atualização de central privada de comutação telefônica da marca Nortel</w:t>
      </w:r>
      <w:r w:rsidR="000B132C">
        <w:rPr>
          <w:sz w:val="22"/>
          <w:szCs w:val="22"/>
        </w:rPr>
        <w:t xml:space="preserve"> – </w:t>
      </w:r>
      <w:r w:rsidR="004D7DAF" w:rsidRPr="004D7DAF">
        <w:rPr>
          <w:sz w:val="22"/>
          <w:szCs w:val="22"/>
        </w:rPr>
        <w:t>fo</w:t>
      </w:r>
      <w:r w:rsidR="000B132C">
        <w:rPr>
          <w:sz w:val="22"/>
          <w:szCs w:val="22"/>
        </w:rPr>
        <w:t>i</w:t>
      </w:r>
      <w:r w:rsidR="004D7DAF" w:rsidRPr="004D7DAF">
        <w:rPr>
          <w:sz w:val="22"/>
          <w:szCs w:val="22"/>
        </w:rPr>
        <w:t xml:space="preserve"> adjudicado à única licitante presente.</w:t>
      </w:r>
      <w:r w:rsidR="00D76325">
        <w:rPr>
          <w:sz w:val="22"/>
          <w:szCs w:val="22"/>
        </w:rPr>
        <w:t xml:space="preserve"> </w:t>
      </w:r>
      <w:r w:rsidR="004D7DAF" w:rsidRPr="004D7DAF">
        <w:rPr>
          <w:sz w:val="22"/>
          <w:szCs w:val="22"/>
        </w:rPr>
        <w:t xml:space="preserve">Consoante análise empreendida na aludida representação, a opção pela expansão da central telefônica, em detrimento de sua substituição, teria caracterizado ato de gestão antieconômico, de responsabilidade do então </w:t>
      </w:r>
      <w:r w:rsidR="000B132C">
        <w:rPr>
          <w:sz w:val="22"/>
          <w:szCs w:val="22"/>
        </w:rPr>
        <w:t>C</w:t>
      </w:r>
      <w:r w:rsidR="004D7DAF" w:rsidRPr="004D7DAF">
        <w:rPr>
          <w:sz w:val="22"/>
          <w:szCs w:val="22"/>
        </w:rPr>
        <w:t>oordenador-</w:t>
      </w:r>
      <w:r w:rsidR="000B132C">
        <w:rPr>
          <w:sz w:val="22"/>
          <w:szCs w:val="22"/>
        </w:rPr>
        <w:t>G</w:t>
      </w:r>
      <w:r w:rsidR="004D7DAF" w:rsidRPr="004D7DAF">
        <w:rPr>
          <w:sz w:val="22"/>
          <w:szCs w:val="22"/>
        </w:rPr>
        <w:t xml:space="preserve">eral de </w:t>
      </w:r>
      <w:r w:rsidR="000B132C">
        <w:rPr>
          <w:sz w:val="22"/>
          <w:szCs w:val="22"/>
        </w:rPr>
        <w:t>L</w:t>
      </w:r>
      <w:r w:rsidR="004D7DAF" w:rsidRPr="004D7DAF">
        <w:rPr>
          <w:sz w:val="22"/>
          <w:szCs w:val="22"/>
        </w:rPr>
        <w:t xml:space="preserve">ogística e </w:t>
      </w:r>
      <w:r w:rsidR="000B132C">
        <w:rPr>
          <w:sz w:val="22"/>
          <w:szCs w:val="22"/>
        </w:rPr>
        <w:t>S</w:t>
      </w:r>
      <w:r w:rsidR="004D7DAF" w:rsidRPr="004D7DAF">
        <w:rPr>
          <w:sz w:val="22"/>
          <w:szCs w:val="22"/>
        </w:rPr>
        <w:t xml:space="preserve">erviços </w:t>
      </w:r>
      <w:r w:rsidR="000B132C">
        <w:rPr>
          <w:sz w:val="22"/>
          <w:szCs w:val="22"/>
        </w:rPr>
        <w:t>G</w:t>
      </w:r>
      <w:r w:rsidR="004D7DAF" w:rsidRPr="004D7DAF">
        <w:rPr>
          <w:sz w:val="22"/>
          <w:szCs w:val="22"/>
        </w:rPr>
        <w:t>erais, já que a aquisição de nova central poderia gerar economia aos cofres públicos</w:t>
      </w:r>
      <w:r w:rsidR="000B132C">
        <w:rPr>
          <w:sz w:val="22"/>
          <w:szCs w:val="22"/>
        </w:rPr>
        <w:t>,</w:t>
      </w:r>
      <w:r w:rsidR="004D7DAF" w:rsidRPr="004D7DAF">
        <w:rPr>
          <w:sz w:val="22"/>
          <w:szCs w:val="22"/>
        </w:rPr>
        <w:t xml:space="preserve"> em razão da competição ent</w:t>
      </w:r>
      <w:r w:rsidR="00D76325">
        <w:rPr>
          <w:sz w:val="22"/>
          <w:szCs w:val="22"/>
        </w:rPr>
        <w:t>re fabricantes de outras marcas</w:t>
      </w:r>
      <w:r w:rsidR="004D7DAF" w:rsidRPr="004D7DAF">
        <w:rPr>
          <w:sz w:val="22"/>
          <w:szCs w:val="22"/>
        </w:rPr>
        <w:t>.</w:t>
      </w:r>
      <w:r w:rsidR="00D76325">
        <w:rPr>
          <w:sz w:val="22"/>
          <w:szCs w:val="22"/>
        </w:rPr>
        <w:t xml:space="preserve"> </w:t>
      </w:r>
      <w:r w:rsidR="004D7DAF" w:rsidRPr="004D7DAF">
        <w:rPr>
          <w:sz w:val="22"/>
          <w:szCs w:val="22"/>
        </w:rPr>
        <w:t>Tal conclusão fo</w:t>
      </w:r>
      <w:r w:rsidR="000B132C">
        <w:rPr>
          <w:sz w:val="22"/>
          <w:szCs w:val="22"/>
        </w:rPr>
        <w:t>ra</w:t>
      </w:r>
      <w:r w:rsidR="004D7DAF" w:rsidRPr="004D7DAF">
        <w:rPr>
          <w:sz w:val="22"/>
          <w:szCs w:val="22"/>
        </w:rPr>
        <w:t xml:space="preserve"> obtida a partir de duas cotações </w:t>
      </w:r>
      <w:r w:rsidR="0067682D" w:rsidRPr="004D7DAF">
        <w:rPr>
          <w:sz w:val="22"/>
          <w:szCs w:val="22"/>
        </w:rPr>
        <w:t xml:space="preserve">de mercado </w:t>
      </w:r>
      <w:r w:rsidR="004D7DAF" w:rsidRPr="004D7DAF">
        <w:rPr>
          <w:sz w:val="22"/>
          <w:szCs w:val="22"/>
        </w:rPr>
        <w:t>para compra de uma central com características similares à da central expandida e atualizada do Mapa. Constatou-se</w:t>
      </w:r>
      <w:r w:rsidR="002A0916">
        <w:rPr>
          <w:sz w:val="22"/>
          <w:szCs w:val="22"/>
        </w:rPr>
        <w:t xml:space="preserve"> </w:t>
      </w:r>
      <w:r w:rsidR="004D7DAF" w:rsidRPr="004D7DAF">
        <w:rPr>
          <w:sz w:val="22"/>
          <w:szCs w:val="22"/>
        </w:rPr>
        <w:t xml:space="preserve">que, ainda que não </w:t>
      </w:r>
      <w:r w:rsidR="00D76325">
        <w:rPr>
          <w:sz w:val="22"/>
          <w:szCs w:val="22"/>
        </w:rPr>
        <w:t>houvesse</w:t>
      </w:r>
      <w:r w:rsidR="004D7DAF" w:rsidRPr="004D7DAF">
        <w:rPr>
          <w:sz w:val="22"/>
          <w:szCs w:val="22"/>
        </w:rPr>
        <w:t xml:space="preserve"> indícios de sobrepreço nos equipamentos e serviços adquiridos pelo Mapa, o custo da aquisição de uma nova central seria cerca de 50% inferior aos </w:t>
      </w:r>
      <w:r w:rsidR="002A0916">
        <w:rPr>
          <w:sz w:val="22"/>
          <w:szCs w:val="22"/>
        </w:rPr>
        <w:t>valores</w:t>
      </w:r>
      <w:r w:rsidR="004D7DAF" w:rsidRPr="004D7DAF">
        <w:rPr>
          <w:sz w:val="22"/>
          <w:szCs w:val="22"/>
        </w:rPr>
        <w:t xml:space="preserve"> despendidos com a opção adotada.</w:t>
      </w:r>
      <w:r w:rsidR="00D76325">
        <w:rPr>
          <w:sz w:val="22"/>
          <w:szCs w:val="22"/>
        </w:rPr>
        <w:t xml:space="preserve"> </w:t>
      </w:r>
      <w:r w:rsidR="00F058EB">
        <w:rPr>
          <w:sz w:val="22"/>
          <w:szCs w:val="22"/>
        </w:rPr>
        <w:t>Com base nos fundamentos apresentados pelo relator</w:t>
      </w:r>
      <w:r w:rsidR="00422138">
        <w:rPr>
          <w:sz w:val="22"/>
          <w:szCs w:val="22"/>
        </w:rPr>
        <w:t xml:space="preserve">, </w:t>
      </w:r>
      <w:r w:rsidR="00F058EB">
        <w:rPr>
          <w:sz w:val="22"/>
          <w:szCs w:val="22"/>
        </w:rPr>
        <w:t>decidiu o Plenário dar provimento ao recurso</w:t>
      </w:r>
      <w:r w:rsidR="00355FB1">
        <w:rPr>
          <w:sz w:val="22"/>
          <w:szCs w:val="22"/>
        </w:rPr>
        <w:t xml:space="preserve"> </w:t>
      </w:r>
      <w:r w:rsidR="00F058EB">
        <w:rPr>
          <w:sz w:val="22"/>
          <w:szCs w:val="22"/>
        </w:rPr>
        <w:t xml:space="preserve">para </w:t>
      </w:r>
      <w:r w:rsidR="004D7DAF" w:rsidRPr="004D7DAF">
        <w:rPr>
          <w:sz w:val="22"/>
          <w:szCs w:val="22"/>
        </w:rPr>
        <w:t xml:space="preserve">tornar insubsistente o </w:t>
      </w:r>
      <w:r w:rsidR="00F058EB">
        <w:rPr>
          <w:sz w:val="22"/>
          <w:szCs w:val="22"/>
        </w:rPr>
        <w:t>A</w:t>
      </w:r>
      <w:r w:rsidR="004D7DAF" w:rsidRPr="004D7DAF">
        <w:rPr>
          <w:sz w:val="22"/>
          <w:szCs w:val="22"/>
        </w:rPr>
        <w:t xml:space="preserve">córdão </w:t>
      </w:r>
      <w:r w:rsidR="00F058EB">
        <w:rPr>
          <w:sz w:val="22"/>
          <w:szCs w:val="22"/>
        </w:rPr>
        <w:t xml:space="preserve">n.º </w:t>
      </w:r>
      <w:r w:rsidR="004D7DAF" w:rsidRPr="004D7DAF">
        <w:rPr>
          <w:sz w:val="22"/>
          <w:szCs w:val="22"/>
        </w:rPr>
        <w:t>3.821/2008</w:t>
      </w:r>
      <w:r w:rsidR="00F058EB">
        <w:rPr>
          <w:sz w:val="22"/>
          <w:szCs w:val="22"/>
        </w:rPr>
        <w:t>-</w:t>
      </w:r>
      <w:r w:rsidR="004D7DAF" w:rsidRPr="004D7DAF">
        <w:rPr>
          <w:sz w:val="22"/>
          <w:szCs w:val="22"/>
        </w:rPr>
        <w:t xml:space="preserve">1ª Câmara em relação </w:t>
      </w:r>
      <w:r w:rsidR="00F058EB">
        <w:rPr>
          <w:sz w:val="22"/>
          <w:szCs w:val="22"/>
        </w:rPr>
        <w:t xml:space="preserve">ao </w:t>
      </w:r>
      <w:r w:rsidR="00F058EB" w:rsidRPr="004D7DAF">
        <w:rPr>
          <w:sz w:val="22"/>
          <w:szCs w:val="22"/>
        </w:rPr>
        <w:t>ex-</w:t>
      </w:r>
      <w:r w:rsidR="008B6F14">
        <w:rPr>
          <w:sz w:val="22"/>
          <w:szCs w:val="22"/>
        </w:rPr>
        <w:t>C</w:t>
      </w:r>
      <w:r w:rsidR="00F058EB" w:rsidRPr="004D7DAF">
        <w:rPr>
          <w:sz w:val="22"/>
          <w:szCs w:val="22"/>
        </w:rPr>
        <w:t>oordenador-</w:t>
      </w:r>
      <w:r w:rsidR="008B6F14">
        <w:rPr>
          <w:sz w:val="22"/>
          <w:szCs w:val="22"/>
        </w:rPr>
        <w:t>G</w:t>
      </w:r>
      <w:r w:rsidR="00F058EB" w:rsidRPr="004D7DAF">
        <w:rPr>
          <w:sz w:val="22"/>
          <w:szCs w:val="22"/>
        </w:rPr>
        <w:t xml:space="preserve">eral de </w:t>
      </w:r>
      <w:r w:rsidR="008B6F14">
        <w:rPr>
          <w:sz w:val="22"/>
          <w:szCs w:val="22"/>
        </w:rPr>
        <w:t>L</w:t>
      </w:r>
      <w:r w:rsidR="00F058EB" w:rsidRPr="004D7DAF">
        <w:rPr>
          <w:sz w:val="22"/>
          <w:szCs w:val="22"/>
        </w:rPr>
        <w:t xml:space="preserve">ogística e </w:t>
      </w:r>
      <w:r w:rsidR="008B6F14">
        <w:rPr>
          <w:sz w:val="22"/>
          <w:szCs w:val="22"/>
        </w:rPr>
        <w:t>S</w:t>
      </w:r>
      <w:r w:rsidR="00F058EB" w:rsidRPr="004D7DAF">
        <w:rPr>
          <w:sz w:val="22"/>
          <w:szCs w:val="22"/>
        </w:rPr>
        <w:t xml:space="preserve">erviços </w:t>
      </w:r>
      <w:r w:rsidR="008B6F14">
        <w:rPr>
          <w:sz w:val="22"/>
          <w:szCs w:val="22"/>
        </w:rPr>
        <w:t>G</w:t>
      </w:r>
      <w:r w:rsidR="00F058EB" w:rsidRPr="004D7DAF">
        <w:rPr>
          <w:sz w:val="22"/>
          <w:szCs w:val="22"/>
        </w:rPr>
        <w:t xml:space="preserve">erais </w:t>
      </w:r>
      <w:r w:rsidR="00F058EB">
        <w:rPr>
          <w:sz w:val="22"/>
          <w:szCs w:val="22"/>
        </w:rPr>
        <w:t xml:space="preserve">da </w:t>
      </w:r>
      <w:r w:rsidR="00F058EB" w:rsidRPr="004D7DAF">
        <w:rPr>
          <w:sz w:val="22"/>
          <w:szCs w:val="22"/>
        </w:rPr>
        <w:t>SE/Mapa</w:t>
      </w:r>
      <w:r w:rsidR="00F058EB">
        <w:rPr>
          <w:sz w:val="22"/>
          <w:szCs w:val="22"/>
        </w:rPr>
        <w:t xml:space="preserve"> e, em conseqüência, </w:t>
      </w:r>
      <w:r w:rsidR="004D7DAF" w:rsidRPr="004D7DAF">
        <w:rPr>
          <w:sz w:val="22"/>
          <w:szCs w:val="22"/>
        </w:rPr>
        <w:t xml:space="preserve">julgar irregulares as </w:t>
      </w:r>
      <w:r w:rsidR="00F058EB">
        <w:rPr>
          <w:sz w:val="22"/>
          <w:szCs w:val="22"/>
        </w:rPr>
        <w:t xml:space="preserve">suas </w:t>
      </w:r>
      <w:r w:rsidR="004D7DAF" w:rsidRPr="004D7DAF">
        <w:rPr>
          <w:sz w:val="22"/>
          <w:szCs w:val="22"/>
        </w:rPr>
        <w:t>contas</w:t>
      </w:r>
      <w:r w:rsidR="00F058EB">
        <w:rPr>
          <w:sz w:val="22"/>
          <w:szCs w:val="22"/>
        </w:rPr>
        <w:t xml:space="preserve">, sem prejuízo da aplicação de multa. </w:t>
      </w:r>
      <w:r w:rsidR="004D7DAF" w:rsidRPr="00337E16">
        <w:rPr>
          <w:b/>
          <w:i/>
          <w:sz w:val="22"/>
          <w:szCs w:val="22"/>
        </w:rPr>
        <w:t xml:space="preserve">Acórdão n.º </w:t>
      </w:r>
      <w:r w:rsidR="004D7DAF">
        <w:rPr>
          <w:b/>
          <w:i/>
          <w:sz w:val="22"/>
          <w:szCs w:val="22"/>
        </w:rPr>
        <w:t>2727</w:t>
      </w:r>
      <w:r w:rsidR="004D7DAF" w:rsidRPr="00337E16">
        <w:rPr>
          <w:b/>
          <w:i/>
          <w:sz w:val="22"/>
          <w:szCs w:val="22"/>
        </w:rPr>
        <w:t>/2010</w:t>
      </w:r>
      <w:r w:rsidR="004D7DAF">
        <w:rPr>
          <w:b/>
          <w:i/>
          <w:sz w:val="22"/>
          <w:szCs w:val="22"/>
        </w:rPr>
        <w:t>-Plenário</w:t>
      </w:r>
      <w:r w:rsidR="004D7DAF" w:rsidRPr="00337E16">
        <w:rPr>
          <w:b/>
          <w:i/>
          <w:sz w:val="22"/>
          <w:szCs w:val="22"/>
        </w:rPr>
        <w:t>, TC-0</w:t>
      </w:r>
      <w:r w:rsidR="004D7DAF">
        <w:rPr>
          <w:b/>
          <w:i/>
          <w:sz w:val="22"/>
          <w:szCs w:val="22"/>
        </w:rPr>
        <w:t>18</w:t>
      </w:r>
      <w:r w:rsidR="004D7DAF" w:rsidRPr="00337E16">
        <w:rPr>
          <w:b/>
          <w:i/>
          <w:sz w:val="22"/>
          <w:szCs w:val="22"/>
        </w:rPr>
        <w:t>.</w:t>
      </w:r>
      <w:r w:rsidR="004D7DAF">
        <w:rPr>
          <w:b/>
          <w:i/>
          <w:sz w:val="22"/>
          <w:szCs w:val="22"/>
        </w:rPr>
        <w:t>643</w:t>
      </w:r>
      <w:r w:rsidR="004D7DAF" w:rsidRPr="00337E16">
        <w:rPr>
          <w:b/>
          <w:i/>
          <w:sz w:val="22"/>
          <w:szCs w:val="22"/>
        </w:rPr>
        <w:t>/20</w:t>
      </w:r>
      <w:r w:rsidR="004D7DAF">
        <w:rPr>
          <w:b/>
          <w:i/>
          <w:sz w:val="22"/>
          <w:szCs w:val="22"/>
        </w:rPr>
        <w:t>07</w:t>
      </w:r>
      <w:r w:rsidR="004D7DAF" w:rsidRPr="00337E16">
        <w:rPr>
          <w:b/>
          <w:i/>
          <w:sz w:val="22"/>
          <w:szCs w:val="22"/>
        </w:rPr>
        <w:t>-</w:t>
      </w:r>
      <w:r w:rsidR="004D7DAF">
        <w:rPr>
          <w:b/>
          <w:i/>
          <w:sz w:val="22"/>
          <w:szCs w:val="22"/>
        </w:rPr>
        <w:t>8</w:t>
      </w:r>
      <w:r w:rsidR="004D7DAF" w:rsidRPr="00337E16">
        <w:rPr>
          <w:b/>
          <w:i/>
          <w:sz w:val="22"/>
          <w:szCs w:val="22"/>
        </w:rPr>
        <w:t>, rel. Min</w:t>
      </w:r>
      <w:r w:rsidR="004D7DAF">
        <w:rPr>
          <w:b/>
          <w:i/>
          <w:sz w:val="22"/>
          <w:szCs w:val="22"/>
        </w:rPr>
        <w:t xml:space="preserve">. </w:t>
      </w:r>
      <w:r w:rsidR="00D41289">
        <w:rPr>
          <w:b/>
          <w:i/>
          <w:sz w:val="22"/>
          <w:szCs w:val="22"/>
        </w:rPr>
        <w:t>Aroldo Cedraz</w:t>
      </w:r>
      <w:r w:rsidR="004D7DAF" w:rsidRPr="00337E16">
        <w:rPr>
          <w:b/>
          <w:i/>
          <w:sz w:val="22"/>
          <w:szCs w:val="22"/>
        </w:rPr>
        <w:t>, 1</w:t>
      </w:r>
      <w:r w:rsidR="004D7DAF">
        <w:rPr>
          <w:b/>
          <w:i/>
          <w:sz w:val="22"/>
          <w:szCs w:val="22"/>
        </w:rPr>
        <w:t>3</w:t>
      </w:r>
      <w:r w:rsidR="004D7DAF" w:rsidRPr="00337E16">
        <w:rPr>
          <w:b/>
          <w:i/>
          <w:sz w:val="22"/>
          <w:szCs w:val="22"/>
        </w:rPr>
        <w:t>.</w:t>
      </w:r>
      <w:r w:rsidR="004D7DAF">
        <w:rPr>
          <w:b/>
          <w:i/>
          <w:sz w:val="22"/>
          <w:szCs w:val="22"/>
        </w:rPr>
        <w:t>10</w:t>
      </w:r>
      <w:r w:rsidR="004D7DAF" w:rsidRPr="00337E16">
        <w:rPr>
          <w:b/>
          <w:i/>
          <w:sz w:val="22"/>
          <w:szCs w:val="22"/>
        </w:rPr>
        <w:t>.2010</w:t>
      </w:r>
      <w:r w:rsidR="004D7DAF" w:rsidRPr="00337E16">
        <w:rPr>
          <w:sz w:val="22"/>
          <w:szCs w:val="22"/>
        </w:rPr>
        <w:t>.</w:t>
      </w:r>
    </w:p>
    <w:p w:rsidR="004D7DAF" w:rsidRPr="004D7DAF" w:rsidRDefault="004D7DAF" w:rsidP="00355FB1">
      <w:pPr>
        <w:pStyle w:val="enter-3pt"/>
        <w:spacing w:before="60" w:line="240" w:lineRule="auto"/>
        <w:rPr>
          <w:sz w:val="22"/>
          <w:szCs w:val="22"/>
        </w:rPr>
      </w:pPr>
    </w:p>
    <w:p w:rsidR="004D7DAF" w:rsidRPr="007B3800" w:rsidRDefault="007B3800" w:rsidP="0055716D">
      <w:pPr>
        <w:pStyle w:val="enter-3pt"/>
        <w:spacing w:line="240" w:lineRule="auto"/>
        <w:rPr>
          <w:b/>
          <w:sz w:val="22"/>
          <w:szCs w:val="22"/>
        </w:rPr>
      </w:pPr>
      <w:r w:rsidRPr="007B3800">
        <w:rPr>
          <w:b/>
          <w:sz w:val="22"/>
          <w:szCs w:val="22"/>
        </w:rPr>
        <w:t>Pregão para serviços de coleta seletiva conteinerizada, reciclagem, compostagem, transbordo, transporte e destinação final de resíduos</w:t>
      </w:r>
    </w:p>
    <w:p w:rsidR="007B3800" w:rsidRPr="00337E16" w:rsidRDefault="00432BAB" w:rsidP="00EC32FC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7B3800" w:rsidRPr="007B3800">
        <w:rPr>
          <w:sz w:val="22"/>
          <w:szCs w:val="22"/>
        </w:rPr>
        <w:t>epresentação</w:t>
      </w:r>
      <w:r>
        <w:rPr>
          <w:sz w:val="22"/>
          <w:szCs w:val="22"/>
        </w:rPr>
        <w:t xml:space="preserve"> oferecida ao TCU apontou</w:t>
      </w:r>
      <w:r w:rsidR="007B3800" w:rsidRPr="007B3800">
        <w:rPr>
          <w:sz w:val="22"/>
          <w:szCs w:val="22"/>
        </w:rPr>
        <w:t xml:space="preserve"> possíveis irregularidades na Concorrência Pública n.º 06/2010, promovida pela Companhia de Entrepostos e Armazéns Gerais de São Paulo (Ceagesp), </w:t>
      </w:r>
      <w:r>
        <w:rPr>
          <w:sz w:val="22"/>
          <w:szCs w:val="22"/>
        </w:rPr>
        <w:t>tendo</w:t>
      </w:r>
      <w:r w:rsidR="007B3800" w:rsidRPr="007B3800">
        <w:rPr>
          <w:sz w:val="22"/>
          <w:szCs w:val="22"/>
        </w:rPr>
        <w:t xml:space="preserve"> como objeto a prestação de serviços de coleta seletiva conteinerizada, reciclagem, compostagem, transbordo, transporte e destinação final de resíduos provenientes das áreas de operação e comercialização de produtos situados dentro do Entreposto Terminal de São Paulo.</w:t>
      </w:r>
      <w:r>
        <w:rPr>
          <w:sz w:val="22"/>
          <w:szCs w:val="22"/>
        </w:rPr>
        <w:t xml:space="preserve"> </w:t>
      </w:r>
      <w:r w:rsidR="00EC32FC">
        <w:rPr>
          <w:sz w:val="22"/>
          <w:szCs w:val="22"/>
        </w:rPr>
        <w:t>Instada a se manifestar</w:t>
      </w:r>
      <w:r w:rsidR="003232C4">
        <w:rPr>
          <w:sz w:val="22"/>
          <w:szCs w:val="22"/>
        </w:rPr>
        <w:t xml:space="preserve"> quanto à não adoção d</w:t>
      </w:r>
      <w:r w:rsidR="00897712">
        <w:rPr>
          <w:sz w:val="22"/>
          <w:szCs w:val="22"/>
        </w:rPr>
        <w:t>a modalidade</w:t>
      </w:r>
      <w:r w:rsidR="003232C4">
        <w:rPr>
          <w:sz w:val="22"/>
          <w:szCs w:val="22"/>
        </w:rPr>
        <w:t xml:space="preserve"> pregão</w:t>
      </w:r>
      <w:r w:rsidR="00EC32FC">
        <w:rPr>
          <w:sz w:val="22"/>
          <w:szCs w:val="22"/>
        </w:rPr>
        <w:t>,</w:t>
      </w:r>
      <w:r w:rsidR="007B3800" w:rsidRPr="007B3800">
        <w:rPr>
          <w:sz w:val="22"/>
          <w:szCs w:val="22"/>
        </w:rPr>
        <w:t xml:space="preserve"> a Ceagesp</w:t>
      </w:r>
      <w:r w:rsidR="00EC32FC">
        <w:rPr>
          <w:sz w:val="22"/>
          <w:szCs w:val="22"/>
        </w:rPr>
        <w:t xml:space="preserve"> a</w:t>
      </w:r>
      <w:r w:rsidR="007B3800" w:rsidRPr="007B3800">
        <w:rPr>
          <w:sz w:val="22"/>
          <w:szCs w:val="22"/>
        </w:rPr>
        <w:t xml:space="preserve">rgumentou que os serviços não seriam de natureza comum, </w:t>
      </w:r>
      <w:r w:rsidR="003232C4">
        <w:rPr>
          <w:sz w:val="22"/>
          <w:szCs w:val="22"/>
        </w:rPr>
        <w:t>envolvendo o objeto licitado</w:t>
      </w:r>
      <w:r w:rsidR="007B3800" w:rsidRPr="007B3800">
        <w:rPr>
          <w:sz w:val="22"/>
          <w:szCs w:val="22"/>
        </w:rPr>
        <w:t xml:space="preserve"> a execução de obras, a produção de adubos e a coleta seletiva de milhares de toneladas de lixo, os quais demandariam expertise por parte da empresa contratada e de seus profissionais. Acrescentou</w:t>
      </w:r>
      <w:r w:rsidR="003232C4">
        <w:rPr>
          <w:sz w:val="22"/>
          <w:szCs w:val="22"/>
        </w:rPr>
        <w:t>, ainda,</w:t>
      </w:r>
      <w:r w:rsidR="007B3800" w:rsidRPr="007B3800">
        <w:rPr>
          <w:sz w:val="22"/>
          <w:szCs w:val="22"/>
        </w:rPr>
        <w:t xml:space="preserve"> que a responsabilidade técnica pela execução dos serviços</w:t>
      </w:r>
      <w:r w:rsidR="003232C4">
        <w:rPr>
          <w:sz w:val="22"/>
          <w:szCs w:val="22"/>
        </w:rPr>
        <w:t xml:space="preserve"> –</w:t>
      </w:r>
      <w:r w:rsidR="007B3800" w:rsidRPr="007B3800">
        <w:rPr>
          <w:sz w:val="22"/>
          <w:szCs w:val="22"/>
        </w:rPr>
        <w:t xml:space="preserve"> incluindo a responsabilidade sanitária, ambiental, ecológica e civil</w:t>
      </w:r>
      <w:r w:rsidR="003232C4">
        <w:rPr>
          <w:sz w:val="22"/>
          <w:szCs w:val="22"/>
        </w:rPr>
        <w:t xml:space="preserve"> – é</w:t>
      </w:r>
      <w:r w:rsidR="007B3800" w:rsidRPr="007B3800">
        <w:rPr>
          <w:sz w:val="22"/>
          <w:szCs w:val="22"/>
        </w:rPr>
        <w:t xml:space="preserve"> de fundamental importância, cuja negligência traria o risco de comprometer os avanços ambientais, ecológicos e sanitários que a companhia teria alcançado nos últimos anos. </w:t>
      </w:r>
      <w:r w:rsidR="002A47B9">
        <w:rPr>
          <w:sz w:val="22"/>
          <w:szCs w:val="22"/>
        </w:rPr>
        <w:t>Por essas razões</w:t>
      </w:r>
      <w:r w:rsidR="007B3800" w:rsidRPr="007B3800">
        <w:rPr>
          <w:sz w:val="22"/>
          <w:szCs w:val="22"/>
        </w:rPr>
        <w:t xml:space="preserve">, </w:t>
      </w:r>
      <w:r w:rsidR="002A47B9">
        <w:rPr>
          <w:sz w:val="22"/>
          <w:szCs w:val="22"/>
        </w:rPr>
        <w:t xml:space="preserve">a Ceagesp </w:t>
      </w:r>
      <w:r w:rsidR="003232C4">
        <w:rPr>
          <w:sz w:val="22"/>
          <w:szCs w:val="22"/>
        </w:rPr>
        <w:t>considerou</w:t>
      </w:r>
      <w:r w:rsidR="007B3800" w:rsidRPr="007B3800">
        <w:rPr>
          <w:sz w:val="22"/>
          <w:szCs w:val="22"/>
        </w:rPr>
        <w:t xml:space="preserve"> inadequada a modalidade pregão para a contratação dos serviços pretendidos.</w:t>
      </w:r>
      <w:r w:rsidR="00EC32FC">
        <w:rPr>
          <w:sz w:val="22"/>
          <w:szCs w:val="22"/>
        </w:rPr>
        <w:t xml:space="preserve"> </w:t>
      </w:r>
      <w:r w:rsidR="003232C4">
        <w:rPr>
          <w:sz w:val="22"/>
          <w:szCs w:val="22"/>
        </w:rPr>
        <w:t>Para</w:t>
      </w:r>
      <w:r w:rsidR="00EC32FC">
        <w:rPr>
          <w:sz w:val="22"/>
          <w:szCs w:val="22"/>
        </w:rPr>
        <w:t xml:space="preserve"> </w:t>
      </w:r>
      <w:r w:rsidR="002E2A0C">
        <w:rPr>
          <w:sz w:val="22"/>
          <w:szCs w:val="22"/>
        </w:rPr>
        <w:t xml:space="preserve">o </w:t>
      </w:r>
      <w:r w:rsidR="00EC32FC">
        <w:rPr>
          <w:sz w:val="22"/>
          <w:szCs w:val="22"/>
        </w:rPr>
        <w:t>relator</w:t>
      </w:r>
      <w:r w:rsidR="007B3800" w:rsidRPr="007B3800">
        <w:rPr>
          <w:sz w:val="22"/>
          <w:szCs w:val="22"/>
        </w:rPr>
        <w:t xml:space="preserve">, os argumentos </w:t>
      </w:r>
      <w:r w:rsidR="002A47B9">
        <w:rPr>
          <w:sz w:val="22"/>
          <w:szCs w:val="22"/>
        </w:rPr>
        <w:t>oferecidos</w:t>
      </w:r>
      <w:r w:rsidR="007B3800" w:rsidRPr="007B3800">
        <w:rPr>
          <w:sz w:val="22"/>
          <w:szCs w:val="22"/>
        </w:rPr>
        <w:t xml:space="preserve"> não </w:t>
      </w:r>
      <w:r w:rsidR="00EC32FC">
        <w:rPr>
          <w:sz w:val="22"/>
          <w:szCs w:val="22"/>
        </w:rPr>
        <w:t>eram</w:t>
      </w:r>
      <w:r w:rsidR="007B3800" w:rsidRPr="007B3800">
        <w:rPr>
          <w:sz w:val="22"/>
          <w:szCs w:val="22"/>
        </w:rPr>
        <w:t xml:space="preserve"> suficientes para descaracterizar o fato de que o objeto do certame </w:t>
      </w:r>
      <w:r w:rsidR="00EC32FC" w:rsidRPr="00EC32FC">
        <w:rPr>
          <w:i/>
          <w:sz w:val="22"/>
          <w:szCs w:val="22"/>
        </w:rPr>
        <w:t>“</w:t>
      </w:r>
      <w:r w:rsidR="007B3800" w:rsidRPr="00EC32FC">
        <w:rPr>
          <w:i/>
          <w:sz w:val="22"/>
          <w:szCs w:val="22"/>
        </w:rPr>
        <w:t>trata-se de serviço de natureza comum, a ser licitado mediante pregão, de acordo com a jurisprudência desta Corte</w:t>
      </w:r>
      <w:r w:rsidR="00EC32FC" w:rsidRPr="00EC32FC">
        <w:rPr>
          <w:i/>
          <w:sz w:val="22"/>
          <w:szCs w:val="22"/>
        </w:rPr>
        <w:t>”</w:t>
      </w:r>
      <w:r w:rsidR="007B3800" w:rsidRPr="007B3800">
        <w:rPr>
          <w:sz w:val="22"/>
          <w:szCs w:val="22"/>
        </w:rPr>
        <w:t xml:space="preserve">. </w:t>
      </w:r>
      <w:r w:rsidR="003232C4">
        <w:rPr>
          <w:sz w:val="22"/>
          <w:szCs w:val="22"/>
        </w:rPr>
        <w:t>B</w:t>
      </w:r>
      <w:r w:rsidR="007B3800" w:rsidRPr="007B3800">
        <w:rPr>
          <w:sz w:val="22"/>
          <w:szCs w:val="22"/>
        </w:rPr>
        <w:t>asta</w:t>
      </w:r>
      <w:r w:rsidR="00EC32FC">
        <w:rPr>
          <w:sz w:val="22"/>
          <w:szCs w:val="22"/>
        </w:rPr>
        <w:t>ria</w:t>
      </w:r>
      <w:r w:rsidR="007B3800" w:rsidRPr="007B3800">
        <w:rPr>
          <w:sz w:val="22"/>
          <w:szCs w:val="22"/>
        </w:rPr>
        <w:t xml:space="preserve"> mencionar que, como o critério de classificação </w:t>
      </w:r>
      <w:r w:rsidR="00EC32FC">
        <w:rPr>
          <w:sz w:val="22"/>
          <w:szCs w:val="22"/>
        </w:rPr>
        <w:t>era</w:t>
      </w:r>
      <w:r w:rsidR="007B3800" w:rsidRPr="007B3800">
        <w:rPr>
          <w:sz w:val="22"/>
          <w:szCs w:val="22"/>
        </w:rPr>
        <w:t xml:space="preserve"> o menor preço, o simples fato de a modalidade ser concorrência </w:t>
      </w:r>
      <w:r w:rsidR="00EC32FC" w:rsidRPr="00EC32FC">
        <w:rPr>
          <w:i/>
          <w:sz w:val="22"/>
          <w:szCs w:val="22"/>
        </w:rPr>
        <w:t>“</w:t>
      </w:r>
      <w:r w:rsidR="007B3800" w:rsidRPr="00EC32FC">
        <w:rPr>
          <w:i/>
          <w:sz w:val="22"/>
          <w:szCs w:val="22"/>
        </w:rPr>
        <w:t>não garante que será selecionada empresa capaz de executar o serviço. Necessário sim que os critérios de habilitação sejam bem delineados, independentemente da modalidade de licitação empregada</w:t>
      </w:r>
      <w:r w:rsidR="00EC32FC" w:rsidRPr="00EC32FC">
        <w:rPr>
          <w:i/>
          <w:sz w:val="22"/>
          <w:szCs w:val="22"/>
        </w:rPr>
        <w:t>”</w:t>
      </w:r>
      <w:r w:rsidR="007B3800" w:rsidRPr="007B3800">
        <w:rPr>
          <w:sz w:val="22"/>
          <w:szCs w:val="22"/>
        </w:rPr>
        <w:t xml:space="preserve">. </w:t>
      </w:r>
      <w:r w:rsidR="00EC32FC">
        <w:rPr>
          <w:sz w:val="22"/>
          <w:szCs w:val="22"/>
        </w:rPr>
        <w:t xml:space="preserve">Acolhendo o voto do relator, deliberou o Plenário no sentido de </w:t>
      </w:r>
      <w:r w:rsidR="007B3800" w:rsidRPr="007B3800">
        <w:rPr>
          <w:sz w:val="22"/>
          <w:szCs w:val="22"/>
        </w:rPr>
        <w:t xml:space="preserve">determinar </w:t>
      </w:r>
      <w:r w:rsidR="003232C4">
        <w:rPr>
          <w:sz w:val="22"/>
          <w:szCs w:val="22"/>
        </w:rPr>
        <w:t>à</w:t>
      </w:r>
      <w:r w:rsidR="007B3800" w:rsidRPr="007B3800">
        <w:rPr>
          <w:sz w:val="22"/>
          <w:szCs w:val="22"/>
        </w:rPr>
        <w:t xml:space="preserve"> </w:t>
      </w:r>
      <w:r w:rsidR="003232C4">
        <w:rPr>
          <w:sz w:val="22"/>
          <w:szCs w:val="22"/>
        </w:rPr>
        <w:t>Ceagesp</w:t>
      </w:r>
      <w:r w:rsidR="00EC32FC">
        <w:rPr>
          <w:sz w:val="22"/>
          <w:szCs w:val="22"/>
        </w:rPr>
        <w:t xml:space="preserve"> a</w:t>
      </w:r>
      <w:r w:rsidR="003232C4">
        <w:rPr>
          <w:sz w:val="22"/>
          <w:szCs w:val="22"/>
        </w:rPr>
        <w:t xml:space="preserve"> a</w:t>
      </w:r>
      <w:r w:rsidR="00EC32FC">
        <w:rPr>
          <w:sz w:val="22"/>
          <w:szCs w:val="22"/>
        </w:rPr>
        <w:t>nula</w:t>
      </w:r>
      <w:r w:rsidR="003232C4">
        <w:rPr>
          <w:sz w:val="22"/>
          <w:szCs w:val="22"/>
        </w:rPr>
        <w:t>ção</w:t>
      </w:r>
      <w:r w:rsidR="00EC32FC">
        <w:rPr>
          <w:sz w:val="22"/>
          <w:szCs w:val="22"/>
        </w:rPr>
        <w:t xml:space="preserve"> </w:t>
      </w:r>
      <w:r w:rsidR="003232C4">
        <w:rPr>
          <w:sz w:val="22"/>
          <w:szCs w:val="22"/>
        </w:rPr>
        <w:t>d</w:t>
      </w:r>
      <w:r w:rsidR="007B3800" w:rsidRPr="007B3800">
        <w:rPr>
          <w:sz w:val="22"/>
          <w:szCs w:val="22"/>
        </w:rPr>
        <w:t>a Concorrência Pública n.º 06/2010</w:t>
      </w:r>
      <w:r w:rsidR="00EC32FC">
        <w:rPr>
          <w:sz w:val="22"/>
          <w:szCs w:val="22"/>
        </w:rPr>
        <w:t xml:space="preserve">. </w:t>
      </w:r>
      <w:r w:rsidR="007B3800" w:rsidRPr="00337E16">
        <w:rPr>
          <w:b/>
          <w:i/>
          <w:sz w:val="22"/>
          <w:szCs w:val="22"/>
        </w:rPr>
        <w:t xml:space="preserve">Acórdão n.º </w:t>
      </w:r>
      <w:r w:rsidR="007B3800">
        <w:rPr>
          <w:b/>
          <w:i/>
          <w:sz w:val="22"/>
          <w:szCs w:val="22"/>
        </w:rPr>
        <w:t>2749</w:t>
      </w:r>
      <w:r w:rsidR="007B3800" w:rsidRPr="00337E16">
        <w:rPr>
          <w:b/>
          <w:i/>
          <w:sz w:val="22"/>
          <w:szCs w:val="22"/>
        </w:rPr>
        <w:t>/2010</w:t>
      </w:r>
      <w:r w:rsidR="007B3800">
        <w:rPr>
          <w:b/>
          <w:i/>
          <w:sz w:val="22"/>
          <w:szCs w:val="22"/>
        </w:rPr>
        <w:t>-Plenário</w:t>
      </w:r>
      <w:r w:rsidR="007B3800" w:rsidRPr="00337E16">
        <w:rPr>
          <w:b/>
          <w:i/>
          <w:sz w:val="22"/>
          <w:szCs w:val="22"/>
        </w:rPr>
        <w:t>, TC-0</w:t>
      </w:r>
      <w:r w:rsidR="007B3800">
        <w:rPr>
          <w:b/>
          <w:i/>
          <w:sz w:val="22"/>
          <w:szCs w:val="22"/>
        </w:rPr>
        <w:t>17</w:t>
      </w:r>
      <w:r w:rsidR="007B3800" w:rsidRPr="00337E16">
        <w:rPr>
          <w:b/>
          <w:i/>
          <w:sz w:val="22"/>
          <w:szCs w:val="22"/>
        </w:rPr>
        <w:t>.</w:t>
      </w:r>
      <w:r w:rsidR="007B3800">
        <w:rPr>
          <w:b/>
          <w:i/>
          <w:sz w:val="22"/>
          <w:szCs w:val="22"/>
        </w:rPr>
        <w:t>914</w:t>
      </w:r>
      <w:r w:rsidR="007B3800" w:rsidRPr="00337E16">
        <w:rPr>
          <w:b/>
          <w:i/>
          <w:sz w:val="22"/>
          <w:szCs w:val="22"/>
        </w:rPr>
        <w:t>/20</w:t>
      </w:r>
      <w:r w:rsidR="007B3800">
        <w:rPr>
          <w:b/>
          <w:i/>
          <w:sz w:val="22"/>
          <w:szCs w:val="22"/>
        </w:rPr>
        <w:t>10</w:t>
      </w:r>
      <w:r w:rsidR="007B3800" w:rsidRPr="00337E16">
        <w:rPr>
          <w:b/>
          <w:i/>
          <w:sz w:val="22"/>
          <w:szCs w:val="22"/>
        </w:rPr>
        <w:t>-</w:t>
      </w:r>
      <w:r w:rsidR="007B3800">
        <w:rPr>
          <w:b/>
          <w:i/>
          <w:sz w:val="22"/>
          <w:szCs w:val="22"/>
        </w:rPr>
        <w:t>8</w:t>
      </w:r>
      <w:r w:rsidR="007B3800" w:rsidRPr="00337E16">
        <w:rPr>
          <w:b/>
          <w:i/>
          <w:sz w:val="22"/>
          <w:szCs w:val="22"/>
        </w:rPr>
        <w:t>, rel. Min</w:t>
      </w:r>
      <w:r w:rsidR="007B3800">
        <w:rPr>
          <w:b/>
          <w:i/>
          <w:sz w:val="22"/>
          <w:szCs w:val="22"/>
        </w:rPr>
        <w:t>. Raimundo Carreiro</w:t>
      </w:r>
      <w:r w:rsidR="007B3800" w:rsidRPr="00337E16">
        <w:rPr>
          <w:b/>
          <w:i/>
          <w:sz w:val="22"/>
          <w:szCs w:val="22"/>
        </w:rPr>
        <w:t>, 1</w:t>
      </w:r>
      <w:r w:rsidR="007B3800">
        <w:rPr>
          <w:b/>
          <w:i/>
          <w:sz w:val="22"/>
          <w:szCs w:val="22"/>
        </w:rPr>
        <w:t>3</w:t>
      </w:r>
      <w:r w:rsidR="007B3800" w:rsidRPr="00337E16">
        <w:rPr>
          <w:b/>
          <w:i/>
          <w:sz w:val="22"/>
          <w:szCs w:val="22"/>
        </w:rPr>
        <w:t>.</w:t>
      </w:r>
      <w:r w:rsidR="007B3800">
        <w:rPr>
          <w:b/>
          <w:i/>
          <w:sz w:val="22"/>
          <w:szCs w:val="22"/>
        </w:rPr>
        <w:t>10</w:t>
      </w:r>
      <w:r w:rsidR="007B3800" w:rsidRPr="00337E16">
        <w:rPr>
          <w:b/>
          <w:i/>
          <w:sz w:val="22"/>
          <w:szCs w:val="22"/>
        </w:rPr>
        <w:t>.2010</w:t>
      </w:r>
      <w:r w:rsidR="007B3800" w:rsidRPr="00337E16">
        <w:rPr>
          <w:sz w:val="22"/>
          <w:szCs w:val="22"/>
        </w:rPr>
        <w:t>.</w:t>
      </w:r>
    </w:p>
    <w:p w:rsidR="007B3800" w:rsidRDefault="007B3800" w:rsidP="00EC32FC">
      <w:pPr>
        <w:pStyle w:val="enter-3pt"/>
        <w:spacing w:before="60" w:line="240" w:lineRule="auto"/>
        <w:rPr>
          <w:sz w:val="22"/>
          <w:szCs w:val="22"/>
        </w:rPr>
      </w:pPr>
    </w:p>
    <w:p w:rsidR="004A44C0" w:rsidRPr="004A44C0" w:rsidRDefault="004A44C0" w:rsidP="0055716D">
      <w:pPr>
        <w:pStyle w:val="enter-3pt"/>
        <w:spacing w:line="240" w:lineRule="auto"/>
        <w:rPr>
          <w:b/>
          <w:sz w:val="22"/>
          <w:szCs w:val="22"/>
        </w:rPr>
      </w:pPr>
      <w:r w:rsidRPr="004A44C0">
        <w:rPr>
          <w:b/>
          <w:sz w:val="22"/>
          <w:szCs w:val="22"/>
        </w:rPr>
        <w:t>Desclassificação de proposta de licitante com base em critério não disposto claramente no edital</w:t>
      </w:r>
    </w:p>
    <w:p w:rsidR="007B3800" w:rsidRDefault="004A44C0" w:rsidP="0055716D">
      <w:pPr>
        <w:pStyle w:val="enter-3pt"/>
        <w:spacing w:line="240" w:lineRule="auto"/>
        <w:rPr>
          <w:b/>
          <w:i/>
          <w:sz w:val="22"/>
          <w:szCs w:val="22"/>
        </w:rPr>
      </w:pPr>
      <w:r w:rsidRPr="00306BFC">
        <w:rPr>
          <w:sz w:val="22"/>
          <w:szCs w:val="22"/>
        </w:rPr>
        <w:t xml:space="preserve">Representação </w:t>
      </w:r>
      <w:r w:rsidR="00653791">
        <w:rPr>
          <w:sz w:val="22"/>
          <w:szCs w:val="22"/>
        </w:rPr>
        <w:t>formulada ao TCU indicou</w:t>
      </w:r>
      <w:r w:rsidRPr="00306BFC">
        <w:rPr>
          <w:sz w:val="22"/>
          <w:szCs w:val="22"/>
        </w:rPr>
        <w:t xml:space="preserve"> possível descumprimento da Lei </w:t>
      </w:r>
      <w:r w:rsidR="00653791">
        <w:rPr>
          <w:sz w:val="22"/>
          <w:szCs w:val="22"/>
        </w:rPr>
        <w:t xml:space="preserve">n.º </w:t>
      </w:r>
      <w:r w:rsidRPr="00306BFC">
        <w:rPr>
          <w:sz w:val="22"/>
          <w:szCs w:val="22"/>
        </w:rPr>
        <w:t xml:space="preserve">8.666/93 na desclassificação </w:t>
      </w:r>
      <w:r w:rsidR="00653791">
        <w:rPr>
          <w:sz w:val="22"/>
          <w:szCs w:val="22"/>
        </w:rPr>
        <w:t>da</w:t>
      </w:r>
      <w:r w:rsidRPr="00306BFC">
        <w:rPr>
          <w:sz w:val="22"/>
          <w:szCs w:val="22"/>
        </w:rPr>
        <w:t xml:space="preserve"> proposta de preços </w:t>
      </w:r>
      <w:r w:rsidR="00653791">
        <w:rPr>
          <w:sz w:val="22"/>
          <w:szCs w:val="22"/>
        </w:rPr>
        <w:t xml:space="preserve">da representante, </w:t>
      </w:r>
      <w:r w:rsidRPr="00306BFC">
        <w:rPr>
          <w:sz w:val="22"/>
          <w:szCs w:val="22"/>
        </w:rPr>
        <w:t xml:space="preserve">apresentada na Concorrência </w:t>
      </w:r>
      <w:r w:rsidR="00653791">
        <w:rPr>
          <w:sz w:val="22"/>
          <w:szCs w:val="22"/>
        </w:rPr>
        <w:t xml:space="preserve">n.º </w:t>
      </w:r>
      <w:r w:rsidRPr="00306BFC">
        <w:rPr>
          <w:sz w:val="22"/>
          <w:szCs w:val="22"/>
        </w:rPr>
        <w:t>67/2010-012, promovida pela Superintendência Regional do D</w:t>
      </w:r>
      <w:r w:rsidR="00184C41">
        <w:rPr>
          <w:sz w:val="22"/>
          <w:szCs w:val="22"/>
        </w:rPr>
        <w:t>nit</w:t>
      </w:r>
      <w:r w:rsidRPr="00306BFC">
        <w:rPr>
          <w:sz w:val="22"/>
          <w:szCs w:val="22"/>
        </w:rPr>
        <w:t xml:space="preserve"> em Goiás e no D</w:t>
      </w:r>
      <w:r w:rsidR="00184C41">
        <w:rPr>
          <w:sz w:val="22"/>
          <w:szCs w:val="22"/>
        </w:rPr>
        <w:t xml:space="preserve">istrito </w:t>
      </w:r>
      <w:r w:rsidRPr="00306BFC">
        <w:rPr>
          <w:sz w:val="22"/>
          <w:szCs w:val="22"/>
        </w:rPr>
        <w:t>F</w:t>
      </w:r>
      <w:r w:rsidR="00184C41">
        <w:rPr>
          <w:sz w:val="22"/>
          <w:szCs w:val="22"/>
        </w:rPr>
        <w:t>ederal</w:t>
      </w:r>
      <w:r w:rsidR="00652122">
        <w:rPr>
          <w:sz w:val="22"/>
          <w:szCs w:val="22"/>
        </w:rPr>
        <w:t xml:space="preserve"> (SR-GO/DF)</w:t>
      </w:r>
      <w:r w:rsidRPr="00306BFC">
        <w:rPr>
          <w:sz w:val="22"/>
          <w:szCs w:val="22"/>
        </w:rPr>
        <w:t xml:space="preserve">, </w:t>
      </w:r>
      <w:r w:rsidR="00C64873">
        <w:rPr>
          <w:sz w:val="22"/>
          <w:szCs w:val="22"/>
        </w:rPr>
        <w:t>destinada à</w:t>
      </w:r>
      <w:r w:rsidR="00653791">
        <w:rPr>
          <w:sz w:val="22"/>
          <w:szCs w:val="22"/>
        </w:rPr>
        <w:t xml:space="preserve"> </w:t>
      </w:r>
      <w:r w:rsidRPr="00306BFC">
        <w:rPr>
          <w:sz w:val="22"/>
          <w:szCs w:val="22"/>
        </w:rPr>
        <w:t>contratação de empresa para execução de serviços de recuperação e man</w:t>
      </w:r>
      <w:r w:rsidR="00306BFC">
        <w:rPr>
          <w:sz w:val="22"/>
          <w:szCs w:val="22"/>
        </w:rPr>
        <w:t>utenção da rodovia BR 450/DF.</w:t>
      </w:r>
      <w:r w:rsidR="00653791">
        <w:rPr>
          <w:sz w:val="22"/>
          <w:szCs w:val="22"/>
        </w:rPr>
        <w:t xml:space="preserve"> </w:t>
      </w:r>
      <w:r w:rsidR="002814DB">
        <w:rPr>
          <w:sz w:val="22"/>
          <w:szCs w:val="22"/>
        </w:rPr>
        <w:t>Considerando que o</w:t>
      </w:r>
      <w:r w:rsidR="00306BFC" w:rsidRPr="00306BFC">
        <w:rPr>
          <w:sz w:val="22"/>
          <w:szCs w:val="22"/>
        </w:rPr>
        <w:t xml:space="preserve">s motivos relevantes para </w:t>
      </w:r>
      <w:r w:rsidR="00D440EB">
        <w:rPr>
          <w:sz w:val="22"/>
          <w:szCs w:val="22"/>
        </w:rPr>
        <w:t>a</w:t>
      </w:r>
      <w:r w:rsidR="00306BFC" w:rsidRPr="00306BFC">
        <w:rPr>
          <w:sz w:val="22"/>
          <w:szCs w:val="22"/>
        </w:rPr>
        <w:t xml:space="preserve"> desclassificação das propostas </w:t>
      </w:r>
      <w:r w:rsidR="0073335A">
        <w:rPr>
          <w:sz w:val="22"/>
          <w:szCs w:val="22"/>
        </w:rPr>
        <w:t>teriam sido</w:t>
      </w:r>
      <w:r w:rsidR="00306BFC" w:rsidRPr="00306BFC">
        <w:rPr>
          <w:sz w:val="22"/>
          <w:szCs w:val="22"/>
        </w:rPr>
        <w:t xml:space="preserve"> indicados expressamente no item 17.1 do edital</w:t>
      </w:r>
      <w:r w:rsidR="002814DB">
        <w:rPr>
          <w:sz w:val="22"/>
          <w:szCs w:val="22"/>
        </w:rPr>
        <w:t>, o</w:t>
      </w:r>
      <w:r w:rsidR="00C64873">
        <w:rPr>
          <w:sz w:val="22"/>
          <w:szCs w:val="22"/>
        </w:rPr>
        <w:t xml:space="preserve"> relator considerou indevida a </w:t>
      </w:r>
      <w:r w:rsidR="00C64873" w:rsidRPr="00306BFC">
        <w:rPr>
          <w:sz w:val="22"/>
          <w:szCs w:val="22"/>
        </w:rPr>
        <w:t>desclassificação da representante, cujo preço ofertado fo</w:t>
      </w:r>
      <w:r w:rsidR="00C64873">
        <w:rPr>
          <w:sz w:val="22"/>
          <w:szCs w:val="22"/>
        </w:rPr>
        <w:t>i o menor na licitação</w:t>
      </w:r>
      <w:r w:rsidR="0073335A">
        <w:rPr>
          <w:sz w:val="22"/>
          <w:szCs w:val="22"/>
        </w:rPr>
        <w:t>, uma vez que</w:t>
      </w:r>
      <w:r w:rsidR="00306BFC" w:rsidRPr="00306BFC">
        <w:rPr>
          <w:sz w:val="22"/>
          <w:szCs w:val="22"/>
        </w:rPr>
        <w:t xml:space="preserve"> fo</w:t>
      </w:r>
      <w:r w:rsidR="003654B0">
        <w:rPr>
          <w:sz w:val="22"/>
          <w:szCs w:val="22"/>
        </w:rPr>
        <w:t>ra</w:t>
      </w:r>
      <w:r w:rsidR="00306BFC" w:rsidRPr="00306BFC">
        <w:rPr>
          <w:sz w:val="22"/>
          <w:szCs w:val="22"/>
        </w:rPr>
        <w:t xml:space="preserve"> utilizado parâmetro constante do item de observações da planilha de preços, o qual, em letras pequenas, disp</w:t>
      </w:r>
      <w:r w:rsidR="00653791">
        <w:rPr>
          <w:sz w:val="22"/>
          <w:szCs w:val="22"/>
        </w:rPr>
        <w:t>unha</w:t>
      </w:r>
      <w:r w:rsidR="00306BFC" w:rsidRPr="00306BFC">
        <w:rPr>
          <w:sz w:val="22"/>
          <w:szCs w:val="22"/>
        </w:rPr>
        <w:t xml:space="preserve"> que </w:t>
      </w:r>
      <w:r w:rsidR="00306BFC" w:rsidRPr="00306BFC">
        <w:rPr>
          <w:i/>
          <w:sz w:val="22"/>
          <w:szCs w:val="22"/>
        </w:rPr>
        <w:t>“os valores somados dos itens MANUTENÇÃO/CONSERVAÇÃO deverão representar, do valor do total do contrato, um mínimo de 26,68%”</w:t>
      </w:r>
      <w:r w:rsidR="00306BFC" w:rsidRPr="00306BFC">
        <w:rPr>
          <w:sz w:val="22"/>
          <w:szCs w:val="22"/>
        </w:rPr>
        <w:t xml:space="preserve">. Tendo a representante apresentado planilha com </w:t>
      </w:r>
      <w:r w:rsidR="0073335A" w:rsidRPr="0073335A">
        <w:rPr>
          <w:i/>
          <w:sz w:val="22"/>
          <w:szCs w:val="22"/>
        </w:rPr>
        <w:t>“</w:t>
      </w:r>
      <w:r w:rsidR="00306BFC" w:rsidRPr="0073335A">
        <w:rPr>
          <w:i/>
          <w:sz w:val="22"/>
          <w:szCs w:val="22"/>
        </w:rPr>
        <w:t>diferença de 0,52% nessa relação mínima</w:t>
      </w:r>
      <w:r w:rsidR="0073335A" w:rsidRPr="0073335A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 xml:space="preserve">, procedeu-se à sua desclassificação. </w:t>
      </w:r>
      <w:r w:rsidR="00653791">
        <w:rPr>
          <w:sz w:val="22"/>
          <w:szCs w:val="22"/>
        </w:rPr>
        <w:t>Segundo o relator, t</w:t>
      </w:r>
      <w:r w:rsidR="00306BFC" w:rsidRPr="00306BFC">
        <w:rPr>
          <w:sz w:val="22"/>
          <w:szCs w:val="22"/>
        </w:rPr>
        <w:t xml:space="preserve">al modo de proceder não </w:t>
      </w:r>
      <w:r w:rsidR="00653791">
        <w:rPr>
          <w:sz w:val="22"/>
          <w:szCs w:val="22"/>
        </w:rPr>
        <w:t>lhe</w:t>
      </w:r>
      <w:r w:rsidR="00306BFC" w:rsidRPr="00306BFC">
        <w:rPr>
          <w:sz w:val="22"/>
          <w:szCs w:val="22"/>
        </w:rPr>
        <w:t xml:space="preserve"> parece</w:t>
      </w:r>
      <w:r w:rsidR="00653791">
        <w:rPr>
          <w:sz w:val="22"/>
          <w:szCs w:val="22"/>
        </w:rPr>
        <w:t>u</w:t>
      </w:r>
      <w:r w:rsidR="00306BFC" w:rsidRPr="00306BFC">
        <w:rPr>
          <w:sz w:val="22"/>
          <w:szCs w:val="22"/>
        </w:rPr>
        <w:t xml:space="preserve"> razoável nem consentâneo com o objetivo maior da licitação lançada pelo Dnit, qual seja</w:t>
      </w:r>
      <w:r w:rsidR="002814DB">
        <w:rPr>
          <w:sz w:val="22"/>
          <w:szCs w:val="22"/>
        </w:rPr>
        <w:t>,</w:t>
      </w:r>
      <w:r w:rsidR="00306BFC" w:rsidRPr="00306BFC">
        <w:rPr>
          <w:sz w:val="22"/>
          <w:szCs w:val="22"/>
        </w:rPr>
        <w:t xml:space="preserve"> a busca pela proposta mais vantajosa. Com efeito, </w:t>
      </w:r>
      <w:r w:rsidR="00653791" w:rsidRPr="00653791">
        <w:rPr>
          <w:i/>
          <w:sz w:val="22"/>
          <w:szCs w:val="22"/>
        </w:rPr>
        <w:t>“</w:t>
      </w:r>
      <w:r w:rsidR="00306BFC" w:rsidRPr="00653791">
        <w:rPr>
          <w:i/>
          <w:sz w:val="22"/>
          <w:szCs w:val="22"/>
        </w:rPr>
        <w:t>as regras do processo licitatório devem se constituir meios para o alcance dos objetivos almejados com o certame e não um fim em si mesmo</w:t>
      </w:r>
      <w:r w:rsidR="00653791" w:rsidRPr="00653791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 xml:space="preserve">. </w:t>
      </w:r>
      <w:r w:rsidR="00653791">
        <w:rPr>
          <w:sz w:val="22"/>
          <w:szCs w:val="22"/>
        </w:rPr>
        <w:t>Nesse sentido, e</w:t>
      </w:r>
      <w:r w:rsidR="00306BFC" w:rsidRPr="00306BFC">
        <w:rPr>
          <w:sz w:val="22"/>
          <w:szCs w:val="22"/>
        </w:rPr>
        <w:t xml:space="preserve">mbora louvável a preocupação </w:t>
      </w:r>
      <w:r w:rsidR="00D440EB">
        <w:rPr>
          <w:sz w:val="22"/>
          <w:szCs w:val="22"/>
        </w:rPr>
        <w:t xml:space="preserve">de se </w:t>
      </w:r>
      <w:r w:rsidR="00306BFC" w:rsidRPr="00306BFC">
        <w:rPr>
          <w:sz w:val="22"/>
          <w:szCs w:val="22"/>
        </w:rPr>
        <w:t>evita</w:t>
      </w:r>
      <w:r w:rsidR="00D440EB">
        <w:rPr>
          <w:sz w:val="22"/>
          <w:szCs w:val="22"/>
        </w:rPr>
        <w:t>r</w:t>
      </w:r>
      <w:r w:rsidR="00306BFC" w:rsidRPr="00306BFC">
        <w:rPr>
          <w:sz w:val="22"/>
          <w:szCs w:val="22"/>
        </w:rPr>
        <w:t xml:space="preserve"> o faturamento extremamente elevado no início do contrato, com </w:t>
      </w:r>
      <w:r w:rsidR="00865DA1" w:rsidRPr="00865DA1">
        <w:rPr>
          <w:i/>
          <w:sz w:val="22"/>
          <w:szCs w:val="22"/>
        </w:rPr>
        <w:t>“</w:t>
      </w:r>
      <w:r w:rsidR="00306BFC" w:rsidRPr="00865DA1">
        <w:rPr>
          <w:i/>
          <w:sz w:val="22"/>
          <w:szCs w:val="22"/>
        </w:rPr>
        <w:t xml:space="preserve">riscos </w:t>
      </w:r>
      <w:r w:rsidR="00865DA1" w:rsidRPr="00865DA1">
        <w:rPr>
          <w:i/>
          <w:sz w:val="22"/>
          <w:szCs w:val="22"/>
        </w:rPr>
        <w:t>à</w:t>
      </w:r>
      <w:r w:rsidR="00306BFC" w:rsidRPr="00865DA1">
        <w:rPr>
          <w:i/>
          <w:sz w:val="22"/>
          <w:szCs w:val="22"/>
        </w:rPr>
        <w:t xml:space="preserve"> </w:t>
      </w:r>
      <w:r w:rsidR="003654B0" w:rsidRPr="00865DA1">
        <w:rPr>
          <w:i/>
          <w:sz w:val="22"/>
          <w:szCs w:val="22"/>
        </w:rPr>
        <w:t xml:space="preserve">futura </w:t>
      </w:r>
      <w:r w:rsidR="00865DA1" w:rsidRPr="00865DA1">
        <w:rPr>
          <w:i/>
          <w:sz w:val="22"/>
          <w:szCs w:val="22"/>
        </w:rPr>
        <w:t>in</w:t>
      </w:r>
      <w:r w:rsidR="00306BFC" w:rsidRPr="00865DA1">
        <w:rPr>
          <w:i/>
          <w:sz w:val="22"/>
          <w:szCs w:val="22"/>
        </w:rPr>
        <w:t>execução completa</w:t>
      </w:r>
      <w:r w:rsidR="00865DA1" w:rsidRPr="00865DA1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>, o critério</w:t>
      </w:r>
      <w:r w:rsidR="00A15224">
        <w:rPr>
          <w:sz w:val="22"/>
          <w:szCs w:val="22"/>
        </w:rPr>
        <w:t xml:space="preserve"> de julgamento</w:t>
      </w:r>
      <w:r w:rsidR="00306BFC" w:rsidRPr="00306BFC">
        <w:rPr>
          <w:sz w:val="22"/>
          <w:szCs w:val="22"/>
        </w:rPr>
        <w:t xml:space="preserve">, da maneira como explicitado no edital, </w:t>
      </w:r>
      <w:r w:rsidR="00653791" w:rsidRPr="00653791">
        <w:rPr>
          <w:i/>
          <w:sz w:val="22"/>
          <w:szCs w:val="22"/>
        </w:rPr>
        <w:t>“</w:t>
      </w:r>
      <w:r w:rsidR="00306BFC" w:rsidRPr="00653791">
        <w:rPr>
          <w:i/>
          <w:sz w:val="22"/>
          <w:szCs w:val="22"/>
        </w:rPr>
        <w:t>não poderia servir, de pronto, à desclassificação da licitante</w:t>
      </w:r>
      <w:r w:rsidR="00653791" w:rsidRPr="00653791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>.</w:t>
      </w:r>
      <w:r w:rsidR="00653791">
        <w:rPr>
          <w:sz w:val="22"/>
          <w:szCs w:val="22"/>
        </w:rPr>
        <w:t xml:space="preserve"> O relator também chamou a atenção para o fato de que</w:t>
      </w:r>
      <w:r w:rsidR="00A15224">
        <w:rPr>
          <w:sz w:val="22"/>
          <w:szCs w:val="22"/>
        </w:rPr>
        <w:t xml:space="preserve"> </w:t>
      </w:r>
      <w:r w:rsidR="00653791">
        <w:rPr>
          <w:sz w:val="22"/>
          <w:szCs w:val="22"/>
        </w:rPr>
        <w:t xml:space="preserve">o </w:t>
      </w:r>
      <w:r w:rsidR="00306BFC" w:rsidRPr="00306BFC">
        <w:rPr>
          <w:sz w:val="22"/>
          <w:szCs w:val="22"/>
        </w:rPr>
        <w:t xml:space="preserve">item 17.4 do </w:t>
      </w:r>
      <w:r w:rsidR="00653791">
        <w:rPr>
          <w:sz w:val="22"/>
          <w:szCs w:val="22"/>
        </w:rPr>
        <w:t>e</w:t>
      </w:r>
      <w:r w:rsidR="00306BFC" w:rsidRPr="00306BFC">
        <w:rPr>
          <w:sz w:val="22"/>
          <w:szCs w:val="22"/>
        </w:rPr>
        <w:t>dital disp</w:t>
      </w:r>
      <w:r w:rsidR="00653791">
        <w:rPr>
          <w:sz w:val="22"/>
          <w:szCs w:val="22"/>
        </w:rPr>
        <w:t>unha</w:t>
      </w:r>
      <w:r w:rsidR="00306BFC" w:rsidRPr="00306BFC">
        <w:rPr>
          <w:sz w:val="22"/>
          <w:szCs w:val="22"/>
        </w:rPr>
        <w:t xml:space="preserve"> que </w:t>
      </w:r>
      <w:r w:rsidR="00653791" w:rsidRPr="00653791">
        <w:rPr>
          <w:i/>
          <w:sz w:val="22"/>
          <w:szCs w:val="22"/>
        </w:rPr>
        <w:t>“</w:t>
      </w:r>
      <w:r w:rsidR="00306BFC" w:rsidRPr="00653791">
        <w:rPr>
          <w:i/>
          <w:sz w:val="22"/>
          <w:szCs w:val="22"/>
        </w:rPr>
        <w:t xml:space="preserve">as propostas que atenderem </w:t>
      </w:r>
      <w:r w:rsidR="00306BFC" w:rsidRPr="00A15224">
        <w:rPr>
          <w:i/>
          <w:sz w:val="22"/>
          <w:szCs w:val="22"/>
        </w:rPr>
        <w:t>em sua essência</w:t>
      </w:r>
      <w:r w:rsidR="00306BFC" w:rsidRPr="00653791">
        <w:rPr>
          <w:i/>
          <w:sz w:val="22"/>
          <w:szCs w:val="22"/>
        </w:rPr>
        <w:t xml:space="preserve"> aos requisitos do edital serão verificadas quanto aos erros ali listados, os quais serão corrigidos pelo Dnit</w:t>
      </w:r>
      <w:r w:rsidR="00653791" w:rsidRPr="00653791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>. Nesse item</w:t>
      </w:r>
      <w:r w:rsidR="00653791">
        <w:rPr>
          <w:sz w:val="22"/>
          <w:szCs w:val="22"/>
        </w:rPr>
        <w:t>,</w:t>
      </w:r>
      <w:r w:rsidR="00306BFC" w:rsidRPr="00306BFC">
        <w:rPr>
          <w:sz w:val="22"/>
          <w:szCs w:val="22"/>
        </w:rPr>
        <w:t xml:space="preserve"> as normas editalícias se refer</w:t>
      </w:r>
      <w:r w:rsidR="00653791">
        <w:rPr>
          <w:sz w:val="22"/>
          <w:szCs w:val="22"/>
        </w:rPr>
        <w:t>iam</w:t>
      </w:r>
      <w:r w:rsidR="00306BFC" w:rsidRPr="00306BFC">
        <w:rPr>
          <w:sz w:val="22"/>
          <w:szCs w:val="22"/>
        </w:rPr>
        <w:t xml:space="preserve">, inclusive, a erros quanto ao consumo de materiais, </w:t>
      </w:r>
      <w:r w:rsidR="00653791" w:rsidRPr="00653791">
        <w:rPr>
          <w:i/>
          <w:sz w:val="22"/>
          <w:szCs w:val="22"/>
        </w:rPr>
        <w:t>“</w:t>
      </w:r>
      <w:r w:rsidR="00306BFC" w:rsidRPr="00653791">
        <w:rPr>
          <w:i/>
          <w:sz w:val="22"/>
          <w:szCs w:val="22"/>
        </w:rPr>
        <w:t>o que parece ser mais relevante, inclusive, que a pequena discrepância na proximidade do percentual de relação entre os itens da proposta (manutenção/conservação em relação ao total do contrato). Ora, a diferença apontada no percentual indicado no item de observações, por ser tão pequena (0,52%), e por não constar expressamente no item 17 do Edital, com maior justificativa, poderia ter sido considerada como mero erro sanável por ajuste do próprio Dnit</w:t>
      </w:r>
      <w:r w:rsidR="00653791" w:rsidRPr="00653791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>.</w:t>
      </w:r>
      <w:r w:rsidR="00653791">
        <w:rPr>
          <w:sz w:val="22"/>
          <w:szCs w:val="22"/>
        </w:rPr>
        <w:t xml:space="preserve"> </w:t>
      </w:r>
      <w:r w:rsidR="007E3469">
        <w:rPr>
          <w:sz w:val="22"/>
          <w:szCs w:val="22"/>
        </w:rPr>
        <w:t xml:space="preserve">Ao final, o relator propôs e o Plenário decidiu </w:t>
      </w:r>
      <w:r w:rsidR="00306BFC" w:rsidRPr="00306BFC">
        <w:rPr>
          <w:sz w:val="22"/>
          <w:szCs w:val="22"/>
        </w:rPr>
        <w:t xml:space="preserve">determinar à </w:t>
      </w:r>
      <w:r w:rsidR="00652122">
        <w:rPr>
          <w:sz w:val="22"/>
          <w:szCs w:val="22"/>
        </w:rPr>
        <w:t xml:space="preserve">SR-GO/DF </w:t>
      </w:r>
      <w:r w:rsidR="00A15224">
        <w:rPr>
          <w:sz w:val="22"/>
          <w:szCs w:val="22"/>
        </w:rPr>
        <w:t>a adoção</w:t>
      </w:r>
      <w:r w:rsidR="00306BFC" w:rsidRPr="00306BFC">
        <w:rPr>
          <w:sz w:val="22"/>
          <w:szCs w:val="22"/>
        </w:rPr>
        <w:t xml:space="preserve"> </w:t>
      </w:r>
      <w:r w:rsidR="00A15224">
        <w:rPr>
          <w:sz w:val="22"/>
          <w:szCs w:val="22"/>
        </w:rPr>
        <w:t xml:space="preserve">das </w:t>
      </w:r>
      <w:r w:rsidR="007E3469" w:rsidRPr="007E3469">
        <w:rPr>
          <w:i/>
          <w:sz w:val="22"/>
          <w:szCs w:val="22"/>
        </w:rPr>
        <w:t>“</w:t>
      </w:r>
      <w:r w:rsidR="00306BFC" w:rsidRPr="007E3469">
        <w:rPr>
          <w:i/>
          <w:sz w:val="22"/>
          <w:szCs w:val="22"/>
        </w:rPr>
        <w:t>providências necessárias ao exato cumprimento da Lei 8.666/1993 e dos princípios da economicidade, razoabilidade e busca da proposta mais vantajosa na licitação, no sentido de tornar nulo o ato administrativo que desclassificou a proposta da empresa JM Terraplanagem e Construções Ltda. na Concorrência 67/2010-12</w:t>
      </w:r>
      <w:r w:rsidR="007E3469" w:rsidRPr="007E3469">
        <w:rPr>
          <w:i/>
          <w:sz w:val="22"/>
          <w:szCs w:val="22"/>
        </w:rPr>
        <w:t>”</w:t>
      </w:r>
      <w:r w:rsidR="007E3469">
        <w:rPr>
          <w:sz w:val="22"/>
          <w:szCs w:val="22"/>
        </w:rPr>
        <w:t xml:space="preserve">. </w:t>
      </w:r>
      <w:r w:rsidR="00AF7B7F">
        <w:rPr>
          <w:sz w:val="22"/>
          <w:szCs w:val="22"/>
        </w:rPr>
        <w:t>Além disso</w:t>
      </w:r>
      <w:r w:rsidR="007E3469">
        <w:rPr>
          <w:sz w:val="22"/>
          <w:szCs w:val="22"/>
        </w:rPr>
        <w:t xml:space="preserve">, deliberou o Pleno no sentido de </w:t>
      </w:r>
      <w:r w:rsidR="00306BFC" w:rsidRPr="00306BFC">
        <w:rPr>
          <w:sz w:val="22"/>
          <w:szCs w:val="22"/>
        </w:rPr>
        <w:t xml:space="preserve">alertar a </w:t>
      </w:r>
      <w:r w:rsidR="00652122">
        <w:rPr>
          <w:sz w:val="22"/>
          <w:szCs w:val="22"/>
        </w:rPr>
        <w:t xml:space="preserve">SR-GO/DF </w:t>
      </w:r>
      <w:r w:rsidR="00306BFC" w:rsidRPr="00306BFC">
        <w:rPr>
          <w:sz w:val="22"/>
          <w:szCs w:val="22"/>
        </w:rPr>
        <w:t>quanto à necessidade de que:</w:t>
      </w:r>
      <w:r w:rsidR="007E3469">
        <w:rPr>
          <w:sz w:val="22"/>
          <w:szCs w:val="22"/>
        </w:rPr>
        <w:t xml:space="preserve"> a) </w:t>
      </w:r>
      <w:r w:rsidR="007E3469" w:rsidRPr="007E3469">
        <w:rPr>
          <w:i/>
          <w:sz w:val="22"/>
          <w:szCs w:val="22"/>
        </w:rPr>
        <w:t>“</w:t>
      </w:r>
      <w:r w:rsidR="00306BFC" w:rsidRPr="007E3469">
        <w:rPr>
          <w:i/>
          <w:sz w:val="22"/>
          <w:szCs w:val="22"/>
        </w:rPr>
        <w:t>os critérios de desclassificação de propostas dos licitantes sejam clara e objetivamente definidos no edital, conferindo-se a eles o devido destaque em face da importância atribuída aos critérios de julgamento, nos termos do art. 40, inciso VII, da Lei 8.666/1993</w:t>
      </w:r>
      <w:r w:rsidR="007E3469" w:rsidRPr="007E3469">
        <w:rPr>
          <w:i/>
          <w:sz w:val="22"/>
          <w:szCs w:val="22"/>
        </w:rPr>
        <w:t>”</w:t>
      </w:r>
      <w:r w:rsidR="00306BFC" w:rsidRPr="00306BFC">
        <w:rPr>
          <w:sz w:val="22"/>
          <w:szCs w:val="22"/>
        </w:rPr>
        <w:t>;</w:t>
      </w:r>
      <w:r w:rsidR="007E3469">
        <w:rPr>
          <w:sz w:val="22"/>
          <w:szCs w:val="22"/>
        </w:rPr>
        <w:t xml:space="preserve"> b) </w:t>
      </w:r>
      <w:r w:rsidR="007E3469" w:rsidRPr="007E3469">
        <w:rPr>
          <w:i/>
          <w:sz w:val="22"/>
          <w:szCs w:val="22"/>
        </w:rPr>
        <w:t>“</w:t>
      </w:r>
      <w:r w:rsidR="00306BFC" w:rsidRPr="007E3469">
        <w:rPr>
          <w:i/>
          <w:sz w:val="22"/>
          <w:szCs w:val="22"/>
        </w:rPr>
        <w:t>no julgamento das propostas</w:t>
      </w:r>
      <w:r w:rsidR="00210384">
        <w:rPr>
          <w:i/>
          <w:sz w:val="22"/>
          <w:szCs w:val="22"/>
        </w:rPr>
        <w:t>,</w:t>
      </w:r>
      <w:r w:rsidR="00306BFC" w:rsidRPr="007E3469">
        <w:rPr>
          <w:i/>
          <w:sz w:val="22"/>
          <w:szCs w:val="22"/>
        </w:rPr>
        <w:t xml:space="preserve"> sejam observados os critérios estabelecidos no edital conjuntamente aos princípios que regem o procedimento licitatório e os processos administrativos em geral, sem descuidar do objetivo maior da licitação, que consiste na busca da proposta mais vantajosa para a Administração respeitados os parâmetros que tragam tratamento isonômico aos licitantes</w:t>
      </w:r>
      <w:r w:rsidR="007E3469" w:rsidRPr="007E3469">
        <w:rPr>
          <w:i/>
          <w:sz w:val="22"/>
          <w:szCs w:val="22"/>
        </w:rPr>
        <w:t>”</w:t>
      </w:r>
      <w:r w:rsidR="007E3469">
        <w:rPr>
          <w:sz w:val="22"/>
          <w:szCs w:val="22"/>
        </w:rPr>
        <w:t xml:space="preserve">. </w:t>
      </w:r>
      <w:r w:rsidRPr="00337E16">
        <w:rPr>
          <w:b/>
          <w:i/>
          <w:sz w:val="22"/>
          <w:szCs w:val="22"/>
        </w:rPr>
        <w:t xml:space="preserve">Acórdão n.º </w:t>
      </w:r>
      <w:r>
        <w:rPr>
          <w:b/>
          <w:i/>
          <w:sz w:val="22"/>
          <w:szCs w:val="22"/>
        </w:rPr>
        <w:t>27</w:t>
      </w:r>
      <w:r w:rsidR="00306BFC">
        <w:rPr>
          <w:b/>
          <w:i/>
          <w:sz w:val="22"/>
          <w:szCs w:val="22"/>
        </w:rPr>
        <w:t>61</w:t>
      </w:r>
      <w:r w:rsidRPr="00337E16">
        <w:rPr>
          <w:b/>
          <w:i/>
          <w:sz w:val="22"/>
          <w:szCs w:val="22"/>
        </w:rPr>
        <w:t>/2010</w:t>
      </w:r>
      <w:r>
        <w:rPr>
          <w:b/>
          <w:i/>
          <w:sz w:val="22"/>
          <w:szCs w:val="22"/>
        </w:rPr>
        <w:t>-Plenário</w:t>
      </w:r>
      <w:r w:rsidRPr="00337E16">
        <w:rPr>
          <w:b/>
          <w:i/>
          <w:sz w:val="22"/>
          <w:szCs w:val="22"/>
        </w:rPr>
        <w:t>, TC-0</w:t>
      </w:r>
      <w:r w:rsidR="00306BFC">
        <w:rPr>
          <w:b/>
          <w:i/>
          <w:sz w:val="22"/>
          <w:szCs w:val="22"/>
        </w:rPr>
        <w:t>22</w:t>
      </w:r>
      <w:r w:rsidRPr="00337E16">
        <w:rPr>
          <w:b/>
          <w:i/>
          <w:sz w:val="22"/>
          <w:szCs w:val="22"/>
        </w:rPr>
        <w:t>.</w:t>
      </w:r>
      <w:r w:rsidR="00306BFC">
        <w:rPr>
          <w:b/>
          <w:i/>
          <w:sz w:val="22"/>
          <w:szCs w:val="22"/>
        </w:rPr>
        <w:t>573</w:t>
      </w:r>
      <w:r w:rsidRPr="00337E16">
        <w:rPr>
          <w:b/>
          <w:i/>
          <w:sz w:val="22"/>
          <w:szCs w:val="22"/>
        </w:rPr>
        <w:t>/20</w:t>
      </w:r>
      <w:r w:rsidR="00306BFC">
        <w:rPr>
          <w:b/>
          <w:i/>
          <w:sz w:val="22"/>
          <w:szCs w:val="22"/>
        </w:rPr>
        <w:t>10</w:t>
      </w:r>
      <w:r w:rsidRPr="00337E16">
        <w:rPr>
          <w:b/>
          <w:i/>
          <w:sz w:val="22"/>
          <w:szCs w:val="22"/>
        </w:rPr>
        <w:t>-</w:t>
      </w:r>
      <w:r w:rsidR="00306BFC">
        <w:rPr>
          <w:b/>
          <w:i/>
          <w:sz w:val="22"/>
          <w:szCs w:val="22"/>
        </w:rPr>
        <w:t>0</w:t>
      </w:r>
      <w:r w:rsidRPr="00337E16">
        <w:rPr>
          <w:b/>
          <w:i/>
          <w:sz w:val="22"/>
          <w:szCs w:val="22"/>
        </w:rPr>
        <w:t>, rel. Min</w:t>
      </w:r>
      <w:r>
        <w:rPr>
          <w:b/>
          <w:i/>
          <w:sz w:val="22"/>
          <w:szCs w:val="22"/>
        </w:rPr>
        <w:t xml:space="preserve">-Subst. </w:t>
      </w:r>
      <w:r w:rsidR="00306BFC">
        <w:rPr>
          <w:b/>
          <w:i/>
          <w:sz w:val="22"/>
          <w:szCs w:val="22"/>
        </w:rPr>
        <w:t>Augusto Sherman Cavalcanti</w:t>
      </w:r>
      <w:r w:rsidRPr="00337E16">
        <w:rPr>
          <w:b/>
          <w:i/>
          <w:sz w:val="22"/>
          <w:szCs w:val="22"/>
        </w:rPr>
        <w:t>, 1</w:t>
      </w:r>
      <w:r w:rsidR="00306BFC">
        <w:rPr>
          <w:b/>
          <w:i/>
          <w:sz w:val="22"/>
          <w:szCs w:val="22"/>
        </w:rPr>
        <w:t>3</w:t>
      </w:r>
      <w:r w:rsidRPr="00337E16">
        <w:rPr>
          <w:b/>
          <w:i/>
          <w:sz w:val="22"/>
          <w:szCs w:val="22"/>
        </w:rPr>
        <w:t>.</w:t>
      </w:r>
      <w:r w:rsidR="00306BFC">
        <w:rPr>
          <w:b/>
          <w:i/>
          <w:sz w:val="22"/>
          <w:szCs w:val="22"/>
        </w:rPr>
        <w:t>10</w:t>
      </w:r>
      <w:r w:rsidRPr="00337E16">
        <w:rPr>
          <w:b/>
          <w:i/>
          <w:sz w:val="22"/>
          <w:szCs w:val="22"/>
        </w:rPr>
        <w:t>.2010</w:t>
      </w:r>
      <w:r w:rsidR="00483F3C">
        <w:rPr>
          <w:b/>
          <w:i/>
          <w:sz w:val="22"/>
          <w:szCs w:val="22"/>
        </w:rPr>
        <w:t>.</w:t>
      </w:r>
    </w:p>
    <w:p w:rsidR="004A44C0" w:rsidRPr="004A44C0" w:rsidRDefault="004A44C0" w:rsidP="00EC32FC">
      <w:pPr>
        <w:pStyle w:val="enter-3pt"/>
        <w:spacing w:before="60" w:line="240" w:lineRule="auto"/>
        <w:rPr>
          <w:sz w:val="22"/>
          <w:szCs w:val="22"/>
        </w:rPr>
      </w:pPr>
    </w:p>
    <w:p w:rsidR="004A44C0" w:rsidRDefault="00FA370A" w:rsidP="0055716D">
      <w:pPr>
        <w:pStyle w:val="enter-3pt"/>
        <w:spacing w:line="240" w:lineRule="auto"/>
        <w:rPr>
          <w:b/>
          <w:sz w:val="22"/>
          <w:szCs w:val="22"/>
        </w:rPr>
      </w:pPr>
      <w:r w:rsidRPr="00FA370A">
        <w:rPr>
          <w:b/>
          <w:sz w:val="22"/>
          <w:szCs w:val="22"/>
        </w:rPr>
        <w:t>Formalidades exigidas para adesões a atas de registro de preços</w:t>
      </w:r>
    </w:p>
    <w:p w:rsidR="0055716D" w:rsidRDefault="00FA370A" w:rsidP="00B230CD">
      <w:pPr>
        <w:pStyle w:val="enter-3pt"/>
        <w:spacing w:line="240" w:lineRule="auto"/>
        <w:rPr>
          <w:sz w:val="22"/>
          <w:szCs w:val="22"/>
        </w:rPr>
      </w:pPr>
      <w:r w:rsidRPr="00FA370A">
        <w:rPr>
          <w:sz w:val="22"/>
          <w:szCs w:val="22"/>
        </w:rPr>
        <w:t>A adesão</w:t>
      </w:r>
      <w:r w:rsidR="00A15224">
        <w:rPr>
          <w:sz w:val="22"/>
          <w:szCs w:val="22"/>
        </w:rPr>
        <w:t xml:space="preserve"> a ata de registro de preços </w:t>
      </w:r>
      <w:r w:rsidRPr="00FA370A">
        <w:rPr>
          <w:sz w:val="22"/>
          <w:szCs w:val="22"/>
        </w:rPr>
        <w:t>não prescinde da caracterização do objeto a ser adquirido, das justificativas contendo o diagnóstico da necessidade da aquisição e da adequação do objeto aos interesses da Administração, da pesquisa de preço com vistas a verificar a compatibilidade dos valores dos referidos bens com os preços de mercado e do cumprimento ao limite imposto pelo art. 8º, §</w:t>
      </w:r>
      <w:r w:rsidR="00A15224">
        <w:rPr>
          <w:sz w:val="22"/>
          <w:szCs w:val="22"/>
        </w:rPr>
        <w:t xml:space="preserve"> </w:t>
      </w:r>
      <w:r w:rsidRPr="00FA370A">
        <w:rPr>
          <w:sz w:val="22"/>
          <w:szCs w:val="22"/>
        </w:rPr>
        <w:t>3º, do Decreto n.</w:t>
      </w:r>
      <w:r w:rsidR="00B230CD">
        <w:rPr>
          <w:sz w:val="22"/>
          <w:szCs w:val="22"/>
        </w:rPr>
        <w:t>º</w:t>
      </w:r>
      <w:r w:rsidRPr="00FA370A">
        <w:rPr>
          <w:sz w:val="22"/>
          <w:szCs w:val="22"/>
        </w:rPr>
        <w:t xml:space="preserve"> 3.931/2001, segundo o qual </w:t>
      </w:r>
      <w:r w:rsidR="00A15224">
        <w:rPr>
          <w:sz w:val="22"/>
          <w:szCs w:val="22"/>
        </w:rPr>
        <w:t>é proibida</w:t>
      </w:r>
      <w:r w:rsidRPr="00FA370A">
        <w:rPr>
          <w:sz w:val="22"/>
          <w:szCs w:val="22"/>
        </w:rPr>
        <w:t xml:space="preserve"> a compra de quantidade superior à registrada na ata.</w:t>
      </w:r>
      <w:r w:rsidR="00B230CD">
        <w:rPr>
          <w:sz w:val="22"/>
          <w:szCs w:val="22"/>
        </w:rPr>
        <w:t xml:space="preserve"> Foi esse o entendimento defendido pelo relator, ao apreciar r</w:t>
      </w:r>
      <w:r w:rsidRPr="00FA370A">
        <w:rPr>
          <w:sz w:val="22"/>
          <w:szCs w:val="22"/>
        </w:rPr>
        <w:t xml:space="preserve">epresentação autuada com base em informação da Ouvidoria do </w:t>
      </w:r>
      <w:r w:rsidR="00B230CD">
        <w:rPr>
          <w:sz w:val="22"/>
          <w:szCs w:val="22"/>
        </w:rPr>
        <w:t>TCU</w:t>
      </w:r>
      <w:r w:rsidRPr="00FA370A">
        <w:rPr>
          <w:sz w:val="22"/>
          <w:szCs w:val="22"/>
        </w:rPr>
        <w:t xml:space="preserve">, versando sobre supostas irregularidades ocorridas no Tribunal Regional do Trabalho da 22ª Região </w:t>
      </w:r>
      <w:r w:rsidR="00A15224">
        <w:rPr>
          <w:sz w:val="22"/>
          <w:szCs w:val="22"/>
        </w:rPr>
        <w:t>(</w:t>
      </w:r>
      <w:r w:rsidRPr="00FA370A">
        <w:rPr>
          <w:sz w:val="22"/>
          <w:szCs w:val="22"/>
        </w:rPr>
        <w:t>TRT/22ª Região</w:t>
      </w:r>
      <w:r w:rsidR="00A15224">
        <w:rPr>
          <w:sz w:val="22"/>
          <w:szCs w:val="22"/>
        </w:rPr>
        <w:t>)</w:t>
      </w:r>
      <w:r w:rsidRPr="00FA370A">
        <w:rPr>
          <w:sz w:val="22"/>
          <w:szCs w:val="22"/>
        </w:rPr>
        <w:t>.</w:t>
      </w:r>
      <w:r w:rsidR="00B230CD">
        <w:rPr>
          <w:sz w:val="22"/>
          <w:szCs w:val="22"/>
        </w:rPr>
        <w:t xml:space="preserve"> </w:t>
      </w:r>
      <w:r w:rsidR="00A15224">
        <w:rPr>
          <w:sz w:val="22"/>
          <w:szCs w:val="22"/>
        </w:rPr>
        <w:t>Realizada inspeção no órgão, a</w:t>
      </w:r>
      <w:r w:rsidRPr="00FA370A">
        <w:rPr>
          <w:sz w:val="22"/>
          <w:szCs w:val="22"/>
        </w:rPr>
        <w:t xml:space="preserve"> </w:t>
      </w:r>
      <w:r w:rsidR="00B230CD">
        <w:rPr>
          <w:sz w:val="22"/>
          <w:szCs w:val="22"/>
        </w:rPr>
        <w:t>u</w:t>
      </w:r>
      <w:r w:rsidRPr="00FA370A">
        <w:rPr>
          <w:sz w:val="22"/>
          <w:szCs w:val="22"/>
        </w:rPr>
        <w:t xml:space="preserve">nidade </w:t>
      </w:r>
      <w:r w:rsidR="00B230CD">
        <w:rPr>
          <w:sz w:val="22"/>
          <w:szCs w:val="22"/>
        </w:rPr>
        <w:t>t</w:t>
      </w:r>
      <w:r w:rsidRPr="00FA370A">
        <w:rPr>
          <w:sz w:val="22"/>
          <w:szCs w:val="22"/>
        </w:rPr>
        <w:t>écnica analisou uma série de processos em que veículos foram adquiridos utilizando-se ata de registro de preços de outro órgão.</w:t>
      </w:r>
      <w:r w:rsidR="00B230CD">
        <w:rPr>
          <w:sz w:val="22"/>
          <w:szCs w:val="22"/>
        </w:rPr>
        <w:t xml:space="preserve"> </w:t>
      </w:r>
      <w:r w:rsidRPr="00FA370A">
        <w:rPr>
          <w:sz w:val="22"/>
          <w:szCs w:val="22"/>
        </w:rPr>
        <w:t>Após aprofundado exame, sobressaíram as seguintes impropriedades:</w:t>
      </w:r>
      <w:r w:rsidR="00B230CD">
        <w:rPr>
          <w:sz w:val="22"/>
          <w:szCs w:val="22"/>
        </w:rPr>
        <w:t xml:space="preserve"> 1ª) </w:t>
      </w:r>
      <w:r w:rsidRPr="00FA370A">
        <w:rPr>
          <w:sz w:val="22"/>
          <w:szCs w:val="22"/>
        </w:rPr>
        <w:t>ausência de formalização de termo de caracterização do objeto, previamente à contratação;</w:t>
      </w:r>
      <w:r w:rsidR="00B230CD">
        <w:rPr>
          <w:sz w:val="22"/>
          <w:szCs w:val="22"/>
        </w:rPr>
        <w:t xml:space="preserve"> 2ª) </w:t>
      </w:r>
      <w:r w:rsidRPr="00FA370A">
        <w:rPr>
          <w:sz w:val="22"/>
          <w:szCs w:val="22"/>
        </w:rPr>
        <w:t>ausência de justificativa contendo o diagnóstico da necessidade da aquisição e da adequação do objeto aos interesses da Administração;</w:t>
      </w:r>
      <w:r w:rsidR="00B230CD">
        <w:rPr>
          <w:sz w:val="22"/>
          <w:szCs w:val="22"/>
        </w:rPr>
        <w:t xml:space="preserve"> 3ª) </w:t>
      </w:r>
      <w:r w:rsidRPr="00FA370A">
        <w:rPr>
          <w:sz w:val="22"/>
          <w:szCs w:val="22"/>
        </w:rPr>
        <w:t>descumprimento do § 1º do art. 15 da Lei n.</w:t>
      </w:r>
      <w:r w:rsidR="00B230CD">
        <w:rPr>
          <w:sz w:val="22"/>
          <w:szCs w:val="22"/>
        </w:rPr>
        <w:t>º</w:t>
      </w:r>
      <w:r w:rsidRPr="00FA370A">
        <w:rPr>
          <w:sz w:val="22"/>
          <w:szCs w:val="22"/>
        </w:rPr>
        <w:t xml:space="preserve"> 8.666/1993, que prevê a obrigação de ampla pesquisa de mercado previamente às aquisições </w:t>
      </w:r>
      <w:r w:rsidR="00A15224">
        <w:rPr>
          <w:sz w:val="22"/>
          <w:szCs w:val="22"/>
        </w:rPr>
        <w:t>mediante</w:t>
      </w:r>
      <w:r w:rsidRPr="00FA370A">
        <w:rPr>
          <w:sz w:val="22"/>
          <w:szCs w:val="22"/>
        </w:rPr>
        <w:t xml:space="preserve"> registro de preços;</w:t>
      </w:r>
      <w:r w:rsidR="00B230CD">
        <w:rPr>
          <w:sz w:val="22"/>
          <w:szCs w:val="22"/>
        </w:rPr>
        <w:t xml:space="preserve"> 4ª) </w:t>
      </w:r>
      <w:r w:rsidRPr="00FA370A">
        <w:rPr>
          <w:sz w:val="22"/>
          <w:szCs w:val="22"/>
        </w:rPr>
        <w:t>desobediência ao § 3º do art. 8º Decreto n.</w:t>
      </w:r>
      <w:r w:rsidR="00B230CD">
        <w:rPr>
          <w:sz w:val="22"/>
          <w:szCs w:val="22"/>
        </w:rPr>
        <w:t>º</w:t>
      </w:r>
      <w:r w:rsidRPr="00FA370A">
        <w:rPr>
          <w:sz w:val="22"/>
          <w:szCs w:val="22"/>
        </w:rPr>
        <w:t xml:space="preserve"> 3.931/2001, que limita o quantitativo a ser adquirido em 100% daquele registrado na </w:t>
      </w:r>
      <w:r w:rsidR="00A15224">
        <w:rPr>
          <w:sz w:val="22"/>
          <w:szCs w:val="22"/>
        </w:rPr>
        <w:t>a</w:t>
      </w:r>
      <w:r w:rsidRPr="00FA370A">
        <w:rPr>
          <w:sz w:val="22"/>
          <w:szCs w:val="22"/>
        </w:rPr>
        <w:t xml:space="preserve">ta de </w:t>
      </w:r>
      <w:r w:rsidR="00A15224">
        <w:rPr>
          <w:sz w:val="22"/>
          <w:szCs w:val="22"/>
        </w:rPr>
        <w:t>r</w:t>
      </w:r>
      <w:r w:rsidRPr="00FA370A">
        <w:rPr>
          <w:sz w:val="22"/>
          <w:szCs w:val="22"/>
        </w:rPr>
        <w:t xml:space="preserve">egistro de </w:t>
      </w:r>
      <w:r w:rsidR="00A15224">
        <w:rPr>
          <w:sz w:val="22"/>
          <w:szCs w:val="22"/>
        </w:rPr>
        <w:t>p</w:t>
      </w:r>
      <w:r w:rsidRPr="00FA370A">
        <w:rPr>
          <w:sz w:val="22"/>
          <w:szCs w:val="22"/>
        </w:rPr>
        <w:t xml:space="preserve">reços, </w:t>
      </w:r>
      <w:r w:rsidR="005A2397">
        <w:rPr>
          <w:sz w:val="22"/>
          <w:szCs w:val="22"/>
        </w:rPr>
        <w:t>tendo sido comprados</w:t>
      </w:r>
      <w:r w:rsidRPr="00FA370A">
        <w:rPr>
          <w:sz w:val="22"/>
          <w:szCs w:val="22"/>
        </w:rPr>
        <w:t xml:space="preserve"> quatro veículos quando a cotação realizada pelo órgão responsável pela licita</w:t>
      </w:r>
      <w:r w:rsidR="00B230CD">
        <w:rPr>
          <w:sz w:val="22"/>
          <w:szCs w:val="22"/>
        </w:rPr>
        <w:t xml:space="preserve">ção foi referente a apenas três. </w:t>
      </w:r>
      <w:r w:rsidR="00A15224">
        <w:rPr>
          <w:sz w:val="22"/>
          <w:szCs w:val="22"/>
        </w:rPr>
        <w:t>Uma vez confirmadas tais irregularidades</w:t>
      </w:r>
      <w:r w:rsidR="00B230CD">
        <w:rPr>
          <w:sz w:val="22"/>
          <w:szCs w:val="22"/>
        </w:rPr>
        <w:t xml:space="preserve">, o relator propôs e o Plenário decidiu </w:t>
      </w:r>
      <w:r w:rsidR="00A15224">
        <w:rPr>
          <w:sz w:val="22"/>
          <w:szCs w:val="22"/>
        </w:rPr>
        <w:t>expedir determinação</w:t>
      </w:r>
      <w:r w:rsidRPr="00FA370A">
        <w:rPr>
          <w:sz w:val="22"/>
          <w:szCs w:val="22"/>
        </w:rPr>
        <w:t xml:space="preserve"> </w:t>
      </w:r>
      <w:r w:rsidR="00FC021D">
        <w:rPr>
          <w:sz w:val="22"/>
          <w:szCs w:val="22"/>
        </w:rPr>
        <w:t xml:space="preserve">corretiva </w:t>
      </w:r>
      <w:r w:rsidRPr="00FA370A">
        <w:rPr>
          <w:sz w:val="22"/>
          <w:szCs w:val="22"/>
        </w:rPr>
        <w:t xml:space="preserve">ao </w:t>
      </w:r>
      <w:r w:rsidR="00A15224" w:rsidRPr="00FA370A">
        <w:rPr>
          <w:sz w:val="22"/>
          <w:szCs w:val="22"/>
        </w:rPr>
        <w:t>TRT/22ª Região</w:t>
      </w:r>
      <w:r w:rsidR="00A15224">
        <w:rPr>
          <w:sz w:val="22"/>
          <w:szCs w:val="22"/>
        </w:rPr>
        <w:t xml:space="preserve"> para futuras contratações por meio de </w:t>
      </w:r>
      <w:r w:rsidR="00FC021D">
        <w:rPr>
          <w:sz w:val="22"/>
          <w:szCs w:val="22"/>
        </w:rPr>
        <w:t>adesões</w:t>
      </w:r>
      <w:r w:rsidR="00A15224">
        <w:rPr>
          <w:sz w:val="22"/>
          <w:szCs w:val="22"/>
        </w:rPr>
        <w:t xml:space="preserve"> a ata</w:t>
      </w:r>
      <w:r w:rsidR="00FC021D">
        <w:rPr>
          <w:sz w:val="22"/>
          <w:szCs w:val="22"/>
        </w:rPr>
        <w:t>s</w:t>
      </w:r>
      <w:r w:rsidR="00A15224">
        <w:rPr>
          <w:sz w:val="22"/>
          <w:szCs w:val="22"/>
        </w:rPr>
        <w:t xml:space="preserve"> de registro de preços</w:t>
      </w:r>
      <w:r w:rsidR="00B230CD">
        <w:rPr>
          <w:sz w:val="22"/>
          <w:szCs w:val="22"/>
        </w:rPr>
        <w:t xml:space="preserve">. </w:t>
      </w:r>
      <w:r w:rsidR="0055716D" w:rsidRPr="00337E16">
        <w:rPr>
          <w:b/>
          <w:i/>
          <w:sz w:val="22"/>
          <w:szCs w:val="22"/>
        </w:rPr>
        <w:t xml:space="preserve">Acórdão n.º </w:t>
      </w:r>
      <w:r w:rsidR="0055716D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764</w:t>
      </w:r>
      <w:r w:rsidR="0055716D" w:rsidRPr="00337E16">
        <w:rPr>
          <w:b/>
          <w:i/>
          <w:sz w:val="22"/>
          <w:szCs w:val="22"/>
        </w:rPr>
        <w:t>/2010</w:t>
      </w:r>
      <w:r w:rsidR="0055716D">
        <w:rPr>
          <w:b/>
          <w:i/>
          <w:sz w:val="22"/>
          <w:szCs w:val="22"/>
        </w:rPr>
        <w:t>-Plenário</w:t>
      </w:r>
      <w:r w:rsidR="0055716D" w:rsidRPr="00337E16">
        <w:rPr>
          <w:b/>
          <w:i/>
          <w:sz w:val="22"/>
          <w:szCs w:val="22"/>
        </w:rPr>
        <w:t>, TC-0</w:t>
      </w:r>
      <w:r>
        <w:rPr>
          <w:b/>
          <w:i/>
          <w:sz w:val="22"/>
          <w:szCs w:val="22"/>
        </w:rPr>
        <w:t>26</w:t>
      </w:r>
      <w:r w:rsidR="0055716D" w:rsidRPr="00337E16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542</w:t>
      </w:r>
      <w:r w:rsidR="0055716D" w:rsidRPr="00337E16">
        <w:rPr>
          <w:b/>
          <w:i/>
          <w:sz w:val="22"/>
          <w:szCs w:val="22"/>
        </w:rPr>
        <w:t>/20</w:t>
      </w:r>
      <w:r w:rsidR="0055716D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6</w:t>
      </w:r>
      <w:r w:rsidR="0055716D" w:rsidRPr="00337E16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1</w:t>
      </w:r>
      <w:r w:rsidR="0055716D" w:rsidRPr="00337E16">
        <w:rPr>
          <w:b/>
          <w:i/>
          <w:sz w:val="22"/>
          <w:szCs w:val="22"/>
        </w:rPr>
        <w:t>, rel. Min</w:t>
      </w:r>
      <w:r w:rsidR="0055716D">
        <w:rPr>
          <w:b/>
          <w:i/>
          <w:sz w:val="22"/>
          <w:szCs w:val="22"/>
        </w:rPr>
        <w:t>-Subst. Marcos Bemquerer Costa</w:t>
      </w:r>
      <w:r w:rsidR="0055716D" w:rsidRPr="00337E16">
        <w:rPr>
          <w:b/>
          <w:i/>
          <w:sz w:val="22"/>
          <w:szCs w:val="22"/>
        </w:rPr>
        <w:t>, 1</w:t>
      </w:r>
      <w:r w:rsidR="00483F3C">
        <w:rPr>
          <w:b/>
          <w:i/>
          <w:sz w:val="22"/>
          <w:szCs w:val="22"/>
        </w:rPr>
        <w:t>3</w:t>
      </w:r>
      <w:r w:rsidR="0055716D" w:rsidRPr="00337E16">
        <w:rPr>
          <w:b/>
          <w:i/>
          <w:sz w:val="22"/>
          <w:szCs w:val="22"/>
        </w:rPr>
        <w:t>.</w:t>
      </w:r>
      <w:r w:rsidR="00483F3C">
        <w:rPr>
          <w:b/>
          <w:i/>
          <w:sz w:val="22"/>
          <w:szCs w:val="22"/>
        </w:rPr>
        <w:t>10</w:t>
      </w:r>
      <w:r w:rsidR="0055716D" w:rsidRPr="00337E16">
        <w:rPr>
          <w:b/>
          <w:i/>
          <w:sz w:val="22"/>
          <w:szCs w:val="22"/>
        </w:rPr>
        <w:t>.2010</w:t>
      </w:r>
      <w:r w:rsidR="0055716D" w:rsidRPr="00337E16">
        <w:rPr>
          <w:sz w:val="22"/>
          <w:szCs w:val="22"/>
        </w:rPr>
        <w:t>.</w:t>
      </w:r>
    </w:p>
    <w:p w:rsidR="00281500" w:rsidRPr="00337E16" w:rsidRDefault="00281500" w:rsidP="00281500">
      <w:pPr>
        <w:pStyle w:val="indice"/>
        <w:spacing w:line="240" w:lineRule="auto"/>
      </w:pPr>
    </w:p>
    <w:p w:rsidR="00281500" w:rsidRDefault="00281500" w:rsidP="00281500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INOVAÇÃO LEGISLATIVA</w:t>
      </w:r>
    </w:p>
    <w:p w:rsidR="009E1966" w:rsidRPr="009E1966" w:rsidRDefault="009E1966" w:rsidP="00281500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Cs/>
          <w:smallCaps/>
          <w:sz w:val="20"/>
          <w:szCs w:val="20"/>
        </w:rPr>
      </w:pPr>
      <w:r w:rsidRPr="009E1966">
        <w:rPr>
          <w:bCs/>
          <w:smallCaps/>
          <w:sz w:val="20"/>
          <w:szCs w:val="20"/>
        </w:rPr>
        <w:t>PERÍODO DE 11 A 17 DE OUTUBRO</w:t>
      </w:r>
    </w:p>
    <w:p w:rsidR="00281500" w:rsidRPr="009F0FCD" w:rsidRDefault="00281500" w:rsidP="009F0FCD">
      <w:pPr>
        <w:pStyle w:val="tita"/>
        <w:spacing w:before="0" w:after="0" w:line="240" w:lineRule="auto"/>
        <w:jc w:val="both"/>
        <w:rPr>
          <w:b w:val="0"/>
          <w:i w:val="0"/>
          <w:iCs w:val="0"/>
          <w:sz w:val="22"/>
          <w:szCs w:val="22"/>
        </w:rPr>
      </w:pPr>
    </w:p>
    <w:p w:rsidR="00281500" w:rsidRPr="00281500" w:rsidRDefault="00281500" w:rsidP="00281500">
      <w:pPr>
        <w:pStyle w:val="indice"/>
        <w:spacing w:before="60" w:line="240" w:lineRule="auto"/>
        <w:rPr>
          <w:b/>
        </w:rPr>
      </w:pPr>
      <w:r w:rsidRPr="00281500">
        <w:rPr>
          <w:b/>
        </w:rPr>
        <w:t>Instrução Normativa SLTI/MP n.º 02, de 11 de outubro de 2010</w:t>
      </w:r>
    </w:p>
    <w:p w:rsidR="00281500" w:rsidRPr="00337E16" w:rsidRDefault="00281500" w:rsidP="00281500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Estabelece normas para o funcionamento do Sistema de Cadastramento Unificado de Fornecedores – SICAF no âmbito dos órgãos e entidades do Sistema de Serviços Gerais – SISG.</w:t>
      </w:r>
    </w:p>
    <w:p w:rsidR="00785CF8" w:rsidRPr="00337E16" w:rsidRDefault="00785CF8" w:rsidP="00337E1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6"/>
      </w:tblGrid>
      <w:tr w:rsidR="00D2041E" w:rsidRPr="00337E16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F27170" w:rsidRPr="00337E16" w:rsidRDefault="005E5FF1" w:rsidP="00337E16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R</w:t>
            </w:r>
            <w:r w:rsidR="00F27170" w:rsidRPr="00337E16">
              <w:rPr>
                <w:b/>
                <w:i/>
                <w:sz w:val="18"/>
                <w:szCs w:val="18"/>
              </w:rPr>
              <w:t>esponsáve</w:t>
            </w:r>
            <w:r w:rsidR="000C7A3B">
              <w:rPr>
                <w:b/>
                <w:i/>
                <w:sz w:val="18"/>
                <w:szCs w:val="18"/>
              </w:rPr>
              <w:t>l</w:t>
            </w:r>
            <w:r w:rsidR="00F27170" w:rsidRPr="00337E16">
              <w:rPr>
                <w:b/>
                <w:i/>
                <w:sz w:val="18"/>
                <w:szCs w:val="18"/>
              </w:rPr>
              <w:t xml:space="preserve"> pelo Informativo:</w:t>
            </w:r>
          </w:p>
          <w:p w:rsidR="00F27170" w:rsidRPr="00337E16" w:rsidRDefault="00F27170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37E16">
              <w:rPr>
                <w:i/>
                <w:sz w:val="18"/>
                <w:szCs w:val="18"/>
              </w:rPr>
              <w:t>Luiz Felipe Bezerra Almeida Simões</w:t>
            </w:r>
            <w:r w:rsidR="00713DE5" w:rsidRPr="00337E16">
              <w:rPr>
                <w:i/>
                <w:sz w:val="18"/>
                <w:szCs w:val="18"/>
              </w:rPr>
              <w:t>, Assessor da Secretaria das Sessões</w:t>
            </w:r>
          </w:p>
          <w:p w:rsidR="00D2041E" w:rsidRPr="00337E16" w:rsidRDefault="00D2041E" w:rsidP="00337E1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37E16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337E16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337E16" w:rsidRDefault="00D2041E" w:rsidP="00337E16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D2041E" w:rsidRPr="00337E16" w:rsidSect="00337E16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D9" w:rsidRDefault="004B62D9" w:rsidP="008B0547">
      <w:pPr>
        <w:spacing w:after="0"/>
      </w:pPr>
      <w:r>
        <w:separator/>
      </w:r>
    </w:p>
  </w:endnote>
  <w:endnote w:type="continuationSeparator" w:id="0">
    <w:p w:rsidR="004B62D9" w:rsidRDefault="004B62D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44BB0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D9" w:rsidRDefault="004B62D9" w:rsidP="008B0547">
      <w:pPr>
        <w:spacing w:after="0"/>
      </w:pPr>
      <w:r>
        <w:separator/>
      </w:r>
    </w:p>
  </w:footnote>
  <w:footnote w:type="continuationSeparator" w:id="0">
    <w:p w:rsidR="004B62D9" w:rsidRDefault="004B62D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73226D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73226D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9D6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5DB6">
      <w:rPr>
        <w:rFonts w:ascii="Arial" w:hAnsi="Arial" w:cs="Arial"/>
        <w:noProof/>
        <w:lang w:eastAsia="pt-BR"/>
      </w:rPr>
      <w:t>3</w:t>
    </w:r>
    <w:r w:rsidR="00CB28B0">
      <w:rPr>
        <w:rFonts w:ascii="Arial" w:hAnsi="Arial" w:cs="Arial"/>
        <w:noProof/>
        <w:lang w:eastAsia="pt-BR"/>
      </w:rPr>
      <w:t>8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0E516F9"/>
    <w:multiLevelType w:val="multilevel"/>
    <w:tmpl w:val="D9F4E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3CEA"/>
    <w:rsid w:val="00004614"/>
    <w:rsid w:val="00005435"/>
    <w:rsid w:val="00005E1E"/>
    <w:rsid w:val="00012468"/>
    <w:rsid w:val="0001636D"/>
    <w:rsid w:val="00023D72"/>
    <w:rsid w:val="000271FA"/>
    <w:rsid w:val="00032198"/>
    <w:rsid w:val="00041450"/>
    <w:rsid w:val="00042987"/>
    <w:rsid w:val="0004660A"/>
    <w:rsid w:val="00052B15"/>
    <w:rsid w:val="00054432"/>
    <w:rsid w:val="0005488C"/>
    <w:rsid w:val="000562CD"/>
    <w:rsid w:val="00056428"/>
    <w:rsid w:val="00056D51"/>
    <w:rsid w:val="0006028E"/>
    <w:rsid w:val="00061C2E"/>
    <w:rsid w:val="00065E95"/>
    <w:rsid w:val="00080148"/>
    <w:rsid w:val="00084727"/>
    <w:rsid w:val="0009133A"/>
    <w:rsid w:val="00092C2E"/>
    <w:rsid w:val="000A2C56"/>
    <w:rsid w:val="000A6B54"/>
    <w:rsid w:val="000B0ECB"/>
    <w:rsid w:val="000B0FEA"/>
    <w:rsid w:val="000B132C"/>
    <w:rsid w:val="000B2AFA"/>
    <w:rsid w:val="000C7A3B"/>
    <w:rsid w:val="000D1FD7"/>
    <w:rsid w:val="000D6418"/>
    <w:rsid w:val="000D7DB6"/>
    <w:rsid w:val="000D7DED"/>
    <w:rsid w:val="000E3B31"/>
    <w:rsid w:val="000F6D85"/>
    <w:rsid w:val="000F7CEE"/>
    <w:rsid w:val="001104BA"/>
    <w:rsid w:val="00112676"/>
    <w:rsid w:val="0011373A"/>
    <w:rsid w:val="00114511"/>
    <w:rsid w:val="00123856"/>
    <w:rsid w:val="00126026"/>
    <w:rsid w:val="00133EA9"/>
    <w:rsid w:val="00141D7A"/>
    <w:rsid w:val="001420D1"/>
    <w:rsid w:val="001444A2"/>
    <w:rsid w:val="001507E1"/>
    <w:rsid w:val="00151F92"/>
    <w:rsid w:val="0015258E"/>
    <w:rsid w:val="00152ECC"/>
    <w:rsid w:val="001532E4"/>
    <w:rsid w:val="00156A48"/>
    <w:rsid w:val="00157AFE"/>
    <w:rsid w:val="00157C0F"/>
    <w:rsid w:val="001744E7"/>
    <w:rsid w:val="00176375"/>
    <w:rsid w:val="00184C41"/>
    <w:rsid w:val="001934BC"/>
    <w:rsid w:val="001A2870"/>
    <w:rsid w:val="001A330B"/>
    <w:rsid w:val="001A5751"/>
    <w:rsid w:val="001A60A2"/>
    <w:rsid w:val="001B3E8E"/>
    <w:rsid w:val="001B4F90"/>
    <w:rsid w:val="001C0575"/>
    <w:rsid w:val="001C437E"/>
    <w:rsid w:val="001D03C7"/>
    <w:rsid w:val="001D1478"/>
    <w:rsid w:val="001D74CE"/>
    <w:rsid w:val="001E0BF1"/>
    <w:rsid w:val="001E1E28"/>
    <w:rsid w:val="001E2620"/>
    <w:rsid w:val="001E4147"/>
    <w:rsid w:val="001E7C3D"/>
    <w:rsid w:val="001F00DF"/>
    <w:rsid w:val="002002CE"/>
    <w:rsid w:val="0020066F"/>
    <w:rsid w:val="00203A6F"/>
    <w:rsid w:val="00210384"/>
    <w:rsid w:val="00211816"/>
    <w:rsid w:val="00226D9D"/>
    <w:rsid w:val="00232158"/>
    <w:rsid w:val="002328F9"/>
    <w:rsid w:val="00233CE3"/>
    <w:rsid w:val="0024593F"/>
    <w:rsid w:val="002476B6"/>
    <w:rsid w:val="00254590"/>
    <w:rsid w:val="0026362E"/>
    <w:rsid w:val="002649A7"/>
    <w:rsid w:val="002663B7"/>
    <w:rsid w:val="00271D81"/>
    <w:rsid w:val="00273E72"/>
    <w:rsid w:val="00276DC0"/>
    <w:rsid w:val="002810D9"/>
    <w:rsid w:val="002814DB"/>
    <w:rsid w:val="00281500"/>
    <w:rsid w:val="00281830"/>
    <w:rsid w:val="0029043B"/>
    <w:rsid w:val="00290A06"/>
    <w:rsid w:val="0029211E"/>
    <w:rsid w:val="0029450E"/>
    <w:rsid w:val="002A0916"/>
    <w:rsid w:val="002A190F"/>
    <w:rsid w:val="002A3B3F"/>
    <w:rsid w:val="002A47B9"/>
    <w:rsid w:val="002B71BA"/>
    <w:rsid w:val="002C7B61"/>
    <w:rsid w:val="002C7B6D"/>
    <w:rsid w:val="002D35F5"/>
    <w:rsid w:val="002D47FE"/>
    <w:rsid w:val="002D739A"/>
    <w:rsid w:val="002D76AB"/>
    <w:rsid w:val="002E2A0C"/>
    <w:rsid w:val="002E361C"/>
    <w:rsid w:val="002E3943"/>
    <w:rsid w:val="002E4254"/>
    <w:rsid w:val="002F5F3B"/>
    <w:rsid w:val="002F693C"/>
    <w:rsid w:val="003020F4"/>
    <w:rsid w:val="003026B2"/>
    <w:rsid w:val="00304A73"/>
    <w:rsid w:val="003069F9"/>
    <w:rsid w:val="00306BFC"/>
    <w:rsid w:val="00310208"/>
    <w:rsid w:val="0031058F"/>
    <w:rsid w:val="0031089E"/>
    <w:rsid w:val="00310D69"/>
    <w:rsid w:val="003147B7"/>
    <w:rsid w:val="00317E59"/>
    <w:rsid w:val="003220EC"/>
    <w:rsid w:val="00322AE7"/>
    <w:rsid w:val="003232C4"/>
    <w:rsid w:val="003275E4"/>
    <w:rsid w:val="0033777B"/>
    <w:rsid w:val="00337E16"/>
    <w:rsid w:val="00340E66"/>
    <w:rsid w:val="00340F10"/>
    <w:rsid w:val="0034486B"/>
    <w:rsid w:val="00344D92"/>
    <w:rsid w:val="003455A2"/>
    <w:rsid w:val="00350E87"/>
    <w:rsid w:val="00353B7C"/>
    <w:rsid w:val="0035438E"/>
    <w:rsid w:val="00355828"/>
    <w:rsid w:val="00355FB1"/>
    <w:rsid w:val="00357CBE"/>
    <w:rsid w:val="00361661"/>
    <w:rsid w:val="003654B0"/>
    <w:rsid w:val="003824E4"/>
    <w:rsid w:val="00385DAB"/>
    <w:rsid w:val="0038696B"/>
    <w:rsid w:val="00392509"/>
    <w:rsid w:val="003943E5"/>
    <w:rsid w:val="00397D8E"/>
    <w:rsid w:val="003A2222"/>
    <w:rsid w:val="003A5479"/>
    <w:rsid w:val="003A5C1B"/>
    <w:rsid w:val="003A7C7F"/>
    <w:rsid w:val="003B0304"/>
    <w:rsid w:val="003B043F"/>
    <w:rsid w:val="003B2E10"/>
    <w:rsid w:val="003B33CE"/>
    <w:rsid w:val="003B343D"/>
    <w:rsid w:val="003B3727"/>
    <w:rsid w:val="003B56D7"/>
    <w:rsid w:val="003C1B4F"/>
    <w:rsid w:val="003C2288"/>
    <w:rsid w:val="003C6DEB"/>
    <w:rsid w:val="003C7A5C"/>
    <w:rsid w:val="003D73BD"/>
    <w:rsid w:val="003D7CCE"/>
    <w:rsid w:val="003E1B68"/>
    <w:rsid w:val="003E65D7"/>
    <w:rsid w:val="003E69CF"/>
    <w:rsid w:val="003F413A"/>
    <w:rsid w:val="003F54F0"/>
    <w:rsid w:val="003F54FB"/>
    <w:rsid w:val="003F6D1F"/>
    <w:rsid w:val="004169D8"/>
    <w:rsid w:val="004201AF"/>
    <w:rsid w:val="00422138"/>
    <w:rsid w:val="00425FF9"/>
    <w:rsid w:val="00427B3B"/>
    <w:rsid w:val="00427EBF"/>
    <w:rsid w:val="00432BAB"/>
    <w:rsid w:val="004330B9"/>
    <w:rsid w:val="004362AB"/>
    <w:rsid w:val="004415FB"/>
    <w:rsid w:val="00441CE3"/>
    <w:rsid w:val="0044434A"/>
    <w:rsid w:val="00445E76"/>
    <w:rsid w:val="00452C60"/>
    <w:rsid w:val="0046384E"/>
    <w:rsid w:val="0046706B"/>
    <w:rsid w:val="00470F69"/>
    <w:rsid w:val="00471284"/>
    <w:rsid w:val="00473696"/>
    <w:rsid w:val="0047491E"/>
    <w:rsid w:val="004805E9"/>
    <w:rsid w:val="004837C6"/>
    <w:rsid w:val="00483998"/>
    <w:rsid w:val="00483F3C"/>
    <w:rsid w:val="00484E4C"/>
    <w:rsid w:val="00485CE4"/>
    <w:rsid w:val="00491438"/>
    <w:rsid w:val="00492E3F"/>
    <w:rsid w:val="00493F5C"/>
    <w:rsid w:val="004941BD"/>
    <w:rsid w:val="004A1278"/>
    <w:rsid w:val="004A171B"/>
    <w:rsid w:val="004A44C0"/>
    <w:rsid w:val="004B1DC3"/>
    <w:rsid w:val="004B62D9"/>
    <w:rsid w:val="004C780C"/>
    <w:rsid w:val="004D708E"/>
    <w:rsid w:val="004D7DAF"/>
    <w:rsid w:val="004E1046"/>
    <w:rsid w:val="004E2AEC"/>
    <w:rsid w:val="004E357A"/>
    <w:rsid w:val="004E65EB"/>
    <w:rsid w:val="004F0F90"/>
    <w:rsid w:val="004F7174"/>
    <w:rsid w:val="0050355D"/>
    <w:rsid w:val="005055B5"/>
    <w:rsid w:val="00511BBF"/>
    <w:rsid w:val="005133B9"/>
    <w:rsid w:val="00515E7B"/>
    <w:rsid w:val="0051754D"/>
    <w:rsid w:val="005217F8"/>
    <w:rsid w:val="0052267A"/>
    <w:rsid w:val="00531143"/>
    <w:rsid w:val="00536332"/>
    <w:rsid w:val="00541645"/>
    <w:rsid w:val="00543EB8"/>
    <w:rsid w:val="00546B4A"/>
    <w:rsid w:val="00554A33"/>
    <w:rsid w:val="0055716D"/>
    <w:rsid w:val="00557953"/>
    <w:rsid w:val="00560E55"/>
    <w:rsid w:val="0056301A"/>
    <w:rsid w:val="005640E1"/>
    <w:rsid w:val="00564EA1"/>
    <w:rsid w:val="0056534C"/>
    <w:rsid w:val="00567CEE"/>
    <w:rsid w:val="005713F4"/>
    <w:rsid w:val="00571E64"/>
    <w:rsid w:val="00580F26"/>
    <w:rsid w:val="0058427E"/>
    <w:rsid w:val="00590907"/>
    <w:rsid w:val="00591EE5"/>
    <w:rsid w:val="005A207E"/>
    <w:rsid w:val="005A2397"/>
    <w:rsid w:val="005A72F2"/>
    <w:rsid w:val="005B2194"/>
    <w:rsid w:val="005B24A8"/>
    <w:rsid w:val="005B2BC3"/>
    <w:rsid w:val="005B4CFA"/>
    <w:rsid w:val="005C1A79"/>
    <w:rsid w:val="005E269C"/>
    <w:rsid w:val="005E3586"/>
    <w:rsid w:val="005E4DEE"/>
    <w:rsid w:val="005E5FF1"/>
    <w:rsid w:val="005F01CE"/>
    <w:rsid w:val="005F70B6"/>
    <w:rsid w:val="00604DBE"/>
    <w:rsid w:val="006063E1"/>
    <w:rsid w:val="006065E4"/>
    <w:rsid w:val="00612045"/>
    <w:rsid w:val="00613AC9"/>
    <w:rsid w:val="00620E86"/>
    <w:rsid w:val="006219DD"/>
    <w:rsid w:val="00632ACC"/>
    <w:rsid w:val="006421E7"/>
    <w:rsid w:val="00650463"/>
    <w:rsid w:val="00651660"/>
    <w:rsid w:val="00652122"/>
    <w:rsid w:val="00652171"/>
    <w:rsid w:val="00653791"/>
    <w:rsid w:val="00653EBE"/>
    <w:rsid w:val="00663604"/>
    <w:rsid w:val="00670FEA"/>
    <w:rsid w:val="00672961"/>
    <w:rsid w:val="0067353C"/>
    <w:rsid w:val="00676163"/>
    <w:rsid w:val="0067682D"/>
    <w:rsid w:val="00677C22"/>
    <w:rsid w:val="006808CC"/>
    <w:rsid w:val="00685899"/>
    <w:rsid w:val="00692D30"/>
    <w:rsid w:val="00697477"/>
    <w:rsid w:val="006A037E"/>
    <w:rsid w:val="006A7796"/>
    <w:rsid w:val="006B0495"/>
    <w:rsid w:val="006B0DCB"/>
    <w:rsid w:val="006B2408"/>
    <w:rsid w:val="006B3AF9"/>
    <w:rsid w:val="006B414C"/>
    <w:rsid w:val="006B4B0F"/>
    <w:rsid w:val="006F4DE0"/>
    <w:rsid w:val="006F7332"/>
    <w:rsid w:val="0070385B"/>
    <w:rsid w:val="0070494F"/>
    <w:rsid w:val="00705758"/>
    <w:rsid w:val="0070717A"/>
    <w:rsid w:val="00713DE5"/>
    <w:rsid w:val="007174DA"/>
    <w:rsid w:val="00720910"/>
    <w:rsid w:val="00720F29"/>
    <w:rsid w:val="007224C2"/>
    <w:rsid w:val="0073226D"/>
    <w:rsid w:val="0073335A"/>
    <w:rsid w:val="00737FEC"/>
    <w:rsid w:val="00756AA0"/>
    <w:rsid w:val="00757CE6"/>
    <w:rsid w:val="007671B6"/>
    <w:rsid w:val="007671DA"/>
    <w:rsid w:val="007719A8"/>
    <w:rsid w:val="00774593"/>
    <w:rsid w:val="00777599"/>
    <w:rsid w:val="00785CF8"/>
    <w:rsid w:val="00796CC0"/>
    <w:rsid w:val="007A1A35"/>
    <w:rsid w:val="007A5922"/>
    <w:rsid w:val="007B259B"/>
    <w:rsid w:val="007B3800"/>
    <w:rsid w:val="007B5018"/>
    <w:rsid w:val="007C670D"/>
    <w:rsid w:val="007D0ED0"/>
    <w:rsid w:val="007D4A4A"/>
    <w:rsid w:val="007E0E05"/>
    <w:rsid w:val="007E1DD3"/>
    <w:rsid w:val="007E209F"/>
    <w:rsid w:val="007E3469"/>
    <w:rsid w:val="007E4655"/>
    <w:rsid w:val="007E55E0"/>
    <w:rsid w:val="007E5C50"/>
    <w:rsid w:val="007F22A5"/>
    <w:rsid w:val="00810CC2"/>
    <w:rsid w:val="0081324B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522A6"/>
    <w:rsid w:val="008536D0"/>
    <w:rsid w:val="0086124E"/>
    <w:rsid w:val="008652C9"/>
    <w:rsid w:val="00865DA1"/>
    <w:rsid w:val="00866992"/>
    <w:rsid w:val="00875991"/>
    <w:rsid w:val="00877FDD"/>
    <w:rsid w:val="00880FED"/>
    <w:rsid w:val="008841C8"/>
    <w:rsid w:val="00892BB8"/>
    <w:rsid w:val="00893014"/>
    <w:rsid w:val="008956EC"/>
    <w:rsid w:val="00896755"/>
    <w:rsid w:val="00897712"/>
    <w:rsid w:val="008A2417"/>
    <w:rsid w:val="008A5D49"/>
    <w:rsid w:val="008A751E"/>
    <w:rsid w:val="008B0547"/>
    <w:rsid w:val="008B11A3"/>
    <w:rsid w:val="008B1FE5"/>
    <w:rsid w:val="008B434A"/>
    <w:rsid w:val="008B6F14"/>
    <w:rsid w:val="008B7B55"/>
    <w:rsid w:val="008C3A5B"/>
    <w:rsid w:val="008D6F5D"/>
    <w:rsid w:val="008E003A"/>
    <w:rsid w:val="008E15E3"/>
    <w:rsid w:val="008E4C62"/>
    <w:rsid w:val="008E727E"/>
    <w:rsid w:val="008F2902"/>
    <w:rsid w:val="008F660B"/>
    <w:rsid w:val="009005CE"/>
    <w:rsid w:val="00901376"/>
    <w:rsid w:val="009021A4"/>
    <w:rsid w:val="0091511B"/>
    <w:rsid w:val="009239AA"/>
    <w:rsid w:val="009245B5"/>
    <w:rsid w:val="0093795C"/>
    <w:rsid w:val="009444E6"/>
    <w:rsid w:val="00944A8E"/>
    <w:rsid w:val="009455E6"/>
    <w:rsid w:val="00956BA7"/>
    <w:rsid w:val="00956FD8"/>
    <w:rsid w:val="009575F7"/>
    <w:rsid w:val="0096021A"/>
    <w:rsid w:val="00960F73"/>
    <w:rsid w:val="00971139"/>
    <w:rsid w:val="0097401F"/>
    <w:rsid w:val="00975629"/>
    <w:rsid w:val="00981FA0"/>
    <w:rsid w:val="00984366"/>
    <w:rsid w:val="00984E80"/>
    <w:rsid w:val="0098690F"/>
    <w:rsid w:val="00987EE5"/>
    <w:rsid w:val="00991E7D"/>
    <w:rsid w:val="00997C8A"/>
    <w:rsid w:val="009A1339"/>
    <w:rsid w:val="009A1BD3"/>
    <w:rsid w:val="009A3006"/>
    <w:rsid w:val="009A3994"/>
    <w:rsid w:val="009B62AF"/>
    <w:rsid w:val="009D1B99"/>
    <w:rsid w:val="009D5445"/>
    <w:rsid w:val="009D565F"/>
    <w:rsid w:val="009D65B9"/>
    <w:rsid w:val="009E04DC"/>
    <w:rsid w:val="009E0FB3"/>
    <w:rsid w:val="009E1966"/>
    <w:rsid w:val="009E5105"/>
    <w:rsid w:val="009F0FCD"/>
    <w:rsid w:val="00A0244C"/>
    <w:rsid w:val="00A033FF"/>
    <w:rsid w:val="00A03F13"/>
    <w:rsid w:val="00A1329C"/>
    <w:rsid w:val="00A14E25"/>
    <w:rsid w:val="00A15224"/>
    <w:rsid w:val="00A16A60"/>
    <w:rsid w:val="00A17A3D"/>
    <w:rsid w:val="00A2062A"/>
    <w:rsid w:val="00A21E19"/>
    <w:rsid w:val="00A30683"/>
    <w:rsid w:val="00A3115F"/>
    <w:rsid w:val="00A33030"/>
    <w:rsid w:val="00A378A2"/>
    <w:rsid w:val="00A44BB0"/>
    <w:rsid w:val="00A51B7D"/>
    <w:rsid w:val="00A60230"/>
    <w:rsid w:val="00A60F52"/>
    <w:rsid w:val="00A63B4C"/>
    <w:rsid w:val="00A664E7"/>
    <w:rsid w:val="00A66E7F"/>
    <w:rsid w:val="00A75C52"/>
    <w:rsid w:val="00A767B2"/>
    <w:rsid w:val="00A82B9E"/>
    <w:rsid w:val="00A84186"/>
    <w:rsid w:val="00A85B14"/>
    <w:rsid w:val="00A963F2"/>
    <w:rsid w:val="00A9704A"/>
    <w:rsid w:val="00A97AD0"/>
    <w:rsid w:val="00AA1377"/>
    <w:rsid w:val="00AA49AF"/>
    <w:rsid w:val="00AA57CE"/>
    <w:rsid w:val="00AA7540"/>
    <w:rsid w:val="00AC0BAE"/>
    <w:rsid w:val="00AC126F"/>
    <w:rsid w:val="00AE1128"/>
    <w:rsid w:val="00AE1AB0"/>
    <w:rsid w:val="00AE2609"/>
    <w:rsid w:val="00AE439A"/>
    <w:rsid w:val="00AF09C7"/>
    <w:rsid w:val="00AF7B7F"/>
    <w:rsid w:val="00B03D35"/>
    <w:rsid w:val="00B05065"/>
    <w:rsid w:val="00B05194"/>
    <w:rsid w:val="00B12BF0"/>
    <w:rsid w:val="00B17303"/>
    <w:rsid w:val="00B230CD"/>
    <w:rsid w:val="00B25143"/>
    <w:rsid w:val="00B2585D"/>
    <w:rsid w:val="00B27359"/>
    <w:rsid w:val="00B33FC2"/>
    <w:rsid w:val="00B347F1"/>
    <w:rsid w:val="00B3502B"/>
    <w:rsid w:val="00B354D8"/>
    <w:rsid w:val="00B35C3E"/>
    <w:rsid w:val="00B36473"/>
    <w:rsid w:val="00B44029"/>
    <w:rsid w:val="00B47943"/>
    <w:rsid w:val="00B50446"/>
    <w:rsid w:val="00B530FD"/>
    <w:rsid w:val="00B5639B"/>
    <w:rsid w:val="00B60C3E"/>
    <w:rsid w:val="00B64775"/>
    <w:rsid w:val="00B67B4F"/>
    <w:rsid w:val="00B7513D"/>
    <w:rsid w:val="00B81718"/>
    <w:rsid w:val="00B86AF6"/>
    <w:rsid w:val="00B86E2A"/>
    <w:rsid w:val="00B96EA4"/>
    <w:rsid w:val="00B97A3E"/>
    <w:rsid w:val="00BA2FFD"/>
    <w:rsid w:val="00BB37AF"/>
    <w:rsid w:val="00BB4C08"/>
    <w:rsid w:val="00BC5737"/>
    <w:rsid w:val="00BD382F"/>
    <w:rsid w:val="00BD3C68"/>
    <w:rsid w:val="00BD421D"/>
    <w:rsid w:val="00BE4614"/>
    <w:rsid w:val="00BE4E6F"/>
    <w:rsid w:val="00BE529D"/>
    <w:rsid w:val="00BE6637"/>
    <w:rsid w:val="00BF10E8"/>
    <w:rsid w:val="00BF3158"/>
    <w:rsid w:val="00C03A04"/>
    <w:rsid w:val="00C046F7"/>
    <w:rsid w:val="00C10C0B"/>
    <w:rsid w:val="00C14972"/>
    <w:rsid w:val="00C1776A"/>
    <w:rsid w:val="00C22519"/>
    <w:rsid w:val="00C2305C"/>
    <w:rsid w:val="00C233D0"/>
    <w:rsid w:val="00C24162"/>
    <w:rsid w:val="00C2509D"/>
    <w:rsid w:val="00C34ABD"/>
    <w:rsid w:val="00C35F43"/>
    <w:rsid w:val="00C44A07"/>
    <w:rsid w:val="00C44BDC"/>
    <w:rsid w:val="00C45BFB"/>
    <w:rsid w:val="00C5377E"/>
    <w:rsid w:val="00C54B14"/>
    <w:rsid w:val="00C6352A"/>
    <w:rsid w:val="00C64873"/>
    <w:rsid w:val="00C65B2D"/>
    <w:rsid w:val="00C65C5D"/>
    <w:rsid w:val="00C711E5"/>
    <w:rsid w:val="00C83AEE"/>
    <w:rsid w:val="00C85AC7"/>
    <w:rsid w:val="00C906CD"/>
    <w:rsid w:val="00CA6716"/>
    <w:rsid w:val="00CB070B"/>
    <w:rsid w:val="00CB28B0"/>
    <w:rsid w:val="00CC42D4"/>
    <w:rsid w:val="00CD2536"/>
    <w:rsid w:val="00CF230D"/>
    <w:rsid w:val="00CF5489"/>
    <w:rsid w:val="00CF7615"/>
    <w:rsid w:val="00D003F8"/>
    <w:rsid w:val="00D076E8"/>
    <w:rsid w:val="00D10769"/>
    <w:rsid w:val="00D116C7"/>
    <w:rsid w:val="00D13AC5"/>
    <w:rsid w:val="00D14E5F"/>
    <w:rsid w:val="00D2041E"/>
    <w:rsid w:val="00D341C9"/>
    <w:rsid w:val="00D3447D"/>
    <w:rsid w:val="00D3488B"/>
    <w:rsid w:val="00D361DE"/>
    <w:rsid w:val="00D373E4"/>
    <w:rsid w:val="00D41289"/>
    <w:rsid w:val="00D440EB"/>
    <w:rsid w:val="00D46C4C"/>
    <w:rsid w:val="00D51F18"/>
    <w:rsid w:val="00D54455"/>
    <w:rsid w:val="00D564BB"/>
    <w:rsid w:val="00D565FA"/>
    <w:rsid w:val="00D568ED"/>
    <w:rsid w:val="00D6014E"/>
    <w:rsid w:val="00D630E7"/>
    <w:rsid w:val="00D700E5"/>
    <w:rsid w:val="00D76186"/>
    <w:rsid w:val="00D76325"/>
    <w:rsid w:val="00D86DD4"/>
    <w:rsid w:val="00D92529"/>
    <w:rsid w:val="00DA5AAB"/>
    <w:rsid w:val="00DA6858"/>
    <w:rsid w:val="00DB1CD7"/>
    <w:rsid w:val="00DB2651"/>
    <w:rsid w:val="00DB4717"/>
    <w:rsid w:val="00DB6F67"/>
    <w:rsid w:val="00DC6F31"/>
    <w:rsid w:val="00DD6D82"/>
    <w:rsid w:val="00DE045E"/>
    <w:rsid w:val="00DE23D6"/>
    <w:rsid w:val="00DE2CB6"/>
    <w:rsid w:val="00DE2DDE"/>
    <w:rsid w:val="00DE5414"/>
    <w:rsid w:val="00DF0C37"/>
    <w:rsid w:val="00DF2506"/>
    <w:rsid w:val="00DF301A"/>
    <w:rsid w:val="00DF3469"/>
    <w:rsid w:val="00DF3BE2"/>
    <w:rsid w:val="00DF4E2C"/>
    <w:rsid w:val="00DF75EC"/>
    <w:rsid w:val="00E079C6"/>
    <w:rsid w:val="00E146CF"/>
    <w:rsid w:val="00E23C05"/>
    <w:rsid w:val="00E247E2"/>
    <w:rsid w:val="00E24DAD"/>
    <w:rsid w:val="00E304EB"/>
    <w:rsid w:val="00E329D0"/>
    <w:rsid w:val="00E33746"/>
    <w:rsid w:val="00E36B53"/>
    <w:rsid w:val="00E37585"/>
    <w:rsid w:val="00E469D5"/>
    <w:rsid w:val="00E46CD5"/>
    <w:rsid w:val="00E500D9"/>
    <w:rsid w:val="00E51AB5"/>
    <w:rsid w:val="00E52345"/>
    <w:rsid w:val="00E52763"/>
    <w:rsid w:val="00E563AE"/>
    <w:rsid w:val="00E57B69"/>
    <w:rsid w:val="00E662CD"/>
    <w:rsid w:val="00E73271"/>
    <w:rsid w:val="00E73E8F"/>
    <w:rsid w:val="00E74214"/>
    <w:rsid w:val="00E74D52"/>
    <w:rsid w:val="00E75855"/>
    <w:rsid w:val="00E86566"/>
    <w:rsid w:val="00E875F5"/>
    <w:rsid w:val="00E91EE1"/>
    <w:rsid w:val="00E92527"/>
    <w:rsid w:val="00E97045"/>
    <w:rsid w:val="00EA270C"/>
    <w:rsid w:val="00EA5CF4"/>
    <w:rsid w:val="00EB09B9"/>
    <w:rsid w:val="00EB2AF4"/>
    <w:rsid w:val="00EB7CB1"/>
    <w:rsid w:val="00EC1C35"/>
    <w:rsid w:val="00EC32FC"/>
    <w:rsid w:val="00ED0557"/>
    <w:rsid w:val="00ED34D4"/>
    <w:rsid w:val="00ED474E"/>
    <w:rsid w:val="00EE30EE"/>
    <w:rsid w:val="00EE6DE6"/>
    <w:rsid w:val="00EF057C"/>
    <w:rsid w:val="00EF1D14"/>
    <w:rsid w:val="00F01B31"/>
    <w:rsid w:val="00F03AB9"/>
    <w:rsid w:val="00F058EB"/>
    <w:rsid w:val="00F06479"/>
    <w:rsid w:val="00F076C5"/>
    <w:rsid w:val="00F120D9"/>
    <w:rsid w:val="00F124BE"/>
    <w:rsid w:val="00F27170"/>
    <w:rsid w:val="00F30016"/>
    <w:rsid w:val="00F31C75"/>
    <w:rsid w:val="00F341CC"/>
    <w:rsid w:val="00F40CAB"/>
    <w:rsid w:val="00F47C5C"/>
    <w:rsid w:val="00F54856"/>
    <w:rsid w:val="00F55063"/>
    <w:rsid w:val="00F64F51"/>
    <w:rsid w:val="00F661DB"/>
    <w:rsid w:val="00F765E8"/>
    <w:rsid w:val="00F86D88"/>
    <w:rsid w:val="00F87FA7"/>
    <w:rsid w:val="00F9473C"/>
    <w:rsid w:val="00FA370A"/>
    <w:rsid w:val="00FA40A3"/>
    <w:rsid w:val="00FB390B"/>
    <w:rsid w:val="00FB3BA6"/>
    <w:rsid w:val="00FB4D65"/>
    <w:rsid w:val="00FB5954"/>
    <w:rsid w:val="00FC021D"/>
    <w:rsid w:val="00FC0CDF"/>
    <w:rsid w:val="00FC183A"/>
    <w:rsid w:val="00FC3D1C"/>
    <w:rsid w:val="00FD08A7"/>
    <w:rsid w:val="00FD2E55"/>
    <w:rsid w:val="00FD2FA9"/>
    <w:rsid w:val="00FE5658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BADE9FA-50CE-4E83-BB93-021AD6A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uiPriority w:val="99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TCU-Ac-item9-1Linha">
    <w:name w:val="TCU -  Ac - item 9 - 1ª Linha"/>
    <w:basedOn w:val="TCU-RelVoto-demais"/>
    <w:qFormat/>
    <w:rsid w:val="00F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534-697E-45F4-9568-11BA4C1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3080</Words>
  <Characters>16633</Characters>
  <Application>Microsoft Office Word</Application>
  <DocSecurity>4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19674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2010-05-26T15:17:00Z</cp:lastPrinted>
  <dcterms:created xsi:type="dcterms:W3CDTF">2015-05-07T12:33:00Z</dcterms:created>
  <dcterms:modified xsi:type="dcterms:W3CDTF">2015-05-07T12:33:00Z</dcterms:modified>
</cp:coreProperties>
</file>