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37E16" w:rsidRDefault="009444E6" w:rsidP="00337E1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Sessões: </w:t>
      </w:r>
      <w:r w:rsidR="00D37941">
        <w:rPr>
          <w:rFonts w:ascii="Times New Roman" w:hAnsi="Times New Roman"/>
          <w:b/>
          <w:i w:val="0"/>
          <w:sz w:val="22"/>
          <w:szCs w:val="22"/>
        </w:rPr>
        <w:t>5</w:t>
      </w:r>
      <w:r w:rsidR="00F01B31" w:rsidRPr="00337E16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D37941">
        <w:rPr>
          <w:rFonts w:ascii="Times New Roman" w:hAnsi="Times New Roman"/>
          <w:b/>
          <w:i w:val="0"/>
          <w:sz w:val="22"/>
          <w:szCs w:val="22"/>
        </w:rPr>
        <w:t>6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D37941">
        <w:rPr>
          <w:rFonts w:ascii="Times New Roman" w:hAnsi="Times New Roman"/>
          <w:b/>
          <w:i w:val="0"/>
          <w:sz w:val="22"/>
          <w:szCs w:val="22"/>
        </w:rPr>
        <w:t>outu</w:t>
      </w:r>
      <w:r w:rsidR="0055716D">
        <w:rPr>
          <w:rFonts w:ascii="Times New Roman" w:hAnsi="Times New Roman"/>
          <w:b/>
          <w:i w:val="0"/>
          <w:sz w:val="22"/>
          <w:szCs w:val="22"/>
        </w:rPr>
        <w:t>bro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2010</w:t>
      </w:r>
    </w:p>
    <w:p w:rsidR="002D35F5" w:rsidRPr="00337E16" w:rsidRDefault="002D35F5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337E1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data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acima indicada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337E16" w:rsidRDefault="00FF7C62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337E16" w:rsidRDefault="002D35F5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337E16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337E16" w:rsidRDefault="009444E6" w:rsidP="00442427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337E16">
        <w:rPr>
          <w:i w:val="0"/>
          <w:iCs w:val="0"/>
          <w:sz w:val="22"/>
          <w:szCs w:val="22"/>
        </w:rPr>
        <w:t>Plenário</w:t>
      </w:r>
    </w:p>
    <w:p w:rsidR="00E71A2E" w:rsidRPr="00307C1B" w:rsidRDefault="00307C1B" w:rsidP="0044242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/>
        <w:ind w:left="0"/>
        <w:rPr>
          <w:sz w:val="22"/>
          <w:szCs w:val="22"/>
        </w:rPr>
      </w:pPr>
      <w:r w:rsidRPr="00307C1B">
        <w:rPr>
          <w:sz w:val="22"/>
          <w:szCs w:val="22"/>
        </w:rPr>
        <w:t xml:space="preserve">Estimativa de preços em contratações públicas: obrigação advinda da Lei 8.666/1993. </w:t>
      </w:r>
    </w:p>
    <w:p w:rsidR="00777060" w:rsidRPr="00777060" w:rsidRDefault="00777060" w:rsidP="0044242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/>
        <w:ind w:left="0"/>
        <w:rPr>
          <w:sz w:val="22"/>
          <w:szCs w:val="22"/>
        </w:rPr>
      </w:pPr>
      <w:r w:rsidRPr="00777060">
        <w:rPr>
          <w:sz w:val="22"/>
          <w:szCs w:val="22"/>
        </w:rPr>
        <w:t xml:space="preserve">Contratação de serviços de duração continuada: </w:t>
      </w:r>
    </w:p>
    <w:p w:rsidR="00777060" w:rsidRPr="000562F0" w:rsidRDefault="00442427" w:rsidP="00442427">
      <w:pPr>
        <w:pStyle w:val="indice"/>
        <w:tabs>
          <w:tab w:val="left" w:pos="567"/>
        </w:tabs>
        <w:spacing w:before="60" w:after="60" w:line="240" w:lineRule="auto"/>
      </w:pPr>
      <w:r>
        <w:tab/>
        <w:t xml:space="preserve">1 - </w:t>
      </w:r>
      <w:r w:rsidR="00413210">
        <w:t>Critérios de reajustamento contratual para as empresas estatais;</w:t>
      </w:r>
      <w:r w:rsidR="00777060" w:rsidRPr="000562F0">
        <w:t xml:space="preserve"> </w:t>
      </w:r>
    </w:p>
    <w:p w:rsidR="00777060" w:rsidRPr="00442427" w:rsidRDefault="00442427" w:rsidP="00442427">
      <w:pPr>
        <w:pStyle w:val="indice"/>
        <w:tabs>
          <w:tab w:val="left" w:pos="567"/>
        </w:tabs>
        <w:spacing w:before="60" w:after="60" w:line="240" w:lineRule="auto"/>
      </w:pPr>
      <w:r>
        <w:tab/>
      </w:r>
      <w:r w:rsidR="004F0442" w:rsidRPr="004F0442">
        <w:t xml:space="preserve">2 – </w:t>
      </w:r>
      <w:r w:rsidR="006616BE">
        <w:t>Requisitos para alteração societária do contratado</w:t>
      </w:r>
      <w:r w:rsidR="004F0442" w:rsidRPr="004F0442">
        <w:t>.</w:t>
      </w:r>
    </w:p>
    <w:p w:rsidR="00777060" w:rsidRPr="00777060" w:rsidRDefault="00777060" w:rsidP="00442427">
      <w:pPr>
        <w:pStyle w:val="indice"/>
        <w:tabs>
          <w:tab w:val="left" w:pos="567"/>
        </w:tabs>
        <w:spacing w:before="60" w:after="60" w:line="240" w:lineRule="auto"/>
      </w:pPr>
      <w:r w:rsidRPr="00777060">
        <w:t>Realização de despesas sem cobertura contratual.</w:t>
      </w:r>
    </w:p>
    <w:p w:rsidR="00777060" w:rsidRPr="00777060" w:rsidRDefault="00777060" w:rsidP="0044242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/>
        <w:ind w:left="0"/>
        <w:rPr>
          <w:sz w:val="22"/>
          <w:szCs w:val="22"/>
        </w:rPr>
      </w:pPr>
      <w:r w:rsidRPr="00777060">
        <w:rPr>
          <w:sz w:val="22"/>
          <w:szCs w:val="22"/>
        </w:rPr>
        <w:t>Pagamento antecipado em contratações pública</w:t>
      </w:r>
      <w:r>
        <w:rPr>
          <w:sz w:val="22"/>
          <w:szCs w:val="22"/>
        </w:rPr>
        <w:t>s</w:t>
      </w:r>
      <w:r w:rsidRPr="00777060">
        <w:rPr>
          <w:sz w:val="22"/>
          <w:szCs w:val="22"/>
        </w:rPr>
        <w:t xml:space="preserve">: </w:t>
      </w:r>
      <w:r w:rsidR="007E4B30">
        <w:rPr>
          <w:sz w:val="22"/>
          <w:szCs w:val="22"/>
        </w:rPr>
        <w:t>somente</w:t>
      </w:r>
      <w:r w:rsidRPr="00777060">
        <w:rPr>
          <w:sz w:val="22"/>
          <w:szCs w:val="22"/>
        </w:rPr>
        <w:t xml:space="preserve"> no caso de expressa previsão no edital e no contrato</w:t>
      </w:r>
      <w:r w:rsidR="00677808">
        <w:rPr>
          <w:sz w:val="22"/>
          <w:szCs w:val="22"/>
        </w:rPr>
        <w:t>.</w:t>
      </w:r>
    </w:p>
    <w:p w:rsidR="0055716D" w:rsidRPr="00337E16" w:rsidRDefault="0055716D" w:rsidP="00442427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Primeira</w:t>
      </w:r>
      <w:r w:rsidRPr="00337E16">
        <w:rPr>
          <w:i w:val="0"/>
          <w:iCs w:val="0"/>
          <w:sz w:val="22"/>
          <w:szCs w:val="22"/>
        </w:rPr>
        <w:t xml:space="preserve"> Câmara</w:t>
      </w:r>
    </w:p>
    <w:p w:rsidR="00493C33" w:rsidRPr="004F0442" w:rsidRDefault="007E4B30" w:rsidP="00442427">
      <w:pPr>
        <w:pStyle w:val="Pargrafo"/>
        <w:spacing w:before="60" w:after="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="004F0442" w:rsidRPr="004F0442">
        <w:rPr>
          <w:sz w:val="22"/>
          <w:szCs w:val="22"/>
        </w:rPr>
        <w:t>arcelamento do objeto</w:t>
      </w:r>
      <w:r>
        <w:rPr>
          <w:sz w:val="22"/>
          <w:szCs w:val="22"/>
        </w:rPr>
        <w:t xml:space="preserve">: vários processos licitatórios </w:t>
      </w:r>
      <w:r w:rsidRPr="007E4B30">
        <w:rPr>
          <w:i/>
          <w:sz w:val="22"/>
          <w:szCs w:val="22"/>
        </w:rPr>
        <w:t>versus</w:t>
      </w:r>
      <w:r>
        <w:rPr>
          <w:sz w:val="22"/>
          <w:szCs w:val="22"/>
        </w:rPr>
        <w:t xml:space="preserve"> um processo com vários lotes</w:t>
      </w:r>
      <w:r w:rsidR="00493C33" w:rsidRPr="004F0442">
        <w:rPr>
          <w:sz w:val="22"/>
        </w:rPr>
        <w:t>.</w:t>
      </w:r>
    </w:p>
    <w:p w:rsidR="00BC5737" w:rsidRPr="00337E16" w:rsidRDefault="00BC5737" w:rsidP="00442427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Segunda</w:t>
      </w:r>
      <w:r w:rsidRPr="00337E16">
        <w:rPr>
          <w:i w:val="0"/>
          <w:iCs w:val="0"/>
          <w:sz w:val="22"/>
          <w:szCs w:val="22"/>
        </w:rPr>
        <w:t xml:space="preserve"> Câmara</w:t>
      </w:r>
    </w:p>
    <w:p w:rsidR="00493C33" w:rsidRPr="00493C33" w:rsidRDefault="00493C33" w:rsidP="00442427">
      <w:pPr>
        <w:pStyle w:val="Pargrafo"/>
        <w:spacing w:before="60" w:after="60"/>
        <w:jc w:val="both"/>
        <w:rPr>
          <w:sz w:val="22"/>
          <w:szCs w:val="22"/>
        </w:rPr>
      </w:pPr>
      <w:r w:rsidRPr="00493C33">
        <w:rPr>
          <w:sz w:val="22"/>
          <w:szCs w:val="22"/>
        </w:rPr>
        <w:t xml:space="preserve">Contratação de serviços de drenagem e pavimentação de vias urbanas: </w:t>
      </w:r>
    </w:p>
    <w:p w:rsidR="00677808" w:rsidRPr="00442427" w:rsidRDefault="00442427" w:rsidP="00442427">
      <w:pPr>
        <w:pStyle w:val="indice"/>
        <w:tabs>
          <w:tab w:val="left" w:pos="567"/>
        </w:tabs>
        <w:spacing w:before="60" w:after="60" w:line="240" w:lineRule="auto"/>
      </w:pPr>
      <w:r>
        <w:tab/>
      </w:r>
      <w:r w:rsidR="00677808" w:rsidRPr="00677808">
        <w:t>1 – Impossibilidade de exigir declaração formal da licitante de que dispõe de usina de asfalto, para fim de qualificação técnica;</w:t>
      </w:r>
      <w:r w:rsidR="00677808" w:rsidRPr="00442427">
        <w:t xml:space="preserve"> </w:t>
      </w:r>
    </w:p>
    <w:p w:rsidR="00A72647" w:rsidRPr="00442427" w:rsidRDefault="00442427" w:rsidP="00442427">
      <w:pPr>
        <w:pStyle w:val="indice"/>
        <w:tabs>
          <w:tab w:val="left" w:pos="567"/>
        </w:tabs>
        <w:spacing w:before="60" w:after="60" w:line="240" w:lineRule="auto"/>
      </w:pPr>
      <w:r>
        <w:tab/>
      </w:r>
      <w:r w:rsidRPr="00442427">
        <w:t>2 – A possibilidade de os licitantes inabilitados, por não apresentarem índices de qualificação econômico-financeira iguais ou superiores aos exigidos no edital, comprovarem, por outros meios, capacidade de cumprir o futuro contrato é ato discricionário da Administração Pública</w:t>
      </w:r>
      <w:r w:rsidR="00A72647" w:rsidRPr="00442427">
        <w:t xml:space="preserve">. </w:t>
      </w:r>
    </w:p>
    <w:p w:rsidR="00F14CB4" w:rsidRPr="00D37941" w:rsidRDefault="00F14CB4" w:rsidP="00F14CB4">
      <w:pPr>
        <w:pStyle w:val="Pargrafo"/>
        <w:jc w:val="both"/>
        <w:rPr>
          <w:color w:val="FF0000"/>
          <w:sz w:val="22"/>
          <w:szCs w:val="22"/>
        </w:rPr>
      </w:pPr>
    </w:p>
    <w:p w:rsidR="003C6DEB" w:rsidRPr="00337E16" w:rsidRDefault="003C6DEB" w:rsidP="00D37941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Default="003C6DEB" w:rsidP="00337E16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452688" w:rsidRPr="00A72647" w:rsidRDefault="008A67DA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A72647">
        <w:rPr>
          <w:b/>
          <w:sz w:val="22"/>
          <w:szCs w:val="22"/>
        </w:rPr>
        <w:t>Estimativa de preços em contratações públicas: obri</w:t>
      </w:r>
      <w:r w:rsidR="00307C1B" w:rsidRPr="00A72647">
        <w:rPr>
          <w:b/>
          <w:sz w:val="22"/>
          <w:szCs w:val="22"/>
        </w:rPr>
        <w:t>gação advinda da Lei 8.666/1993</w:t>
      </w:r>
      <w:r w:rsidRPr="00A72647">
        <w:rPr>
          <w:b/>
          <w:sz w:val="22"/>
          <w:szCs w:val="22"/>
        </w:rPr>
        <w:t xml:space="preserve"> </w:t>
      </w:r>
    </w:p>
    <w:p w:rsidR="00452688" w:rsidRPr="00A72647" w:rsidRDefault="008A67DA" w:rsidP="00A72647">
      <w:pPr>
        <w:pStyle w:val="Corpodetexto"/>
        <w:tabs>
          <w:tab w:val="left" w:pos="851"/>
          <w:tab w:val="num" w:pos="1418"/>
        </w:tabs>
        <w:spacing w:after="0"/>
        <w:ind w:left="0"/>
        <w:rPr>
          <w:sz w:val="22"/>
          <w:szCs w:val="22"/>
        </w:rPr>
      </w:pPr>
      <w:r w:rsidRPr="00A72647">
        <w:rPr>
          <w:sz w:val="22"/>
          <w:szCs w:val="22"/>
        </w:rPr>
        <w:t xml:space="preserve">Em </w:t>
      </w:r>
      <w:r w:rsidR="00307C1B" w:rsidRPr="00A72647">
        <w:rPr>
          <w:sz w:val="22"/>
          <w:szCs w:val="22"/>
        </w:rPr>
        <w:t>face</w:t>
      </w:r>
      <w:r w:rsidRPr="00A72647">
        <w:rPr>
          <w:sz w:val="22"/>
          <w:szCs w:val="22"/>
        </w:rPr>
        <w:t xml:space="preserve"> de representação formulada ao Tribunal acerca de supostas irregularidades na aquisição e implementação, pelo extinto Ministério da Aeronáutica, de sistema de controle de tráfego aéreo, denominado Syncromax, desenvolvido pela empresa Atech – Fundação Aplicações Tecnológicas Críticas, foi realizada auditoria </w:t>
      </w:r>
      <w:r w:rsidR="000562F0">
        <w:rPr>
          <w:sz w:val="22"/>
          <w:szCs w:val="22"/>
        </w:rPr>
        <w:t>nos</w:t>
      </w:r>
      <w:r w:rsidRPr="00A72647">
        <w:rPr>
          <w:sz w:val="22"/>
          <w:szCs w:val="22"/>
        </w:rPr>
        <w:t xml:space="preserve"> contrato</w:t>
      </w:r>
      <w:r w:rsidR="000562F0">
        <w:rPr>
          <w:sz w:val="22"/>
          <w:szCs w:val="22"/>
        </w:rPr>
        <w:t>s</w:t>
      </w:r>
      <w:r w:rsidRPr="00A72647">
        <w:rPr>
          <w:sz w:val="22"/>
          <w:szCs w:val="22"/>
        </w:rPr>
        <w:t xml:space="preserve"> firmado</w:t>
      </w:r>
      <w:r w:rsidR="00034E05">
        <w:rPr>
          <w:sz w:val="22"/>
          <w:szCs w:val="22"/>
        </w:rPr>
        <w:t>s</w:t>
      </w:r>
      <w:r w:rsidRPr="00A72647">
        <w:rPr>
          <w:sz w:val="22"/>
          <w:szCs w:val="22"/>
        </w:rPr>
        <w:t xml:space="preserve"> para a aquisição do referido sistema. Dentre os achados da equipe de auditoria, constou a </w:t>
      </w:r>
      <w:bookmarkStart w:id="1" w:name="_Toc190157978"/>
      <w:r w:rsidRPr="00A72647">
        <w:rPr>
          <w:sz w:val="22"/>
          <w:szCs w:val="22"/>
        </w:rPr>
        <w:t>“</w:t>
      </w:r>
      <w:r w:rsidRPr="00A72647">
        <w:rPr>
          <w:i/>
          <w:sz w:val="22"/>
          <w:szCs w:val="22"/>
        </w:rPr>
        <w:t>ausência de método formal de validação das propostas comerciais da Atech</w:t>
      </w:r>
      <w:bookmarkEnd w:id="1"/>
      <w:r w:rsidRPr="00A72647">
        <w:rPr>
          <w:sz w:val="22"/>
          <w:szCs w:val="22"/>
        </w:rPr>
        <w:t xml:space="preserve">”. A esse respeito, foi consignado pela </w:t>
      </w:r>
      <w:r w:rsidR="00DF6192" w:rsidRPr="00A72647">
        <w:rPr>
          <w:sz w:val="22"/>
          <w:szCs w:val="22"/>
        </w:rPr>
        <w:t>unidade técnica</w:t>
      </w:r>
      <w:r w:rsidRPr="00A72647">
        <w:rPr>
          <w:sz w:val="22"/>
          <w:szCs w:val="22"/>
        </w:rPr>
        <w:t xml:space="preserve"> que “</w:t>
      </w:r>
      <w:r w:rsidRPr="00A72647">
        <w:rPr>
          <w:i/>
          <w:sz w:val="22"/>
          <w:szCs w:val="22"/>
        </w:rPr>
        <w:t>o gestor do Syncromax informou que não existe processo formal para validação dos valores fornecidos pela Atech nos contratos</w:t>
      </w:r>
      <w:r w:rsidRPr="00A72647">
        <w:rPr>
          <w:sz w:val="22"/>
          <w:szCs w:val="22"/>
        </w:rPr>
        <w:t>”. Na realidade, o procedimento adotado pela contratante seria “</w:t>
      </w:r>
      <w:r w:rsidRPr="00A72647">
        <w:rPr>
          <w:i/>
          <w:sz w:val="22"/>
          <w:szCs w:val="22"/>
        </w:rPr>
        <w:t>a comparação com os valores utilizados em contratos anteriores e a aplicação de índice de atualização monetária, se for o caso</w:t>
      </w:r>
      <w:r w:rsidRPr="00A72647">
        <w:rPr>
          <w:sz w:val="22"/>
          <w:szCs w:val="22"/>
        </w:rPr>
        <w:t>”. Desse modo, não existiria “</w:t>
      </w:r>
      <w:r w:rsidRPr="00A72647">
        <w:rPr>
          <w:i/>
          <w:sz w:val="22"/>
          <w:szCs w:val="22"/>
        </w:rPr>
        <w:t>método formal para avaliação das propostas comerciais da Atech, tais como análise por pontos de função ou comparativo com outros valores praticados no mercado</w:t>
      </w:r>
      <w:r w:rsidRPr="00A72647">
        <w:rPr>
          <w:sz w:val="22"/>
          <w:szCs w:val="22"/>
        </w:rPr>
        <w:t xml:space="preserve">”. Ainda para a </w:t>
      </w:r>
      <w:r w:rsidR="00DF6192" w:rsidRPr="00A72647">
        <w:rPr>
          <w:sz w:val="22"/>
          <w:szCs w:val="22"/>
        </w:rPr>
        <w:t>unidade técnica</w:t>
      </w:r>
      <w:r w:rsidRPr="00A72647">
        <w:rPr>
          <w:sz w:val="22"/>
          <w:szCs w:val="22"/>
        </w:rPr>
        <w:t>, “</w:t>
      </w:r>
      <w:r w:rsidRPr="00A72647">
        <w:rPr>
          <w:i/>
          <w:sz w:val="22"/>
          <w:szCs w:val="22"/>
        </w:rPr>
        <w:t>o fato de todas as contratações terem sido realizadas por inexigibilidade de licitação reforça ainda mais a necessidade de adoção de método formal para efetivamente se certificar de que os preços cobrados pelo fornecedor são condizentes com os praticados pelo mercado</w:t>
      </w:r>
      <w:r w:rsidRPr="00A72647">
        <w:rPr>
          <w:sz w:val="22"/>
          <w:szCs w:val="22"/>
        </w:rPr>
        <w:t>”. No seu voto, o relator destacou que</w:t>
      </w:r>
      <w:r w:rsidR="00DF6192" w:rsidRPr="00A72647">
        <w:rPr>
          <w:sz w:val="22"/>
          <w:szCs w:val="22"/>
        </w:rPr>
        <w:t>, em raz</w:t>
      </w:r>
      <w:r w:rsidR="003830E4" w:rsidRPr="00A72647">
        <w:rPr>
          <w:sz w:val="22"/>
          <w:szCs w:val="22"/>
        </w:rPr>
        <w:t>ão do método adotado,</w:t>
      </w:r>
      <w:r w:rsidRPr="00A72647">
        <w:rPr>
          <w:sz w:val="22"/>
          <w:szCs w:val="22"/>
        </w:rPr>
        <w:t xml:space="preserve"> “</w:t>
      </w:r>
      <w:r w:rsidRPr="00A72647">
        <w:rPr>
          <w:i/>
          <w:sz w:val="22"/>
          <w:szCs w:val="22"/>
        </w:rPr>
        <w:t>se houve falhas nas estimativas dos preços nas primeiras contratações, essa falha perdurará em todas as subsequentes</w:t>
      </w:r>
      <w:r w:rsidRPr="00A72647">
        <w:rPr>
          <w:sz w:val="22"/>
          <w:szCs w:val="22"/>
        </w:rPr>
        <w:t>”</w:t>
      </w:r>
      <w:r w:rsidR="003830E4" w:rsidRPr="00A72647">
        <w:rPr>
          <w:sz w:val="22"/>
          <w:szCs w:val="22"/>
        </w:rPr>
        <w:t>. Ainda para o relator,</w:t>
      </w:r>
      <w:r w:rsidRPr="00A72647">
        <w:rPr>
          <w:sz w:val="22"/>
          <w:szCs w:val="22"/>
        </w:rPr>
        <w:t xml:space="preserve"> </w:t>
      </w:r>
      <w:r w:rsidR="003830E4" w:rsidRPr="00A72647">
        <w:rPr>
          <w:sz w:val="22"/>
          <w:szCs w:val="22"/>
        </w:rPr>
        <w:t>é aceitável que</w:t>
      </w:r>
      <w:r w:rsidR="000562F0">
        <w:rPr>
          <w:sz w:val="22"/>
          <w:szCs w:val="22"/>
        </w:rPr>
        <w:t>,</w:t>
      </w:r>
      <w:r w:rsidR="003830E4" w:rsidRPr="00A72647">
        <w:rPr>
          <w:sz w:val="22"/>
          <w:szCs w:val="22"/>
        </w:rPr>
        <w:t xml:space="preserve"> </w:t>
      </w:r>
      <w:r w:rsidRPr="00A72647">
        <w:rPr>
          <w:sz w:val="22"/>
          <w:szCs w:val="22"/>
        </w:rPr>
        <w:t>“</w:t>
      </w:r>
      <w:r w:rsidRPr="00A72647">
        <w:rPr>
          <w:i/>
          <w:sz w:val="22"/>
          <w:szCs w:val="22"/>
        </w:rPr>
        <w:t>quando das primeiras contratações, o pioneirismo do objeto contratado e a sua complexidade possam ter dificultado a justificativa dos preços por meio de critérios objetivos</w:t>
      </w:r>
      <w:r w:rsidRPr="00A72647">
        <w:rPr>
          <w:sz w:val="22"/>
          <w:szCs w:val="22"/>
        </w:rPr>
        <w:t>”. Todavia, atualmente, em raz</w:t>
      </w:r>
      <w:r w:rsidR="000562F0">
        <w:rPr>
          <w:sz w:val="22"/>
          <w:szCs w:val="22"/>
        </w:rPr>
        <w:t>ão da experiência adquirida pelo</w:t>
      </w:r>
      <w:r w:rsidRPr="00A72647">
        <w:rPr>
          <w:sz w:val="22"/>
          <w:szCs w:val="22"/>
        </w:rPr>
        <w:t xml:space="preserve"> contratante, não haveria mais “</w:t>
      </w:r>
      <w:r w:rsidRPr="00A72647">
        <w:rPr>
          <w:i/>
          <w:sz w:val="22"/>
          <w:szCs w:val="22"/>
        </w:rPr>
        <w:t>razões para não ser dado cumprimento pleno ao disposto na Lei 8.666/93 (arts. 26, parágrafo único, inciso II, e 43, inciso IV)</w:t>
      </w:r>
      <w:r w:rsidRPr="00A72647">
        <w:rPr>
          <w:sz w:val="22"/>
          <w:szCs w:val="22"/>
        </w:rPr>
        <w:t xml:space="preserve">”. Desse modo, votou por se determinar </w:t>
      </w:r>
      <w:r w:rsidR="000562F0">
        <w:rPr>
          <w:sz w:val="22"/>
          <w:szCs w:val="22"/>
        </w:rPr>
        <w:t xml:space="preserve">ao </w:t>
      </w:r>
      <w:r w:rsidRPr="00A72647">
        <w:rPr>
          <w:sz w:val="22"/>
          <w:szCs w:val="22"/>
        </w:rPr>
        <w:t>contratante que “</w:t>
      </w:r>
      <w:r w:rsidRPr="00A72647">
        <w:rPr>
          <w:i/>
          <w:sz w:val="22"/>
          <w:szCs w:val="22"/>
        </w:rPr>
        <w:t>estabeleça método formal de estimativa de preços dos serviços contratados junto às empresas fornecedoras</w:t>
      </w:r>
      <w:r w:rsidRPr="00A72647">
        <w:rPr>
          <w:sz w:val="22"/>
          <w:szCs w:val="22"/>
        </w:rPr>
        <w:t>”, em cumprimento às disposições da Lei 8.666/93, o que foi acolhido pelo Plenário. Precedentes citados: Acórdão</w:t>
      </w:r>
      <w:r w:rsidR="000562F0">
        <w:rPr>
          <w:sz w:val="22"/>
          <w:szCs w:val="22"/>
        </w:rPr>
        <w:t>s</w:t>
      </w:r>
      <w:r w:rsidRPr="00A72647">
        <w:rPr>
          <w:sz w:val="22"/>
          <w:szCs w:val="22"/>
        </w:rPr>
        <w:t xml:space="preserve"> 1.182/2004 e 301/2005, ambos do Plenário. </w:t>
      </w:r>
      <w:r w:rsidR="00452688" w:rsidRPr="00A72647">
        <w:rPr>
          <w:b/>
          <w:i/>
          <w:sz w:val="22"/>
          <w:szCs w:val="22"/>
        </w:rPr>
        <w:t>Acórdão n</w:t>
      </w:r>
      <w:r w:rsidR="00A545FD" w:rsidRPr="00A72647">
        <w:rPr>
          <w:b/>
          <w:i/>
          <w:sz w:val="22"/>
          <w:szCs w:val="22"/>
        </w:rPr>
        <w:t>.</w:t>
      </w:r>
      <w:r w:rsidR="00452688" w:rsidRPr="00A72647">
        <w:rPr>
          <w:b/>
          <w:i/>
          <w:sz w:val="22"/>
          <w:szCs w:val="22"/>
        </w:rPr>
        <w:t xml:space="preserve">º </w:t>
      </w:r>
      <w:r w:rsidR="00D37941" w:rsidRPr="00A72647">
        <w:rPr>
          <w:b/>
          <w:i/>
          <w:sz w:val="22"/>
          <w:szCs w:val="22"/>
        </w:rPr>
        <w:t>2643</w:t>
      </w:r>
      <w:r w:rsidR="00452688" w:rsidRPr="00A72647">
        <w:rPr>
          <w:b/>
          <w:i/>
          <w:sz w:val="22"/>
          <w:szCs w:val="22"/>
        </w:rPr>
        <w:t>/2010-Plenário, TC-0</w:t>
      </w:r>
      <w:r w:rsidR="00D37941" w:rsidRPr="00A72647">
        <w:rPr>
          <w:b/>
          <w:i/>
          <w:sz w:val="22"/>
          <w:szCs w:val="22"/>
        </w:rPr>
        <w:t>23</w:t>
      </w:r>
      <w:r w:rsidR="00452688" w:rsidRPr="00A72647">
        <w:rPr>
          <w:b/>
          <w:i/>
          <w:sz w:val="22"/>
          <w:szCs w:val="22"/>
        </w:rPr>
        <w:t>.</w:t>
      </w:r>
      <w:r w:rsidR="00D37941" w:rsidRPr="00A72647">
        <w:rPr>
          <w:b/>
          <w:i/>
          <w:sz w:val="22"/>
          <w:szCs w:val="22"/>
        </w:rPr>
        <w:t>49</w:t>
      </w:r>
      <w:r w:rsidR="00452688" w:rsidRPr="00A72647">
        <w:rPr>
          <w:b/>
          <w:i/>
          <w:sz w:val="22"/>
          <w:szCs w:val="22"/>
        </w:rPr>
        <w:t>9/200</w:t>
      </w:r>
      <w:r w:rsidR="00D37941" w:rsidRPr="00A72647">
        <w:rPr>
          <w:b/>
          <w:i/>
          <w:sz w:val="22"/>
          <w:szCs w:val="22"/>
        </w:rPr>
        <w:t>7-3</w:t>
      </w:r>
      <w:r w:rsidR="00452688" w:rsidRPr="00A72647">
        <w:rPr>
          <w:b/>
          <w:i/>
          <w:sz w:val="22"/>
          <w:szCs w:val="22"/>
        </w:rPr>
        <w:t xml:space="preserve">, rel. Min. Benjamin Zymler, </w:t>
      </w:r>
      <w:r w:rsidR="00D37941" w:rsidRPr="00A72647">
        <w:rPr>
          <w:b/>
          <w:i/>
          <w:sz w:val="22"/>
          <w:szCs w:val="22"/>
        </w:rPr>
        <w:t>06</w:t>
      </w:r>
      <w:r w:rsidR="00A545FD" w:rsidRPr="00A72647">
        <w:rPr>
          <w:b/>
          <w:i/>
          <w:sz w:val="22"/>
          <w:szCs w:val="22"/>
        </w:rPr>
        <w:t>.</w:t>
      </w:r>
      <w:r w:rsidR="00D37941" w:rsidRPr="00A72647">
        <w:rPr>
          <w:b/>
          <w:i/>
          <w:sz w:val="22"/>
          <w:szCs w:val="22"/>
        </w:rPr>
        <w:t>10</w:t>
      </w:r>
      <w:r w:rsidR="00A545FD" w:rsidRPr="00A72647">
        <w:rPr>
          <w:b/>
          <w:i/>
          <w:sz w:val="22"/>
          <w:szCs w:val="22"/>
        </w:rPr>
        <w:t>.</w:t>
      </w:r>
      <w:r w:rsidR="00452688" w:rsidRPr="00A72647">
        <w:rPr>
          <w:b/>
          <w:i/>
          <w:sz w:val="22"/>
          <w:szCs w:val="22"/>
        </w:rPr>
        <w:t>2010.</w:t>
      </w:r>
    </w:p>
    <w:p w:rsidR="00452688" w:rsidRPr="00A72647" w:rsidRDefault="00452688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C842AB" w:rsidRPr="00A72647" w:rsidRDefault="00C842AB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A72647">
        <w:rPr>
          <w:b/>
          <w:sz w:val="22"/>
          <w:szCs w:val="22"/>
        </w:rPr>
        <w:t>Contratação de serviços</w:t>
      </w:r>
      <w:r w:rsidR="00307C1B" w:rsidRPr="00A72647">
        <w:rPr>
          <w:b/>
          <w:sz w:val="22"/>
          <w:szCs w:val="22"/>
        </w:rPr>
        <w:t xml:space="preserve"> de duração continuada</w:t>
      </w:r>
      <w:r w:rsidRPr="00A72647">
        <w:rPr>
          <w:b/>
          <w:sz w:val="22"/>
          <w:szCs w:val="22"/>
        </w:rPr>
        <w:t xml:space="preserve">: </w:t>
      </w:r>
      <w:r w:rsidR="00307C1B" w:rsidRPr="00A72647">
        <w:rPr>
          <w:b/>
          <w:sz w:val="22"/>
          <w:szCs w:val="22"/>
        </w:rPr>
        <w:t>1</w:t>
      </w:r>
      <w:r w:rsidRPr="00A72647">
        <w:rPr>
          <w:b/>
          <w:sz w:val="22"/>
          <w:szCs w:val="22"/>
        </w:rPr>
        <w:t xml:space="preserve"> – </w:t>
      </w:r>
      <w:r w:rsidR="00413210">
        <w:rPr>
          <w:b/>
          <w:sz w:val="22"/>
          <w:szCs w:val="22"/>
        </w:rPr>
        <w:t>Critérios de reajustamento contratual para as empresas estatais</w:t>
      </w:r>
      <w:r w:rsidR="00307C1B" w:rsidRPr="00A72647">
        <w:rPr>
          <w:b/>
          <w:sz w:val="22"/>
          <w:szCs w:val="22"/>
        </w:rPr>
        <w:t xml:space="preserve">  </w:t>
      </w:r>
    </w:p>
    <w:p w:rsidR="00452688" w:rsidRPr="00A72647" w:rsidRDefault="00AE2233" w:rsidP="00A72647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A72647">
        <w:rPr>
          <w:sz w:val="22"/>
          <w:szCs w:val="22"/>
        </w:rPr>
        <w:t xml:space="preserve">No âmbito de </w:t>
      </w:r>
      <w:r w:rsidR="00406092" w:rsidRPr="00A72647">
        <w:rPr>
          <w:sz w:val="22"/>
          <w:szCs w:val="22"/>
        </w:rPr>
        <w:t xml:space="preserve">tomada de contas especial </w:t>
      </w:r>
      <w:r w:rsidR="00E02DC9" w:rsidRPr="00A72647">
        <w:rPr>
          <w:sz w:val="22"/>
          <w:szCs w:val="22"/>
        </w:rPr>
        <w:t>resultante de</w:t>
      </w:r>
      <w:r w:rsidR="00406092" w:rsidRPr="00A72647">
        <w:rPr>
          <w:sz w:val="22"/>
          <w:szCs w:val="22"/>
        </w:rPr>
        <w:t xml:space="preserve"> inspeção realizada </w:t>
      </w:r>
      <w:r w:rsidRPr="00A72647">
        <w:rPr>
          <w:sz w:val="22"/>
          <w:szCs w:val="22"/>
        </w:rPr>
        <w:t>n</w:t>
      </w:r>
      <w:r w:rsidR="00406092" w:rsidRPr="00A72647">
        <w:rPr>
          <w:sz w:val="22"/>
          <w:szCs w:val="22"/>
        </w:rPr>
        <w:t>a contratação da empresa Gtech Brasil Ltda. pela Caixa Econômica Federal</w:t>
      </w:r>
      <w:r w:rsidR="00E02DC9" w:rsidRPr="00A72647">
        <w:rPr>
          <w:sz w:val="22"/>
          <w:szCs w:val="22"/>
        </w:rPr>
        <w:t xml:space="preserve">, </w:t>
      </w:r>
      <w:r w:rsidR="00307C1B" w:rsidRPr="00A72647">
        <w:rPr>
          <w:sz w:val="22"/>
          <w:szCs w:val="22"/>
        </w:rPr>
        <w:t>cujo</w:t>
      </w:r>
      <w:r w:rsidR="00406092" w:rsidRPr="00A72647">
        <w:rPr>
          <w:sz w:val="22"/>
          <w:szCs w:val="22"/>
        </w:rPr>
        <w:t xml:space="preserve"> objeto </w:t>
      </w:r>
      <w:r w:rsidR="00307C1B" w:rsidRPr="00A72647">
        <w:rPr>
          <w:sz w:val="22"/>
          <w:szCs w:val="22"/>
        </w:rPr>
        <w:t>constituía-se n</w:t>
      </w:r>
      <w:r w:rsidR="00406092" w:rsidRPr="00A72647">
        <w:rPr>
          <w:sz w:val="22"/>
          <w:szCs w:val="22"/>
        </w:rPr>
        <w:t>a operacionalização de serviços lotéricos e não</w:t>
      </w:r>
      <w:r w:rsidR="000562F0">
        <w:rPr>
          <w:sz w:val="22"/>
          <w:szCs w:val="22"/>
        </w:rPr>
        <w:t xml:space="preserve"> </w:t>
      </w:r>
      <w:r w:rsidR="00406092" w:rsidRPr="00A72647">
        <w:rPr>
          <w:sz w:val="22"/>
          <w:szCs w:val="22"/>
        </w:rPr>
        <w:t>lotéricos prestados pela rede de lojas lotéricas credenciadas pela Caixa em todo o país</w:t>
      </w:r>
      <w:r w:rsidR="00701315" w:rsidRPr="00A72647">
        <w:rPr>
          <w:sz w:val="22"/>
          <w:szCs w:val="22"/>
        </w:rPr>
        <w:t>,</w:t>
      </w:r>
      <w:r w:rsidR="00307C1B" w:rsidRPr="00A72647">
        <w:rPr>
          <w:sz w:val="22"/>
          <w:szCs w:val="22"/>
        </w:rPr>
        <w:t xml:space="preserve"> </w:t>
      </w:r>
      <w:r w:rsidR="00701315" w:rsidRPr="00A72647">
        <w:rPr>
          <w:sz w:val="22"/>
          <w:szCs w:val="22"/>
        </w:rPr>
        <w:t>averigu</w:t>
      </w:r>
      <w:r w:rsidR="00307C1B" w:rsidRPr="00A72647">
        <w:rPr>
          <w:sz w:val="22"/>
          <w:szCs w:val="22"/>
        </w:rPr>
        <w:t xml:space="preserve">ou-se, </w:t>
      </w:r>
      <w:r w:rsidR="00934159" w:rsidRPr="00A72647">
        <w:rPr>
          <w:sz w:val="22"/>
          <w:szCs w:val="22"/>
        </w:rPr>
        <w:t>dentr</w:t>
      </w:r>
      <w:r w:rsidR="00934159">
        <w:rPr>
          <w:sz w:val="22"/>
          <w:szCs w:val="22"/>
        </w:rPr>
        <w:t>e</w:t>
      </w:r>
      <w:r w:rsidR="00934159" w:rsidRPr="00A72647">
        <w:rPr>
          <w:sz w:val="22"/>
          <w:szCs w:val="22"/>
        </w:rPr>
        <w:t xml:space="preserve"> </w:t>
      </w:r>
      <w:r w:rsidR="00307C1B" w:rsidRPr="00A72647">
        <w:rPr>
          <w:sz w:val="22"/>
          <w:szCs w:val="22"/>
        </w:rPr>
        <w:t>outros pontos,</w:t>
      </w:r>
      <w:r w:rsidR="00701315" w:rsidRPr="00A72647">
        <w:rPr>
          <w:sz w:val="22"/>
          <w:szCs w:val="22"/>
        </w:rPr>
        <w:t xml:space="preserve"> a não observância do art. 40, inc. XI, da Lei 8.666/1993, que determina o reajustamento do preço dos serviços contratados pela Administração Pública com base na</w:t>
      </w:r>
      <w:r w:rsidR="00406092" w:rsidRPr="00A72647">
        <w:rPr>
          <w:sz w:val="22"/>
          <w:szCs w:val="22"/>
        </w:rPr>
        <w:t xml:space="preserve"> </w:t>
      </w:r>
      <w:r w:rsidR="00701315" w:rsidRPr="00A72647">
        <w:rPr>
          <w:sz w:val="22"/>
          <w:szCs w:val="22"/>
        </w:rPr>
        <w:t>“</w:t>
      </w:r>
      <w:r w:rsidR="00701315" w:rsidRPr="00A72647">
        <w:rPr>
          <w:i/>
          <w:sz w:val="22"/>
          <w:szCs w:val="22"/>
        </w:rPr>
        <w:t>variação efetiva do custo de produção, admitida a adoção de índices específicos ou setoriais, no período considerado</w:t>
      </w:r>
      <w:r w:rsidR="00701315" w:rsidRPr="00A72647">
        <w:rPr>
          <w:sz w:val="22"/>
          <w:szCs w:val="22"/>
        </w:rPr>
        <w:t xml:space="preserve">”. A unidade técnica, </w:t>
      </w:r>
      <w:r w:rsidR="000562F0">
        <w:rPr>
          <w:sz w:val="22"/>
          <w:szCs w:val="22"/>
        </w:rPr>
        <w:t>com base em</w:t>
      </w:r>
      <w:r w:rsidR="00701315" w:rsidRPr="00A72647">
        <w:rPr>
          <w:sz w:val="22"/>
          <w:szCs w:val="22"/>
        </w:rPr>
        <w:t xml:space="preserve"> farta e divergente jurisprudência do Tribunal, concluiu </w:t>
      </w:r>
      <w:r w:rsidR="000C7B7D" w:rsidRPr="00A72647">
        <w:rPr>
          <w:sz w:val="22"/>
          <w:szCs w:val="22"/>
        </w:rPr>
        <w:t>que</w:t>
      </w:r>
      <w:r w:rsidR="000562F0">
        <w:rPr>
          <w:sz w:val="22"/>
          <w:szCs w:val="22"/>
        </w:rPr>
        <w:t>,</w:t>
      </w:r>
      <w:r w:rsidR="000C7B7D" w:rsidRPr="00A72647">
        <w:rPr>
          <w:sz w:val="22"/>
          <w:szCs w:val="22"/>
        </w:rPr>
        <w:t xml:space="preserve"> </w:t>
      </w:r>
      <w:r w:rsidR="005B4801" w:rsidRPr="00A72647">
        <w:rPr>
          <w:sz w:val="22"/>
          <w:szCs w:val="22"/>
        </w:rPr>
        <w:t xml:space="preserve">nos contratos firmados, com período superior a um ano, por </w:t>
      </w:r>
      <w:r w:rsidR="00701315" w:rsidRPr="00A72647">
        <w:rPr>
          <w:sz w:val="22"/>
          <w:szCs w:val="22"/>
        </w:rPr>
        <w:t xml:space="preserve">sociedades </w:t>
      </w:r>
      <w:r w:rsidR="000562F0">
        <w:rPr>
          <w:sz w:val="22"/>
          <w:szCs w:val="22"/>
        </w:rPr>
        <w:t xml:space="preserve">de economia </w:t>
      </w:r>
      <w:r w:rsidR="00701315" w:rsidRPr="00A72647">
        <w:rPr>
          <w:sz w:val="22"/>
          <w:szCs w:val="22"/>
        </w:rPr>
        <w:t>mista, empresas públicas e outras entidades controladas direta ou indiretamente pela União</w:t>
      </w:r>
      <w:r w:rsidR="000562F0">
        <w:rPr>
          <w:sz w:val="22"/>
          <w:szCs w:val="22"/>
        </w:rPr>
        <w:t>,</w:t>
      </w:r>
      <w:r w:rsidR="00701315" w:rsidRPr="00A72647">
        <w:rPr>
          <w:sz w:val="22"/>
          <w:szCs w:val="22"/>
        </w:rPr>
        <w:t xml:space="preserve"> </w:t>
      </w:r>
      <w:r w:rsidR="005B4801" w:rsidRPr="00A72647">
        <w:rPr>
          <w:sz w:val="22"/>
          <w:szCs w:val="22"/>
        </w:rPr>
        <w:t xml:space="preserve">o reajustamento de preços </w:t>
      </w:r>
      <w:r w:rsidR="00701315" w:rsidRPr="00A72647">
        <w:rPr>
          <w:sz w:val="22"/>
          <w:szCs w:val="22"/>
        </w:rPr>
        <w:t xml:space="preserve">poderia </w:t>
      </w:r>
      <w:r w:rsidR="000C7B7D" w:rsidRPr="00A72647">
        <w:rPr>
          <w:sz w:val="22"/>
          <w:szCs w:val="22"/>
        </w:rPr>
        <w:t xml:space="preserve">ocorrer </w:t>
      </w:r>
      <w:r w:rsidR="00701315" w:rsidRPr="00A72647">
        <w:rPr>
          <w:sz w:val="22"/>
          <w:szCs w:val="22"/>
        </w:rPr>
        <w:t xml:space="preserve">a partir dos critérios estabelecidos no art. 3º da Resolução 10/96, editada pela Coordenação e Controle das Empresas Estatais – CCE, pois não haveria </w:t>
      </w:r>
      <w:r w:rsidR="005B4801" w:rsidRPr="00A72647">
        <w:rPr>
          <w:sz w:val="22"/>
          <w:szCs w:val="22"/>
        </w:rPr>
        <w:t>“</w:t>
      </w:r>
      <w:r w:rsidR="005B4801" w:rsidRPr="00A72647">
        <w:rPr>
          <w:i/>
          <w:sz w:val="22"/>
          <w:szCs w:val="22"/>
        </w:rPr>
        <w:t>ilegalidade no uso desta, que determina como parâmetros técnicos na repactuação os critérios de qualidade e preço de mercado”</w:t>
      </w:r>
      <w:r w:rsidR="00701315" w:rsidRPr="00A72647">
        <w:rPr>
          <w:sz w:val="22"/>
          <w:szCs w:val="22"/>
        </w:rPr>
        <w:t>.</w:t>
      </w:r>
      <w:r w:rsidR="000C7B7D" w:rsidRPr="00A72647">
        <w:rPr>
          <w:sz w:val="22"/>
          <w:szCs w:val="22"/>
        </w:rPr>
        <w:t xml:space="preserve"> Todavia, em razão das divergências</w:t>
      </w:r>
      <w:r w:rsidR="000562F0">
        <w:rPr>
          <w:sz w:val="22"/>
          <w:szCs w:val="22"/>
        </w:rPr>
        <w:t xml:space="preserve"> existentes</w:t>
      </w:r>
      <w:r w:rsidR="000C7B7D" w:rsidRPr="00A72647">
        <w:rPr>
          <w:sz w:val="22"/>
          <w:szCs w:val="22"/>
        </w:rPr>
        <w:t xml:space="preserve">, propôs </w:t>
      </w:r>
      <w:r w:rsidR="00307C1B" w:rsidRPr="00A72647">
        <w:rPr>
          <w:sz w:val="22"/>
          <w:szCs w:val="22"/>
        </w:rPr>
        <w:t xml:space="preserve">que </w:t>
      </w:r>
      <w:r w:rsidR="000C7B7D" w:rsidRPr="00A72647">
        <w:rPr>
          <w:sz w:val="22"/>
          <w:szCs w:val="22"/>
        </w:rPr>
        <w:t xml:space="preserve">fosse suscitado incidente de uniformização jurisprudencial, de modo a solucionar o aparente conflito entre diversas decisões do Tribunal. Para o relator, </w:t>
      </w:r>
      <w:r w:rsidR="00307C1B" w:rsidRPr="00A72647">
        <w:rPr>
          <w:sz w:val="22"/>
          <w:szCs w:val="22"/>
        </w:rPr>
        <w:t>contudo</w:t>
      </w:r>
      <w:r w:rsidR="0075322B" w:rsidRPr="00A72647">
        <w:rPr>
          <w:sz w:val="22"/>
          <w:szCs w:val="22"/>
        </w:rPr>
        <w:t>, não seria necessário situar a discussão em sede de incidente de uniformização de jurisprudência, uma vez que “</w:t>
      </w:r>
      <w:r w:rsidR="0075322B" w:rsidRPr="00A72647">
        <w:rPr>
          <w:i/>
          <w:sz w:val="22"/>
          <w:szCs w:val="22"/>
        </w:rPr>
        <w:t>a jurisprudência da Corte inclina-se visivelmente para a inclusão, no edital, de critérios de reajuste que privilegiem, de forma objetiva, a variação efetiva de custos ocorrida no período considerado, o que é plenamente factível na generalidade dos casos possíveis</w:t>
      </w:r>
      <w:r w:rsidR="0075322B" w:rsidRPr="00A72647">
        <w:rPr>
          <w:sz w:val="22"/>
          <w:szCs w:val="22"/>
        </w:rPr>
        <w:t>”. Para ele, a “</w:t>
      </w:r>
      <w:r w:rsidR="0075322B" w:rsidRPr="00A72647">
        <w:rPr>
          <w:i/>
          <w:sz w:val="22"/>
          <w:szCs w:val="22"/>
        </w:rPr>
        <w:t>Resolução CCE 10/1996 desvincula a alteração dos preços contratuais à variação do custo dos serviços, atrelando-a, em vez disso, aos preços vigentes no mercado para serviços de qualidade semelhante. Evidente que, nesse regime, a subjetividade na definição dos novos preços é maior</w:t>
      </w:r>
      <w:r w:rsidR="0075322B" w:rsidRPr="00A72647">
        <w:rPr>
          <w:sz w:val="22"/>
          <w:szCs w:val="22"/>
        </w:rPr>
        <w:t>”. Ainda de acordo com o relator, “</w:t>
      </w:r>
      <w:r w:rsidR="0075322B" w:rsidRPr="00A72647">
        <w:rPr>
          <w:i/>
          <w:sz w:val="22"/>
          <w:szCs w:val="22"/>
        </w:rPr>
        <w:t>na sistemática da Lei 8.666/1993, como é óbvio, o inicial equilíbrio econômico-financeiro não se perde ao longo da execução do contrato. Trata-se, portanto, de dispositivo muito mais rigoroso e transparente do que o art. 3º da Resolução CCE 10/1996, o que requer posicionamento mais explícito desta Corte acerca da validade deste último</w:t>
      </w:r>
      <w:r w:rsidR="0075322B" w:rsidRPr="00A72647">
        <w:rPr>
          <w:sz w:val="22"/>
          <w:szCs w:val="22"/>
        </w:rPr>
        <w:t>”. Assim, ementou o entendimento de que</w:t>
      </w:r>
      <w:r w:rsidR="000562F0">
        <w:rPr>
          <w:sz w:val="22"/>
          <w:szCs w:val="22"/>
        </w:rPr>
        <w:t>,</w:t>
      </w:r>
      <w:r w:rsidR="0075322B" w:rsidRPr="00A72647">
        <w:rPr>
          <w:sz w:val="22"/>
          <w:szCs w:val="22"/>
        </w:rPr>
        <w:t xml:space="preserve"> “</w:t>
      </w:r>
      <w:r w:rsidR="0075322B" w:rsidRPr="00A72647">
        <w:rPr>
          <w:i/>
          <w:sz w:val="22"/>
          <w:szCs w:val="22"/>
        </w:rPr>
        <w:t>até que seja editada a lei específica de que trata o art. 173, §1º, inciso III, da Constituição, as empresas públicas, sociedades de economia mista e as entidades controladas direta ou indiretamente pela União devem fazer constar, nos editais e contratos alusivos à prestação de serviços de duração continuada, previsão de que os reajustes de preços devem ser feitos com base na efetiva variação de custos comprovada pelo contratado, admitindo-se a adoção de índice setorial de reajuste, nos termos do art. 40, inciso XI, da Lei nº 8.666/1993</w:t>
      </w:r>
      <w:r w:rsidR="000562F0">
        <w:rPr>
          <w:i/>
          <w:sz w:val="22"/>
          <w:szCs w:val="22"/>
        </w:rPr>
        <w:t>,</w:t>
      </w:r>
      <w:r w:rsidR="0075322B" w:rsidRPr="00A72647">
        <w:rPr>
          <w:i/>
          <w:sz w:val="22"/>
          <w:szCs w:val="22"/>
        </w:rPr>
        <w:t xml:space="preserve"> e em consonância com a Decisão nº 235/2002 e os Acórdãos nºs 34/2004 e 361/2006, todos do Plenário, não se regulando a matéria pelo art. 3º da Resolução CCE 10/1996</w:t>
      </w:r>
      <w:r w:rsidR="0075322B" w:rsidRPr="00A72647">
        <w:rPr>
          <w:sz w:val="22"/>
          <w:szCs w:val="22"/>
        </w:rPr>
        <w:t>”</w:t>
      </w:r>
      <w:r w:rsidR="009020DE" w:rsidRPr="00A72647">
        <w:rPr>
          <w:sz w:val="22"/>
          <w:szCs w:val="22"/>
        </w:rPr>
        <w:t xml:space="preserve">, o que contou com a aprovação do </w:t>
      </w:r>
      <w:r w:rsidR="0075322B" w:rsidRPr="00A72647">
        <w:rPr>
          <w:sz w:val="22"/>
          <w:szCs w:val="22"/>
        </w:rPr>
        <w:t>Plenário</w:t>
      </w:r>
      <w:r w:rsidR="009020DE" w:rsidRPr="00A72647">
        <w:rPr>
          <w:sz w:val="22"/>
          <w:szCs w:val="22"/>
        </w:rPr>
        <w:t xml:space="preserve">. </w:t>
      </w:r>
      <w:r w:rsidR="00406092" w:rsidRPr="00A72647">
        <w:rPr>
          <w:b/>
          <w:i/>
          <w:sz w:val="22"/>
          <w:szCs w:val="22"/>
        </w:rPr>
        <w:t>Acórdão nº 2641</w:t>
      </w:r>
      <w:r w:rsidR="00452688" w:rsidRPr="00A72647">
        <w:rPr>
          <w:b/>
          <w:i/>
          <w:sz w:val="22"/>
          <w:szCs w:val="22"/>
        </w:rPr>
        <w:t>/2010-Plenário, TC-0</w:t>
      </w:r>
      <w:r w:rsidR="00406092" w:rsidRPr="00A72647">
        <w:rPr>
          <w:b/>
          <w:i/>
          <w:sz w:val="22"/>
          <w:szCs w:val="22"/>
        </w:rPr>
        <w:t>0</w:t>
      </w:r>
      <w:r w:rsidR="00452688" w:rsidRPr="00A72647">
        <w:rPr>
          <w:b/>
          <w:i/>
          <w:sz w:val="22"/>
          <w:szCs w:val="22"/>
        </w:rPr>
        <w:t>2</w:t>
      </w:r>
      <w:r w:rsidR="00406092" w:rsidRPr="00A72647">
        <w:rPr>
          <w:b/>
          <w:i/>
          <w:sz w:val="22"/>
          <w:szCs w:val="22"/>
        </w:rPr>
        <w:t>.365/2004-3</w:t>
      </w:r>
      <w:r w:rsidR="00452688" w:rsidRPr="00A72647">
        <w:rPr>
          <w:b/>
          <w:i/>
          <w:sz w:val="22"/>
          <w:szCs w:val="22"/>
        </w:rPr>
        <w:t xml:space="preserve">, rel. Min. Augusto Nardes, </w:t>
      </w:r>
      <w:r w:rsidR="00406092" w:rsidRPr="00A72647">
        <w:rPr>
          <w:b/>
          <w:i/>
          <w:sz w:val="22"/>
          <w:szCs w:val="22"/>
        </w:rPr>
        <w:t>06</w:t>
      </w:r>
      <w:r w:rsidR="001321CC" w:rsidRPr="00A72647">
        <w:rPr>
          <w:b/>
          <w:i/>
          <w:sz w:val="22"/>
          <w:szCs w:val="22"/>
        </w:rPr>
        <w:t>.</w:t>
      </w:r>
      <w:r w:rsidR="00406092" w:rsidRPr="00A72647">
        <w:rPr>
          <w:b/>
          <w:i/>
          <w:sz w:val="22"/>
          <w:szCs w:val="22"/>
        </w:rPr>
        <w:t>1</w:t>
      </w:r>
      <w:r w:rsidR="00452688" w:rsidRPr="00A72647">
        <w:rPr>
          <w:b/>
          <w:i/>
          <w:sz w:val="22"/>
          <w:szCs w:val="22"/>
        </w:rPr>
        <w:t>0</w:t>
      </w:r>
      <w:r w:rsidR="001321CC" w:rsidRPr="00A72647">
        <w:rPr>
          <w:b/>
          <w:i/>
          <w:sz w:val="22"/>
          <w:szCs w:val="22"/>
        </w:rPr>
        <w:t>.</w:t>
      </w:r>
      <w:r w:rsidR="00452688" w:rsidRPr="00A72647">
        <w:rPr>
          <w:b/>
          <w:i/>
          <w:sz w:val="22"/>
          <w:szCs w:val="22"/>
        </w:rPr>
        <w:t>2010.</w:t>
      </w:r>
    </w:p>
    <w:p w:rsidR="009020DE" w:rsidRPr="00A72647" w:rsidRDefault="009020DE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9020DE" w:rsidRPr="00A72647" w:rsidRDefault="00307C1B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A72647">
        <w:rPr>
          <w:b/>
          <w:sz w:val="22"/>
          <w:szCs w:val="22"/>
        </w:rPr>
        <w:t>Contratação de serviços de duração continuada:</w:t>
      </w:r>
      <w:r w:rsidR="00C842AB" w:rsidRPr="00A72647">
        <w:rPr>
          <w:b/>
          <w:sz w:val="22"/>
          <w:szCs w:val="22"/>
        </w:rPr>
        <w:t xml:space="preserve"> 2 – </w:t>
      </w:r>
      <w:r w:rsidR="00034E05">
        <w:rPr>
          <w:b/>
          <w:sz w:val="22"/>
          <w:szCs w:val="22"/>
        </w:rPr>
        <w:t>Requisitos para alteração societária do contratado.</w:t>
      </w:r>
      <w:r w:rsidR="00777060" w:rsidRPr="000562F0">
        <w:rPr>
          <w:b/>
          <w:sz w:val="22"/>
          <w:szCs w:val="22"/>
        </w:rPr>
        <w:t xml:space="preserve"> </w:t>
      </w:r>
    </w:p>
    <w:p w:rsidR="009020DE" w:rsidRPr="00A72647" w:rsidRDefault="00C842AB" w:rsidP="00A72647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A72647">
        <w:rPr>
          <w:sz w:val="22"/>
          <w:szCs w:val="22"/>
        </w:rPr>
        <w:t>Ainda na</w:t>
      </w:r>
      <w:r w:rsidR="009020DE" w:rsidRPr="00A72647">
        <w:rPr>
          <w:sz w:val="22"/>
          <w:szCs w:val="22"/>
        </w:rPr>
        <w:t xml:space="preserve"> tomada de contas especial resultante de inspeção realizada na contratação da empresa Gtech Brasil Ltda. pela Caixa Econômica Federal, a qual teve como objeto a operacionalização de serviços lotéricos e não</w:t>
      </w:r>
      <w:r w:rsidR="000562F0">
        <w:rPr>
          <w:sz w:val="22"/>
          <w:szCs w:val="22"/>
        </w:rPr>
        <w:t xml:space="preserve"> </w:t>
      </w:r>
      <w:r w:rsidR="009020DE" w:rsidRPr="00A72647">
        <w:rPr>
          <w:sz w:val="22"/>
          <w:szCs w:val="22"/>
        </w:rPr>
        <w:t>lotéricos prestados pela rede de lojas lotéricas credenciadas pela Caixa em todo o país</w:t>
      </w:r>
      <w:r w:rsidRPr="00A72647">
        <w:rPr>
          <w:sz w:val="22"/>
          <w:szCs w:val="22"/>
        </w:rPr>
        <w:t xml:space="preserve">, </w:t>
      </w:r>
      <w:r w:rsidR="009020DE" w:rsidRPr="000562F0">
        <w:rPr>
          <w:sz w:val="22"/>
          <w:szCs w:val="22"/>
        </w:rPr>
        <w:t>duas das irregularidades versa</w:t>
      </w:r>
      <w:r w:rsidRPr="000562F0">
        <w:rPr>
          <w:sz w:val="22"/>
          <w:szCs w:val="22"/>
        </w:rPr>
        <w:t>ra</w:t>
      </w:r>
      <w:r w:rsidR="009020DE" w:rsidRPr="000562F0">
        <w:rPr>
          <w:sz w:val="22"/>
          <w:szCs w:val="22"/>
        </w:rPr>
        <w:t xml:space="preserve">m sobre as mudanças societárias </w:t>
      </w:r>
      <w:r w:rsidR="000562F0">
        <w:rPr>
          <w:sz w:val="22"/>
          <w:szCs w:val="22"/>
        </w:rPr>
        <w:t>pelas quais</w:t>
      </w:r>
      <w:r w:rsidR="009020DE" w:rsidRPr="000562F0">
        <w:rPr>
          <w:sz w:val="22"/>
          <w:szCs w:val="22"/>
        </w:rPr>
        <w:t xml:space="preserve"> passou a empresa originalmente contratada, a Racimec Informática Brasileira S. A.,</w:t>
      </w:r>
      <w:r w:rsidR="009020DE" w:rsidRPr="00A72647">
        <w:rPr>
          <w:i/>
          <w:sz w:val="22"/>
          <w:szCs w:val="22"/>
        </w:rPr>
        <w:t xml:space="preserve"> </w:t>
      </w:r>
      <w:r w:rsidR="000562F0">
        <w:rPr>
          <w:sz w:val="22"/>
          <w:szCs w:val="22"/>
        </w:rPr>
        <w:t>“</w:t>
      </w:r>
      <w:r w:rsidR="009020DE" w:rsidRPr="00A72647">
        <w:rPr>
          <w:i/>
          <w:sz w:val="22"/>
          <w:szCs w:val="22"/>
        </w:rPr>
        <w:t>cujo controle teria passado para a empresa Gtech Brasil Holdings, subsidiária da empresa norte-americana Gtech Corporation, configurando incorporação da empresa contratada</w:t>
      </w:r>
      <w:r w:rsidR="009020DE" w:rsidRPr="00A72647">
        <w:rPr>
          <w:sz w:val="22"/>
          <w:szCs w:val="22"/>
        </w:rPr>
        <w:t>”. A unidade técnica entendeu que as mudanças societárias atenderam aos requisitos do Acórdão 1.108/2003</w:t>
      </w:r>
      <w:r w:rsidR="000562F0">
        <w:rPr>
          <w:sz w:val="22"/>
          <w:szCs w:val="22"/>
        </w:rPr>
        <w:t>-</w:t>
      </w:r>
      <w:r w:rsidR="009020DE" w:rsidRPr="00A72647">
        <w:rPr>
          <w:sz w:val="22"/>
          <w:szCs w:val="22"/>
        </w:rPr>
        <w:t>Plenário</w:t>
      </w:r>
      <w:r w:rsidR="000562F0">
        <w:rPr>
          <w:sz w:val="22"/>
          <w:szCs w:val="22"/>
        </w:rPr>
        <w:t>,</w:t>
      </w:r>
      <w:r w:rsidR="009020DE" w:rsidRPr="00A72647">
        <w:rPr>
          <w:sz w:val="22"/>
          <w:szCs w:val="22"/>
        </w:rPr>
        <w:t xml:space="preserve"> </w:t>
      </w:r>
      <w:r w:rsidR="007B310C" w:rsidRPr="00A72647">
        <w:rPr>
          <w:sz w:val="22"/>
          <w:szCs w:val="22"/>
        </w:rPr>
        <w:t>quais sejam: I) a possibilidade estar prevista no edital e no contrato, nos termos do art. 79, inciso VI, da Lei 8.666/1993; II) se</w:t>
      </w:r>
      <w:r w:rsidR="000562F0">
        <w:rPr>
          <w:sz w:val="22"/>
          <w:szCs w:val="22"/>
        </w:rPr>
        <w:t>re</w:t>
      </w:r>
      <w:r w:rsidR="007B310C" w:rsidRPr="00A72647">
        <w:rPr>
          <w:sz w:val="22"/>
          <w:szCs w:val="22"/>
        </w:rPr>
        <w:t>m observados</w:t>
      </w:r>
      <w:r w:rsidR="004F0442">
        <w:rPr>
          <w:sz w:val="22"/>
          <w:szCs w:val="22"/>
        </w:rPr>
        <w:t>,</w:t>
      </w:r>
      <w:r w:rsidR="007B310C" w:rsidRPr="00A72647">
        <w:rPr>
          <w:sz w:val="22"/>
          <w:szCs w:val="22"/>
        </w:rPr>
        <w:t xml:space="preserve"> pela nova empresa</w:t>
      </w:r>
      <w:r w:rsidR="004F0442">
        <w:rPr>
          <w:sz w:val="22"/>
          <w:szCs w:val="22"/>
        </w:rPr>
        <w:t>,</w:t>
      </w:r>
      <w:r w:rsidR="007B310C" w:rsidRPr="00A72647">
        <w:rPr>
          <w:sz w:val="22"/>
          <w:szCs w:val="22"/>
        </w:rPr>
        <w:t xml:space="preserve"> os requisitos de habilitação estabelecidos no art. 27 da Lei 8.666/1993, originalmente previstos na licitação; e III) se</w:t>
      </w:r>
      <w:r w:rsidR="004F0442">
        <w:rPr>
          <w:sz w:val="22"/>
          <w:szCs w:val="22"/>
        </w:rPr>
        <w:t>rem mantidas as condições defin</w:t>
      </w:r>
      <w:r w:rsidR="007B310C" w:rsidRPr="00A72647">
        <w:rPr>
          <w:sz w:val="22"/>
          <w:szCs w:val="22"/>
        </w:rPr>
        <w:t>idas no contrato original. Todavia, o relator ressaltou não ser necessário “</w:t>
      </w:r>
      <w:r w:rsidR="007B310C" w:rsidRPr="00A72647">
        <w:rPr>
          <w:i/>
          <w:sz w:val="22"/>
          <w:szCs w:val="22"/>
        </w:rPr>
        <w:t>que o edital e o contrato expressamente prevejam a possibilidade de alteração societária da contratada para que o contrato subsista à modificação. Se o edital ou contrato não veda a alteração da pessoa da contratada, por fusão, incorporação ou cisão, o contrato pode subsistir se a reestruturação não trouxer qualquer prejuízo à sua execução ou aos princípios da administração pública</w:t>
      </w:r>
      <w:r w:rsidR="007B310C" w:rsidRPr="00A72647">
        <w:rPr>
          <w:sz w:val="22"/>
          <w:szCs w:val="22"/>
        </w:rPr>
        <w:t>”, em razão do Acórdão 634/2007</w:t>
      </w:r>
      <w:r w:rsidR="004F0442">
        <w:rPr>
          <w:sz w:val="22"/>
          <w:szCs w:val="22"/>
        </w:rPr>
        <w:t>-Plenário</w:t>
      </w:r>
      <w:r w:rsidRPr="00A72647">
        <w:rPr>
          <w:sz w:val="22"/>
          <w:szCs w:val="22"/>
        </w:rPr>
        <w:t xml:space="preserve">. </w:t>
      </w:r>
      <w:r w:rsidR="004F0442">
        <w:rPr>
          <w:sz w:val="22"/>
          <w:szCs w:val="22"/>
        </w:rPr>
        <w:t>O Plenário acolheu</w:t>
      </w:r>
      <w:r w:rsidRPr="00A72647">
        <w:rPr>
          <w:sz w:val="22"/>
          <w:szCs w:val="22"/>
        </w:rPr>
        <w:t xml:space="preserve"> o voto do relator. </w:t>
      </w:r>
      <w:r w:rsidR="009020DE" w:rsidRPr="00A72647">
        <w:rPr>
          <w:b/>
          <w:i/>
          <w:sz w:val="22"/>
          <w:szCs w:val="22"/>
        </w:rPr>
        <w:t>Acórdão nº 2641/2010-Plenário, TC-002.365/2004-3, rel. Min. Augusto Nardes, 06.10.2010.</w:t>
      </w:r>
    </w:p>
    <w:p w:rsidR="009020DE" w:rsidRPr="00A72647" w:rsidRDefault="009020DE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491A1F" w:rsidRPr="00A72647" w:rsidRDefault="00777060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A72647">
        <w:rPr>
          <w:b/>
          <w:sz w:val="22"/>
          <w:szCs w:val="22"/>
        </w:rPr>
        <w:t>R</w:t>
      </w:r>
      <w:r w:rsidR="002813CA" w:rsidRPr="00A72647">
        <w:rPr>
          <w:b/>
          <w:sz w:val="22"/>
          <w:szCs w:val="22"/>
        </w:rPr>
        <w:t>ealização de despesas sem cobertura contratual</w:t>
      </w:r>
    </w:p>
    <w:p w:rsidR="00491A1F" w:rsidRPr="00A72647" w:rsidRDefault="00491A1F" w:rsidP="00A72647">
      <w:pPr>
        <w:pStyle w:val="TCU-RelVoto-1"/>
        <w:spacing w:after="0"/>
        <w:ind w:firstLine="0"/>
        <w:rPr>
          <w:b/>
          <w:i/>
          <w:sz w:val="22"/>
        </w:rPr>
      </w:pPr>
      <w:r w:rsidRPr="00A72647">
        <w:rPr>
          <w:sz w:val="22"/>
        </w:rPr>
        <w:t xml:space="preserve">Representação formulada ao TCU noticiou supostas irregularidades na contratação de serviços para desenvolvimento dos sistemas Siafi XXI e DocsTN. Uma delas seria a realização de despesas sem cobertura contratual. </w:t>
      </w:r>
      <w:r w:rsidR="00777060" w:rsidRPr="00A72647">
        <w:rPr>
          <w:sz w:val="22"/>
        </w:rPr>
        <w:t>Ouvido</w:t>
      </w:r>
      <w:r w:rsidRPr="00A72647">
        <w:rPr>
          <w:sz w:val="22"/>
        </w:rPr>
        <w:t xml:space="preserve"> </w:t>
      </w:r>
      <w:r w:rsidR="004F0442">
        <w:rPr>
          <w:sz w:val="22"/>
        </w:rPr>
        <w:t>em</w:t>
      </w:r>
      <w:r w:rsidRPr="00A72647">
        <w:rPr>
          <w:sz w:val="22"/>
        </w:rPr>
        <w:t xml:space="preserve"> audiência, </w:t>
      </w:r>
      <w:r w:rsidR="002813CA" w:rsidRPr="00A72647">
        <w:rPr>
          <w:sz w:val="22"/>
        </w:rPr>
        <w:t xml:space="preserve">um dos </w:t>
      </w:r>
      <w:r w:rsidRPr="00A72647">
        <w:rPr>
          <w:sz w:val="22"/>
        </w:rPr>
        <w:t>responsáveis aleg</w:t>
      </w:r>
      <w:r w:rsidR="002813CA" w:rsidRPr="00A72647">
        <w:rPr>
          <w:sz w:val="22"/>
        </w:rPr>
        <w:t>ou</w:t>
      </w:r>
      <w:r w:rsidR="004F0442">
        <w:rPr>
          <w:sz w:val="22"/>
        </w:rPr>
        <w:t xml:space="preserve"> </w:t>
      </w:r>
      <w:r w:rsidRPr="00A72647">
        <w:rPr>
          <w:sz w:val="22"/>
        </w:rPr>
        <w:t>que, além da curta vigência do contrato,</w:t>
      </w:r>
      <w:r w:rsidR="002813CA" w:rsidRPr="00A72647">
        <w:rPr>
          <w:sz w:val="22"/>
        </w:rPr>
        <w:t xml:space="preserve"> “</w:t>
      </w:r>
      <w:r w:rsidR="002813CA" w:rsidRPr="00A72647">
        <w:rPr>
          <w:i/>
          <w:sz w:val="22"/>
        </w:rPr>
        <w:t>sempre teve o cuidado de controlar os serviços contratados para que a execução não ultrapassasse o limite ajustado</w:t>
      </w:r>
      <w:r w:rsidR="002813CA" w:rsidRPr="00A72647">
        <w:rPr>
          <w:sz w:val="22"/>
        </w:rPr>
        <w:t>”</w:t>
      </w:r>
      <w:r w:rsidR="002813CA" w:rsidRPr="00A72647">
        <w:rPr>
          <w:i/>
          <w:sz w:val="22"/>
        </w:rPr>
        <w:t xml:space="preserve"> </w:t>
      </w:r>
      <w:r w:rsidR="002813CA" w:rsidRPr="00A72647">
        <w:rPr>
          <w:sz w:val="22"/>
        </w:rPr>
        <w:t>e que “</w:t>
      </w:r>
      <w:r w:rsidR="002813CA" w:rsidRPr="00A72647">
        <w:rPr>
          <w:i/>
          <w:sz w:val="22"/>
        </w:rPr>
        <w:t>tomou as providências ao seu alcance no sentido de alertar as autoridades competentes do risco dos serviços virem a ser prestados sem a devida cobertura contratual</w:t>
      </w:r>
      <w:r w:rsidR="002813CA" w:rsidRPr="00A72647">
        <w:rPr>
          <w:sz w:val="22"/>
        </w:rPr>
        <w:t>”. A</w:t>
      </w:r>
      <w:r w:rsidRPr="00A72647">
        <w:rPr>
          <w:sz w:val="22"/>
        </w:rPr>
        <w:t xml:space="preserve"> unidade técnica, ao examinar </w:t>
      </w:r>
      <w:r w:rsidR="00777060" w:rsidRPr="00A72647">
        <w:rPr>
          <w:sz w:val="22"/>
        </w:rPr>
        <w:t>as</w:t>
      </w:r>
      <w:r w:rsidRPr="00A72647">
        <w:rPr>
          <w:sz w:val="22"/>
        </w:rPr>
        <w:t xml:space="preserve"> justificativa</w:t>
      </w:r>
      <w:r w:rsidR="00777060" w:rsidRPr="00A72647">
        <w:rPr>
          <w:sz w:val="22"/>
        </w:rPr>
        <w:t>s</w:t>
      </w:r>
      <w:r w:rsidRPr="00A72647">
        <w:rPr>
          <w:sz w:val="22"/>
        </w:rPr>
        <w:t xml:space="preserve"> apresentadas, </w:t>
      </w:r>
      <w:r w:rsidR="002813CA" w:rsidRPr="00A72647">
        <w:rPr>
          <w:sz w:val="22"/>
        </w:rPr>
        <w:t>concluiu restar evidente a ocorrência da irregularidade (despesa sem cobertura contratual), em afronta ao art. 62 da Lei nº 8.666/93. Entretanto, para a unidade técnica, “</w:t>
      </w:r>
      <w:r w:rsidR="002813CA" w:rsidRPr="00A72647">
        <w:rPr>
          <w:i/>
          <w:sz w:val="22"/>
        </w:rPr>
        <w:t>pelas alegações e documentos apresentados pelo responsável, percebe-se que não houve má-fé do gestor na condução do assunto, tampouco houve negligência de sua parte, já que, além de ter se empenhado no controle da execução dos serviços contratados, o responsável preveniu as autoridades competentes da possibilidade da irregularidade vir a ser praticada</w:t>
      </w:r>
      <w:r w:rsidR="002813CA" w:rsidRPr="00A72647">
        <w:rPr>
          <w:sz w:val="22"/>
        </w:rPr>
        <w:t>”</w:t>
      </w:r>
      <w:r w:rsidR="002813CA" w:rsidRPr="00A72647">
        <w:rPr>
          <w:i/>
          <w:sz w:val="22"/>
        </w:rPr>
        <w:t xml:space="preserve">. </w:t>
      </w:r>
      <w:r w:rsidR="002813CA" w:rsidRPr="00A72647">
        <w:rPr>
          <w:sz w:val="22"/>
        </w:rPr>
        <w:t xml:space="preserve">De sua parte, em face das análises, o relator considerou </w:t>
      </w:r>
      <w:r w:rsidR="002813CA" w:rsidRPr="004F0442">
        <w:rPr>
          <w:sz w:val="22"/>
        </w:rPr>
        <w:t xml:space="preserve">que não restaram comprovadas negligência </w:t>
      </w:r>
      <w:r w:rsidR="004F0442" w:rsidRPr="004F0442">
        <w:rPr>
          <w:sz w:val="22"/>
        </w:rPr>
        <w:t xml:space="preserve">ou </w:t>
      </w:r>
      <w:r w:rsidR="002813CA" w:rsidRPr="004F0442">
        <w:rPr>
          <w:sz w:val="22"/>
        </w:rPr>
        <w:t>má-fé por parte do responsável</w:t>
      </w:r>
      <w:r w:rsidR="00092603" w:rsidRPr="00A72647">
        <w:rPr>
          <w:sz w:val="22"/>
        </w:rPr>
        <w:t>, pois o mesmo, na espécie, procedera com a “</w:t>
      </w:r>
      <w:r w:rsidR="00092603" w:rsidRPr="00A72647">
        <w:rPr>
          <w:i/>
          <w:sz w:val="22"/>
        </w:rPr>
        <w:t>diligência esperada, à vista da possibilidade de danos maiores ao interesse público decorrentes da descontinuidade dos serviços contratados</w:t>
      </w:r>
      <w:r w:rsidR="00092603" w:rsidRPr="00A72647">
        <w:rPr>
          <w:sz w:val="22"/>
        </w:rPr>
        <w:t>”. Desse modo, ao acolher as justificativas do responsável, votou por que a irregularidade ocorrida fosse relevada, no que contou com a anuência do Plenário.</w:t>
      </w:r>
      <w:r w:rsidRPr="00A72647">
        <w:rPr>
          <w:sz w:val="22"/>
        </w:rPr>
        <w:t xml:space="preserve"> </w:t>
      </w:r>
      <w:r w:rsidRPr="00A72647">
        <w:rPr>
          <w:b/>
          <w:i/>
          <w:sz w:val="22"/>
        </w:rPr>
        <w:t>Acórdão nº 2</w:t>
      </w:r>
      <w:r w:rsidR="00092603" w:rsidRPr="00A72647">
        <w:rPr>
          <w:b/>
          <w:i/>
          <w:sz w:val="22"/>
        </w:rPr>
        <w:t>673</w:t>
      </w:r>
      <w:r w:rsidRPr="00A72647">
        <w:rPr>
          <w:b/>
          <w:i/>
          <w:sz w:val="22"/>
        </w:rPr>
        <w:t>/2010-Plenário, TC-0</w:t>
      </w:r>
      <w:r w:rsidR="00092603" w:rsidRPr="00A72647">
        <w:rPr>
          <w:b/>
          <w:i/>
          <w:sz w:val="22"/>
        </w:rPr>
        <w:t>16</w:t>
      </w:r>
      <w:r w:rsidRPr="00A72647">
        <w:rPr>
          <w:b/>
          <w:i/>
          <w:sz w:val="22"/>
        </w:rPr>
        <w:t>.</w:t>
      </w:r>
      <w:r w:rsidR="00092603" w:rsidRPr="00A72647">
        <w:rPr>
          <w:b/>
          <w:i/>
          <w:sz w:val="22"/>
        </w:rPr>
        <w:t>620</w:t>
      </w:r>
      <w:r w:rsidRPr="00A72647">
        <w:rPr>
          <w:b/>
          <w:i/>
          <w:sz w:val="22"/>
        </w:rPr>
        <w:t>/200</w:t>
      </w:r>
      <w:r w:rsidR="00092603" w:rsidRPr="00A72647">
        <w:rPr>
          <w:b/>
          <w:i/>
          <w:sz w:val="22"/>
        </w:rPr>
        <w:t>8</w:t>
      </w:r>
      <w:r w:rsidRPr="00A72647">
        <w:rPr>
          <w:b/>
          <w:i/>
          <w:sz w:val="22"/>
        </w:rPr>
        <w:t>-</w:t>
      </w:r>
      <w:r w:rsidR="00092603" w:rsidRPr="00A72647">
        <w:rPr>
          <w:b/>
          <w:i/>
          <w:sz w:val="22"/>
        </w:rPr>
        <w:t>2</w:t>
      </w:r>
      <w:r w:rsidRPr="00A72647">
        <w:rPr>
          <w:b/>
          <w:i/>
          <w:sz w:val="22"/>
        </w:rPr>
        <w:t xml:space="preserve">, rel. Min. </w:t>
      </w:r>
      <w:r w:rsidR="00092603" w:rsidRPr="00A72647">
        <w:rPr>
          <w:b/>
          <w:i/>
          <w:sz w:val="22"/>
        </w:rPr>
        <w:t>Raimundo Carreiro</w:t>
      </w:r>
      <w:r w:rsidRPr="00A72647">
        <w:rPr>
          <w:b/>
          <w:i/>
          <w:sz w:val="22"/>
        </w:rPr>
        <w:t xml:space="preserve">, </w:t>
      </w:r>
      <w:r w:rsidR="00092603" w:rsidRPr="00A72647">
        <w:rPr>
          <w:b/>
          <w:i/>
          <w:sz w:val="22"/>
        </w:rPr>
        <w:t>06</w:t>
      </w:r>
      <w:r w:rsidRPr="00A72647">
        <w:rPr>
          <w:b/>
          <w:i/>
          <w:sz w:val="22"/>
        </w:rPr>
        <w:t>.</w:t>
      </w:r>
      <w:r w:rsidR="00092603" w:rsidRPr="00A72647">
        <w:rPr>
          <w:b/>
          <w:i/>
          <w:sz w:val="22"/>
        </w:rPr>
        <w:t>1</w:t>
      </w:r>
      <w:r w:rsidRPr="00A72647">
        <w:rPr>
          <w:b/>
          <w:i/>
          <w:sz w:val="22"/>
        </w:rPr>
        <w:t>0.2010.</w:t>
      </w:r>
    </w:p>
    <w:p w:rsidR="00C33326" w:rsidRPr="00A72647" w:rsidRDefault="00C33326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092603" w:rsidRPr="00A72647" w:rsidRDefault="00777060" w:rsidP="00A72647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A72647">
        <w:rPr>
          <w:b/>
          <w:sz w:val="22"/>
          <w:szCs w:val="22"/>
        </w:rPr>
        <w:t>Pagamento</w:t>
      </w:r>
      <w:r w:rsidR="00C33326" w:rsidRPr="00A72647">
        <w:rPr>
          <w:b/>
          <w:sz w:val="22"/>
          <w:szCs w:val="22"/>
        </w:rPr>
        <w:t xml:space="preserve"> antecipado em contratações pública</w:t>
      </w:r>
      <w:r w:rsidRPr="00A72647">
        <w:rPr>
          <w:b/>
          <w:sz w:val="22"/>
          <w:szCs w:val="22"/>
        </w:rPr>
        <w:t>s</w:t>
      </w:r>
      <w:r w:rsidR="00C33326" w:rsidRPr="00A72647">
        <w:rPr>
          <w:b/>
          <w:sz w:val="22"/>
          <w:szCs w:val="22"/>
        </w:rPr>
        <w:t xml:space="preserve">: </w:t>
      </w:r>
      <w:r w:rsidR="004F0442">
        <w:rPr>
          <w:b/>
          <w:sz w:val="22"/>
          <w:szCs w:val="22"/>
        </w:rPr>
        <w:t>somente</w:t>
      </w:r>
      <w:r w:rsidR="00555E85" w:rsidRPr="00A72647">
        <w:rPr>
          <w:b/>
          <w:sz w:val="22"/>
          <w:szCs w:val="22"/>
        </w:rPr>
        <w:t xml:space="preserve"> no caso de expressa previsão no edital e no contrato</w:t>
      </w:r>
    </w:p>
    <w:p w:rsidR="00092603" w:rsidRPr="00A72647" w:rsidRDefault="00C33326" w:rsidP="004F0442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A72647">
        <w:rPr>
          <w:sz w:val="22"/>
          <w:szCs w:val="22"/>
          <w:lang w:eastAsia="pt-BR"/>
        </w:rPr>
        <w:t>Em sede de tomada de contas especial</w:t>
      </w:r>
      <w:r w:rsidR="00400CB9" w:rsidRPr="00A72647">
        <w:rPr>
          <w:sz w:val="22"/>
          <w:szCs w:val="22"/>
          <w:lang w:eastAsia="pt-BR"/>
        </w:rPr>
        <w:t>,</w:t>
      </w:r>
      <w:r w:rsidRPr="00A72647">
        <w:rPr>
          <w:sz w:val="22"/>
          <w:szCs w:val="22"/>
          <w:lang w:eastAsia="pt-BR"/>
        </w:rPr>
        <w:t xml:space="preserve"> instaurada pelo Ministério da Integração Nacional</w:t>
      </w:r>
      <w:r w:rsidR="00400CB9" w:rsidRPr="00A72647">
        <w:rPr>
          <w:sz w:val="22"/>
          <w:szCs w:val="22"/>
          <w:lang w:eastAsia="pt-BR"/>
        </w:rPr>
        <w:t>,</w:t>
      </w:r>
      <w:r w:rsidRPr="00A72647">
        <w:rPr>
          <w:sz w:val="22"/>
          <w:szCs w:val="22"/>
          <w:lang w:eastAsia="pt-BR"/>
        </w:rPr>
        <w:t xml:space="preserve"> foram apuradas potenciais irregularidades na execução do Convênio 778/1999, </w:t>
      </w:r>
      <w:r w:rsidR="00400CB9" w:rsidRPr="00A72647">
        <w:rPr>
          <w:sz w:val="22"/>
          <w:szCs w:val="22"/>
          <w:lang w:eastAsia="pt-BR"/>
        </w:rPr>
        <w:t>o qual</w:t>
      </w:r>
      <w:r w:rsidR="004F0442">
        <w:rPr>
          <w:sz w:val="22"/>
          <w:szCs w:val="22"/>
          <w:lang w:eastAsia="pt-BR"/>
        </w:rPr>
        <w:t xml:space="preserve"> transferiu ao M</w:t>
      </w:r>
      <w:r w:rsidRPr="00A72647">
        <w:rPr>
          <w:sz w:val="22"/>
          <w:szCs w:val="22"/>
          <w:lang w:eastAsia="pt-BR"/>
        </w:rPr>
        <w:t>unicípio de Bacabal, no Maranhão, recursos no valor de R$ 300.000,00, em 30/6/2000, com vistas à contenção de encostas por meio da construção de muro de arrimo à</w:t>
      </w:r>
      <w:r w:rsidR="00777060" w:rsidRPr="00A72647">
        <w:rPr>
          <w:sz w:val="22"/>
          <w:szCs w:val="22"/>
          <w:lang w:eastAsia="pt-BR"/>
        </w:rPr>
        <w:t xml:space="preserve">s margens do Rio Mearim. </w:t>
      </w:r>
      <w:r w:rsidR="00781E7E" w:rsidRPr="00A72647">
        <w:rPr>
          <w:sz w:val="22"/>
          <w:szCs w:val="22"/>
          <w:lang w:eastAsia="pt-BR"/>
        </w:rPr>
        <w:t>A esse respeito, o relator registrou que</w:t>
      </w:r>
      <w:r w:rsidR="004F0442">
        <w:rPr>
          <w:sz w:val="22"/>
          <w:szCs w:val="22"/>
          <w:lang w:eastAsia="pt-BR"/>
        </w:rPr>
        <w:t>,</w:t>
      </w:r>
      <w:r w:rsidR="00781E7E" w:rsidRPr="00A72647">
        <w:rPr>
          <w:sz w:val="22"/>
          <w:szCs w:val="22"/>
          <w:lang w:eastAsia="pt-BR"/>
        </w:rPr>
        <w:t xml:space="preserve"> “</w:t>
      </w:r>
      <w:r w:rsidR="00781E7E" w:rsidRPr="00A72647">
        <w:rPr>
          <w:i/>
          <w:sz w:val="22"/>
          <w:szCs w:val="22"/>
          <w:lang w:eastAsia="pt-BR"/>
        </w:rPr>
        <w:t>embora o órgão concedente tenha verificado que as obras somente se iniciaram em setembro de 2000, a prefeitura já havia efetuado o saque de R$ 90.000,00 (30% dos recursos) até agosto daquele exercício. Em 22/11/2000, observou-se que 72,44% dos recursos haviam sido sacados, enquanto que apenas 52% da obra haviam sido executados (75m/146m). Posteriormente, em fevereiro de 2001, constatou-se o saque de 100% dos recursos e, em junho de 2001, a consecução de 80% da meta programada (80m/146m</w:t>
      </w:r>
      <w:r w:rsidR="00781E7E" w:rsidRPr="00A72647">
        <w:rPr>
          <w:sz w:val="22"/>
          <w:szCs w:val="22"/>
          <w:lang w:eastAsia="pt-BR"/>
        </w:rPr>
        <w:t>)”, tudo levando à conclusão, portanto, de que, efetivamente, ocorrera pagamento antecipado.  No entender do relator, “</w:t>
      </w:r>
      <w:r w:rsidR="00781E7E" w:rsidRPr="00A72647">
        <w:rPr>
          <w:i/>
          <w:sz w:val="22"/>
          <w:szCs w:val="22"/>
          <w:lang w:eastAsia="pt-BR"/>
        </w:rPr>
        <w:t>de acordo com o art. 38 do Decreto 93.872/86, a efetivação de adiantamento somente pode ser admitida se estabelecidas as devidas garantias e se houver a respectiva previsão no contrato e no edital da licitação. Contudo, observa-se que não há, no contrato e no edital, previsão da possibilidade de adiantamento e de prestação da garantia correspondente</w:t>
      </w:r>
      <w:r w:rsidR="00781E7E" w:rsidRPr="00A72647">
        <w:rPr>
          <w:sz w:val="22"/>
          <w:szCs w:val="22"/>
          <w:lang w:eastAsia="pt-BR"/>
        </w:rPr>
        <w:t>”</w:t>
      </w:r>
      <w:r w:rsidR="004F0442">
        <w:rPr>
          <w:sz w:val="22"/>
          <w:szCs w:val="22"/>
          <w:lang w:eastAsia="pt-BR"/>
        </w:rPr>
        <w:t xml:space="preserve">. </w:t>
      </w:r>
      <w:r w:rsidR="00781E7E" w:rsidRPr="00A72647">
        <w:rPr>
          <w:sz w:val="22"/>
          <w:szCs w:val="22"/>
          <w:lang w:eastAsia="pt-BR"/>
        </w:rPr>
        <w:t xml:space="preserve">Por conseguinte, concluiu que houve infração ao disposto no art. 62 da Lei 4.320/64, ou seja, antecipação indevida dos pagamentos. Propôs, então, por essa e por outras </w:t>
      </w:r>
      <w:r w:rsidR="00555E85" w:rsidRPr="00A72647">
        <w:rPr>
          <w:sz w:val="22"/>
          <w:szCs w:val="22"/>
          <w:lang w:eastAsia="pt-BR"/>
        </w:rPr>
        <w:t>razões</w:t>
      </w:r>
      <w:r w:rsidR="00781E7E" w:rsidRPr="00A72647">
        <w:rPr>
          <w:sz w:val="22"/>
          <w:szCs w:val="22"/>
          <w:lang w:eastAsia="pt-BR"/>
        </w:rPr>
        <w:t xml:space="preserve">, o julgamento pela irregularidade das </w:t>
      </w:r>
      <w:r w:rsidR="00555E85" w:rsidRPr="00A72647">
        <w:rPr>
          <w:sz w:val="22"/>
          <w:szCs w:val="22"/>
          <w:lang w:eastAsia="pt-BR"/>
        </w:rPr>
        <w:t>contas d</w:t>
      </w:r>
      <w:r w:rsidR="004F0442">
        <w:rPr>
          <w:sz w:val="22"/>
          <w:szCs w:val="22"/>
          <w:lang w:eastAsia="pt-BR"/>
        </w:rPr>
        <w:t>os responsáveis, sem prejuízo da</w:t>
      </w:r>
      <w:r w:rsidR="00555E85" w:rsidRPr="00A72647">
        <w:rPr>
          <w:sz w:val="22"/>
          <w:szCs w:val="22"/>
          <w:lang w:eastAsia="pt-BR"/>
        </w:rPr>
        <w:t xml:space="preserve"> aplicação de multa. O Plenário acolheu a proposta formulada. </w:t>
      </w:r>
      <w:r w:rsidR="00092603" w:rsidRPr="00A72647">
        <w:rPr>
          <w:b/>
          <w:i/>
          <w:sz w:val="22"/>
          <w:szCs w:val="22"/>
        </w:rPr>
        <w:t>Acórdão nº 267</w:t>
      </w:r>
      <w:r w:rsidRPr="00A72647">
        <w:rPr>
          <w:b/>
          <w:i/>
          <w:sz w:val="22"/>
          <w:szCs w:val="22"/>
        </w:rPr>
        <w:t>9</w:t>
      </w:r>
      <w:r w:rsidR="00092603" w:rsidRPr="00A72647">
        <w:rPr>
          <w:b/>
          <w:i/>
          <w:sz w:val="22"/>
          <w:szCs w:val="22"/>
        </w:rPr>
        <w:t>/2010-Plenário, TC-0</w:t>
      </w:r>
      <w:r w:rsidRPr="00A72647">
        <w:rPr>
          <w:b/>
          <w:i/>
          <w:sz w:val="22"/>
          <w:szCs w:val="22"/>
        </w:rPr>
        <w:t>14</w:t>
      </w:r>
      <w:r w:rsidR="00092603" w:rsidRPr="00A72647">
        <w:rPr>
          <w:b/>
          <w:i/>
          <w:sz w:val="22"/>
          <w:szCs w:val="22"/>
        </w:rPr>
        <w:t>.</w:t>
      </w:r>
      <w:r w:rsidRPr="00A72647">
        <w:rPr>
          <w:b/>
          <w:i/>
          <w:sz w:val="22"/>
          <w:szCs w:val="22"/>
        </w:rPr>
        <w:t>091</w:t>
      </w:r>
      <w:r w:rsidR="00092603" w:rsidRPr="00A72647">
        <w:rPr>
          <w:b/>
          <w:i/>
          <w:sz w:val="22"/>
          <w:szCs w:val="22"/>
        </w:rPr>
        <w:t>/200</w:t>
      </w:r>
      <w:r w:rsidRPr="00A72647">
        <w:rPr>
          <w:b/>
          <w:i/>
          <w:sz w:val="22"/>
          <w:szCs w:val="22"/>
        </w:rPr>
        <w:t>5</w:t>
      </w:r>
      <w:r w:rsidR="00092603" w:rsidRPr="00A72647">
        <w:rPr>
          <w:b/>
          <w:i/>
          <w:sz w:val="22"/>
          <w:szCs w:val="22"/>
        </w:rPr>
        <w:t>-</w:t>
      </w:r>
      <w:r w:rsidRPr="00A72647">
        <w:rPr>
          <w:b/>
          <w:i/>
          <w:sz w:val="22"/>
          <w:szCs w:val="22"/>
        </w:rPr>
        <w:t>8</w:t>
      </w:r>
      <w:r w:rsidR="00092603" w:rsidRPr="00A72647">
        <w:rPr>
          <w:b/>
          <w:i/>
          <w:sz w:val="22"/>
          <w:szCs w:val="22"/>
        </w:rPr>
        <w:t xml:space="preserve">, </w:t>
      </w:r>
      <w:r w:rsidRPr="00A72647">
        <w:rPr>
          <w:b/>
          <w:i/>
          <w:sz w:val="22"/>
          <w:szCs w:val="22"/>
        </w:rPr>
        <w:t xml:space="preserve">rel. Min-Subst. </w:t>
      </w:r>
      <w:r w:rsidR="00555E85" w:rsidRPr="00A72647">
        <w:rPr>
          <w:b/>
          <w:i/>
          <w:sz w:val="22"/>
          <w:szCs w:val="22"/>
        </w:rPr>
        <w:t>Augusto Sherman Cavalcanti</w:t>
      </w:r>
      <w:r w:rsidR="00092603" w:rsidRPr="00A72647">
        <w:rPr>
          <w:b/>
          <w:i/>
          <w:sz w:val="22"/>
          <w:szCs w:val="22"/>
        </w:rPr>
        <w:t>, 06.10.2010.</w:t>
      </w:r>
    </w:p>
    <w:p w:rsidR="00904FAE" w:rsidRPr="00D37941" w:rsidRDefault="00904FAE" w:rsidP="004F0442">
      <w:pPr>
        <w:pStyle w:val="enter-3pt"/>
        <w:spacing w:line="240" w:lineRule="auto"/>
        <w:rPr>
          <w:color w:val="FF0000"/>
          <w:sz w:val="22"/>
          <w:szCs w:val="22"/>
        </w:rPr>
      </w:pPr>
    </w:p>
    <w:p w:rsidR="00904FAE" w:rsidRPr="00777060" w:rsidRDefault="00904FAE" w:rsidP="00904FAE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777060">
        <w:rPr>
          <w:rFonts w:ascii="Cambria" w:hAnsi="Cambria"/>
          <w:b/>
          <w:bCs/>
          <w:smallCaps/>
          <w:sz w:val="22"/>
          <w:szCs w:val="22"/>
        </w:rPr>
        <w:t>PRIMEIRA CÂMARA</w:t>
      </w:r>
    </w:p>
    <w:p w:rsidR="003830E4" w:rsidRDefault="003830E4" w:rsidP="00A72647">
      <w:pPr>
        <w:pStyle w:val="Pargrafo"/>
        <w:jc w:val="both"/>
        <w:rPr>
          <w:b/>
          <w:color w:val="FF0000"/>
          <w:sz w:val="22"/>
          <w:szCs w:val="22"/>
        </w:rPr>
      </w:pPr>
    </w:p>
    <w:p w:rsidR="00904FAE" w:rsidRPr="003830E4" w:rsidRDefault="007E4B30" w:rsidP="00A72647">
      <w:pPr>
        <w:pStyle w:val="Pargrafo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</w:t>
      </w:r>
      <w:r w:rsidR="00493C33">
        <w:rPr>
          <w:b/>
          <w:sz w:val="22"/>
          <w:szCs w:val="22"/>
        </w:rPr>
        <w:t>arcelamento do objeto</w:t>
      </w:r>
      <w:r>
        <w:rPr>
          <w:b/>
          <w:sz w:val="22"/>
          <w:szCs w:val="22"/>
        </w:rPr>
        <w:t xml:space="preserve">: vários processos licitatórios </w:t>
      </w:r>
      <w:r w:rsidRPr="007E4B30">
        <w:rPr>
          <w:b/>
          <w:i/>
          <w:sz w:val="22"/>
          <w:szCs w:val="22"/>
        </w:rPr>
        <w:t>versus</w:t>
      </w:r>
      <w:r>
        <w:rPr>
          <w:b/>
          <w:sz w:val="22"/>
          <w:szCs w:val="22"/>
        </w:rPr>
        <w:t xml:space="preserve"> um processo com vários lotes</w:t>
      </w:r>
    </w:p>
    <w:p w:rsidR="00904FAE" w:rsidRDefault="00904FAE" w:rsidP="00A72647">
      <w:pPr>
        <w:tabs>
          <w:tab w:val="left" w:pos="1134"/>
          <w:tab w:val="left" w:pos="1560"/>
        </w:tabs>
        <w:spacing w:after="0"/>
        <w:ind w:left="0"/>
        <w:rPr>
          <w:sz w:val="22"/>
          <w:szCs w:val="22"/>
        </w:rPr>
      </w:pPr>
      <w:r w:rsidRPr="003830E4">
        <w:rPr>
          <w:sz w:val="22"/>
          <w:szCs w:val="22"/>
        </w:rPr>
        <w:t xml:space="preserve">Representação formulada por unidade técnica do Tribunal informou a </w:t>
      </w:r>
      <w:r w:rsidR="0031698A" w:rsidRPr="003830E4">
        <w:rPr>
          <w:snapToGrid w:val="0"/>
          <w:sz w:val="22"/>
          <w:szCs w:val="22"/>
        </w:rPr>
        <w:t>necessidade de se apurar “</w:t>
      </w:r>
      <w:r w:rsidR="0031698A" w:rsidRPr="003830E4">
        <w:rPr>
          <w:i/>
          <w:snapToGrid w:val="0"/>
          <w:sz w:val="22"/>
          <w:szCs w:val="22"/>
        </w:rPr>
        <w:t>possível prática de sobrepreço na contratação de serviços terceirizados pelos órgãos federais de Roraima</w:t>
      </w:r>
      <w:r w:rsidR="0031698A" w:rsidRPr="003830E4">
        <w:rPr>
          <w:snapToGrid w:val="0"/>
          <w:sz w:val="22"/>
          <w:szCs w:val="22"/>
        </w:rPr>
        <w:t>”</w:t>
      </w:r>
      <w:r w:rsidR="0031698A" w:rsidRPr="003830E4">
        <w:rPr>
          <w:sz w:val="22"/>
          <w:szCs w:val="22"/>
        </w:rPr>
        <w:t>.</w:t>
      </w:r>
      <w:r w:rsidR="00777060">
        <w:rPr>
          <w:sz w:val="22"/>
          <w:szCs w:val="22"/>
        </w:rPr>
        <w:t xml:space="preserve"> Nesse quadro, foi determinada</w:t>
      </w:r>
      <w:r w:rsidR="0031698A" w:rsidRPr="003830E4">
        <w:rPr>
          <w:sz w:val="22"/>
          <w:szCs w:val="22"/>
        </w:rPr>
        <w:t xml:space="preserve"> pelo relator a realização de inspeção na </w:t>
      </w:r>
      <w:r w:rsidR="0031698A" w:rsidRPr="004F0442">
        <w:rPr>
          <w:sz w:val="22"/>
          <w:szCs w:val="22"/>
        </w:rPr>
        <w:t xml:space="preserve">Seção Judiciária do Estado de Roraima – TRF da 1ª Região, para averiguação de legalidade, economicidade e efetividade da aplicação de recursos federais na contratação de serviços de terceirização de mão de obra, exceto aqueles relativos à prestação de serviços de vigilância e segurança armada/desarmada. </w:t>
      </w:r>
      <w:r w:rsidR="0031698A" w:rsidRPr="003830E4">
        <w:rPr>
          <w:sz w:val="22"/>
          <w:szCs w:val="22"/>
        </w:rPr>
        <w:t xml:space="preserve">A </w:t>
      </w:r>
      <w:r w:rsidR="004F0442">
        <w:rPr>
          <w:sz w:val="22"/>
          <w:szCs w:val="22"/>
        </w:rPr>
        <w:t>equipe</w:t>
      </w:r>
      <w:r w:rsidR="00777060">
        <w:rPr>
          <w:sz w:val="22"/>
          <w:szCs w:val="22"/>
        </w:rPr>
        <w:t xml:space="preserve"> técnica</w:t>
      </w:r>
      <w:r w:rsidR="0031698A" w:rsidRPr="003830E4">
        <w:rPr>
          <w:sz w:val="22"/>
          <w:szCs w:val="22"/>
        </w:rPr>
        <w:t xml:space="preserve"> verificou, então, que o órgão possuía apenas um contrato de terceirização, que “</w:t>
      </w:r>
      <w:r w:rsidR="0031698A" w:rsidRPr="003830E4">
        <w:rPr>
          <w:i/>
          <w:sz w:val="22"/>
          <w:szCs w:val="22"/>
        </w:rPr>
        <w:t>o atendia em relação aos serviços de limpeza, conservação, manutenção de instalações físicas, jardinagem, copeiragem, recepção de portaria e gabinetes, atendimento de consultório e operação de fotocopiadoras</w:t>
      </w:r>
      <w:r w:rsidR="0031698A" w:rsidRPr="003830E4">
        <w:rPr>
          <w:sz w:val="22"/>
          <w:szCs w:val="22"/>
        </w:rPr>
        <w:t>”.</w:t>
      </w:r>
      <w:r w:rsidR="00777060">
        <w:rPr>
          <w:sz w:val="22"/>
          <w:szCs w:val="22"/>
        </w:rPr>
        <w:t xml:space="preserve"> Constatou, também,</w:t>
      </w:r>
      <w:r w:rsidR="003830E4">
        <w:rPr>
          <w:sz w:val="22"/>
          <w:szCs w:val="22"/>
        </w:rPr>
        <w:t xml:space="preserve"> </w:t>
      </w:r>
      <w:r w:rsidR="0031698A" w:rsidRPr="003830E4">
        <w:rPr>
          <w:sz w:val="22"/>
          <w:szCs w:val="22"/>
        </w:rPr>
        <w:t>que o “</w:t>
      </w:r>
      <w:r w:rsidR="0031698A" w:rsidRPr="003830E4">
        <w:rPr>
          <w:i/>
          <w:sz w:val="22"/>
          <w:szCs w:val="22"/>
        </w:rPr>
        <w:t>órgão realizou uma contratação conjunta de serviços divisíveis técnica e economicamente, em desacordo com o disposto no art. 23, §§ 1º e 2º, da Lei nº 8.666/1993</w:t>
      </w:r>
      <w:r w:rsidR="0031698A" w:rsidRPr="003830E4">
        <w:rPr>
          <w:sz w:val="22"/>
          <w:szCs w:val="22"/>
        </w:rPr>
        <w:t>”, além de outras potenciais irregularidades. Apresentadas justificativas por responsável ouvido em audiência, a unidade técnica considerou que</w:t>
      </w:r>
      <w:r w:rsidR="003830E4">
        <w:rPr>
          <w:sz w:val="22"/>
          <w:szCs w:val="22"/>
        </w:rPr>
        <w:t xml:space="preserve"> “</w:t>
      </w:r>
      <w:r w:rsidR="003830E4" w:rsidRPr="003830E4">
        <w:rPr>
          <w:i/>
          <w:sz w:val="22"/>
        </w:rPr>
        <w:t>a separação de licitações ou adjudicação por itens de serviços de natureza distinta é uma imposição da Lei de n 8.666, de 1993, com jurisprudência uniforme do TCU</w:t>
      </w:r>
      <w:r w:rsidR="004F0442">
        <w:rPr>
          <w:i/>
          <w:sz w:val="22"/>
        </w:rPr>
        <w:t>,</w:t>
      </w:r>
      <w:r w:rsidR="003830E4" w:rsidRPr="003830E4">
        <w:rPr>
          <w:i/>
          <w:sz w:val="22"/>
        </w:rPr>
        <w:t xml:space="preserve"> e deve ser seguida por todos os agentes públicos, independente da esfera de poder</w:t>
      </w:r>
      <w:r w:rsidR="003830E4">
        <w:rPr>
          <w:sz w:val="22"/>
        </w:rPr>
        <w:t>”.</w:t>
      </w:r>
      <w:r w:rsidR="0031698A" w:rsidRPr="003830E4">
        <w:rPr>
          <w:sz w:val="22"/>
          <w:szCs w:val="22"/>
        </w:rPr>
        <w:t xml:space="preserve">  </w:t>
      </w:r>
      <w:r w:rsidR="003830E4">
        <w:rPr>
          <w:sz w:val="22"/>
          <w:szCs w:val="22"/>
        </w:rPr>
        <w:t>Na espécie, ainda para a unidade técnica, mesmo que não tenha havido restrições à competitividade, a junção de vários serviços distintos em uma só contratação inviabilizaria “</w:t>
      </w:r>
      <w:r w:rsidR="003830E4" w:rsidRPr="003830E4">
        <w:rPr>
          <w:i/>
          <w:sz w:val="22"/>
        </w:rPr>
        <w:t>a participação de empresas menores que porventura não tenham capacidade para atender a demanda total, mas apenas algumas parcelas</w:t>
      </w:r>
      <w:r w:rsidR="003830E4">
        <w:rPr>
          <w:sz w:val="22"/>
        </w:rPr>
        <w:t>”</w:t>
      </w:r>
      <w:r w:rsidR="003830E4" w:rsidRPr="00BA7C90">
        <w:rPr>
          <w:sz w:val="22"/>
        </w:rPr>
        <w:t>.</w:t>
      </w:r>
      <w:r w:rsidR="003830E4">
        <w:rPr>
          <w:sz w:val="22"/>
        </w:rPr>
        <w:t xml:space="preserve"> </w:t>
      </w:r>
      <w:r w:rsidR="00BD5978">
        <w:rPr>
          <w:sz w:val="22"/>
        </w:rPr>
        <w:t>Quanto à procedimentalização da licitação, a unidade técnica realçou que o cumprimento da legislação de referência “</w:t>
      </w:r>
      <w:r w:rsidR="00BD5978" w:rsidRPr="00BD5978">
        <w:rPr>
          <w:i/>
          <w:sz w:val="22"/>
        </w:rPr>
        <w:t>não requer necessariamente a realização de vários certames licitatórios, como supõe o gestor</w:t>
      </w:r>
      <w:r w:rsidR="00BD5978">
        <w:rPr>
          <w:sz w:val="22"/>
        </w:rPr>
        <w:t>”, pois seria</w:t>
      </w:r>
      <w:r w:rsidR="00BD5978" w:rsidRPr="00BD5978">
        <w:rPr>
          <w:sz w:val="22"/>
        </w:rPr>
        <w:t xml:space="preserve"> perfeitamente possível </w:t>
      </w:r>
      <w:r w:rsidR="00BD5978">
        <w:rPr>
          <w:sz w:val="22"/>
        </w:rPr>
        <w:t>“</w:t>
      </w:r>
      <w:r w:rsidR="00BD5978" w:rsidRPr="00BD5978">
        <w:rPr>
          <w:i/>
          <w:sz w:val="22"/>
        </w:rPr>
        <w:t>realizar apenas uma licitação, bastando que os serviços divisíveis, sob o prisma técnico e econômico, sejam separados por lotes, medida que possibilita a adjudicação de serviços específicos para empresas diferentes, sempre em busca da proposta mais vantajosa para a Administração. A despeito de não ser possível afirmar que houve restrição da competitividade nos moldes adotados pelo TRF/RR, dada a participação de 8 (oito) empresas no certame, é forçoso concluir que a divisão por lotes atende de forma muito mais ampla o princípio da competitividade</w:t>
      </w:r>
      <w:r w:rsidR="00BD5978">
        <w:rPr>
          <w:sz w:val="22"/>
        </w:rPr>
        <w:t>”</w:t>
      </w:r>
      <w:r w:rsidR="00BD5978" w:rsidRPr="00BA7C90">
        <w:rPr>
          <w:sz w:val="22"/>
        </w:rPr>
        <w:t xml:space="preserve">. </w:t>
      </w:r>
      <w:r w:rsidR="004F0442">
        <w:rPr>
          <w:sz w:val="22"/>
        </w:rPr>
        <w:t>Acolhendo a manifestação da unidade técnica, o relator votou pela expedição</w:t>
      </w:r>
      <w:r w:rsidR="00BD5978">
        <w:rPr>
          <w:sz w:val="22"/>
        </w:rPr>
        <w:t xml:space="preserve"> de alerta a</w:t>
      </w:r>
      <w:r w:rsidR="00BD5978" w:rsidRPr="00BD5978">
        <w:rPr>
          <w:sz w:val="22"/>
        </w:rPr>
        <w:t xml:space="preserve">o </w:t>
      </w:r>
      <w:r w:rsidR="00BD5978" w:rsidRPr="00BD5978">
        <w:rPr>
          <w:sz w:val="22"/>
          <w:szCs w:val="22"/>
        </w:rPr>
        <w:t>TRF da 1ª Região</w:t>
      </w:r>
      <w:r w:rsidR="00BD5978" w:rsidRPr="00BD5978">
        <w:rPr>
          <w:sz w:val="22"/>
        </w:rPr>
        <w:t xml:space="preserve"> - </w:t>
      </w:r>
      <w:r w:rsidR="00BD5978" w:rsidRPr="00BD5978">
        <w:rPr>
          <w:sz w:val="22"/>
          <w:szCs w:val="22"/>
        </w:rPr>
        <w:t>Seção Judiciária do Estado de Roraima, de modo a evitar ocorrência semelhante em licitações futuras</w:t>
      </w:r>
      <w:r w:rsidR="004F0442">
        <w:rPr>
          <w:sz w:val="22"/>
          <w:szCs w:val="22"/>
        </w:rPr>
        <w:t>, no que foi acompanhado pelos demais Ministros</w:t>
      </w:r>
      <w:r w:rsidR="00BD5978">
        <w:rPr>
          <w:sz w:val="22"/>
          <w:szCs w:val="22"/>
        </w:rPr>
        <w:t xml:space="preserve">. </w:t>
      </w:r>
      <w:r w:rsidRPr="003830E4">
        <w:rPr>
          <w:b/>
          <w:i/>
          <w:sz w:val="22"/>
          <w:szCs w:val="22"/>
        </w:rPr>
        <w:t>Acórdão n.º 6594/2009-1ª Câmara, TC-022.785/2010-8, rel. Min. Valmir Campelo, 05.10.2010</w:t>
      </w:r>
      <w:r w:rsidRPr="009627E5">
        <w:rPr>
          <w:sz w:val="22"/>
          <w:szCs w:val="22"/>
        </w:rPr>
        <w:t>.</w:t>
      </w:r>
    </w:p>
    <w:p w:rsidR="00904FAE" w:rsidRPr="00D37941" w:rsidRDefault="00904FAE" w:rsidP="00904FAE">
      <w:pPr>
        <w:pStyle w:val="enter-3pt"/>
        <w:spacing w:line="240" w:lineRule="auto"/>
        <w:rPr>
          <w:color w:val="FF0000"/>
          <w:sz w:val="22"/>
          <w:szCs w:val="22"/>
        </w:rPr>
      </w:pPr>
    </w:p>
    <w:p w:rsidR="008A2417" w:rsidRPr="00493C33" w:rsidRDefault="008A2417" w:rsidP="008A2417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493C33">
        <w:rPr>
          <w:rFonts w:ascii="Cambria" w:hAnsi="Cambria"/>
          <w:b/>
          <w:bCs/>
          <w:smallCaps/>
          <w:sz w:val="22"/>
          <w:szCs w:val="22"/>
        </w:rPr>
        <w:t>SEGUNDA CÂMARA</w:t>
      </w:r>
    </w:p>
    <w:p w:rsidR="008A2417" w:rsidRPr="009627E5" w:rsidRDefault="008A2417" w:rsidP="00A72647">
      <w:pPr>
        <w:pStyle w:val="Pargrafo"/>
        <w:jc w:val="both"/>
        <w:rPr>
          <w:b/>
          <w:color w:val="FF0000"/>
          <w:sz w:val="22"/>
          <w:szCs w:val="22"/>
        </w:rPr>
      </w:pPr>
    </w:p>
    <w:p w:rsidR="00817630" w:rsidRPr="009627E5" w:rsidRDefault="006C02AA" w:rsidP="00A72647">
      <w:pPr>
        <w:pStyle w:val="Pargrafo"/>
        <w:jc w:val="both"/>
        <w:rPr>
          <w:b/>
          <w:color w:val="FF0000"/>
          <w:sz w:val="22"/>
          <w:szCs w:val="22"/>
        </w:rPr>
      </w:pPr>
      <w:r w:rsidRPr="009627E5">
        <w:rPr>
          <w:b/>
          <w:sz w:val="22"/>
          <w:szCs w:val="22"/>
        </w:rPr>
        <w:t xml:space="preserve">Contratação de </w:t>
      </w:r>
      <w:r w:rsidR="00817630" w:rsidRPr="009627E5">
        <w:rPr>
          <w:b/>
          <w:sz w:val="22"/>
          <w:szCs w:val="22"/>
        </w:rPr>
        <w:t>serviços de drenagem e pavimentação de vias urbanas</w:t>
      </w:r>
      <w:r w:rsidRPr="009627E5">
        <w:rPr>
          <w:b/>
          <w:sz w:val="22"/>
          <w:szCs w:val="22"/>
        </w:rPr>
        <w:t xml:space="preserve">: </w:t>
      </w:r>
      <w:r w:rsidR="00817630" w:rsidRPr="009627E5">
        <w:rPr>
          <w:b/>
          <w:sz w:val="22"/>
          <w:szCs w:val="22"/>
        </w:rPr>
        <w:t xml:space="preserve">1 – </w:t>
      </w:r>
      <w:r w:rsidR="00493C33">
        <w:rPr>
          <w:b/>
          <w:sz w:val="22"/>
          <w:szCs w:val="22"/>
        </w:rPr>
        <w:t>I</w:t>
      </w:r>
      <w:r w:rsidR="004F0442">
        <w:rPr>
          <w:b/>
          <w:sz w:val="22"/>
          <w:szCs w:val="22"/>
        </w:rPr>
        <w:t>mpossibi</w:t>
      </w:r>
      <w:r w:rsidR="00493C33">
        <w:rPr>
          <w:b/>
          <w:sz w:val="22"/>
          <w:szCs w:val="22"/>
        </w:rPr>
        <w:t>lidade d</w:t>
      </w:r>
      <w:r w:rsidR="004F0442">
        <w:rPr>
          <w:b/>
          <w:sz w:val="22"/>
          <w:szCs w:val="22"/>
        </w:rPr>
        <w:t>e</w:t>
      </w:r>
      <w:r w:rsidR="00493C33">
        <w:rPr>
          <w:b/>
          <w:sz w:val="22"/>
          <w:szCs w:val="22"/>
        </w:rPr>
        <w:t xml:space="preserve"> e</w:t>
      </w:r>
      <w:r w:rsidR="00817630" w:rsidRPr="009627E5">
        <w:rPr>
          <w:b/>
          <w:sz w:val="22"/>
          <w:szCs w:val="22"/>
        </w:rPr>
        <w:t>xig</w:t>
      </w:r>
      <w:r w:rsidR="004F0442">
        <w:rPr>
          <w:b/>
          <w:sz w:val="22"/>
          <w:szCs w:val="22"/>
        </w:rPr>
        <w:t>ir</w:t>
      </w:r>
      <w:r w:rsidR="00817630" w:rsidRPr="009627E5">
        <w:rPr>
          <w:b/>
          <w:sz w:val="22"/>
          <w:szCs w:val="22"/>
        </w:rPr>
        <w:t xml:space="preserve"> declaração formal da licitante de que dispõe de usina de asfalto, para </w:t>
      </w:r>
      <w:r w:rsidR="004F0442">
        <w:rPr>
          <w:b/>
          <w:sz w:val="22"/>
          <w:szCs w:val="22"/>
        </w:rPr>
        <w:t>fim</w:t>
      </w:r>
      <w:r w:rsidR="00817630" w:rsidRPr="009627E5">
        <w:rPr>
          <w:b/>
          <w:sz w:val="22"/>
          <w:szCs w:val="22"/>
        </w:rPr>
        <w:t xml:space="preserve"> de qualificação técnica</w:t>
      </w:r>
      <w:r w:rsidR="00817630" w:rsidRPr="009627E5">
        <w:rPr>
          <w:b/>
          <w:color w:val="FF0000"/>
          <w:sz w:val="22"/>
          <w:szCs w:val="22"/>
        </w:rPr>
        <w:t xml:space="preserve"> </w:t>
      </w:r>
    </w:p>
    <w:p w:rsidR="008A2417" w:rsidRPr="009627E5" w:rsidRDefault="004F0442" w:rsidP="00A72647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>Em</w:t>
      </w:r>
      <w:r w:rsidR="006C02AA" w:rsidRPr="009627E5">
        <w:rPr>
          <w:sz w:val="22"/>
          <w:szCs w:val="22"/>
        </w:rPr>
        <w:t xml:space="preserve"> representação formulada </w:t>
      </w:r>
      <w:r w:rsidR="006B1CCD" w:rsidRPr="009627E5">
        <w:rPr>
          <w:sz w:val="22"/>
          <w:szCs w:val="22"/>
        </w:rPr>
        <w:t>ao TCU</w:t>
      </w:r>
      <w:r w:rsidR="000D1B26" w:rsidRPr="009627E5">
        <w:rPr>
          <w:sz w:val="22"/>
          <w:szCs w:val="22"/>
        </w:rPr>
        <w:t>,</w:t>
      </w:r>
      <w:r w:rsidR="006B1CCD" w:rsidRPr="009627E5">
        <w:rPr>
          <w:sz w:val="22"/>
          <w:szCs w:val="22"/>
        </w:rPr>
        <w:t xml:space="preserve"> foram apontadas </w:t>
      </w:r>
      <w:r w:rsidR="006C02AA" w:rsidRPr="009627E5">
        <w:rPr>
          <w:sz w:val="22"/>
          <w:szCs w:val="22"/>
        </w:rPr>
        <w:t xml:space="preserve">possíveis irregularidades </w:t>
      </w:r>
      <w:r w:rsidR="00817630" w:rsidRPr="009627E5">
        <w:rPr>
          <w:sz w:val="22"/>
          <w:szCs w:val="22"/>
        </w:rPr>
        <w:t xml:space="preserve">na </w:t>
      </w:r>
      <w:r>
        <w:rPr>
          <w:sz w:val="22"/>
          <w:szCs w:val="22"/>
        </w:rPr>
        <w:t>T</w:t>
      </w:r>
      <w:r w:rsidR="006C02AA" w:rsidRPr="009627E5">
        <w:rPr>
          <w:sz w:val="22"/>
          <w:szCs w:val="22"/>
        </w:rPr>
        <w:t xml:space="preserve">omada de </w:t>
      </w:r>
      <w:r>
        <w:rPr>
          <w:sz w:val="22"/>
          <w:szCs w:val="22"/>
        </w:rPr>
        <w:t xml:space="preserve">Preços nº </w:t>
      </w:r>
      <w:r w:rsidR="006C02AA" w:rsidRPr="009627E5">
        <w:rPr>
          <w:sz w:val="22"/>
          <w:szCs w:val="22"/>
        </w:rPr>
        <w:t xml:space="preserve">25/2010, realizada pela Prefeitura Municipal de Cariacica/ES, </w:t>
      </w:r>
      <w:r w:rsidR="00677808">
        <w:rPr>
          <w:sz w:val="22"/>
          <w:szCs w:val="22"/>
        </w:rPr>
        <w:t>destinada à</w:t>
      </w:r>
      <w:r w:rsidR="006C02AA" w:rsidRPr="009627E5">
        <w:rPr>
          <w:sz w:val="22"/>
          <w:szCs w:val="22"/>
        </w:rPr>
        <w:t xml:space="preserve"> contratação de empresa para execução de serviços de drenagem e pavimentação de vias urbanas, financiad</w:t>
      </w:r>
      <w:r w:rsidR="00677808">
        <w:rPr>
          <w:sz w:val="22"/>
          <w:szCs w:val="22"/>
        </w:rPr>
        <w:t>a</w:t>
      </w:r>
      <w:r w:rsidR="006C02AA" w:rsidRPr="009627E5">
        <w:rPr>
          <w:sz w:val="22"/>
          <w:szCs w:val="22"/>
        </w:rPr>
        <w:t>, em parte, com recursos oriundos d</w:t>
      </w:r>
      <w:r w:rsidR="006B1CCD" w:rsidRPr="009627E5">
        <w:rPr>
          <w:sz w:val="22"/>
          <w:szCs w:val="22"/>
        </w:rPr>
        <w:t>e</w:t>
      </w:r>
      <w:r w:rsidR="006C02AA" w:rsidRPr="009627E5">
        <w:rPr>
          <w:sz w:val="22"/>
          <w:szCs w:val="22"/>
        </w:rPr>
        <w:t xml:space="preserve"> </w:t>
      </w:r>
      <w:r w:rsidR="006B1CCD" w:rsidRPr="009627E5">
        <w:rPr>
          <w:sz w:val="22"/>
          <w:szCs w:val="22"/>
        </w:rPr>
        <w:t>c</w:t>
      </w:r>
      <w:r w:rsidR="006C02AA" w:rsidRPr="009627E5">
        <w:rPr>
          <w:sz w:val="22"/>
          <w:szCs w:val="22"/>
        </w:rPr>
        <w:t xml:space="preserve">ontratos de </w:t>
      </w:r>
      <w:r w:rsidR="006B1CCD" w:rsidRPr="009627E5">
        <w:rPr>
          <w:sz w:val="22"/>
          <w:szCs w:val="22"/>
        </w:rPr>
        <w:t>r</w:t>
      </w:r>
      <w:r w:rsidR="006C02AA" w:rsidRPr="009627E5">
        <w:rPr>
          <w:sz w:val="22"/>
          <w:szCs w:val="22"/>
        </w:rPr>
        <w:t>epasse cele</w:t>
      </w:r>
      <w:r w:rsidR="00677808">
        <w:rPr>
          <w:sz w:val="22"/>
          <w:szCs w:val="22"/>
        </w:rPr>
        <w:t>b</w:t>
      </w:r>
      <w:r w:rsidR="006C02AA" w:rsidRPr="009627E5">
        <w:rPr>
          <w:sz w:val="22"/>
          <w:szCs w:val="22"/>
        </w:rPr>
        <w:t>rados com o Ministério das Cidades.</w:t>
      </w:r>
      <w:r w:rsidR="006B1CCD" w:rsidRPr="009627E5">
        <w:rPr>
          <w:sz w:val="22"/>
          <w:szCs w:val="22"/>
        </w:rPr>
        <w:t xml:space="preserve"> Dentre tais irregularidades, constou a “</w:t>
      </w:r>
      <w:r w:rsidR="006B1CCD" w:rsidRPr="009627E5">
        <w:rPr>
          <w:i/>
          <w:sz w:val="22"/>
          <w:szCs w:val="22"/>
        </w:rPr>
        <w:t>exigência, como requisito de qualificação técnica, de declaração formal de que dispõe de usina de asfalto com capacidade de produção igual ou superior a 60 ton</w:t>
      </w:r>
      <w:r w:rsidR="005A3BD9" w:rsidRPr="009627E5">
        <w:rPr>
          <w:i/>
          <w:sz w:val="22"/>
          <w:szCs w:val="22"/>
        </w:rPr>
        <w:t>eladas</w:t>
      </w:r>
      <w:r w:rsidR="006B1CCD" w:rsidRPr="009627E5">
        <w:rPr>
          <w:i/>
          <w:sz w:val="22"/>
          <w:szCs w:val="22"/>
        </w:rPr>
        <w:t>/h</w:t>
      </w:r>
      <w:r w:rsidR="005A3BD9" w:rsidRPr="009627E5">
        <w:rPr>
          <w:i/>
          <w:sz w:val="22"/>
          <w:szCs w:val="22"/>
        </w:rPr>
        <w:t>ora</w:t>
      </w:r>
      <w:r w:rsidR="006B1CCD" w:rsidRPr="009627E5">
        <w:rPr>
          <w:i/>
          <w:sz w:val="22"/>
          <w:szCs w:val="22"/>
        </w:rPr>
        <w:t>, com licença de operação emitida pelo órgão ambiental competente, em vigor na data de entrega das propostas, a qual deverá estar localizada num raio máximo de 60 km de distância da sede do Município</w:t>
      </w:r>
      <w:r w:rsidR="006B1CCD" w:rsidRPr="009627E5">
        <w:rPr>
          <w:sz w:val="22"/>
          <w:szCs w:val="22"/>
        </w:rPr>
        <w:t xml:space="preserve">”, </w:t>
      </w:r>
      <w:r w:rsidR="00677808">
        <w:rPr>
          <w:sz w:val="22"/>
          <w:szCs w:val="22"/>
        </w:rPr>
        <w:t xml:space="preserve">a </w:t>
      </w:r>
      <w:r w:rsidR="006B1CCD" w:rsidRPr="009627E5">
        <w:rPr>
          <w:sz w:val="22"/>
          <w:szCs w:val="22"/>
        </w:rPr>
        <w:t>qu</w:t>
      </w:r>
      <w:r w:rsidR="00677808">
        <w:rPr>
          <w:sz w:val="22"/>
          <w:szCs w:val="22"/>
        </w:rPr>
        <w:t>al</w:t>
      </w:r>
      <w:r w:rsidR="006B1CCD" w:rsidRPr="009627E5">
        <w:rPr>
          <w:sz w:val="22"/>
          <w:szCs w:val="22"/>
        </w:rPr>
        <w:t xml:space="preserve"> motivou a audiência dos responsáveis. Examinadas as justificativas apresentadas, a unidade instrutiva, citando vários precedentes do TCU</w:t>
      </w:r>
      <w:r w:rsidR="00493C33">
        <w:rPr>
          <w:sz w:val="22"/>
          <w:szCs w:val="22"/>
        </w:rPr>
        <w:t>, concluiu ser in</w:t>
      </w:r>
      <w:r w:rsidR="00677808">
        <w:rPr>
          <w:sz w:val="22"/>
          <w:szCs w:val="22"/>
        </w:rPr>
        <w:t>devida</w:t>
      </w:r>
      <w:r w:rsidR="006B1CCD" w:rsidRPr="009627E5">
        <w:rPr>
          <w:sz w:val="22"/>
          <w:szCs w:val="22"/>
        </w:rPr>
        <w:t xml:space="preserve"> a exigência</w:t>
      </w:r>
      <w:r w:rsidR="00677808">
        <w:rPr>
          <w:sz w:val="22"/>
          <w:szCs w:val="22"/>
        </w:rPr>
        <w:t xml:space="preserve">. </w:t>
      </w:r>
      <w:r w:rsidR="005A3BD9" w:rsidRPr="009627E5">
        <w:rPr>
          <w:sz w:val="22"/>
          <w:szCs w:val="22"/>
        </w:rPr>
        <w:t xml:space="preserve">A respeito da situação, o relator </w:t>
      </w:r>
      <w:r w:rsidR="000D1B26" w:rsidRPr="009627E5">
        <w:rPr>
          <w:sz w:val="22"/>
          <w:szCs w:val="22"/>
        </w:rPr>
        <w:t>ressalt</w:t>
      </w:r>
      <w:r w:rsidR="005A3BD9" w:rsidRPr="009627E5">
        <w:rPr>
          <w:sz w:val="22"/>
          <w:szCs w:val="22"/>
        </w:rPr>
        <w:t>ou a existência de ampla jurisprudência do TCU, no sentido de que se trata de exigência</w:t>
      </w:r>
      <w:r w:rsidR="000D1B26" w:rsidRPr="009627E5">
        <w:rPr>
          <w:sz w:val="22"/>
          <w:szCs w:val="22"/>
        </w:rPr>
        <w:t xml:space="preserve"> descabida</w:t>
      </w:r>
      <w:r w:rsidR="005A3BD9" w:rsidRPr="009627E5">
        <w:rPr>
          <w:sz w:val="22"/>
          <w:szCs w:val="22"/>
        </w:rPr>
        <w:t>, sendo, por isso, “</w:t>
      </w:r>
      <w:r w:rsidR="005A3BD9" w:rsidRPr="009627E5">
        <w:rPr>
          <w:i/>
          <w:sz w:val="22"/>
          <w:szCs w:val="22"/>
        </w:rPr>
        <w:t>motivo suficiente para anulação do certame</w:t>
      </w:r>
      <w:r w:rsidR="005A3BD9" w:rsidRPr="009627E5">
        <w:rPr>
          <w:sz w:val="22"/>
          <w:szCs w:val="22"/>
        </w:rPr>
        <w:t>”,</w:t>
      </w:r>
      <w:r w:rsidR="00493C33">
        <w:rPr>
          <w:sz w:val="22"/>
          <w:szCs w:val="22"/>
        </w:rPr>
        <w:t xml:space="preserve"> </w:t>
      </w:r>
      <w:r w:rsidR="00677808">
        <w:rPr>
          <w:sz w:val="22"/>
          <w:szCs w:val="22"/>
        </w:rPr>
        <w:t>a exemplo do</w:t>
      </w:r>
      <w:r w:rsidR="00493C33">
        <w:rPr>
          <w:sz w:val="22"/>
          <w:szCs w:val="22"/>
        </w:rPr>
        <w:t xml:space="preserve"> Acórdão</w:t>
      </w:r>
      <w:r w:rsidR="005A3BD9" w:rsidRPr="009627E5">
        <w:rPr>
          <w:sz w:val="22"/>
          <w:szCs w:val="22"/>
        </w:rPr>
        <w:t xml:space="preserve"> 1495/2009 – Plenário</w:t>
      </w:r>
      <w:r w:rsidR="000D1B26" w:rsidRPr="009627E5">
        <w:rPr>
          <w:sz w:val="22"/>
          <w:szCs w:val="22"/>
        </w:rPr>
        <w:t xml:space="preserve">, </w:t>
      </w:r>
      <w:r w:rsidR="00677808">
        <w:rPr>
          <w:sz w:val="22"/>
          <w:szCs w:val="22"/>
        </w:rPr>
        <w:t>do qual destacou o seguinte excerto do</w:t>
      </w:r>
      <w:r w:rsidR="000D1B26" w:rsidRPr="009627E5">
        <w:rPr>
          <w:sz w:val="22"/>
          <w:szCs w:val="22"/>
        </w:rPr>
        <w:t xml:space="preserve"> voto condutor da decisão:</w:t>
      </w:r>
      <w:r w:rsidR="005A3BD9" w:rsidRPr="009627E5">
        <w:rPr>
          <w:sz w:val="22"/>
          <w:szCs w:val="22"/>
        </w:rPr>
        <w:t xml:space="preserve"> </w:t>
      </w:r>
      <w:r w:rsidR="000D1B26" w:rsidRPr="009627E5">
        <w:rPr>
          <w:sz w:val="22"/>
          <w:szCs w:val="22"/>
        </w:rPr>
        <w:t>“</w:t>
      </w:r>
      <w:r w:rsidR="000D1B26" w:rsidRPr="009627E5">
        <w:rPr>
          <w:i/>
          <w:sz w:val="22"/>
          <w:szCs w:val="22"/>
        </w:rPr>
        <w:t>restringe o caráter competitivo do certame a inclusão de cláusula exigindo, na fase de habilitação, que a empresa licitante já possua usina de asfalto instalada, ou, em caso negativo, que apresente declaração de terceiros detentores de usina, ainda mais quando é fixado limite máximo de distância para sua instalação</w:t>
      </w:r>
      <w:r w:rsidR="000D1B26" w:rsidRPr="009627E5">
        <w:rPr>
          <w:sz w:val="22"/>
          <w:szCs w:val="22"/>
        </w:rPr>
        <w:t>”. (...) “</w:t>
      </w:r>
      <w:r w:rsidR="000D1B26" w:rsidRPr="009627E5">
        <w:rPr>
          <w:i/>
          <w:sz w:val="22"/>
          <w:szCs w:val="22"/>
        </w:rPr>
        <w:t>Não há como buscar amparo na Lei n. 8.666/93 para se exigir dos licitantes a disponibilidade de usina de asfalto, ainda mais com localização prévia, nem, sequer, a exigência de termo de compromisso com usinas de terceiros</w:t>
      </w:r>
      <w:r w:rsidR="000D1B26" w:rsidRPr="009627E5">
        <w:rPr>
          <w:sz w:val="22"/>
          <w:szCs w:val="22"/>
        </w:rPr>
        <w:t>”. Enfatizou o relator que</w:t>
      </w:r>
      <w:r w:rsidR="00677808">
        <w:rPr>
          <w:sz w:val="22"/>
          <w:szCs w:val="22"/>
        </w:rPr>
        <w:t>,</w:t>
      </w:r>
      <w:r w:rsidR="000D1B26" w:rsidRPr="009627E5">
        <w:rPr>
          <w:sz w:val="22"/>
          <w:szCs w:val="22"/>
        </w:rPr>
        <w:t xml:space="preserve"> “</w:t>
      </w:r>
      <w:r w:rsidR="000D1B26" w:rsidRPr="009627E5">
        <w:rPr>
          <w:i/>
          <w:sz w:val="22"/>
          <w:szCs w:val="22"/>
        </w:rPr>
        <w:t>caso o órgão licitante considere relevantes exigências de comprovação de propriedade de equipamentos, como a usina de asfalto, ou de apresentação de licenças de qualquer natureza, deve fazer tais imposições por ocasião da assinatura do contrato a ser firmado com a proponente vencedora, e não como requisito de habilitação</w:t>
      </w:r>
      <w:r w:rsidR="000D1B26" w:rsidRPr="009627E5">
        <w:rPr>
          <w:sz w:val="22"/>
          <w:szCs w:val="22"/>
        </w:rPr>
        <w:t xml:space="preserve">”. </w:t>
      </w:r>
      <w:r w:rsidR="00677808">
        <w:rPr>
          <w:sz w:val="22"/>
          <w:szCs w:val="22"/>
        </w:rPr>
        <w:t>Assim, anui</w:t>
      </w:r>
      <w:r w:rsidR="000D1B26" w:rsidRPr="009627E5">
        <w:rPr>
          <w:sz w:val="22"/>
          <w:szCs w:val="22"/>
        </w:rPr>
        <w:t xml:space="preserve">ndo </w:t>
      </w:r>
      <w:r w:rsidR="00677808">
        <w:rPr>
          <w:sz w:val="22"/>
          <w:szCs w:val="22"/>
        </w:rPr>
        <w:t>à</w:t>
      </w:r>
      <w:r w:rsidR="000D1B26" w:rsidRPr="009627E5">
        <w:rPr>
          <w:sz w:val="22"/>
          <w:szCs w:val="22"/>
        </w:rPr>
        <w:t xml:space="preserve"> proposta da unidade instrutiva,</w:t>
      </w:r>
      <w:r w:rsidR="00963EBE">
        <w:rPr>
          <w:sz w:val="22"/>
          <w:szCs w:val="22"/>
        </w:rPr>
        <w:t xml:space="preserve"> o relator</w:t>
      </w:r>
      <w:r w:rsidR="000D1B26" w:rsidRPr="009627E5">
        <w:rPr>
          <w:sz w:val="22"/>
          <w:szCs w:val="22"/>
        </w:rPr>
        <w:t xml:space="preserve"> votou pela fixação de prazo à Prefeitura de Cariacica para adota</w:t>
      </w:r>
      <w:r w:rsidR="00677808">
        <w:rPr>
          <w:sz w:val="22"/>
          <w:szCs w:val="22"/>
        </w:rPr>
        <w:t>r</w:t>
      </w:r>
      <w:r w:rsidR="000D1B26" w:rsidRPr="009627E5">
        <w:rPr>
          <w:sz w:val="22"/>
          <w:szCs w:val="22"/>
        </w:rPr>
        <w:t xml:space="preserve"> as providências necessárias com vistas à anulação da Tomada de Preços n</w:t>
      </w:r>
      <w:r w:rsidR="00677808">
        <w:rPr>
          <w:sz w:val="22"/>
          <w:szCs w:val="22"/>
        </w:rPr>
        <w:t>º</w:t>
      </w:r>
      <w:r w:rsidR="000D1B26" w:rsidRPr="009627E5">
        <w:rPr>
          <w:sz w:val="22"/>
          <w:szCs w:val="22"/>
        </w:rPr>
        <w:t xml:space="preserve"> 25/2010, n</w:t>
      </w:r>
      <w:r w:rsidR="00677808">
        <w:rPr>
          <w:sz w:val="22"/>
          <w:szCs w:val="22"/>
        </w:rPr>
        <w:t xml:space="preserve">o que contou com a anuência do </w:t>
      </w:r>
      <w:r w:rsidR="00963EBE">
        <w:rPr>
          <w:sz w:val="22"/>
          <w:szCs w:val="22"/>
        </w:rPr>
        <w:t>C</w:t>
      </w:r>
      <w:r w:rsidR="00963EBE" w:rsidRPr="009627E5">
        <w:rPr>
          <w:sz w:val="22"/>
          <w:szCs w:val="22"/>
        </w:rPr>
        <w:t>olegiado</w:t>
      </w:r>
      <w:r w:rsidR="000D1B26" w:rsidRPr="009627E5">
        <w:rPr>
          <w:sz w:val="22"/>
          <w:szCs w:val="22"/>
        </w:rPr>
        <w:t>. Precedentes citados</w:t>
      </w:r>
      <w:r w:rsidR="009627E5" w:rsidRPr="009627E5">
        <w:rPr>
          <w:sz w:val="22"/>
          <w:szCs w:val="22"/>
        </w:rPr>
        <w:t>: Acórdãos 648/2004, 1578/2005, 1332/2006, 1631/2007, 2656/2007, 983/2008, 1663/2008, 2215/2008,</w:t>
      </w:r>
      <w:r w:rsidR="009627E5" w:rsidRPr="009627E5">
        <w:rPr>
          <w:color w:val="000000"/>
          <w:sz w:val="22"/>
          <w:szCs w:val="22"/>
        </w:rPr>
        <w:t xml:space="preserve"> </w:t>
      </w:r>
      <w:hyperlink r:id="rId8" w:tgtFrame="_blank" w:history="1">
        <w:r w:rsidR="009627E5" w:rsidRPr="009627E5">
          <w:rPr>
            <w:color w:val="000000"/>
            <w:sz w:val="22"/>
            <w:szCs w:val="22"/>
          </w:rPr>
          <w:t>2150/2008</w:t>
        </w:r>
      </w:hyperlink>
      <w:r w:rsidR="009627E5" w:rsidRPr="009627E5">
        <w:rPr>
          <w:color w:val="000000"/>
          <w:sz w:val="22"/>
          <w:szCs w:val="22"/>
        </w:rPr>
        <w:t>,</w:t>
      </w:r>
      <w:r w:rsidR="009627E5" w:rsidRPr="009627E5">
        <w:rPr>
          <w:sz w:val="22"/>
          <w:szCs w:val="22"/>
        </w:rPr>
        <w:t xml:space="preserve"> 1495/2009, 935/2010, </w:t>
      </w:r>
      <w:r w:rsidR="009627E5" w:rsidRPr="009627E5">
        <w:rPr>
          <w:color w:val="000000"/>
          <w:sz w:val="22"/>
          <w:szCs w:val="22"/>
        </w:rPr>
        <w:t>1339/2010,</w:t>
      </w:r>
      <w:r w:rsidR="009627E5" w:rsidRPr="009627E5">
        <w:rPr>
          <w:b/>
          <w:color w:val="000000"/>
          <w:sz w:val="22"/>
          <w:szCs w:val="22"/>
        </w:rPr>
        <w:t xml:space="preserve"> </w:t>
      </w:r>
      <w:r w:rsidR="009627E5" w:rsidRPr="009627E5">
        <w:rPr>
          <w:sz w:val="22"/>
          <w:szCs w:val="22"/>
        </w:rPr>
        <w:t>todos do Plenário</w:t>
      </w:r>
      <w:r w:rsidR="00AE52B8" w:rsidRPr="009627E5">
        <w:rPr>
          <w:sz w:val="22"/>
          <w:szCs w:val="22"/>
        </w:rPr>
        <w:t xml:space="preserve">. </w:t>
      </w:r>
      <w:r w:rsidR="008A2417" w:rsidRPr="009627E5">
        <w:rPr>
          <w:b/>
          <w:i/>
          <w:sz w:val="22"/>
          <w:szCs w:val="22"/>
        </w:rPr>
        <w:t xml:space="preserve">Acórdão n.º </w:t>
      </w:r>
      <w:r w:rsidR="0002358D" w:rsidRPr="009627E5">
        <w:rPr>
          <w:b/>
          <w:i/>
          <w:sz w:val="22"/>
          <w:szCs w:val="22"/>
        </w:rPr>
        <w:t>5</w:t>
      </w:r>
      <w:r w:rsidR="00AB7E3E" w:rsidRPr="009627E5">
        <w:rPr>
          <w:b/>
          <w:i/>
          <w:sz w:val="22"/>
          <w:szCs w:val="22"/>
        </w:rPr>
        <w:t>900</w:t>
      </w:r>
      <w:r w:rsidR="008A2417" w:rsidRPr="009627E5">
        <w:rPr>
          <w:b/>
          <w:i/>
          <w:sz w:val="22"/>
          <w:szCs w:val="22"/>
        </w:rPr>
        <w:t>/2010</w:t>
      </w:r>
      <w:r w:rsidR="00151F92" w:rsidRPr="009627E5">
        <w:rPr>
          <w:b/>
          <w:i/>
          <w:sz w:val="22"/>
          <w:szCs w:val="22"/>
        </w:rPr>
        <w:t>-2ª Câmara</w:t>
      </w:r>
      <w:r w:rsidR="008A2417" w:rsidRPr="009627E5">
        <w:rPr>
          <w:b/>
          <w:i/>
          <w:sz w:val="22"/>
          <w:szCs w:val="22"/>
        </w:rPr>
        <w:t>, TC-0</w:t>
      </w:r>
      <w:r w:rsidR="00AB7E3E" w:rsidRPr="009627E5">
        <w:rPr>
          <w:b/>
          <w:i/>
          <w:sz w:val="22"/>
          <w:szCs w:val="22"/>
        </w:rPr>
        <w:t>22</w:t>
      </w:r>
      <w:r w:rsidR="008A2417" w:rsidRPr="009627E5">
        <w:rPr>
          <w:b/>
          <w:i/>
          <w:sz w:val="22"/>
          <w:szCs w:val="22"/>
        </w:rPr>
        <w:t>.</w:t>
      </w:r>
      <w:r w:rsidR="00AB7E3E" w:rsidRPr="009627E5">
        <w:rPr>
          <w:b/>
          <w:i/>
          <w:sz w:val="22"/>
          <w:szCs w:val="22"/>
        </w:rPr>
        <w:t>785</w:t>
      </w:r>
      <w:r w:rsidR="008A2417" w:rsidRPr="009627E5">
        <w:rPr>
          <w:b/>
          <w:i/>
          <w:sz w:val="22"/>
          <w:szCs w:val="22"/>
        </w:rPr>
        <w:t>/20</w:t>
      </w:r>
      <w:r w:rsidR="0002358D" w:rsidRPr="009627E5">
        <w:rPr>
          <w:b/>
          <w:i/>
          <w:sz w:val="22"/>
          <w:szCs w:val="22"/>
        </w:rPr>
        <w:t>10</w:t>
      </w:r>
      <w:r w:rsidR="008A2417" w:rsidRPr="009627E5">
        <w:rPr>
          <w:b/>
          <w:i/>
          <w:sz w:val="22"/>
          <w:szCs w:val="22"/>
        </w:rPr>
        <w:t>-</w:t>
      </w:r>
      <w:r w:rsidR="00AB7E3E" w:rsidRPr="009627E5">
        <w:rPr>
          <w:b/>
          <w:i/>
          <w:sz w:val="22"/>
          <w:szCs w:val="22"/>
        </w:rPr>
        <w:t>8</w:t>
      </w:r>
      <w:r w:rsidR="008A2417" w:rsidRPr="009627E5">
        <w:rPr>
          <w:b/>
          <w:i/>
          <w:sz w:val="22"/>
          <w:szCs w:val="22"/>
        </w:rPr>
        <w:t xml:space="preserve">, rel. Min. </w:t>
      </w:r>
      <w:r w:rsidR="0002358D" w:rsidRPr="009627E5">
        <w:rPr>
          <w:b/>
          <w:i/>
          <w:sz w:val="22"/>
          <w:szCs w:val="22"/>
        </w:rPr>
        <w:t>Benjamin Zymler</w:t>
      </w:r>
      <w:r w:rsidR="008A2417" w:rsidRPr="009627E5">
        <w:rPr>
          <w:b/>
          <w:i/>
          <w:sz w:val="22"/>
          <w:szCs w:val="22"/>
        </w:rPr>
        <w:t xml:space="preserve">, </w:t>
      </w:r>
      <w:r w:rsidR="00904FAE">
        <w:rPr>
          <w:b/>
          <w:i/>
          <w:sz w:val="22"/>
          <w:szCs w:val="22"/>
        </w:rPr>
        <w:t>05</w:t>
      </w:r>
      <w:r w:rsidR="008A2417" w:rsidRPr="009627E5">
        <w:rPr>
          <w:b/>
          <w:i/>
          <w:sz w:val="22"/>
          <w:szCs w:val="22"/>
        </w:rPr>
        <w:t>.</w:t>
      </w:r>
      <w:r w:rsidR="00AB7E3E" w:rsidRPr="009627E5">
        <w:rPr>
          <w:b/>
          <w:i/>
          <w:sz w:val="22"/>
          <w:szCs w:val="22"/>
        </w:rPr>
        <w:t>1</w:t>
      </w:r>
      <w:r w:rsidR="008A2417" w:rsidRPr="009627E5">
        <w:rPr>
          <w:b/>
          <w:i/>
          <w:sz w:val="22"/>
          <w:szCs w:val="22"/>
        </w:rPr>
        <w:t>0.2010</w:t>
      </w:r>
      <w:r w:rsidR="008A2417" w:rsidRPr="009627E5">
        <w:rPr>
          <w:sz w:val="22"/>
          <w:szCs w:val="22"/>
        </w:rPr>
        <w:t>.</w:t>
      </w:r>
    </w:p>
    <w:p w:rsidR="00BD5DE1" w:rsidRPr="009627E5" w:rsidRDefault="00BD5DE1" w:rsidP="00A72647">
      <w:pPr>
        <w:pStyle w:val="enter-3pt"/>
        <w:spacing w:line="240" w:lineRule="auto"/>
        <w:rPr>
          <w:color w:val="FF0000"/>
          <w:sz w:val="22"/>
          <w:szCs w:val="22"/>
        </w:rPr>
      </w:pPr>
    </w:p>
    <w:p w:rsidR="00817630" w:rsidRPr="00397B21" w:rsidRDefault="00817630" w:rsidP="00A72647">
      <w:pPr>
        <w:pStyle w:val="Pargrafo"/>
        <w:jc w:val="both"/>
        <w:rPr>
          <w:b/>
          <w:color w:val="FF0000"/>
          <w:sz w:val="22"/>
          <w:szCs w:val="22"/>
        </w:rPr>
      </w:pPr>
      <w:r w:rsidRPr="00397B21">
        <w:rPr>
          <w:b/>
          <w:sz w:val="22"/>
          <w:szCs w:val="22"/>
        </w:rPr>
        <w:t xml:space="preserve">Contratação de serviços de drenagem e pavimentação de vias urbanas: </w:t>
      </w:r>
      <w:r w:rsidR="00397B21" w:rsidRPr="00A72647">
        <w:rPr>
          <w:b/>
          <w:sz w:val="22"/>
          <w:szCs w:val="22"/>
        </w:rPr>
        <w:t xml:space="preserve">2 </w:t>
      </w:r>
      <w:r w:rsidR="00A72647" w:rsidRPr="00A72647">
        <w:rPr>
          <w:b/>
          <w:sz w:val="22"/>
          <w:szCs w:val="22"/>
        </w:rPr>
        <w:t>–</w:t>
      </w:r>
      <w:r w:rsidR="00397B21" w:rsidRPr="00A72647">
        <w:rPr>
          <w:b/>
          <w:sz w:val="22"/>
          <w:szCs w:val="22"/>
        </w:rPr>
        <w:t xml:space="preserve"> </w:t>
      </w:r>
      <w:r w:rsidR="00A72647" w:rsidRPr="00A72647">
        <w:rPr>
          <w:b/>
          <w:sz w:val="22"/>
          <w:szCs w:val="22"/>
        </w:rPr>
        <w:t>A possibilidade de os licitantes inabilitados</w:t>
      </w:r>
      <w:r w:rsidR="00677808">
        <w:rPr>
          <w:b/>
          <w:sz w:val="22"/>
          <w:szCs w:val="22"/>
        </w:rPr>
        <w:t>,</w:t>
      </w:r>
      <w:r w:rsidR="00A72647" w:rsidRPr="00A72647">
        <w:rPr>
          <w:b/>
          <w:sz w:val="22"/>
          <w:szCs w:val="22"/>
        </w:rPr>
        <w:t xml:space="preserve"> por não apresentarem índices de </w:t>
      </w:r>
      <w:r w:rsidR="00677808">
        <w:rPr>
          <w:b/>
          <w:sz w:val="22"/>
          <w:szCs w:val="22"/>
        </w:rPr>
        <w:t>qualificação econômico-</w:t>
      </w:r>
      <w:r w:rsidR="00A72647" w:rsidRPr="00A72647">
        <w:rPr>
          <w:b/>
          <w:sz w:val="22"/>
          <w:szCs w:val="22"/>
        </w:rPr>
        <w:t>financeira iguais ou superiores ao</w:t>
      </w:r>
      <w:r w:rsidR="00A72647">
        <w:rPr>
          <w:b/>
          <w:sz w:val="22"/>
          <w:szCs w:val="22"/>
        </w:rPr>
        <w:t>s</w:t>
      </w:r>
      <w:r w:rsidR="00A72647" w:rsidRPr="00A72647">
        <w:rPr>
          <w:b/>
          <w:sz w:val="22"/>
          <w:szCs w:val="22"/>
        </w:rPr>
        <w:t xml:space="preserve"> exigid</w:t>
      </w:r>
      <w:r w:rsidR="00A72647">
        <w:rPr>
          <w:b/>
          <w:sz w:val="22"/>
          <w:szCs w:val="22"/>
        </w:rPr>
        <w:t>os</w:t>
      </w:r>
      <w:r w:rsidR="00A72647" w:rsidRPr="00A72647">
        <w:rPr>
          <w:b/>
          <w:sz w:val="22"/>
          <w:szCs w:val="22"/>
        </w:rPr>
        <w:t xml:space="preserve"> no edital</w:t>
      </w:r>
      <w:r w:rsidR="00677808">
        <w:rPr>
          <w:b/>
          <w:sz w:val="22"/>
          <w:szCs w:val="22"/>
        </w:rPr>
        <w:t>,</w:t>
      </w:r>
      <w:r w:rsidR="00A72647" w:rsidRPr="00A72647">
        <w:rPr>
          <w:b/>
          <w:sz w:val="22"/>
          <w:szCs w:val="22"/>
        </w:rPr>
        <w:t xml:space="preserve"> comprovarem, por outros meio</w:t>
      </w:r>
      <w:r w:rsidR="00A72647">
        <w:rPr>
          <w:b/>
          <w:sz w:val="22"/>
          <w:szCs w:val="22"/>
        </w:rPr>
        <w:t>s</w:t>
      </w:r>
      <w:r w:rsidR="00A72647" w:rsidRPr="00A72647">
        <w:rPr>
          <w:b/>
          <w:sz w:val="22"/>
          <w:szCs w:val="22"/>
        </w:rPr>
        <w:t>, capacidade de cumprir o futuro contrato é ato discricionário da Administração Pública</w:t>
      </w:r>
      <w:r w:rsidRPr="00A72647">
        <w:rPr>
          <w:b/>
          <w:sz w:val="22"/>
          <w:szCs w:val="22"/>
        </w:rPr>
        <w:t xml:space="preserve"> </w:t>
      </w:r>
    </w:p>
    <w:p w:rsidR="00817630" w:rsidRPr="00493C33" w:rsidRDefault="00817630" w:rsidP="00A72647">
      <w:pPr>
        <w:pStyle w:val="Pargrafo"/>
        <w:jc w:val="both"/>
        <w:rPr>
          <w:sz w:val="22"/>
          <w:szCs w:val="22"/>
        </w:rPr>
      </w:pPr>
      <w:r w:rsidRPr="00397B21">
        <w:rPr>
          <w:sz w:val="22"/>
          <w:szCs w:val="22"/>
        </w:rPr>
        <w:t>Na mesma representação formulada ao TCU rela</w:t>
      </w:r>
      <w:r w:rsidR="00A72647">
        <w:rPr>
          <w:sz w:val="22"/>
          <w:szCs w:val="22"/>
        </w:rPr>
        <w:t>tiva</w:t>
      </w:r>
      <w:r w:rsidR="00677808">
        <w:rPr>
          <w:sz w:val="22"/>
          <w:szCs w:val="22"/>
        </w:rPr>
        <w:t xml:space="preserve"> à Tomada de P</w:t>
      </w:r>
      <w:r w:rsidRPr="00397B21">
        <w:rPr>
          <w:sz w:val="22"/>
          <w:szCs w:val="22"/>
        </w:rPr>
        <w:t>reços n</w:t>
      </w:r>
      <w:r w:rsidR="00677808">
        <w:rPr>
          <w:sz w:val="22"/>
          <w:szCs w:val="22"/>
        </w:rPr>
        <w:t>º</w:t>
      </w:r>
      <w:r w:rsidRPr="00397B21">
        <w:rPr>
          <w:sz w:val="22"/>
          <w:szCs w:val="22"/>
        </w:rPr>
        <w:t xml:space="preserve"> 25/2010, </w:t>
      </w:r>
      <w:r w:rsidR="00A72647">
        <w:rPr>
          <w:sz w:val="22"/>
          <w:szCs w:val="22"/>
        </w:rPr>
        <w:t>procedida</w:t>
      </w:r>
      <w:r w:rsidRPr="00397B21">
        <w:rPr>
          <w:sz w:val="22"/>
          <w:szCs w:val="22"/>
        </w:rPr>
        <w:t xml:space="preserve"> pela Prefeitura Municipal de Cariacica/ES, outra possível irregularidade </w:t>
      </w:r>
      <w:r w:rsidR="00677808">
        <w:rPr>
          <w:sz w:val="22"/>
          <w:szCs w:val="22"/>
        </w:rPr>
        <w:t>contida no edital foi a previsão da</w:t>
      </w:r>
      <w:r w:rsidR="009627E5" w:rsidRPr="00397B21">
        <w:rPr>
          <w:sz w:val="22"/>
          <w:szCs w:val="22"/>
        </w:rPr>
        <w:t xml:space="preserve"> “</w:t>
      </w:r>
      <w:r w:rsidR="009627E5" w:rsidRPr="00397B21">
        <w:rPr>
          <w:i/>
          <w:sz w:val="22"/>
          <w:szCs w:val="22"/>
        </w:rPr>
        <w:t>inabilitação de licitantes que apresentarem índices de capacidade financeira (Índice de Liquidez Geral - ILG, Índice de Liquidez Corrente - ILC e Índice de Solvência Geral - ISG) inferiores a 1,0 (um), sem lhes oportunizar a possibilidade de comprovarem, por outros meios, como o capital mínimo ou patrimônio líquido, ou, ainda, prestação de garantia, que detêm condições de adimplir com o futuro contrato</w:t>
      </w:r>
      <w:r w:rsidR="009627E5" w:rsidRPr="00397B21">
        <w:rPr>
          <w:sz w:val="22"/>
          <w:szCs w:val="22"/>
        </w:rPr>
        <w:t>”. Ao tratar do assunto, a partir das justificativas apresentadas, o relator registrou que a unidade técnica suscitou o “</w:t>
      </w:r>
      <w:r w:rsidR="009627E5" w:rsidRPr="00397B21">
        <w:rPr>
          <w:i/>
          <w:sz w:val="22"/>
          <w:szCs w:val="22"/>
        </w:rPr>
        <w:t>fato de o ato convocatório não prever a possibilidade de as empresas que apresentarem índices contábeis exigidos aquém dos valores estipulados comprovarem sua capacidade econômico-financeira por outros meios, como o capital mínimo ou patrimônio líquido ou, ainda, prestação de garantia, a fim de se ampliar a competitividade do certame</w:t>
      </w:r>
      <w:r w:rsidR="009627E5" w:rsidRPr="00397B21">
        <w:rPr>
          <w:sz w:val="22"/>
          <w:szCs w:val="22"/>
        </w:rPr>
        <w:t xml:space="preserve">”. Ainda conforme o relator, </w:t>
      </w:r>
      <w:r w:rsidR="00397B21" w:rsidRPr="00397B21">
        <w:rPr>
          <w:sz w:val="22"/>
          <w:szCs w:val="22"/>
        </w:rPr>
        <w:t>“</w:t>
      </w:r>
      <w:r w:rsidR="00397B21" w:rsidRPr="00397B21">
        <w:rPr>
          <w:i/>
          <w:sz w:val="22"/>
          <w:szCs w:val="22"/>
        </w:rPr>
        <w:t>tal possibilidade está prevista no item 7.2 da Instrução Normativa/MARE n. 5, de 21/7/1995, que estabelece os procedimentos destinados à implantação e operacionalização do Sistema de Cadastro Unificado de Serviços Gerais (Sicaf), segundo o qual as empresas que apresentarem resultado igual ou menor do que 1 em qualquer um dos índices apurados devem comprovar, considerados os riscos para administração e, a critério da autoridade competente, capital mínimo ou patrimônio líquido mínimo no limite previsto na Lei n. 8.666/93, podendo, ainda, ser solicitada prestação de garantia na forma do artigo 56, § 1º, do referido diploma legal</w:t>
      </w:r>
      <w:r w:rsidR="00397B21" w:rsidRPr="00397B21">
        <w:rPr>
          <w:sz w:val="22"/>
          <w:szCs w:val="22"/>
        </w:rPr>
        <w:t>”.</w:t>
      </w:r>
      <w:r w:rsidR="009627E5" w:rsidRPr="00397B21">
        <w:rPr>
          <w:sz w:val="22"/>
          <w:szCs w:val="22"/>
        </w:rPr>
        <w:t xml:space="preserve"> </w:t>
      </w:r>
      <w:r w:rsidR="00397B21" w:rsidRPr="00397B21">
        <w:rPr>
          <w:sz w:val="22"/>
          <w:szCs w:val="22"/>
        </w:rPr>
        <w:t>Entretanto, “</w:t>
      </w:r>
      <w:r w:rsidR="00397B21" w:rsidRPr="00A72647">
        <w:rPr>
          <w:i/>
          <w:sz w:val="22"/>
          <w:szCs w:val="22"/>
        </w:rPr>
        <w:t>conforme preveem o artigo 31, § 2º, da Lei n. 8.666/93 e a própria instrução normativa supramencionada, não é obrigatório que a Administração estabeleça no ato convocatório a possibilidade de as licitantes que não apresentarem índices contábeis maior</w:t>
      </w:r>
      <w:r w:rsidR="00677808">
        <w:rPr>
          <w:i/>
          <w:sz w:val="22"/>
          <w:szCs w:val="22"/>
        </w:rPr>
        <w:t>es</w:t>
      </w:r>
      <w:r w:rsidR="00397B21" w:rsidRPr="00A72647">
        <w:rPr>
          <w:i/>
          <w:sz w:val="22"/>
          <w:szCs w:val="22"/>
        </w:rPr>
        <w:t xml:space="preserve"> ou igua</w:t>
      </w:r>
      <w:r w:rsidR="00677808">
        <w:rPr>
          <w:i/>
          <w:sz w:val="22"/>
          <w:szCs w:val="22"/>
        </w:rPr>
        <w:t>is</w:t>
      </w:r>
      <w:r w:rsidR="00397B21" w:rsidRPr="00A72647">
        <w:rPr>
          <w:i/>
          <w:sz w:val="22"/>
          <w:szCs w:val="22"/>
        </w:rPr>
        <w:t xml:space="preserve"> a 1 demonstrarem, para fins de habilitação, capital mínimo ou patrimônio líquido mínimo ou prestação de garantia. Tal previsão é ato discricionário da Administração</w:t>
      </w:r>
      <w:r w:rsidR="00397B21" w:rsidRPr="00397B21">
        <w:rPr>
          <w:sz w:val="22"/>
          <w:szCs w:val="22"/>
        </w:rPr>
        <w:t>”. Assim, concluiu o relator</w:t>
      </w:r>
      <w:r w:rsidR="00677808">
        <w:rPr>
          <w:sz w:val="22"/>
          <w:szCs w:val="22"/>
        </w:rPr>
        <w:t>,</w:t>
      </w:r>
      <w:r w:rsidR="00397B21" w:rsidRPr="00397B21">
        <w:rPr>
          <w:sz w:val="22"/>
          <w:szCs w:val="22"/>
        </w:rPr>
        <w:t xml:space="preserve"> em</w:t>
      </w:r>
      <w:r w:rsidR="00677808">
        <w:rPr>
          <w:sz w:val="22"/>
          <w:szCs w:val="22"/>
        </w:rPr>
        <w:t xml:space="preserve"> </w:t>
      </w:r>
      <w:r w:rsidR="00397B21" w:rsidRPr="00397B21">
        <w:rPr>
          <w:sz w:val="22"/>
          <w:szCs w:val="22"/>
        </w:rPr>
        <w:t>seu voto</w:t>
      </w:r>
      <w:r w:rsidR="00677808">
        <w:rPr>
          <w:sz w:val="22"/>
          <w:szCs w:val="22"/>
        </w:rPr>
        <w:t xml:space="preserve"> que</w:t>
      </w:r>
      <w:r w:rsidR="00397B21" w:rsidRPr="00397B21">
        <w:rPr>
          <w:sz w:val="22"/>
          <w:szCs w:val="22"/>
        </w:rPr>
        <w:t>, “</w:t>
      </w:r>
      <w:r w:rsidR="00397B21" w:rsidRPr="00A72647">
        <w:rPr>
          <w:i/>
          <w:sz w:val="22"/>
          <w:szCs w:val="22"/>
        </w:rPr>
        <w:t>não se pode exigir do ente municipal que faça constar dos editais de licitação essa possibilidade</w:t>
      </w:r>
      <w:r w:rsidR="00677808" w:rsidRPr="00677808">
        <w:rPr>
          <w:sz w:val="22"/>
          <w:szCs w:val="22"/>
        </w:rPr>
        <w:t>”</w:t>
      </w:r>
      <w:r w:rsidR="00442427">
        <w:rPr>
          <w:sz w:val="22"/>
          <w:szCs w:val="22"/>
        </w:rPr>
        <w:t>. O C</w:t>
      </w:r>
      <w:r w:rsidR="00397B21" w:rsidRPr="00493C33">
        <w:rPr>
          <w:sz w:val="22"/>
          <w:szCs w:val="22"/>
        </w:rPr>
        <w:t>olegiado</w:t>
      </w:r>
      <w:r w:rsidR="00442427">
        <w:rPr>
          <w:sz w:val="22"/>
          <w:szCs w:val="22"/>
        </w:rPr>
        <w:t xml:space="preserve"> acolheu o voto do relator</w:t>
      </w:r>
      <w:r w:rsidR="00397B21" w:rsidRPr="00493C33">
        <w:rPr>
          <w:sz w:val="22"/>
          <w:szCs w:val="22"/>
        </w:rPr>
        <w:t xml:space="preserve">.  </w:t>
      </w:r>
      <w:r w:rsidRPr="00493C33">
        <w:rPr>
          <w:b/>
          <w:i/>
          <w:sz w:val="22"/>
          <w:szCs w:val="22"/>
        </w:rPr>
        <w:t>Acórdão n.º 5900/2010-2ª Câmara, TC-022.785/2010-8, rel. Min. Benjamin Zymler, 0</w:t>
      </w:r>
      <w:r w:rsidR="00904FAE" w:rsidRPr="00493C33">
        <w:rPr>
          <w:b/>
          <w:i/>
          <w:sz w:val="22"/>
          <w:szCs w:val="22"/>
        </w:rPr>
        <w:t>5</w:t>
      </w:r>
      <w:r w:rsidRPr="00493C33">
        <w:rPr>
          <w:b/>
          <w:i/>
          <w:sz w:val="22"/>
          <w:szCs w:val="22"/>
        </w:rPr>
        <w:t>.10.2010</w:t>
      </w:r>
      <w:r w:rsidRPr="00493C33">
        <w:rPr>
          <w:sz w:val="22"/>
          <w:szCs w:val="22"/>
        </w:rPr>
        <w:t>.</w:t>
      </w:r>
    </w:p>
    <w:p w:rsidR="00785CF8" w:rsidRPr="00337E16" w:rsidRDefault="00785CF8" w:rsidP="00337E16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6"/>
      </w:tblGrid>
      <w:tr w:rsidR="00D2041E" w:rsidRPr="00337E16" w:rsidTr="00F03AB9">
        <w:trPr>
          <w:trHeight w:val="779"/>
          <w:jc w:val="center"/>
        </w:trPr>
        <w:tc>
          <w:tcPr>
            <w:tcW w:w="0" w:type="auto"/>
            <w:vAlign w:val="center"/>
          </w:tcPr>
          <w:p w:rsidR="00F27170" w:rsidRPr="00337E16" w:rsidRDefault="005E5FF1" w:rsidP="00337E16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R</w:t>
            </w:r>
            <w:r w:rsidR="00F27170" w:rsidRPr="00337E16">
              <w:rPr>
                <w:b/>
                <w:i/>
                <w:sz w:val="18"/>
                <w:szCs w:val="18"/>
              </w:rPr>
              <w:t>esponsáve</w:t>
            </w:r>
            <w:r w:rsidRPr="00337E16">
              <w:rPr>
                <w:b/>
                <w:i/>
                <w:sz w:val="18"/>
                <w:szCs w:val="18"/>
              </w:rPr>
              <w:t>is</w:t>
            </w:r>
            <w:r w:rsidR="00F27170" w:rsidRPr="00337E16">
              <w:rPr>
                <w:b/>
                <w:i/>
                <w:sz w:val="18"/>
                <w:szCs w:val="18"/>
              </w:rPr>
              <w:t xml:space="preserve"> pelo Informativo:</w:t>
            </w:r>
          </w:p>
          <w:p w:rsidR="00F27170" w:rsidRPr="00337E16" w:rsidRDefault="00713DE5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Elaboração:</w:t>
            </w:r>
            <w:r w:rsidRPr="00337E16">
              <w:rPr>
                <w:i/>
                <w:sz w:val="18"/>
                <w:szCs w:val="18"/>
              </w:rPr>
              <w:t xml:space="preserve"> </w:t>
            </w:r>
            <w:r w:rsidR="00D37941" w:rsidRPr="00BF5733">
              <w:rPr>
                <w:i/>
                <w:sz w:val="18"/>
                <w:szCs w:val="18"/>
              </w:rPr>
              <w:t>Sandro Henrique Maciel Bernardes, Assessor em substit</w:t>
            </w:r>
            <w:r w:rsidR="00D37941">
              <w:rPr>
                <w:i/>
                <w:sz w:val="18"/>
                <w:szCs w:val="18"/>
              </w:rPr>
              <w:t>uição da Secretaria das Sessões</w:t>
            </w:r>
          </w:p>
          <w:p w:rsidR="005E5FF1" w:rsidRPr="00337E16" w:rsidRDefault="00A30683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Revisão</w:t>
            </w:r>
            <w:r w:rsidR="00713DE5" w:rsidRPr="00337E16">
              <w:rPr>
                <w:b/>
                <w:i/>
                <w:sz w:val="18"/>
                <w:szCs w:val="18"/>
              </w:rPr>
              <w:t>:</w:t>
            </w:r>
            <w:r w:rsidR="00713DE5" w:rsidRPr="00337E16">
              <w:rPr>
                <w:i/>
                <w:sz w:val="18"/>
                <w:szCs w:val="18"/>
              </w:rPr>
              <w:t xml:space="preserve"> </w:t>
            </w:r>
            <w:r w:rsidR="005E5FF1" w:rsidRPr="00337E16">
              <w:rPr>
                <w:i/>
                <w:sz w:val="18"/>
                <w:szCs w:val="18"/>
              </w:rPr>
              <w:t>Odilon Cavallari de Oliveira</w:t>
            </w:r>
            <w:r w:rsidR="00713DE5" w:rsidRPr="00337E16">
              <w:rPr>
                <w:i/>
                <w:sz w:val="18"/>
                <w:szCs w:val="18"/>
              </w:rPr>
              <w:t>, Secretário das Sessões</w:t>
            </w:r>
          </w:p>
          <w:p w:rsidR="00D2041E" w:rsidRPr="00337E16" w:rsidRDefault="00D2041E" w:rsidP="00337E16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337E16">
              <w:rPr>
                <w:b/>
                <w:i/>
                <w:sz w:val="18"/>
                <w:szCs w:val="18"/>
              </w:rPr>
              <w:t xml:space="preserve">Contato: </w:t>
            </w:r>
            <w:hyperlink r:id="rId9" w:history="1">
              <w:r w:rsidRPr="00337E16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D2041E" w:rsidRPr="00337E16" w:rsidRDefault="00D2041E" w:rsidP="003D7B83">
      <w:pPr>
        <w:pStyle w:val="enter-3pt"/>
        <w:spacing w:line="240" w:lineRule="auto"/>
        <w:rPr>
          <w:b/>
          <w:sz w:val="22"/>
          <w:szCs w:val="22"/>
        </w:rPr>
      </w:pPr>
    </w:p>
    <w:sectPr w:rsidR="00D2041E" w:rsidRPr="00337E16" w:rsidSect="00337E16">
      <w:headerReference w:type="default" r:id="rId10"/>
      <w:footerReference w:type="default" r:id="rId11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35" w:rsidRDefault="005B5E35" w:rsidP="008B0547">
      <w:pPr>
        <w:spacing w:after="0"/>
      </w:pPr>
      <w:r>
        <w:separator/>
      </w:r>
    </w:p>
  </w:endnote>
  <w:endnote w:type="continuationSeparator" w:id="0">
    <w:p w:rsidR="005B5E35" w:rsidRDefault="005B5E3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20678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35" w:rsidRDefault="005B5E35" w:rsidP="008B0547">
      <w:pPr>
        <w:spacing w:after="0"/>
      </w:pPr>
      <w:r>
        <w:separator/>
      </w:r>
    </w:p>
  </w:footnote>
  <w:footnote w:type="continuationSeparator" w:id="0">
    <w:p w:rsidR="005B5E35" w:rsidRDefault="005B5E3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091A9B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091A9B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121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DB1B11">
      <w:rPr>
        <w:rFonts w:ascii="Arial" w:hAnsi="Arial" w:cs="Arial"/>
        <w:noProof/>
        <w:lang w:eastAsia="pt-BR"/>
      </w:rPr>
      <w:t>3</w:t>
    </w:r>
    <w:r w:rsidR="00D37941">
      <w:rPr>
        <w:rFonts w:ascii="Arial" w:hAnsi="Arial" w:cs="Arial"/>
        <w:noProof/>
        <w:lang w:eastAsia="pt-BR"/>
      </w:rPr>
      <w:t>7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CA1563"/>
    <w:multiLevelType w:val="hybridMultilevel"/>
    <w:tmpl w:val="5380E9F8"/>
    <w:lvl w:ilvl="0" w:tplc="052CC3CE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8782D0B"/>
    <w:multiLevelType w:val="multilevel"/>
    <w:tmpl w:val="ABF2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TercNve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521745A"/>
    <w:multiLevelType w:val="hybridMultilevel"/>
    <w:tmpl w:val="40F42622"/>
    <w:lvl w:ilvl="0" w:tplc="6F765A36">
      <w:start w:val="1"/>
      <w:numFmt w:val="bullet"/>
      <w:pStyle w:val="Normal-bullet"/>
      <w:lvlText w:val=""/>
      <w:lvlJc w:val="left"/>
      <w:pPr>
        <w:ind w:left="720" w:hanging="360"/>
      </w:pPr>
      <w:rPr>
        <w:rFonts w:ascii="Wingdings" w:hAnsi="Wingdings" w:hint="default"/>
        <w:u w:color="59595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8"/>
  </w:num>
  <w:num w:numId="8">
    <w:abstractNumId w:val="15"/>
  </w:num>
  <w:num w:numId="9">
    <w:abstractNumId w:val="11"/>
  </w:num>
  <w:num w:numId="10">
    <w:abstractNumId w:val="3"/>
  </w:num>
  <w:num w:numId="11">
    <w:abstractNumId w:val="19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6"/>
  </w:num>
  <w:num w:numId="18">
    <w:abstractNumId w:val="1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3CEA"/>
    <w:rsid w:val="00004614"/>
    <w:rsid w:val="00005435"/>
    <w:rsid w:val="00005E1E"/>
    <w:rsid w:val="00012468"/>
    <w:rsid w:val="0001636D"/>
    <w:rsid w:val="0002358D"/>
    <w:rsid w:val="00023D72"/>
    <w:rsid w:val="000271FA"/>
    <w:rsid w:val="00032198"/>
    <w:rsid w:val="00034E05"/>
    <w:rsid w:val="00037E3B"/>
    <w:rsid w:val="00041450"/>
    <w:rsid w:val="0004660A"/>
    <w:rsid w:val="00047543"/>
    <w:rsid w:val="00052B15"/>
    <w:rsid w:val="00054432"/>
    <w:rsid w:val="000562CD"/>
    <w:rsid w:val="000562F0"/>
    <w:rsid w:val="00056D51"/>
    <w:rsid w:val="0006028E"/>
    <w:rsid w:val="00061B67"/>
    <w:rsid w:val="00061C2E"/>
    <w:rsid w:val="00065E95"/>
    <w:rsid w:val="00080148"/>
    <w:rsid w:val="00084727"/>
    <w:rsid w:val="0009133A"/>
    <w:rsid w:val="00091A9B"/>
    <w:rsid w:val="00092603"/>
    <w:rsid w:val="00092C2E"/>
    <w:rsid w:val="00095D76"/>
    <w:rsid w:val="000A2C56"/>
    <w:rsid w:val="000B0ECB"/>
    <w:rsid w:val="000B0FEA"/>
    <w:rsid w:val="000B2AFA"/>
    <w:rsid w:val="000C7B7D"/>
    <w:rsid w:val="000D1B26"/>
    <w:rsid w:val="000D1FD7"/>
    <w:rsid w:val="000D6418"/>
    <w:rsid w:val="000D71F7"/>
    <w:rsid w:val="000D7DB6"/>
    <w:rsid w:val="000D7DED"/>
    <w:rsid w:val="000E3B31"/>
    <w:rsid w:val="000F51E0"/>
    <w:rsid w:val="000F6D85"/>
    <w:rsid w:val="000F7CEE"/>
    <w:rsid w:val="001104BA"/>
    <w:rsid w:val="00112676"/>
    <w:rsid w:val="0011373A"/>
    <w:rsid w:val="00114511"/>
    <w:rsid w:val="00126026"/>
    <w:rsid w:val="001321CC"/>
    <w:rsid w:val="00133EA9"/>
    <w:rsid w:val="00140ACA"/>
    <w:rsid w:val="00141D7A"/>
    <w:rsid w:val="001420D1"/>
    <w:rsid w:val="001444A2"/>
    <w:rsid w:val="00151F92"/>
    <w:rsid w:val="0015258E"/>
    <w:rsid w:val="00152ECC"/>
    <w:rsid w:val="001532E4"/>
    <w:rsid w:val="00156A48"/>
    <w:rsid w:val="00157AFE"/>
    <w:rsid w:val="00157C0F"/>
    <w:rsid w:val="001744E7"/>
    <w:rsid w:val="00176375"/>
    <w:rsid w:val="001764E1"/>
    <w:rsid w:val="00190EE8"/>
    <w:rsid w:val="001A330B"/>
    <w:rsid w:val="001A60A2"/>
    <w:rsid w:val="001B2ED5"/>
    <w:rsid w:val="001B3E8E"/>
    <w:rsid w:val="001B4F90"/>
    <w:rsid w:val="001C0575"/>
    <w:rsid w:val="001C437E"/>
    <w:rsid w:val="001C74F5"/>
    <w:rsid w:val="001D03C7"/>
    <w:rsid w:val="001D0814"/>
    <w:rsid w:val="001D1478"/>
    <w:rsid w:val="001D74CE"/>
    <w:rsid w:val="001E0BF1"/>
    <w:rsid w:val="001E1E28"/>
    <w:rsid w:val="001E2620"/>
    <w:rsid w:val="001E4147"/>
    <w:rsid w:val="001E7C3D"/>
    <w:rsid w:val="001F0080"/>
    <w:rsid w:val="001F00DF"/>
    <w:rsid w:val="002002CE"/>
    <w:rsid w:val="0020066F"/>
    <w:rsid w:val="00203A6F"/>
    <w:rsid w:val="00211816"/>
    <w:rsid w:val="002134EC"/>
    <w:rsid w:val="0021481D"/>
    <w:rsid w:val="00226D9D"/>
    <w:rsid w:val="00232158"/>
    <w:rsid w:val="002328F9"/>
    <w:rsid w:val="00233CE3"/>
    <w:rsid w:val="0024593F"/>
    <w:rsid w:val="002476B6"/>
    <w:rsid w:val="002533D4"/>
    <w:rsid w:val="00254590"/>
    <w:rsid w:val="0026362E"/>
    <w:rsid w:val="002649A7"/>
    <w:rsid w:val="002663B7"/>
    <w:rsid w:val="00271D81"/>
    <w:rsid w:val="00273E72"/>
    <w:rsid w:val="00276DC0"/>
    <w:rsid w:val="002810D9"/>
    <w:rsid w:val="002813CA"/>
    <w:rsid w:val="00281830"/>
    <w:rsid w:val="0029043B"/>
    <w:rsid w:val="00290A06"/>
    <w:rsid w:val="0029211E"/>
    <w:rsid w:val="0029450E"/>
    <w:rsid w:val="002A190F"/>
    <w:rsid w:val="002A3B3F"/>
    <w:rsid w:val="002B407B"/>
    <w:rsid w:val="002B71BA"/>
    <w:rsid w:val="002C1C8E"/>
    <w:rsid w:val="002C4029"/>
    <w:rsid w:val="002C7B61"/>
    <w:rsid w:val="002C7B6D"/>
    <w:rsid w:val="002D35F5"/>
    <w:rsid w:val="002D47FE"/>
    <w:rsid w:val="002D739A"/>
    <w:rsid w:val="002D76AB"/>
    <w:rsid w:val="002E361C"/>
    <w:rsid w:val="002E3943"/>
    <w:rsid w:val="002E4254"/>
    <w:rsid w:val="002E5983"/>
    <w:rsid w:val="002F5F3B"/>
    <w:rsid w:val="002F693C"/>
    <w:rsid w:val="003020F4"/>
    <w:rsid w:val="00304A73"/>
    <w:rsid w:val="003069F9"/>
    <w:rsid w:val="00307C1B"/>
    <w:rsid w:val="00310208"/>
    <w:rsid w:val="0031058F"/>
    <w:rsid w:val="0031089E"/>
    <w:rsid w:val="00310D69"/>
    <w:rsid w:val="00312529"/>
    <w:rsid w:val="003147B7"/>
    <w:rsid w:val="0031698A"/>
    <w:rsid w:val="00317E59"/>
    <w:rsid w:val="00322AE7"/>
    <w:rsid w:val="00323394"/>
    <w:rsid w:val="00323E97"/>
    <w:rsid w:val="003275E4"/>
    <w:rsid w:val="00337E16"/>
    <w:rsid w:val="00340E66"/>
    <w:rsid w:val="00340F10"/>
    <w:rsid w:val="0034486B"/>
    <w:rsid w:val="00344D92"/>
    <w:rsid w:val="003455A2"/>
    <w:rsid w:val="00350E87"/>
    <w:rsid w:val="003518EE"/>
    <w:rsid w:val="00351C09"/>
    <w:rsid w:val="00353B7C"/>
    <w:rsid w:val="0035438E"/>
    <w:rsid w:val="00355828"/>
    <w:rsid w:val="00357CBE"/>
    <w:rsid w:val="00361661"/>
    <w:rsid w:val="00364DC3"/>
    <w:rsid w:val="003824E4"/>
    <w:rsid w:val="003830E4"/>
    <w:rsid w:val="00385678"/>
    <w:rsid w:val="00385DAB"/>
    <w:rsid w:val="0038696B"/>
    <w:rsid w:val="00392509"/>
    <w:rsid w:val="003943E5"/>
    <w:rsid w:val="00397B21"/>
    <w:rsid w:val="00397D8E"/>
    <w:rsid w:val="003A2222"/>
    <w:rsid w:val="003A5479"/>
    <w:rsid w:val="003A5C1B"/>
    <w:rsid w:val="003A7C7F"/>
    <w:rsid w:val="003B0304"/>
    <w:rsid w:val="003B043F"/>
    <w:rsid w:val="003B2E10"/>
    <w:rsid w:val="003B33CE"/>
    <w:rsid w:val="003B343D"/>
    <w:rsid w:val="003B56D7"/>
    <w:rsid w:val="003C1B4F"/>
    <w:rsid w:val="003C2288"/>
    <w:rsid w:val="003C6DEB"/>
    <w:rsid w:val="003C7A5C"/>
    <w:rsid w:val="003D73BD"/>
    <w:rsid w:val="003D7B83"/>
    <w:rsid w:val="003D7CCE"/>
    <w:rsid w:val="003E1B68"/>
    <w:rsid w:val="003E5EB8"/>
    <w:rsid w:val="003E65D7"/>
    <w:rsid w:val="003F413A"/>
    <w:rsid w:val="003F54FB"/>
    <w:rsid w:val="003F6D1F"/>
    <w:rsid w:val="00400CB9"/>
    <w:rsid w:val="00406092"/>
    <w:rsid w:val="004109DA"/>
    <w:rsid w:val="00413210"/>
    <w:rsid w:val="004169D8"/>
    <w:rsid w:val="004201AF"/>
    <w:rsid w:val="00425FF9"/>
    <w:rsid w:val="00427B3B"/>
    <w:rsid w:val="00427EBF"/>
    <w:rsid w:val="004362AB"/>
    <w:rsid w:val="004415FB"/>
    <w:rsid w:val="00441CE3"/>
    <w:rsid w:val="00442427"/>
    <w:rsid w:val="0044434A"/>
    <w:rsid w:val="00445E76"/>
    <w:rsid w:val="00452688"/>
    <w:rsid w:val="00452C60"/>
    <w:rsid w:val="0046384E"/>
    <w:rsid w:val="0046706B"/>
    <w:rsid w:val="00471284"/>
    <w:rsid w:val="00473696"/>
    <w:rsid w:val="0047491E"/>
    <w:rsid w:val="004837C6"/>
    <w:rsid w:val="00483998"/>
    <w:rsid w:val="0048438C"/>
    <w:rsid w:val="00484E4C"/>
    <w:rsid w:val="00491438"/>
    <w:rsid w:val="00491A1F"/>
    <w:rsid w:val="00492E3F"/>
    <w:rsid w:val="00493C33"/>
    <w:rsid w:val="00493F5C"/>
    <w:rsid w:val="004A171B"/>
    <w:rsid w:val="004B1DC3"/>
    <w:rsid w:val="004C780C"/>
    <w:rsid w:val="004D708E"/>
    <w:rsid w:val="004E357A"/>
    <w:rsid w:val="004E524E"/>
    <w:rsid w:val="004E65EB"/>
    <w:rsid w:val="004F0442"/>
    <w:rsid w:val="004F7174"/>
    <w:rsid w:val="0050355D"/>
    <w:rsid w:val="00503951"/>
    <w:rsid w:val="005055B5"/>
    <w:rsid w:val="00511BBF"/>
    <w:rsid w:val="00515E7B"/>
    <w:rsid w:val="005217F8"/>
    <w:rsid w:val="0052267A"/>
    <w:rsid w:val="0052311A"/>
    <w:rsid w:val="00531143"/>
    <w:rsid w:val="00536332"/>
    <w:rsid w:val="00543EB8"/>
    <w:rsid w:val="00554A33"/>
    <w:rsid w:val="00555E85"/>
    <w:rsid w:val="0055716D"/>
    <w:rsid w:val="00557953"/>
    <w:rsid w:val="00560E55"/>
    <w:rsid w:val="0056301A"/>
    <w:rsid w:val="00564041"/>
    <w:rsid w:val="005640E1"/>
    <w:rsid w:val="00564EA1"/>
    <w:rsid w:val="0056534C"/>
    <w:rsid w:val="00567CEE"/>
    <w:rsid w:val="005713F4"/>
    <w:rsid w:val="00571E64"/>
    <w:rsid w:val="00580F26"/>
    <w:rsid w:val="0058427E"/>
    <w:rsid w:val="00590907"/>
    <w:rsid w:val="00597492"/>
    <w:rsid w:val="005A3BD9"/>
    <w:rsid w:val="005A72F2"/>
    <w:rsid w:val="005B2194"/>
    <w:rsid w:val="005B2BC3"/>
    <w:rsid w:val="005B4801"/>
    <w:rsid w:val="005B4CFA"/>
    <w:rsid w:val="005B5E35"/>
    <w:rsid w:val="005C1A79"/>
    <w:rsid w:val="005E269C"/>
    <w:rsid w:val="005E3586"/>
    <w:rsid w:val="005E4DEE"/>
    <w:rsid w:val="005E5FF1"/>
    <w:rsid w:val="005F01CE"/>
    <w:rsid w:val="005F2721"/>
    <w:rsid w:val="005F70B6"/>
    <w:rsid w:val="00604CA6"/>
    <w:rsid w:val="00604DBE"/>
    <w:rsid w:val="006063E1"/>
    <w:rsid w:val="006065E4"/>
    <w:rsid w:val="00612045"/>
    <w:rsid w:val="00613AC9"/>
    <w:rsid w:val="00620E86"/>
    <w:rsid w:val="006219DD"/>
    <w:rsid w:val="00632ACC"/>
    <w:rsid w:val="00644D06"/>
    <w:rsid w:val="00650463"/>
    <w:rsid w:val="00651660"/>
    <w:rsid w:val="00652171"/>
    <w:rsid w:val="006616BE"/>
    <w:rsid w:val="006669D9"/>
    <w:rsid w:val="00670FEA"/>
    <w:rsid w:val="0067353C"/>
    <w:rsid w:val="00676163"/>
    <w:rsid w:val="00677808"/>
    <w:rsid w:val="00677C22"/>
    <w:rsid w:val="006808CC"/>
    <w:rsid w:val="00685899"/>
    <w:rsid w:val="00687928"/>
    <w:rsid w:val="0069012D"/>
    <w:rsid w:val="00692D30"/>
    <w:rsid w:val="00693760"/>
    <w:rsid w:val="00697477"/>
    <w:rsid w:val="006A037E"/>
    <w:rsid w:val="006A6160"/>
    <w:rsid w:val="006A7796"/>
    <w:rsid w:val="006B0495"/>
    <w:rsid w:val="006B0DCB"/>
    <w:rsid w:val="006B1CCD"/>
    <w:rsid w:val="006B2408"/>
    <w:rsid w:val="006B3AF9"/>
    <w:rsid w:val="006B414C"/>
    <w:rsid w:val="006B4B0F"/>
    <w:rsid w:val="006C02AA"/>
    <w:rsid w:val="006F4DE0"/>
    <w:rsid w:val="006F7332"/>
    <w:rsid w:val="00701315"/>
    <w:rsid w:val="0070385B"/>
    <w:rsid w:val="0070494F"/>
    <w:rsid w:val="00705758"/>
    <w:rsid w:val="0070717A"/>
    <w:rsid w:val="00713DE5"/>
    <w:rsid w:val="007174DA"/>
    <w:rsid w:val="00720910"/>
    <w:rsid w:val="00720F29"/>
    <w:rsid w:val="007224C2"/>
    <w:rsid w:val="007322D5"/>
    <w:rsid w:val="00737FEC"/>
    <w:rsid w:val="0075322B"/>
    <w:rsid w:val="00756AA0"/>
    <w:rsid w:val="00757CE6"/>
    <w:rsid w:val="00764A40"/>
    <w:rsid w:val="007671B6"/>
    <w:rsid w:val="007671DA"/>
    <w:rsid w:val="007719A8"/>
    <w:rsid w:val="00774593"/>
    <w:rsid w:val="00777060"/>
    <w:rsid w:val="00777599"/>
    <w:rsid w:val="00781E7E"/>
    <w:rsid w:val="00785801"/>
    <w:rsid w:val="00785CF8"/>
    <w:rsid w:val="00790AFE"/>
    <w:rsid w:val="00796CC0"/>
    <w:rsid w:val="007A1A35"/>
    <w:rsid w:val="007A22F3"/>
    <w:rsid w:val="007A5922"/>
    <w:rsid w:val="007B259B"/>
    <w:rsid w:val="007B310C"/>
    <w:rsid w:val="007B5018"/>
    <w:rsid w:val="007C0025"/>
    <w:rsid w:val="007C670D"/>
    <w:rsid w:val="007D0ED0"/>
    <w:rsid w:val="007D4A4A"/>
    <w:rsid w:val="007E0E05"/>
    <w:rsid w:val="007E13C5"/>
    <w:rsid w:val="007E1DD3"/>
    <w:rsid w:val="007E209F"/>
    <w:rsid w:val="007E4655"/>
    <w:rsid w:val="007E4B30"/>
    <w:rsid w:val="007E55E0"/>
    <w:rsid w:val="007E5C50"/>
    <w:rsid w:val="007F22A5"/>
    <w:rsid w:val="00810CC2"/>
    <w:rsid w:val="0081324B"/>
    <w:rsid w:val="00816193"/>
    <w:rsid w:val="008165E4"/>
    <w:rsid w:val="00817630"/>
    <w:rsid w:val="00825155"/>
    <w:rsid w:val="00825EB9"/>
    <w:rsid w:val="008303E2"/>
    <w:rsid w:val="008341F8"/>
    <w:rsid w:val="008359F3"/>
    <w:rsid w:val="00835DB6"/>
    <w:rsid w:val="00836AC2"/>
    <w:rsid w:val="00844C5B"/>
    <w:rsid w:val="008501A4"/>
    <w:rsid w:val="008505A1"/>
    <w:rsid w:val="00850817"/>
    <w:rsid w:val="0086124E"/>
    <w:rsid w:val="00863081"/>
    <w:rsid w:val="008652C9"/>
    <w:rsid w:val="00866992"/>
    <w:rsid w:val="00875991"/>
    <w:rsid w:val="00877FDD"/>
    <w:rsid w:val="00880FED"/>
    <w:rsid w:val="008841C8"/>
    <w:rsid w:val="00892BB8"/>
    <w:rsid w:val="00893014"/>
    <w:rsid w:val="00896755"/>
    <w:rsid w:val="008A2417"/>
    <w:rsid w:val="008A5D49"/>
    <w:rsid w:val="008A67DA"/>
    <w:rsid w:val="008A751E"/>
    <w:rsid w:val="008B0547"/>
    <w:rsid w:val="008B11A3"/>
    <w:rsid w:val="008B1FE5"/>
    <w:rsid w:val="008B434A"/>
    <w:rsid w:val="008B7B55"/>
    <w:rsid w:val="008C0E1E"/>
    <w:rsid w:val="008C3A5B"/>
    <w:rsid w:val="008C6490"/>
    <w:rsid w:val="008D251B"/>
    <w:rsid w:val="008D6F5D"/>
    <w:rsid w:val="008E003A"/>
    <w:rsid w:val="008E15E3"/>
    <w:rsid w:val="008E4C62"/>
    <w:rsid w:val="008E727E"/>
    <w:rsid w:val="008F2902"/>
    <w:rsid w:val="008F660B"/>
    <w:rsid w:val="009005CE"/>
    <w:rsid w:val="00901376"/>
    <w:rsid w:val="009020DE"/>
    <w:rsid w:val="009021A4"/>
    <w:rsid w:val="00904FAE"/>
    <w:rsid w:val="00912F07"/>
    <w:rsid w:val="0091511B"/>
    <w:rsid w:val="009239AA"/>
    <w:rsid w:val="009245B5"/>
    <w:rsid w:val="00934159"/>
    <w:rsid w:val="0093795C"/>
    <w:rsid w:val="009444E6"/>
    <w:rsid w:val="00944A8E"/>
    <w:rsid w:val="009455E6"/>
    <w:rsid w:val="00956BA7"/>
    <w:rsid w:val="00956FD8"/>
    <w:rsid w:val="009571E1"/>
    <w:rsid w:val="009575F7"/>
    <w:rsid w:val="0096021A"/>
    <w:rsid w:val="00960F73"/>
    <w:rsid w:val="009627E5"/>
    <w:rsid w:val="00963EBE"/>
    <w:rsid w:val="00971139"/>
    <w:rsid w:val="0097401F"/>
    <w:rsid w:val="00981335"/>
    <w:rsid w:val="00981FA0"/>
    <w:rsid w:val="00984366"/>
    <w:rsid w:val="00984C36"/>
    <w:rsid w:val="00984E80"/>
    <w:rsid w:val="0098690F"/>
    <w:rsid w:val="00987EE5"/>
    <w:rsid w:val="00997C8A"/>
    <w:rsid w:val="009A1339"/>
    <w:rsid w:val="009A3006"/>
    <w:rsid w:val="009A3994"/>
    <w:rsid w:val="009A50C7"/>
    <w:rsid w:val="009B62AF"/>
    <w:rsid w:val="009D1B99"/>
    <w:rsid w:val="009D5445"/>
    <w:rsid w:val="009D565F"/>
    <w:rsid w:val="009D65B9"/>
    <w:rsid w:val="009E04DC"/>
    <w:rsid w:val="009E0FB3"/>
    <w:rsid w:val="009E5105"/>
    <w:rsid w:val="009F2FDE"/>
    <w:rsid w:val="009F6233"/>
    <w:rsid w:val="00A0244C"/>
    <w:rsid w:val="00A033FF"/>
    <w:rsid w:val="00A04275"/>
    <w:rsid w:val="00A1329C"/>
    <w:rsid w:val="00A14E25"/>
    <w:rsid w:val="00A16A60"/>
    <w:rsid w:val="00A17A3D"/>
    <w:rsid w:val="00A2062A"/>
    <w:rsid w:val="00A20678"/>
    <w:rsid w:val="00A21E19"/>
    <w:rsid w:val="00A21E54"/>
    <w:rsid w:val="00A30683"/>
    <w:rsid w:val="00A3115F"/>
    <w:rsid w:val="00A33030"/>
    <w:rsid w:val="00A378A2"/>
    <w:rsid w:val="00A4422A"/>
    <w:rsid w:val="00A545FD"/>
    <w:rsid w:val="00A56B52"/>
    <w:rsid w:val="00A57883"/>
    <w:rsid w:val="00A60F52"/>
    <w:rsid w:val="00A63286"/>
    <w:rsid w:val="00A63B4C"/>
    <w:rsid w:val="00A664E7"/>
    <w:rsid w:val="00A66E7F"/>
    <w:rsid w:val="00A72647"/>
    <w:rsid w:val="00A75C52"/>
    <w:rsid w:val="00A767B2"/>
    <w:rsid w:val="00A82B9E"/>
    <w:rsid w:val="00A84186"/>
    <w:rsid w:val="00A85B14"/>
    <w:rsid w:val="00A9704A"/>
    <w:rsid w:val="00A97AD0"/>
    <w:rsid w:val="00AA1377"/>
    <w:rsid w:val="00AA49AF"/>
    <w:rsid w:val="00AA57CE"/>
    <w:rsid w:val="00AA7540"/>
    <w:rsid w:val="00AB7E3E"/>
    <w:rsid w:val="00AC0BAE"/>
    <w:rsid w:val="00AC126F"/>
    <w:rsid w:val="00AE1128"/>
    <w:rsid w:val="00AE1AB0"/>
    <w:rsid w:val="00AE2233"/>
    <w:rsid w:val="00AE2609"/>
    <w:rsid w:val="00AE439A"/>
    <w:rsid w:val="00AE52B8"/>
    <w:rsid w:val="00AF09C7"/>
    <w:rsid w:val="00AF5322"/>
    <w:rsid w:val="00B03D35"/>
    <w:rsid w:val="00B05065"/>
    <w:rsid w:val="00B05194"/>
    <w:rsid w:val="00B17303"/>
    <w:rsid w:val="00B25143"/>
    <w:rsid w:val="00B2585D"/>
    <w:rsid w:val="00B27359"/>
    <w:rsid w:val="00B33FC2"/>
    <w:rsid w:val="00B347F1"/>
    <w:rsid w:val="00B3502B"/>
    <w:rsid w:val="00B35C3E"/>
    <w:rsid w:val="00B36473"/>
    <w:rsid w:val="00B43693"/>
    <w:rsid w:val="00B44029"/>
    <w:rsid w:val="00B47943"/>
    <w:rsid w:val="00B50446"/>
    <w:rsid w:val="00B530FD"/>
    <w:rsid w:val="00B5639B"/>
    <w:rsid w:val="00B60C3E"/>
    <w:rsid w:val="00B64775"/>
    <w:rsid w:val="00B67B4F"/>
    <w:rsid w:val="00B72191"/>
    <w:rsid w:val="00B81718"/>
    <w:rsid w:val="00B86AF6"/>
    <w:rsid w:val="00B86E2A"/>
    <w:rsid w:val="00B96EA4"/>
    <w:rsid w:val="00B97A3E"/>
    <w:rsid w:val="00BA2FFD"/>
    <w:rsid w:val="00BB37AF"/>
    <w:rsid w:val="00BB4C08"/>
    <w:rsid w:val="00BC5737"/>
    <w:rsid w:val="00BD3C68"/>
    <w:rsid w:val="00BD421D"/>
    <w:rsid w:val="00BD5978"/>
    <w:rsid w:val="00BD5DE1"/>
    <w:rsid w:val="00BE4614"/>
    <w:rsid w:val="00BE4E6F"/>
    <w:rsid w:val="00BE529D"/>
    <w:rsid w:val="00BE6637"/>
    <w:rsid w:val="00BF0EB6"/>
    <w:rsid w:val="00BF10E8"/>
    <w:rsid w:val="00BF3158"/>
    <w:rsid w:val="00C03A04"/>
    <w:rsid w:val="00C03A0F"/>
    <w:rsid w:val="00C046F7"/>
    <w:rsid w:val="00C10C0B"/>
    <w:rsid w:val="00C1776A"/>
    <w:rsid w:val="00C22519"/>
    <w:rsid w:val="00C2305C"/>
    <w:rsid w:val="00C233D0"/>
    <w:rsid w:val="00C24162"/>
    <w:rsid w:val="00C2509D"/>
    <w:rsid w:val="00C33326"/>
    <w:rsid w:val="00C34ABD"/>
    <w:rsid w:val="00C35F43"/>
    <w:rsid w:val="00C44A07"/>
    <w:rsid w:val="00C44BDC"/>
    <w:rsid w:val="00C45BFB"/>
    <w:rsid w:val="00C54B14"/>
    <w:rsid w:val="00C6352A"/>
    <w:rsid w:val="00C65B2D"/>
    <w:rsid w:val="00C65C5D"/>
    <w:rsid w:val="00C711E5"/>
    <w:rsid w:val="00C76339"/>
    <w:rsid w:val="00C83AEE"/>
    <w:rsid w:val="00C842AB"/>
    <w:rsid w:val="00C85AC7"/>
    <w:rsid w:val="00C906CD"/>
    <w:rsid w:val="00CA20C7"/>
    <w:rsid w:val="00CA6716"/>
    <w:rsid w:val="00CA7CB9"/>
    <w:rsid w:val="00CB23A8"/>
    <w:rsid w:val="00CC42D4"/>
    <w:rsid w:val="00CD2536"/>
    <w:rsid w:val="00CF230D"/>
    <w:rsid w:val="00CF466D"/>
    <w:rsid w:val="00CF5489"/>
    <w:rsid w:val="00CF7615"/>
    <w:rsid w:val="00D00393"/>
    <w:rsid w:val="00D003F8"/>
    <w:rsid w:val="00D10769"/>
    <w:rsid w:val="00D116C7"/>
    <w:rsid w:val="00D13AC5"/>
    <w:rsid w:val="00D14E5F"/>
    <w:rsid w:val="00D2041E"/>
    <w:rsid w:val="00D341C9"/>
    <w:rsid w:val="00D3447D"/>
    <w:rsid w:val="00D3488B"/>
    <w:rsid w:val="00D361DE"/>
    <w:rsid w:val="00D37941"/>
    <w:rsid w:val="00D46C4C"/>
    <w:rsid w:val="00D51F18"/>
    <w:rsid w:val="00D564BB"/>
    <w:rsid w:val="00D565FA"/>
    <w:rsid w:val="00D568ED"/>
    <w:rsid w:val="00D6014E"/>
    <w:rsid w:val="00D630E7"/>
    <w:rsid w:val="00D700E5"/>
    <w:rsid w:val="00D753BB"/>
    <w:rsid w:val="00D75ECD"/>
    <w:rsid w:val="00D76186"/>
    <w:rsid w:val="00D86DD4"/>
    <w:rsid w:val="00D92529"/>
    <w:rsid w:val="00D977E7"/>
    <w:rsid w:val="00DA5AAB"/>
    <w:rsid w:val="00DA6858"/>
    <w:rsid w:val="00DB1B11"/>
    <w:rsid w:val="00DB1CD7"/>
    <w:rsid w:val="00DB2651"/>
    <w:rsid w:val="00DB4717"/>
    <w:rsid w:val="00DC09A0"/>
    <w:rsid w:val="00DC6F31"/>
    <w:rsid w:val="00DD6D82"/>
    <w:rsid w:val="00DE045E"/>
    <w:rsid w:val="00DE23D6"/>
    <w:rsid w:val="00DE2CB6"/>
    <w:rsid w:val="00DE2DDE"/>
    <w:rsid w:val="00DE5414"/>
    <w:rsid w:val="00DE74F1"/>
    <w:rsid w:val="00DF0C37"/>
    <w:rsid w:val="00DF2506"/>
    <w:rsid w:val="00DF301A"/>
    <w:rsid w:val="00DF3469"/>
    <w:rsid w:val="00DF3BE2"/>
    <w:rsid w:val="00DF4E2C"/>
    <w:rsid w:val="00DF6192"/>
    <w:rsid w:val="00DF75EC"/>
    <w:rsid w:val="00E02DC9"/>
    <w:rsid w:val="00E079C6"/>
    <w:rsid w:val="00E146CF"/>
    <w:rsid w:val="00E23C05"/>
    <w:rsid w:val="00E247E2"/>
    <w:rsid w:val="00E2565F"/>
    <w:rsid w:val="00E272C3"/>
    <w:rsid w:val="00E304EB"/>
    <w:rsid w:val="00E329D0"/>
    <w:rsid w:val="00E3307D"/>
    <w:rsid w:val="00E33746"/>
    <w:rsid w:val="00E36B53"/>
    <w:rsid w:val="00E37585"/>
    <w:rsid w:val="00E469D5"/>
    <w:rsid w:val="00E46CD5"/>
    <w:rsid w:val="00E500D9"/>
    <w:rsid w:val="00E51AB5"/>
    <w:rsid w:val="00E52345"/>
    <w:rsid w:val="00E52763"/>
    <w:rsid w:val="00E563AE"/>
    <w:rsid w:val="00E578C7"/>
    <w:rsid w:val="00E64ED6"/>
    <w:rsid w:val="00E662CD"/>
    <w:rsid w:val="00E71A2E"/>
    <w:rsid w:val="00E73271"/>
    <w:rsid w:val="00E74214"/>
    <w:rsid w:val="00E74D52"/>
    <w:rsid w:val="00E75855"/>
    <w:rsid w:val="00E772B5"/>
    <w:rsid w:val="00E86566"/>
    <w:rsid w:val="00E875F5"/>
    <w:rsid w:val="00E92527"/>
    <w:rsid w:val="00E97045"/>
    <w:rsid w:val="00EA270C"/>
    <w:rsid w:val="00EA366A"/>
    <w:rsid w:val="00EA5CF4"/>
    <w:rsid w:val="00EB09B9"/>
    <w:rsid w:val="00EB7CB1"/>
    <w:rsid w:val="00EC0578"/>
    <w:rsid w:val="00EC1C35"/>
    <w:rsid w:val="00EC2322"/>
    <w:rsid w:val="00ED0557"/>
    <w:rsid w:val="00ED2868"/>
    <w:rsid w:val="00ED34D4"/>
    <w:rsid w:val="00EE30EE"/>
    <w:rsid w:val="00EE6DE6"/>
    <w:rsid w:val="00EF057C"/>
    <w:rsid w:val="00EF1D14"/>
    <w:rsid w:val="00F01B31"/>
    <w:rsid w:val="00F03AB9"/>
    <w:rsid w:val="00F06479"/>
    <w:rsid w:val="00F076C5"/>
    <w:rsid w:val="00F1006C"/>
    <w:rsid w:val="00F120D9"/>
    <w:rsid w:val="00F124BE"/>
    <w:rsid w:val="00F14CB4"/>
    <w:rsid w:val="00F27170"/>
    <w:rsid w:val="00F30016"/>
    <w:rsid w:val="00F31C75"/>
    <w:rsid w:val="00F341CC"/>
    <w:rsid w:val="00F40CAB"/>
    <w:rsid w:val="00F47C5C"/>
    <w:rsid w:val="00F54856"/>
    <w:rsid w:val="00F64F51"/>
    <w:rsid w:val="00F765E8"/>
    <w:rsid w:val="00F867BE"/>
    <w:rsid w:val="00F86D88"/>
    <w:rsid w:val="00F87FA7"/>
    <w:rsid w:val="00F9473C"/>
    <w:rsid w:val="00FA40A3"/>
    <w:rsid w:val="00FB3BA6"/>
    <w:rsid w:val="00FB4B9A"/>
    <w:rsid w:val="00FB4D65"/>
    <w:rsid w:val="00FB5954"/>
    <w:rsid w:val="00FB7674"/>
    <w:rsid w:val="00FC0CDF"/>
    <w:rsid w:val="00FC183A"/>
    <w:rsid w:val="00FC3D1C"/>
    <w:rsid w:val="00FD08A7"/>
    <w:rsid w:val="00FD2E55"/>
    <w:rsid w:val="00FD2FA9"/>
    <w:rsid w:val="00FD5EE3"/>
    <w:rsid w:val="00FE01C8"/>
    <w:rsid w:val="00FF025A"/>
    <w:rsid w:val="00FF088B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FC08F2E-A192-4D85-98F0-5EDFB55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7941"/>
    <w:pPr>
      <w:keepNext/>
      <w:keepLines/>
      <w:spacing w:before="200" w:after="0"/>
      <w:ind w:left="0"/>
      <w:jc w:val="left"/>
      <w:outlineLvl w:val="2"/>
    </w:pPr>
    <w:rPr>
      <w:rFonts w:ascii="Cambria" w:eastAsia="Times New Roman" w:hAnsi="Cambria"/>
      <w:b/>
      <w:bCs/>
      <w:color w:val="4F81BD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character" w:customStyle="1" w:styleId="CharacterStyle2">
    <w:name w:val="Character Style 2"/>
    <w:uiPriority w:val="99"/>
    <w:rsid w:val="00984C36"/>
    <w:rPr>
      <w:sz w:val="20"/>
    </w:rPr>
  </w:style>
  <w:style w:type="paragraph" w:customStyle="1" w:styleId="Normal0">
    <w:name w:val="#Normal"/>
    <w:rsid w:val="0021481D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bullet">
    <w:name w:val="#Normal-bullet"/>
    <w:qFormat/>
    <w:rsid w:val="0021481D"/>
    <w:pPr>
      <w:numPr>
        <w:numId w:val="18"/>
      </w:numPr>
      <w:tabs>
        <w:tab w:val="left" w:pos="1134"/>
      </w:tabs>
      <w:spacing w:before="60" w:after="60"/>
      <w:jc w:val="both"/>
    </w:pPr>
    <w:rPr>
      <w:rFonts w:eastAsia="Times New Roman"/>
      <w:sz w:val="24"/>
      <w:szCs w:val="24"/>
      <w:lang w:eastAsia="ar-SA"/>
    </w:rPr>
  </w:style>
  <w:style w:type="paragraph" w:customStyle="1" w:styleId="Acordao-VISTOS-em-diante">
    <w:name w:val="#Acordao-VISTOS-em-diante"/>
    <w:uiPriority w:val="99"/>
    <w:rsid w:val="00E272C3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7941"/>
    <w:rPr>
      <w:rFonts w:ascii="Cambria" w:eastAsia="Times New Roman" w:hAnsi="Cambria" w:cs="Times New Roman"/>
      <w:b/>
      <w:bCs/>
      <w:color w:val="4F81BD"/>
      <w:sz w:val="24"/>
      <w:szCs w:val="22"/>
      <w:lang w:eastAsia="en-US"/>
    </w:rPr>
  </w:style>
  <w:style w:type="paragraph" w:customStyle="1" w:styleId="TercNvel">
    <w:name w:val="Terc Nível"/>
    <w:basedOn w:val="Corpodetexto"/>
    <w:rsid w:val="00CA20C7"/>
    <w:pPr>
      <w:numPr>
        <w:ilvl w:val="2"/>
        <w:numId w:val="19"/>
      </w:numPr>
      <w:spacing w:before="60" w:after="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portaltextual/MostraDocumento?lnk=(AC-2150-40/08-P)%5bNUMD%5d%5bB001%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juris@tc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FDC0-48D4-469B-B84F-068FE5A8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3500</Words>
  <Characters>18901</Characters>
  <Application>Microsoft Office Word</Application>
  <DocSecurity>4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22357</CharactersWithSpaces>
  <SharedDoc>false</SharedDoc>
  <HLinks>
    <vt:vector size="12" baseType="variant"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https://contas.tcu.gov.br/portaltextual/MostraDocumento?lnk=(AC-2150-40/08-P)%5bNUMD%5d%5bB001%5d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2010-10-21T14:19:00Z</cp:lastPrinted>
  <dcterms:created xsi:type="dcterms:W3CDTF">2015-05-07T12:33:00Z</dcterms:created>
  <dcterms:modified xsi:type="dcterms:W3CDTF">2015-05-07T12:33:00Z</dcterms:modified>
</cp:coreProperties>
</file>