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337E16" w:rsidRDefault="009444E6" w:rsidP="00337E16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Sessões: </w:t>
      </w:r>
      <w:r w:rsidR="00DB1B11">
        <w:rPr>
          <w:rFonts w:ascii="Times New Roman" w:hAnsi="Times New Roman"/>
          <w:b/>
          <w:i w:val="0"/>
          <w:sz w:val="22"/>
          <w:szCs w:val="22"/>
        </w:rPr>
        <w:t>28</w:t>
      </w:r>
      <w:r w:rsidR="00F01B31" w:rsidRPr="00337E16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DB1B11">
        <w:rPr>
          <w:rFonts w:ascii="Times New Roman" w:hAnsi="Times New Roman"/>
          <w:b/>
          <w:i w:val="0"/>
          <w:sz w:val="22"/>
          <w:szCs w:val="22"/>
        </w:rPr>
        <w:t>29</w:t>
      </w:r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55716D">
        <w:rPr>
          <w:rFonts w:ascii="Times New Roman" w:hAnsi="Times New Roman"/>
          <w:b/>
          <w:i w:val="0"/>
          <w:sz w:val="22"/>
          <w:szCs w:val="22"/>
        </w:rPr>
        <w:t>setembro</w:t>
      </w:r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 de 2010</w:t>
      </w:r>
    </w:p>
    <w:p w:rsidR="002D35F5" w:rsidRPr="00337E16" w:rsidRDefault="002D35F5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337E16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data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acima indicada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>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337E16" w:rsidRDefault="00FF7C62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337E16" w:rsidRDefault="002D35F5" w:rsidP="00337E1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337E16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337E16" w:rsidRDefault="009444E6" w:rsidP="00337E16">
      <w:pPr>
        <w:pStyle w:val="tita"/>
        <w:spacing w:before="45" w:after="0" w:line="240" w:lineRule="auto"/>
        <w:jc w:val="both"/>
        <w:rPr>
          <w:i w:val="0"/>
          <w:iCs w:val="0"/>
          <w:sz w:val="22"/>
          <w:szCs w:val="22"/>
        </w:rPr>
      </w:pPr>
      <w:r w:rsidRPr="00337E16">
        <w:rPr>
          <w:i w:val="0"/>
          <w:iCs w:val="0"/>
          <w:sz w:val="22"/>
          <w:szCs w:val="22"/>
        </w:rPr>
        <w:t>Plenário</w:t>
      </w:r>
    </w:p>
    <w:p w:rsidR="00E71A2E" w:rsidRDefault="00E71A2E" w:rsidP="0058427E">
      <w:pPr>
        <w:pStyle w:val="indice"/>
        <w:spacing w:before="60" w:line="240" w:lineRule="auto"/>
      </w:pPr>
      <w:r>
        <w:t>O enquadramento</w:t>
      </w:r>
      <w:r w:rsidR="00E578C7">
        <w:t>, o reenquadramento</w:t>
      </w:r>
      <w:r w:rsidR="007E13C5">
        <w:t xml:space="preserve"> e</w:t>
      </w:r>
      <w:r>
        <w:t xml:space="preserve"> o desenquadramento como </w:t>
      </w:r>
      <w:r w:rsidR="007E13C5">
        <w:t>microempresa ou empresa de pequeno porte</w:t>
      </w:r>
      <w:r>
        <w:t xml:space="preserve"> são efetuados com base em declaração do próprio empresário, perante a Junta Comercial competente.</w:t>
      </w:r>
    </w:p>
    <w:p w:rsidR="00190EE8" w:rsidRPr="00190EE8" w:rsidRDefault="00190EE8" w:rsidP="0058427E">
      <w:pPr>
        <w:pStyle w:val="indice"/>
        <w:spacing w:before="60" w:line="240" w:lineRule="auto"/>
      </w:pPr>
      <w:r w:rsidRPr="00190EE8">
        <w:t>Fornecimento de vale</w:t>
      </w:r>
      <w:r w:rsidR="00E578C7">
        <w:t>-</w:t>
      </w:r>
      <w:r w:rsidRPr="00190EE8">
        <w:t xml:space="preserve">refeição: </w:t>
      </w:r>
      <w:r w:rsidR="00323394">
        <w:t xml:space="preserve">a </w:t>
      </w:r>
      <w:r w:rsidRPr="00190EE8">
        <w:t xml:space="preserve">exigência de </w:t>
      </w:r>
      <w:r w:rsidR="006A6160">
        <w:t xml:space="preserve">comprovação de </w:t>
      </w:r>
      <w:r w:rsidRPr="00190EE8">
        <w:t xml:space="preserve">rede credenciada próxima </w:t>
      </w:r>
      <w:r w:rsidR="00323394">
        <w:t>ao ente público</w:t>
      </w:r>
      <w:r w:rsidRPr="00190EE8">
        <w:t xml:space="preserve"> </w:t>
      </w:r>
      <w:r w:rsidR="00E578C7">
        <w:t xml:space="preserve">demandante </w:t>
      </w:r>
      <w:r w:rsidR="00323394">
        <w:t xml:space="preserve">deve ser feita </w:t>
      </w:r>
      <w:r w:rsidR="00E578C7">
        <w:t>somente</w:t>
      </w:r>
      <w:r w:rsidRPr="00190EE8">
        <w:t xml:space="preserve"> </w:t>
      </w:r>
      <w:r w:rsidR="00E578C7">
        <w:t>no momento da</w:t>
      </w:r>
      <w:r w:rsidRPr="00190EE8">
        <w:t xml:space="preserve"> contratação</w:t>
      </w:r>
      <w:r w:rsidR="001C74F5">
        <w:t>.</w:t>
      </w:r>
    </w:p>
    <w:p w:rsidR="00190EE8" w:rsidRPr="00190EE8" w:rsidRDefault="00190EE8" w:rsidP="0058427E">
      <w:pPr>
        <w:pStyle w:val="indice"/>
        <w:spacing w:before="60" w:line="240" w:lineRule="auto"/>
      </w:pPr>
      <w:r w:rsidRPr="00190EE8">
        <w:t>Alteraç</w:t>
      </w:r>
      <w:r w:rsidR="001D0814">
        <w:t>ões</w:t>
      </w:r>
      <w:r w:rsidRPr="00190EE8">
        <w:t xml:space="preserve"> contratua</w:t>
      </w:r>
      <w:r w:rsidR="001D0814">
        <w:t>is envolvendo</w:t>
      </w:r>
      <w:r w:rsidRPr="00190EE8">
        <w:t xml:space="preserve"> acréscimos e supressões de itens: cálculo em separado dos limites legais</w:t>
      </w:r>
      <w:r w:rsidR="001C74F5">
        <w:t>.</w:t>
      </w:r>
    </w:p>
    <w:p w:rsidR="0055716D" w:rsidRPr="00337E16" w:rsidRDefault="0055716D" w:rsidP="0055716D">
      <w:pPr>
        <w:pStyle w:val="tita"/>
        <w:spacing w:before="60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Primeira</w:t>
      </w:r>
      <w:r w:rsidRPr="00337E16">
        <w:rPr>
          <w:i w:val="0"/>
          <w:iCs w:val="0"/>
          <w:sz w:val="22"/>
          <w:szCs w:val="22"/>
        </w:rPr>
        <w:t xml:space="preserve"> Câmara</w:t>
      </w:r>
    </w:p>
    <w:p w:rsidR="0055716D" w:rsidRPr="00337E16" w:rsidRDefault="008C6490" w:rsidP="0055716D">
      <w:pPr>
        <w:pStyle w:val="enter-3pt"/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Pressupostos para a </w:t>
      </w:r>
      <w:r w:rsidR="00F14CB4">
        <w:rPr>
          <w:sz w:val="22"/>
          <w:szCs w:val="22"/>
        </w:rPr>
        <w:t>dispensa de licitação</w:t>
      </w:r>
      <w:r>
        <w:rPr>
          <w:sz w:val="22"/>
          <w:szCs w:val="22"/>
        </w:rPr>
        <w:t xml:space="preserve"> com fundamento no art. 24, XXIII, da Lei n.º 8.666/93</w:t>
      </w:r>
      <w:r w:rsidR="0055716D">
        <w:rPr>
          <w:sz w:val="22"/>
          <w:szCs w:val="22"/>
        </w:rPr>
        <w:t>.</w:t>
      </w:r>
    </w:p>
    <w:p w:rsidR="00BC5737" w:rsidRPr="00337E16" w:rsidRDefault="00BC5737" w:rsidP="00BC5737">
      <w:pPr>
        <w:pStyle w:val="tita"/>
        <w:spacing w:before="60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Segunda</w:t>
      </w:r>
      <w:r w:rsidRPr="00337E16">
        <w:rPr>
          <w:i w:val="0"/>
          <w:iCs w:val="0"/>
          <w:sz w:val="22"/>
          <w:szCs w:val="22"/>
        </w:rPr>
        <w:t xml:space="preserve"> Câmara</w:t>
      </w:r>
    </w:p>
    <w:p w:rsidR="00F14CB4" w:rsidRPr="00F14CB4" w:rsidRDefault="00F14CB4" w:rsidP="00F14CB4">
      <w:pPr>
        <w:pStyle w:val="Pargrafo"/>
        <w:jc w:val="both"/>
        <w:rPr>
          <w:sz w:val="22"/>
          <w:szCs w:val="22"/>
        </w:rPr>
      </w:pPr>
      <w:r w:rsidRPr="00F14CB4">
        <w:rPr>
          <w:sz w:val="22"/>
          <w:szCs w:val="22"/>
        </w:rPr>
        <w:t>Majoração linear, a título de reequilíbrio econômico-financeiro, dos preços inicialmente pactuados, como consequência d</w:t>
      </w:r>
      <w:r w:rsidR="002C1C8E">
        <w:rPr>
          <w:sz w:val="22"/>
          <w:szCs w:val="22"/>
        </w:rPr>
        <w:t>a</w:t>
      </w:r>
      <w:r w:rsidRPr="00F14CB4">
        <w:rPr>
          <w:sz w:val="22"/>
          <w:szCs w:val="22"/>
        </w:rPr>
        <w:t xml:space="preserve"> subavaliação dos preços constantes do orçamento </w:t>
      </w:r>
      <w:r w:rsidR="002C1C8E">
        <w:rPr>
          <w:sz w:val="22"/>
          <w:szCs w:val="22"/>
        </w:rPr>
        <w:t>elaborado</w:t>
      </w:r>
      <w:r w:rsidRPr="00F14CB4">
        <w:rPr>
          <w:sz w:val="22"/>
          <w:szCs w:val="22"/>
        </w:rPr>
        <w:t xml:space="preserve"> pela Administração e adotado como referência para a proposta da </w:t>
      </w:r>
      <w:r w:rsidR="002C1C8E">
        <w:rPr>
          <w:sz w:val="22"/>
          <w:szCs w:val="22"/>
        </w:rPr>
        <w:t>contratada</w:t>
      </w:r>
      <w:r>
        <w:rPr>
          <w:sz w:val="22"/>
          <w:szCs w:val="22"/>
        </w:rPr>
        <w:t>.</w:t>
      </w:r>
    </w:p>
    <w:p w:rsidR="007322D5" w:rsidRPr="00337E16" w:rsidRDefault="00BD5DE1" w:rsidP="007322D5">
      <w:pPr>
        <w:pStyle w:val="indice"/>
        <w:tabs>
          <w:tab w:val="left" w:pos="567"/>
        </w:tabs>
        <w:spacing w:before="60" w:line="240" w:lineRule="auto"/>
      </w:pPr>
      <w:r>
        <w:t>Justificativa</w:t>
      </w:r>
      <w:r w:rsidR="007322D5">
        <w:t xml:space="preserve"> </w:t>
      </w:r>
      <w:r>
        <w:t xml:space="preserve">para prosseguimento de </w:t>
      </w:r>
      <w:r w:rsidR="00DC09A0">
        <w:t>certame</w:t>
      </w:r>
      <w:r>
        <w:t xml:space="preserve"> na modalidade </w:t>
      </w:r>
      <w:r w:rsidR="00DC09A0">
        <w:t xml:space="preserve">de </w:t>
      </w:r>
      <w:r>
        <w:t>convite sem o quórum mínimo de licitantes</w:t>
      </w:r>
      <w:r w:rsidR="00CA7CB9">
        <w:t>.</w:t>
      </w:r>
    </w:p>
    <w:p w:rsidR="003C6DEB" w:rsidRPr="00337E16" w:rsidRDefault="003C6DEB" w:rsidP="00337E16">
      <w:pPr>
        <w:pStyle w:val="indice"/>
        <w:spacing w:line="240" w:lineRule="auto"/>
      </w:pPr>
    </w:p>
    <w:p w:rsidR="003C6DEB" w:rsidRPr="00337E16" w:rsidRDefault="003C6DEB" w:rsidP="00337E1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Default="003C6DEB" w:rsidP="00337E16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9E5105" w:rsidRPr="007E13C5" w:rsidRDefault="007E13C5" w:rsidP="00351C09">
      <w:pPr>
        <w:pStyle w:val="enter-3pt"/>
        <w:spacing w:line="240" w:lineRule="auto"/>
        <w:rPr>
          <w:b/>
          <w:sz w:val="22"/>
          <w:szCs w:val="22"/>
        </w:rPr>
      </w:pPr>
      <w:r w:rsidRPr="007E13C5">
        <w:rPr>
          <w:b/>
          <w:sz w:val="22"/>
          <w:szCs w:val="22"/>
        </w:rPr>
        <w:t>O enquadramento</w:t>
      </w:r>
      <w:r w:rsidR="00E578C7">
        <w:rPr>
          <w:b/>
          <w:sz w:val="22"/>
          <w:szCs w:val="22"/>
        </w:rPr>
        <w:t>, o reenquadramento</w:t>
      </w:r>
      <w:r w:rsidRPr="007E13C5">
        <w:rPr>
          <w:b/>
          <w:sz w:val="22"/>
          <w:szCs w:val="22"/>
        </w:rPr>
        <w:t xml:space="preserve"> e o desenquadramento como microempresa ou empresa de pequeno porte são efetuados com base em declaração do próprio empresário, perante a Junta Comercial competente</w:t>
      </w:r>
    </w:p>
    <w:p w:rsidR="009E5105" w:rsidRPr="00337E16" w:rsidRDefault="00984C36" w:rsidP="00312529">
      <w:pPr>
        <w:pStyle w:val="enter-3pt"/>
        <w:spacing w:line="240" w:lineRule="auto"/>
        <w:rPr>
          <w:sz w:val="22"/>
          <w:szCs w:val="22"/>
        </w:rPr>
      </w:pPr>
      <w:r w:rsidRPr="00351C09">
        <w:rPr>
          <w:sz w:val="22"/>
          <w:szCs w:val="22"/>
        </w:rPr>
        <w:t>A participação em licitação reservada a microempresa (ME) e empresa de pequeno porte (EPP)</w:t>
      </w:r>
      <w:r w:rsidR="00FD5EE3">
        <w:rPr>
          <w:sz w:val="22"/>
          <w:szCs w:val="22"/>
        </w:rPr>
        <w:t>,</w:t>
      </w:r>
      <w:r w:rsidRPr="00351C09">
        <w:rPr>
          <w:sz w:val="22"/>
          <w:szCs w:val="22"/>
        </w:rPr>
        <w:t xml:space="preserve"> por sociedade que não se enquadre na definição legal reservada a essas categorias</w:t>
      </w:r>
      <w:r w:rsidR="00FD5EE3">
        <w:rPr>
          <w:sz w:val="22"/>
          <w:szCs w:val="22"/>
        </w:rPr>
        <w:t>,</w:t>
      </w:r>
      <w:r w:rsidRPr="00351C09">
        <w:rPr>
          <w:sz w:val="22"/>
          <w:szCs w:val="22"/>
        </w:rPr>
        <w:t xml:space="preserve"> configura fraude ao certame</w:t>
      </w:r>
      <w:r w:rsidR="00FD5EE3">
        <w:rPr>
          <w:sz w:val="22"/>
          <w:szCs w:val="22"/>
        </w:rPr>
        <w:t xml:space="preserve">, </w:t>
      </w:r>
      <w:r w:rsidR="007E13C5">
        <w:rPr>
          <w:sz w:val="22"/>
          <w:szCs w:val="22"/>
        </w:rPr>
        <w:t>isso porque</w:t>
      </w:r>
      <w:r w:rsidR="00FD5EE3">
        <w:rPr>
          <w:sz w:val="22"/>
          <w:szCs w:val="22"/>
        </w:rPr>
        <w:t xml:space="preserve"> </w:t>
      </w:r>
      <w:r w:rsidR="00FD5EE3" w:rsidRPr="00FD5EE3">
        <w:rPr>
          <w:i/>
          <w:sz w:val="22"/>
          <w:szCs w:val="22"/>
        </w:rPr>
        <w:t>“a</w:t>
      </w:r>
      <w:r w:rsidRPr="00FD5EE3">
        <w:rPr>
          <w:i/>
          <w:sz w:val="22"/>
          <w:szCs w:val="22"/>
        </w:rPr>
        <w:t xml:space="preserve"> responsabilidade pela atualização e veracidade das declarações de pertencimento às categorias acima compete às firmas licitantes</w:t>
      </w:r>
      <w:r w:rsidR="00FD5EE3" w:rsidRPr="00FD5EE3">
        <w:rPr>
          <w:i/>
          <w:sz w:val="22"/>
          <w:szCs w:val="22"/>
        </w:rPr>
        <w:t>”</w:t>
      </w:r>
      <w:r w:rsidRPr="00351C09">
        <w:rPr>
          <w:sz w:val="22"/>
          <w:szCs w:val="22"/>
        </w:rPr>
        <w:t>.</w:t>
      </w:r>
      <w:r w:rsidR="00FB4B9A">
        <w:rPr>
          <w:sz w:val="22"/>
          <w:szCs w:val="22"/>
        </w:rPr>
        <w:t xml:space="preserve"> </w:t>
      </w:r>
      <w:r w:rsidR="002E5983">
        <w:rPr>
          <w:sz w:val="22"/>
          <w:szCs w:val="22"/>
        </w:rPr>
        <w:t xml:space="preserve">Foi esse o entendimento defendido pelo relator, ao </w:t>
      </w:r>
      <w:r w:rsidR="007E13C5">
        <w:rPr>
          <w:sz w:val="22"/>
          <w:szCs w:val="22"/>
        </w:rPr>
        <w:t>examinar</w:t>
      </w:r>
      <w:r w:rsidR="002E5983">
        <w:rPr>
          <w:sz w:val="22"/>
          <w:szCs w:val="22"/>
        </w:rPr>
        <w:t xml:space="preserve"> representação</w:t>
      </w:r>
      <w:r w:rsidR="007E13C5">
        <w:rPr>
          <w:sz w:val="22"/>
          <w:szCs w:val="22"/>
        </w:rPr>
        <w:t xml:space="preserve"> formulada ao TCU</w:t>
      </w:r>
      <w:r w:rsidR="002E5983">
        <w:rPr>
          <w:sz w:val="22"/>
          <w:szCs w:val="22"/>
        </w:rPr>
        <w:t xml:space="preserve"> contra </w:t>
      </w:r>
      <w:r w:rsidRPr="00351C09">
        <w:rPr>
          <w:sz w:val="22"/>
          <w:szCs w:val="22"/>
        </w:rPr>
        <w:t xml:space="preserve">possíveis irregularidades </w:t>
      </w:r>
      <w:r w:rsidR="007E13C5">
        <w:rPr>
          <w:sz w:val="22"/>
          <w:szCs w:val="22"/>
        </w:rPr>
        <w:t>perpetradas</w:t>
      </w:r>
      <w:r w:rsidRPr="00351C09">
        <w:rPr>
          <w:sz w:val="22"/>
          <w:szCs w:val="22"/>
        </w:rPr>
        <w:t xml:space="preserve"> por empresas</w:t>
      </w:r>
      <w:r w:rsidR="00E578C7">
        <w:rPr>
          <w:sz w:val="22"/>
          <w:szCs w:val="22"/>
        </w:rPr>
        <w:t xml:space="preserve"> em licitações</w:t>
      </w:r>
      <w:r w:rsidR="002E5983">
        <w:rPr>
          <w:sz w:val="22"/>
          <w:szCs w:val="22"/>
        </w:rPr>
        <w:t>,</w:t>
      </w:r>
      <w:r w:rsidRPr="00351C09">
        <w:rPr>
          <w:sz w:val="22"/>
          <w:szCs w:val="22"/>
        </w:rPr>
        <w:t xml:space="preserve"> </w:t>
      </w:r>
      <w:r w:rsidR="007E13C5">
        <w:rPr>
          <w:sz w:val="22"/>
          <w:szCs w:val="22"/>
        </w:rPr>
        <w:t>as quais</w:t>
      </w:r>
      <w:r w:rsidR="002E5983">
        <w:rPr>
          <w:sz w:val="22"/>
          <w:szCs w:val="22"/>
        </w:rPr>
        <w:t xml:space="preserve"> teriam </w:t>
      </w:r>
      <w:r w:rsidR="00E578C7">
        <w:rPr>
          <w:sz w:val="22"/>
          <w:szCs w:val="22"/>
        </w:rPr>
        <w:t xml:space="preserve">delas </w:t>
      </w:r>
      <w:r w:rsidR="002E5983">
        <w:rPr>
          <w:sz w:val="22"/>
          <w:szCs w:val="22"/>
        </w:rPr>
        <w:t>participado</w:t>
      </w:r>
      <w:r w:rsidR="007E13C5">
        <w:rPr>
          <w:sz w:val="22"/>
          <w:szCs w:val="22"/>
        </w:rPr>
        <w:t>,</w:t>
      </w:r>
      <w:r w:rsidRPr="00351C09">
        <w:rPr>
          <w:sz w:val="22"/>
          <w:szCs w:val="22"/>
        </w:rPr>
        <w:t xml:space="preserve"> na condição de ME ou EPP, sem possuir os requisitos </w:t>
      </w:r>
      <w:r w:rsidR="009571E1">
        <w:rPr>
          <w:sz w:val="22"/>
          <w:szCs w:val="22"/>
        </w:rPr>
        <w:t>previstos</w:t>
      </w:r>
      <w:r w:rsidRPr="00351C09">
        <w:rPr>
          <w:sz w:val="22"/>
          <w:szCs w:val="22"/>
        </w:rPr>
        <w:t xml:space="preserve"> </w:t>
      </w:r>
      <w:r w:rsidR="009571E1">
        <w:rPr>
          <w:sz w:val="22"/>
          <w:szCs w:val="22"/>
        </w:rPr>
        <w:t>n</w:t>
      </w:r>
      <w:r w:rsidRPr="00351C09">
        <w:rPr>
          <w:sz w:val="22"/>
          <w:szCs w:val="22"/>
        </w:rPr>
        <w:t>a Lei Complementar n</w:t>
      </w:r>
      <w:r w:rsidR="007E13C5">
        <w:rPr>
          <w:sz w:val="22"/>
          <w:szCs w:val="22"/>
        </w:rPr>
        <w:t>.</w:t>
      </w:r>
      <w:r w:rsidRPr="00351C09">
        <w:rPr>
          <w:sz w:val="22"/>
          <w:szCs w:val="22"/>
        </w:rPr>
        <w:t xml:space="preserve">º 123/2006 e </w:t>
      </w:r>
      <w:r w:rsidR="009571E1">
        <w:rPr>
          <w:sz w:val="22"/>
          <w:szCs w:val="22"/>
        </w:rPr>
        <w:t>n</w:t>
      </w:r>
      <w:r w:rsidRPr="00351C09">
        <w:rPr>
          <w:sz w:val="22"/>
          <w:szCs w:val="22"/>
        </w:rPr>
        <w:t xml:space="preserve">o Decreto </w:t>
      </w:r>
      <w:r w:rsidR="002E5983">
        <w:rPr>
          <w:sz w:val="22"/>
          <w:szCs w:val="22"/>
        </w:rPr>
        <w:t xml:space="preserve">Federal </w:t>
      </w:r>
      <w:r w:rsidRPr="00351C09">
        <w:rPr>
          <w:sz w:val="22"/>
          <w:szCs w:val="22"/>
        </w:rPr>
        <w:t>n</w:t>
      </w:r>
      <w:r w:rsidR="007E13C5">
        <w:rPr>
          <w:sz w:val="22"/>
          <w:szCs w:val="22"/>
        </w:rPr>
        <w:t>.</w:t>
      </w:r>
      <w:r w:rsidRPr="00351C09">
        <w:rPr>
          <w:sz w:val="22"/>
          <w:szCs w:val="22"/>
        </w:rPr>
        <w:t>º 6.204/2007.</w:t>
      </w:r>
      <w:r w:rsidR="002E5983">
        <w:rPr>
          <w:sz w:val="22"/>
          <w:szCs w:val="22"/>
        </w:rPr>
        <w:t xml:space="preserve"> De acordo com a </w:t>
      </w:r>
      <w:r w:rsidRPr="002E5983">
        <w:rPr>
          <w:sz w:val="22"/>
          <w:szCs w:val="22"/>
        </w:rPr>
        <w:t>unidade técnica</w:t>
      </w:r>
      <w:r w:rsidR="002E5983">
        <w:rPr>
          <w:sz w:val="22"/>
          <w:szCs w:val="22"/>
        </w:rPr>
        <w:t xml:space="preserve">, </w:t>
      </w:r>
      <w:r w:rsidR="002E5983">
        <w:rPr>
          <w:i/>
          <w:sz w:val="22"/>
          <w:szCs w:val="22"/>
        </w:rPr>
        <w:t>“</w:t>
      </w:r>
      <w:r w:rsidRPr="00351C09">
        <w:rPr>
          <w:i/>
          <w:sz w:val="22"/>
          <w:szCs w:val="22"/>
        </w:rPr>
        <w:t xml:space="preserve">o enquadramento como ME ou EPP depende de solicitação da própria empresa, junto ao presidente da respectiva Junta Comercial do estado da federação onde se localiza, requerendo o arquivamento da </w:t>
      </w:r>
      <w:r w:rsidR="00ED2868">
        <w:rPr>
          <w:i/>
          <w:sz w:val="22"/>
          <w:szCs w:val="22"/>
        </w:rPr>
        <w:t>‘</w:t>
      </w:r>
      <w:r w:rsidRPr="00351C09">
        <w:rPr>
          <w:i/>
          <w:sz w:val="22"/>
          <w:szCs w:val="22"/>
        </w:rPr>
        <w:t>Declaração de Enquadramento de ME ou EPP</w:t>
      </w:r>
      <w:r w:rsidR="00ED2868">
        <w:rPr>
          <w:i/>
          <w:sz w:val="22"/>
          <w:szCs w:val="22"/>
        </w:rPr>
        <w:t>’</w:t>
      </w:r>
      <w:r w:rsidRPr="00351C09">
        <w:rPr>
          <w:i/>
          <w:sz w:val="22"/>
          <w:szCs w:val="22"/>
        </w:rPr>
        <w:t>, conforme o inciso II do parágrafo único do art. 1º da IN-DNRC nº 103/2007. Do mesmo modo, cabe à empresa solicitar o desenquadramento da situação de ME ou EPP, de acordo com a alínea c.2 do inciso II do parágrafo único do art. 1º da mencionada IN</w:t>
      </w:r>
      <w:r w:rsidR="00ED2868">
        <w:rPr>
          <w:i/>
          <w:sz w:val="22"/>
          <w:szCs w:val="22"/>
        </w:rPr>
        <w:t>”</w:t>
      </w:r>
      <w:r w:rsidRPr="00351C09">
        <w:rPr>
          <w:i/>
          <w:sz w:val="22"/>
          <w:szCs w:val="22"/>
        </w:rPr>
        <w:t>.</w:t>
      </w:r>
      <w:r w:rsidR="00ED2868">
        <w:rPr>
          <w:i/>
          <w:sz w:val="22"/>
          <w:szCs w:val="22"/>
        </w:rPr>
        <w:t xml:space="preserve"> [...] </w:t>
      </w:r>
      <w:r w:rsidRPr="00351C09">
        <w:rPr>
          <w:i/>
          <w:sz w:val="22"/>
          <w:szCs w:val="22"/>
        </w:rPr>
        <w:t>caberia à Rub Car Ltda., após o término do exercício de 2006, dirigir-se à competente Junta Comercial para declarar seu desenquadramento da condição de EPP</w:t>
      </w:r>
      <w:r w:rsidR="00FE01C8">
        <w:rPr>
          <w:i/>
          <w:sz w:val="22"/>
          <w:szCs w:val="22"/>
        </w:rPr>
        <w:t xml:space="preserve"> [...].</w:t>
      </w:r>
      <w:r w:rsidRPr="00351C09">
        <w:rPr>
          <w:i/>
          <w:sz w:val="22"/>
          <w:szCs w:val="22"/>
        </w:rPr>
        <w:t xml:space="preserve"> Isso porque naquele exercício, </w:t>
      </w:r>
      <w:r w:rsidR="00ED2868">
        <w:rPr>
          <w:i/>
          <w:sz w:val="22"/>
          <w:szCs w:val="22"/>
        </w:rPr>
        <w:t>[...]</w:t>
      </w:r>
      <w:r w:rsidRPr="00351C09">
        <w:rPr>
          <w:i/>
          <w:sz w:val="22"/>
          <w:szCs w:val="22"/>
        </w:rPr>
        <w:t xml:space="preserve"> a referida </w:t>
      </w:r>
      <w:r w:rsidR="00FE01C8">
        <w:rPr>
          <w:i/>
          <w:sz w:val="22"/>
          <w:szCs w:val="22"/>
        </w:rPr>
        <w:t>e</w:t>
      </w:r>
      <w:r w:rsidRPr="00351C09">
        <w:rPr>
          <w:i/>
          <w:sz w:val="22"/>
          <w:szCs w:val="22"/>
        </w:rPr>
        <w:t>mpresa extrapolou o faturamento de R$ 2.400.000,00 (dois milhões e quatrocentos mil reais), que permitiria ser mantido seu enquadramento como EPP no ano seguinte.</w:t>
      </w:r>
      <w:r w:rsidR="00ED2868">
        <w:rPr>
          <w:i/>
          <w:sz w:val="22"/>
          <w:szCs w:val="22"/>
        </w:rPr>
        <w:t xml:space="preserve"> </w:t>
      </w:r>
      <w:r w:rsidRPr="00351C09">
        <w:rPr>
          <w:i/>
          <w:sz w:val="22"/>
          <w:szCs w:val="22"/>
        </w:rPr>
        <w:t>[...]</w:t>
      </w:r>
      <w:r w:rsidR="00ED2868">
        <w:rPr>
          <w:i/>
          <w:sz w:val="22"/>
          <w:szCs w:val="22"/>
        </w:rPr>
        <w:t xml:space="preserve"> </w:t>
      </w:r>
      <w:r w:rsidRPr="00351C09">
        <w:rPr>
          <w:i/>
          <w:sz w:val="22"/>
          <w:szCs w:val="22"/>
        </w:rPr>
        <w:t>Ademais, não seria necessário – nem cabível – que alguma entidade – mesmo a Receita Federal – informasse à empresa que ela perdeu a condição de EPP, como pretendeu a Rub Car Ltda., já que o enquadramento, o reenquadramento e o desenquadramento são efetuados com base em declaração do próprio empresário perante a Junta Comercial competente</w:t>
      </w:r>
      <w:r w:rsidR="00FE01C8">
        <w:rPr>
          <w:i/>
          <w:sz w:val="22"/>
          <w:szCs w:val="22"/>
        </w:rPr>
        <w:t xml:space="preserve"> [...]</w:t>
      </w:r>
      <w:r w:rsidRPr="00351C09">
        <w:rPr>
          <w:i/>
          <w:sz w:val="22"/>
          <w:szCs w:val="22"/>
        </w:rPr>
        <w:t>.</w:t>
      </w:r>
      <w:r w:rsidR="00ED2868">
        <w:rPr>
          <w:i/>
          <w:sz w:val="22"/>
          <w:szCs w:val="22"/>
        </w:rPr>
        <w:t>”</w:t>
      </w:r>
      <w:r w:rsidR="00ED2868" w:rsidRPr="00351C09">
        <w:rPr>
          <w:sz w:val="22"/>
          <w:szCs w:val="22"/>
        </w:rPr>
        <w:t>.</w:t>
      </w:r>
      <w:r w:rsidR="00ED2868">
        <w:rPr>
          <w:sz w:val="22"/>
          <w:szCs w:val="22"/>
        </w:rPr>
        <w:t xml:space="preserve"> </w:t>
      </w:r>
      <w:r w:rsidR="00FE01C8">
        <w:rPr>
          <w:sz w:val="22"/>
          <w:szCs w:val="22"/>
        </w:rPr>
        <w:t xml:space="preserve">Ao concordar com a unidade instrutiva, </w:t>
      </w:r>
      <w:r w:rsidR="00ED2868">
        <w:rPr>
          <w:sz w:val="22"/>
          <w:szCs w:val="22"/>
        </w:rPr>
        <w:t>o relator</w:t>
      </w:r>
      <w:r w:rsidR="00FE01C8">
        <w:rPr>
          <w:sz w:val="22"/>
          <w:szCs w:val="22"/>
        </w:rPr>
        <w:t xml:space="preserve"> ressaltou</w:t>
      </w:r>
      <w:r w:rsidR="00351C09" w:rsidRPr="00351C09">
        <w:rPr>
          <w:sz w:val="22"/>
          <w:szCs w:val="22"/>
        </w:rPr>
        <w:t xml:space="preserve"> a má-fé da </w:t>
      </w:r>
      <w:r w:rsidR="00FE01C8">
        <w:rPr>
          <w:sz w:val="22"/>
          <w:szCs w:val="22"/>
        </w:rPr>
        <w:t>empresa</w:t>
      </w:r>
      <w:r w:rsidR="00351C09" w:rsidRPr="00351C09">
        <w:rPr>
          <w:sz w:val="22"/>
          <w:szCs w:val="22"/>
        </w:rPr>
        <w:t xml:space="preserve">, uma vez que, </w:t>
      </w:r>
      <w:r w:rsidR="00312529" w:rsidRPr="00312529">
        <w:rPr>
          <w:i/>
          <w:sz w:val="22"/>
          <w:szCs w:val="22"/>
        </w:rPr>
        <w:t>“</w:t>
      </w:r>
      <w:r w:rsidR="00351C09" w:rsidRPr="00312529">
        <w:rPr>
          <w:i/>
          <w:sz w:val="22"/>
          <w:szCs w:val="22"/>
        </w:rPr>
        <w:t>agindo com domínio de volição e cognição</w:t>
      </w:r>
      <w:r w:rsidR="00312529" w:rsidRPr="00312529">
        <w:rPr>
          <w:i/>
          <w:sz w:val="22"/>
          <w:szCs w:val="22"/>
        </w:rPr>
        <w:t>”</w:t>
      </w:r>
      <w:r w:rsidR="00351C09" w:rsidRPr="00351C09">
        <w:rPr>
          <w:sz w:val="22"/>
          <w:szCs w:val="22"/>
        </w:rPr>
        <w:t xml:space="preserve">, acorreu ao certame apresentando-se indevidamente na qualidade de </w:t>
      </w:r>
      <w:r w:rsidR="00FE01C8">
        <w:rPr>
          <w:sz w:val="22"/>
          <w:szCs w:val="22"/>
        </w:rPr>
        <w:t>EPP</w:t>
      </w:r>
      <w:r w:rsidR="00351C09" w:rsidRPr="00351C09">
        <w:rPr>
          <w:sz w:val="22"/>
          <w:szCs w:val="22"/>
        </w:rPr>
        <w:t xml:space="preserve">. </w:t>
      </w:r>
      <w:r w:rsidR="00E578C7">
        <w:rPr>
          <w:sz w:val="22"/>
          <w:szCs w:val="22"/>
        </w:rPr>
        <w:t>Nos termos d</w:t>
      </w:r>
      <w:r w:rsidR="00312529">
        <w:rPr>
          <w:sz w:val="22"/>
          <w:szCs w:val="22"/>
        </w:rPr>
        <w:t xml:space="preserve">o voto do relator, deliberou o Plenário no sentido de </w:t>
      </w:r>
      <w:r w:rsidR="00312529" w:rsidRPr="00312529">
        <w:rPr>
          <w:i/>
          <w:sz w:val="22"/>
          <w:szCs w:val="22"/>
        </w:rPr>
        <w:t>“d</w:t>
      </w:r>
      <w:r w:rsidR="00351C09" w:rsidRPr="00312529">
        <w:rPr>
          <w:i/>
          <w:sz w:val="22"/>
          <w:szCs w:val="22"/>
        </w:rPr>
        <w:t>eclarar, com fundamento no art. 46 da Lei nº 8.443/1992 e no inciso IV do art. 87, c/c o inciso III do art. 88 da Lei nº 8.666/1993, a inidoneidade da empresa Rub Car Comércio de Autopeças e Fundição Ltda., para licitar e contratar com a Administração Pública, pelo período de dois anos</w:t>
      </w:r>
      <w:r w:rsidR="00312529" w:rsidRPr="00312529">
        <w:rPr>
          <w:i/>
          <w:sz w:val="22"/>
          <w:szCs w:val="22"/>
        </w:rPr>
        <w:t>”</w:t>
      </w:r>
      <w:r w:rsidR="00312529">
        <w:rPr>
          <w:sz w:val="22"/>
          <w:szCs w:val="22"/>
        </w:rPr>
        <w:t xml:space="preserve">. </w:t>
      </w:r>
      <w:r w:rsidR="009E5105" w:rsidRPr="00337E16">
        <w:rPr>
          <w:b/>
          <w:i/>
          <w:sz w:val="22"/>
          <w:szCs w:val="22"/>
        </w:rPr>
        <w:t xml:space="preserve">Acórdão n.º </w:t>
      </w:r>
      <w:r w:rsidR="00061C2E">
        <w:rPr>
          <w:b/>
          <w:i/>
          <w:sz w:val="22"/>
          <w:szCs w:val="22"/>
        </w:rPr>
        <w:t>2</w:t>
      </w:r>
      <w:r w:rsidR="00351C09">
        <w:rPr>
          <w:b/>
          <w:i/>
          <w:sz w:val="22"/>
          <w:szCs w:val="22"/>
        </w:rPr>
        <w:t>578</w:t>
      </w:r>
      <w:r w:rsidR="009E5105" w:rsidRPr="00337E16">
        <w:rPr>
          <w:b/>
          <w:i/>
          <w:sz w:val="22"/>
          <w:szCs w:val="22"/>
        </w:rPr>
        <w:t>/2010</w:t>
      </w:r>
      <w:r w:rsidR="009E5105">
        <w:rPr>
          <w:b/>
          <w:i/>
          <w:sz w:val="22"/>
          <w:szCs w:val="22"/>
        </w:rPr>
        <w:t>-Plenário</w:t>
      </w:r>
      <w:r w:rsidR="009E5105" w:rsidRPr="00337E16">
        <w:rPr>
          <w:b/>
          <w:i/>
          <w:sz w:val="22"/>
          <w:szCs w:val="22"/>
        </w:rPr>
        <w:t>, TC-0</w:t>
      </w:r>
      <w:r w:rsidR="009E5105">
        <w:rPr>
          <w:b/>
          <w:i/>
          <w:sz w:val="22"/>
          <w:szCs w:val="22"/>
        </w:rPr>
        <w:t>0</w:t>
      </w:r>
      <w:r w:rsidR="00351C09">
        <w:rPr>
          <w:b/>
          <w:i/>
          <w:sz w:val="22"/>
          <w:szCs w:val="22"/>
        </w:rPr>
        <w:t>8</w:t>
      </w:r>
      <w:r w:rsidR="009E5105" w:rsidRPr="00337E16">
        <w:rPr>
          <w:b/>
          <w:i/>
          <w:sz w:val="22"/>
          <w:szCs w:val="22"/>
        </w:rPr>
        <w:t>.</w:t>
      </w:r>
      <w:r w:rsidR="00351C09">
        <w:rPr>
          <w:b/>
          <w:i/>
          <w:sz w:val="22"/>
          <w:szCs w:val="22"/>
        </w:rPr>
        <w:t>554</w:t>
      </w:r>
      <w:r w:rsidR="009E5105" w:rsidRPr="00337E16">
        <w:rPr>
          <w:b/>
          <w:i/>
          <w:sz w:val="22"/>
          <w:szCs w:val="22"/>
        </w:rPr>
        <w:t>/20</w:t>
      </w:r>
      <w:r w:rsidR="009E5105">
        <w:rPr>
          <w:b/>
          <w:i/>
          <w:sz w:val="22"/>
          <w:szCs w:val="22"/>
        </w:rPr>
        <w:t>10</w:t>
      </w:r>
      <w:r w:rsidR="009E5105" w:rsidRPr="00337E16">
        <w:rPr>
          <w:b/>
          <w:i/>
          <w:sz w:val="22"/>
          <w:szCs w:val="22"/>
        </w:rPr>
        <w:t>-</w:t>
      </w:r>
      <w:r w:rsidR="00351C09">
        <w:rPr>
          <w:b/>
          <w:i/>
          <w:sz w:val="22"/>
          <w:szCs w:val="22"/>
        </w:rPr>
        <w:t>2</w:t>
      </w:r>
      <w:r w:rsidR="009E5105" w:rsidRPr="00337E16">
        <w:rPr>
          <w:b/>
          <w:i/>
          <w:sz w:val="22"/>
          <w:szCs w:val="22"/>
        </w:rPr>
        <w:t>, rel. Min</w:t>
      </w:r>
      <w:r w:rsidR="009E5105">
        <w:rPr>
          <w:b/>
          <w:i/>
          <w:sz w:val="22"/>
          <w:szCs w:val="22"/>
        </w:rPr>
        <w:t xml:space="preserve">. </w:t>
      </w:r>
      <w:r w:rsidR="00351C09">
        <w:rPr>
          <w:b/>
          <w:i/>
          <w:sz w:val="22"/>
          <w:szCs w:val="22"/>
        </w:rPr>
        <w:t>Walton Alencar Rodrigues</w:t>
      </w:r>
      <w:r w:rsidR="009E5105" w:rsidRPr="00337E16">
        <w:rPr>
          <w:b/>
          <w:i/>
          <w:sz w:val="22"/>
          <w:szCs w:val="22"/>
        </w:rPr>
        <w:t xml:space="preserve">, </w:t>
      </w:r>
      <w:r w:rsidR="00351C09">
        <w:rPr>
          <w:b/>
          <w:i/>
          <w:sz w:val="22"/>
          <w:szCs w:val="22"/>
        </w:rPr>
        <w:t>29</w:t>
      </w:r>
      <w:r w:rsidR="009E5105" w:rsidRPr="00337E16">
        <w:rPr>
          <w:b/>
          <w:i/>
          <w:sz w:val="22"/>
          <w:szCs w:val="22"/>
        </w:rPr>
        <w:t>.0</w:t>
      </w:r>
      <w:r w:rsidR="00351C09">
        <w:rPr>
          <w:b/>
          <w:i/>
          <w:sz w:val="22"/>
          <w:szCs w:val="22"/>
        </w:rPr>
        <w:t>9</w:t>
      </w:r>
      <w:r w:rsidR="009E5105" w:rsidRPr="00337E16">
        <w:rPr>
          <w:b/>
          <w:i/>
          <w:sz w:val="22"/>
          <w:szCs w:val="22"/>
        </w:rPr>
        <w:t>.2010</w:t>
      </w:r>
      <w:r w:rsidR="009E5105" w:rsidRPr="00337E16">
        <w:rPr>
          <w:sz w:val="22"/>
          <w:szCs w:val="22"/>
        </w:rPr>
        <w:t>.</w:t>
      </w:r>
    </w:p>
    <w:p w:rsidR="0055716D" w:rsidRDefault="0055716D" w:rsidP="0055716D">
      <w:pPr>
        <w:pStyle w:val="enter-3pt"/>
        <w:spacing w:line="240" w:lineRule="auto"/>
        <w:rPr>
          <w:sz w:val="22"/>
          <w:szCs w:val="22"/>
        </w:rPr>
      </w:pPr>
    </w:p>
    <w:p w:rsidR="00452688" w:rsidRPr="00323394" w:rsidRDefault="00323394" w:rsidP="00452688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/>
        <w:ind w:left="0"/>
        <w:rPr>
          <w:b/>
          <w:color w:val="000000"/>
          <w:sz w:val="22"/>
          <w:szCs w:val="22"/>
        </w:rPr>
      </w:pPr>
      <w:r w:rsidRPr="00323394">
        <w:rPr>
          <w:b/>
          <w:sz w:val="22"/>
          <w:szCs w:val="22"/>
        </w:rPr>
        <w:t>Fornecimento de vale-refeição: a exigência de comprovação de rede credenciada próxima ao ente público demandante deve ser feita somente no momento da contratação</w:t>
      </w:r>
    </w:p>
    <w:p w:rsidR="00452688" w:rsidRPr="000518E9" w:rsidRDefault="00452688" w:rsidP="00452688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color w:val="000000"/>
          <w:sz w:val="22"/>
          <w:szCs w:val="22"/>
        </w:rPr>
      </w:pPr>
      <w:r w:rsidRPr="003344B5">
        <w:rPr>
          <w:color w:val="000000"/>
          <w:sz w:val="22"/>
          <w:szCs w:val="22"/>
        </w:rPr>
        <w:t xml:space="preserve">Representação formulada ao TCU </w:t>
      </w:r>
      <w:r w:rsidR="00E578C7">
        <w:rPr>
          <w:color w:val="000000"/>
          <w:sz w:val="22"/>
          <w:szCs w:val="22"/>
        </w:rPr>
        <w:t xml:space="preserve">apontou possível irregularidade </w:t>
      </w:r>
      <w:r w:rsidR="00323394">
        <w:rPr>
          <w:color w:val="000000"/>
          <w:sz w:val="22"/>
          <w:szCs w:val="22"/>
        </w:rPr>
        <w:t>envolvendo</w:t>
      </w:r>
      <w:r w:rsidRPr="003344B5">
        <w:rPr>
          <w:color w:val="000000"/>
          <w:sz w:val="22"/>
          <w:szCs w:val="22"/>
        </w:rPr>
        <w:t xml:space="preserve"> exigência contida no edital </w:t>
      </w:r>
      <w:r w:rsidR="00E578C7">
        <w:rPr>
          <w:color w:val="000000"/>
          <w:sz w:val="22"/>
          <w:szCs w:val="22"/>
        </w:rPr>
        <w:t>d</w:t>
      </w:r>
      <w:r w:rsidRPr="003344B5">
        <w:rPr>
          <w:color w:val="000000"/>
          <w:sz w:val="22"/>
          <w:szCs w:val="22"/>
        </w:rPr>
        <w:t xml:space="preserve">o Pregão Presencial </w:t>
      </w:r>
      <w:r w:rsidR="00323394">
        <w:rPr>
          <w:color w:val="000000"/>
          <w:sz w:val="22"/>
          <w:szCs w:val="22"/>
        </w:rPr>
        <w:t>n.º</w:t>
      </w:r>
      <w:r w:rsidRPr="003344B5">
        <w:rPr>
          <w:color w:val="000000"/>
          <w:sz w:val="22"/>
          <w:szCs w:val="22"/>
        </w:rPr>
        <w:t xml:space="preserve"> 14/2010, </w:t>
      </w:r>
      <w:r w:rsidR="00323394">
        <w:rPr>
          <w:color w:val="000000"/>
          <w:sz w:val="22"/>
          <w:szCs w:val="22"/>
        </w:rPr>
        <w:t>realizado</w:t>
      </w:r>
      <w:r w:rsidR="00E578C7">
        <w:rPr>
          <w:color w:val="000000"/>
          <w:sz w:val="22"/>
          <w:szCs w:val="22"/>
        </w:rPr>
        <w:t xml:space="preserve"> pelo</w:t>
      </w:r>
      <w:r w:rsidRPr="003344B5">
        <w:rPr>
          <w:color w:val="000000"/>
          <w:sz w:val="22"/>
          <w:szCs w:val="22"/>
        </w:rPr>
        <w:t xml:space="preserve"> Serviço Social do Comércio - SESC - Administração Regional no Estado de São Paulo, </w:t>
      </w:r>
      <w:r w:rsidR="00E578C7">
        <w:rPr>
          <w:color w:val="000000"/>
          <w:sz w:val="22"/>
          <w:szCs w:val="22"/>
        </w:rPr>
        <w:t>tendo</w:t>
      </w:r>
      <w:r w:rsidRPr="003344B5">
        <w:rPr>
          <w:color w:val="000000"/>
          <w:sz w:val="22"/>
          <w:szCs w:val="22"/>
        </w:rPr>
        <w:t xml:space="preserve"> por objeto o serviço de gerenciamento, distribuição, implementação e administração dos benefícios de vales</w:t>
      </w:r>
      <w:r w:rsidR="00323394">
        <w:rPr>
          <w:color w:val="000000"/>
          <w:sz w:val="22"/>
          <w:szCs w:val="22"/>
        </w:rPr>
        <w:t>-</w:t>
      </w:r>
      <w:r w:rsidRPr="003344B5">
        <w:rPr>
          <w:color w:val="000000"/>
          <w:sz w:val="22"/>
          <w:szCs w:val="22"/>
        </w:rPr>
        <w:t xml:space="preserve">refeição e transporte para as unidades do SESC-SP. A exigência tida como excessiva </w:t>
      </w:r>
      <w:r>
        <w:rPr>
          <w:color w:val="000000"/>
          <w:sz w:val="22"/>
          <w:szCs w:val="22"/>
        </w:rPr>
        <w:t xml:space="preserve">era </w:t>
      </w:r>
      <w:r w:rsidRPr="003344B5">
        <w:rPr>
          <w:color w:val="000000"/>
          <w:sz w:val="22"/>
          <w:szCs w:val="22"/>
        </w:rPr>
        <w:t xml:space="preserve">no sentido de que as licitantes, ainda na fase de </w:t>
      </w:r>
      <w:r w:rsidR="00323394">
        <w:rPr>
          <w:color w:val="000000"/>
          <w:sz w:val="22"/>
          <w:szCs w:val="22"/>
        </w:rPr>
        <w:t>habilitação</w:t>
      </w:r>
      <w:r w:rsidRPr="003344B5">
        <w:rPr>
          <w:color w:val="000000"/>
          <w:sz w:val="22"/>
          <w:szCs w:val="22"/>
        </w:rPr>
        <w:t>, comprov</w:t>
      </w:r>
      <w:r>
        <w:rPr>
          <w:color w:val="000000"/>
          <w:sz w:val="22"/>
          <w:szCs w:val="22"/>
        </w:rPr>
        <w:t>ass</w:t>
      </w:r>
      <w:r w:rsidRPr="003344B5">
        <w:rPr>
          <w:color w:val="000000"/>
          <w:sz w:val="22"/>
          <w:szCs w:val="22"/>
        </w:rPr>
        <w:t>em</w:t>
      </w:r>
      <w:r w:rsidR="00323394">
        <w:rPr>
          <w:color w:val="000000"/>
          <w:sz w:val="22"/>
          <w:szCs w:val="22"/>
        </w:rPr>
        <w:t>,</w:t>
      </w:r>
      <w:r w:rsidRPr="003344B5">
        <w:rPr>
          <w:color w:val="000000"/>
          <w:sz w:val="22"/>
          <w:szCs w:val="22"/>
        </w:rPr>
        <w:t xml:space="preserve"> </w:t>
      </w:r>
      <w:r w:rsidRPr="00A545FD">
        <w:rPr>
          <w:i/>
          <w:color w:val="000000"/>
          <w:sz w:val="22"/>
          <w:szCs w:val="22"/>
        </w:rPr>
        <w:t>“por meio de 'Declaração de Estabelecimentos Credenciados', anexo X deste Instrumento, o credenciamento de no mínimo dois estabelecimentos comerciais</w:t>
      </w:r>
      <w:r w:rsidR="00323394">
        <w:rPr>
          <w:i/>
          <w:color w:val="000000"/>
          <w:sz w:val="22"/>
          <w:szCs w:val="22"/>
        </w:rPr>
        <w:t>”</w:t>
      </w:r>
      <w:r w:rsidRPr="00323394">
        <w:rPr>
          <w:color w:val="000000"/>
          <w:sz w:val="22"/>
          <w:szCs w:val="22"/>
        </w:rPr>
        <w:t xml:space="preserve"> que aceit</w:t>
      </w:r>
      <w:r w:rsidR="00323394">
        <w:rPr>
          <w:color w:val="000000"/>
          <w:sz w:val="22"/>
          <w:szCs w:val="22"/>
        </w:rPr>
        <w:t>asse</w:t>
      </w:r>
      <w:r w:rsidRPr="00323394">
        <w:rPr>
          <w:color w:val="000000"/>
          <w:sz w:val="22"/>
          <w:szCs w:val="22"/>
        </w:rPr>
        <w:t>m</w:t>
      </w:r>
      <w:r w:rsidRPr="00A545FD">
        <w:rPr>
          <w:i/>
          <w:color w:val="000000"/>
          <w:sz w:val="22"/>
          <w:szCs w:val="22"/>
        </w:rPr>
        <w:t xml:space="preserve"> </w:t>
      </w:r>
      <w:r w:rsidR="00323394">
        <w:rPr>
          <w:i/>
          <w:color w:val="000000"/>
          <w:sz w:val="22"/>
          <w:szCs w:val="22"/>
        </w:rPr>
        <w:t>“</w:t>
      </w:r>
      <w:r w:rsidRPr="00A545FD">
        <w:rPr>
          <w:i/>
          <w:color w:val="000000"/>
          <w:sz w:val="22"/>
          <w:szCs w:val="22"/>
        </w:rPr>
        <w:t>o vale como forma de pagamento da refeição</w:t>
      </w:r>
      <w:r w:rsidR="00323394">
        <w:rPr>
          <w:i/>
          <w:color w:val="000000"/>
          <w:sz w:val="22"/>
          <w:szCs w:val="22"/>
        </w:rPr>
        <w:t>”</w:t>
      </w:r>
      <w:r w:rsidRPr="00323394">
        <w:rPr>
          <w:color w:val="000000"/>
          <w:sz w:val="22"/>
          <w:szCs w:val="22"/>
        </w:rPr>
        <w:t xml:space="preserve">, e </w:t>
      </w:r>
      <w:r w:rsidR="00323394">
        <w:rPr>
          <w:color w:val="000000"/>
          <w:sz w:val="22"/>
          <w:szCs w:val="22"/>
        </w:rPr>
        <w:t>estivessem</w:t>
      </w:r>
      <w:r w:rsidRPr="00323394">
        <w:rPr>
          <w:color w:val="000000"/>
          <w:sz w:val="22"/>
          <w:szCs w:val="22"/>
        </w:rPr>
        <w:t xml:space="preserve"> a uma </w:t>
      </w:r>
      <w:r w:rsidR="00323394" w:rsidRPr="00323394">
        <w:rPr>
          <w:i/>
          <w:color w:val="000000"/>
          <w:sz w:val="22"/>
          <w:szCs w:val="22"/>
        </w:rPr>
        <w:t>“</w:t>
      </w:r>
      <w:r w:rsidRPr="00323394">
        <w:rPr>
          <w:i/>
          <w:color w:val="000000"/>
          <w:sz w:val="22"/>
          <w:szCs w:val="22"/>
        </w:rPr>
        <w:t>distância máxima de 500 metros da Unidade do SESC</w:t>
      </w:r>
      <w:r w:rsidR="00A545FD" w:rsidRPr="00323394">
        <w:rPr>
          <w:i/>
          <w:color w:val="000000"/>
          <w:sz w:val="22"/>
          <w:szCs w:val="22"/>
        </w:rPr>
        <w:t>”</w:t>
      </w:r>
      <w:r w:rsidRPr="003344B5">
        <w:rPr>
          <w:color w:val="000000"/>
          <w:sz w:val="22"/>
          <w:szCs w:val="22"/>
        </w:rPr>
        <w:t xml:space="preserve">. </w:t>
      </w:r>
      <w:r w:rsidR="00A545FD">
        <w:rPr>
          <w:color w:val="000000"/>
          <w:sz w:val="22"/>
          <w:szCs w:val="22"/>
        </w:rPr>
        <w:t xml:space="preserve">Considerando </w:t>
      </w:r>
      <w:r w:rsidRPr="003344B5">
        <w:rPr>
          <w:color w:val="000000"/>
          <w:sz w:val="22"/>
          <w:szCs w:val="22"/>
        </w:rPr>
        <w:t xml:space="preserve">que </w:t>
      </w:r>
      <w:r w:rsidR="00A545FD">
        <w:rPr>
          <w:color w:val="000000"/>
          <w:sz w:val="22"/>
          <w:szCs w:val="22"/>
        </w:rPr>
        <w:t xml:space="preserve">a </w:t>
      </w:r>
      <w:r w:rsidRPr="003344B5">
        <w:rPr>
          <w:color w:val="000000"/>
          <w:sz w:val="22"/>
          <w:szCs w:val="22"/>
        </w:rPr>
        <w:t>licitação abrang</w:t>
      </w:r>
      <w:r>
        <w:rPr>
          <w:color w:val="000000"/>
          <w:sz w:val="22"/>
          <w:szCs w:val="22"/>
        </w:rPr>
        <w:t>ia</w:t>
      </w:r>
      <w:r w:rsidRPr="003344B5">
        <w:rPr>
          <w:color w:val="000000"/>
          <w:sz w:val="22"/>
          <w:szCs w:val="22"/>
        </w:rPr>
        <w:t xml:space="preserve"> 32 instalações do S</w:t>
      </w:r>
      <w:r w:rsidR="00A545FD">
        <w:rPr>
          <w:color w:val="000000"/>
          <w:sz w:val="22"/>
          <w:szCs w:val="22"/>
        </w:rPr>
        <w:t>ESC</w:t>
      </w:r>
      <w:r w:rsidRPr="003344B5">
        <w:rPr>
          <w:color w:val="000000"/>
          <w:sz w:val="22"/>
          <w:szCs w:val="22"/>
        </w:rPr>
        <w:t>/SP</w:t>
      </w:r>
      <w:r w:rsidR="00A545FD">
        <w:rPr>
          <w:color w:val="000000"/>
          <w:sz w:val="22"/>
          <w:szCs w:val="22"/>
        </w:rPr>
        <w:t xml:space="preserve">, </w:t>
      </w:r>
      <w:r w:rsidR="00A545FD" w:rsidRPr="00A545FD">
        <w:rPr>
          <w:i/>
          <w:color w:val="000000"/>
          <w:sz w:val="22"/>
          <w:szCs w:val="22"/>
        </w:rPr>
        <w:t>“</w:t>
      </w:r>
      <w:r w:rsidRPr="00A545FD">
        <w:rPr>
          <w:i/>
          <w:color w:val="000000"/>
          <w:sz w:val="22"/>
          <w:szCs w:val="22"/>
        </w:rPr>
        <w:t>consistiria em desarrazoado ônus para as licitantes, tanto financeiro quanto operacional</w:t>
      </w:r>
      <w:r w:rsidR="00323394">
        <w:rPr>
          <w:i/>
          <w:color w:val="000000"/>
          <w:sz w:val="22"/>
          <w:szCs w:val="22"/>
        </w:rPr>
        <w:t>”</w:t>
      </w:r>
      <w:r w:rsidRPr="00323394">
        <w:rPr>
          <w:color w:val="000000"/>
          <w:sz w:val="22"/>
          <w:szCs w:val="22"/>
        </w:rPr>
        <w:t>, a exigência de que el</w:t>
      </w:r>
      <w:r w:rsidR="001D0814">
        <w:rPr>
          <w:color w:val="000000"/>
          <w:sz w:val="22"/>
          <w:szCs w:val="22"/>
        </w:rPr>
        <w:t>a</w:t>
      </w:r>
      <w:r w:rsidRPr="00323394">
        <w:rPr>
          <w:color w:val="000000"/>
          <w:sz w:val="22"/>
          <w:szCs w:val="22"/>
        </w:rPr>
        <w:t>s cadastr</w:t>
      </w:r>
      <w:r w:rsidR="00323394">
        <w:rPr>
          <w:color w:val="000000"/>
          <w:sz w:val="22"/>
          <w:szCs w:val="22"/>
        </w:rPr>
        <w:t>ass</w:t>
      </w:r>
      <w:r w:rsidRPr="00323394">
        <w:rPr>
          <w:color w:val="000000"/>
          <w:sz w:val="22"/>
          <w:szCs w:val="22"/>
        </w:rPr>
        <w:t xml:space="preserve">em 64 estabelecimentos </w:t>
      </w:r>
      <w:r w:rsidR="00323394" w:rsidRPr="00323394">
        <w:rPr>
          <w:i/>
          <w:color w:val="000000"/>
          <w:sz w:val="22"/>
          <w:szCs w:val="22"/>
        </w:rPr>
        <w:t>“</w:t>
      </w:r>
      <w:r w:rsidRPr="00323394">
        <w:rPr>
          <w:i/>
          <w:color w:val="000000"/>
          <w:sz w:val="22"/>
          <w:szCs w:val="22"/>
        </w:rPr>
        <w:t>apenas para participar do certame</w:t>
      </w:r>
      <w:r w:rsidR="00A545FD" w:rsidRPr="00323394">
        <w:rPr>
          <w:i/>
          <w:color w:val="000000"/>
          <w:sz w:val="22"/>
          <w:szCs w:val="22"/>
        </w:rPr>
        <w:t>”</w:t>
      </w:r>
      <w:r w:rsidRPr="003344B5">
        <w:rPr>
          <w:color w:val="000000"/>
          <w:sz w:val="22"/>
          <w:szCs w:val="22"/>
        </w:rPr>
        <w:t xml:space="preserve">. </w:t>
      </w:r>
      <w:r w:rsidR="00037E3B">
        <w:rPr>
          <w:color w:val="000000"/>
          <w:sz w:val="22"/>
          <w:szCs w:val="22"/>
        </w:rPr>
        <w:t>A</w:t>
      </w:r>
      <w:r w:rsidRPr="003344B5">
        <w:rPr>
          <w:color w:val="000000"/>
          <w:sz w:val="22"/>
          <w:szCs w:val="22"/>
        </w:rPr>
        <w:t xml:space="preserve"> exigência</w:t>
      </w:r>
      <w:r w:rsidR="00037E3B">
        <w:rPr>
          <w:color w:val="000000"/>
          <w:sz w:val="22"/>
          <w:szCs w:val="22"/>
        </w:rPr>
        <w:t xml:space="preserve"> implicaria</w:t>
      </w:r>
      <w:r w:rsidRPr="003344B5">
        <w:rPr>
          <w:color w:val="000000"/>
          <w:sz w:val="22"/>
          <w:szCs w:val="22"/>
        </w:rPr>
        <w:t xml:space="preserve"> que somente a empresa que já estivesse prestando os serviços</w:t>
      </w:r>
      <w:r w:rsidR="00037E3B">
        <w:rPr>
          <w:color w:val="000000"/>
          <w:sz w:val="22"/>
          <w:szCs w:val="22"/>
        </w:rPr>
        <w:t>,</w:t>
      </w:r>
      <w:r w:rsidRPr="003344B5">
        <w:rPr>
          <w:color w:val="000000"/>
          <w:sz w:val="22"/>
          <w:szCs w:val="22"/>
        </w:rPr>
        <w:t xml:space="preserve"> ou grandes empresas desse seguimento comercial</w:t>
      </w:r>
      <w:r w:rsidR="00037E3B">
        <w:rPr>
          <w:color w:val="000000"/>
          <w:sz w:val="22"/>
          <w:szCs w:val="22"/>
        </w:rPr>
        <w:t>,</w:t>
      </w:r>
      <w:r w:rsidRPr="003344B5">
        <w:rPr>
          <w:color w:val="000000"/>
          <w:sz w:val="22"/>
          <w:szCs w:val="22"/>
        </w:rPr>
        <w:t xml:space="preserve"> restariam habilitadas. </w:t>
      </w:r>
      <w:r w:rsidR="00037E3B">
        <w:rPr>
          <w:color w:val="000000"/>
          <w:sz w:val="22"/>
          <w:szCs w:val="22"/>
        </w:rPr>
        <w:t>Nesse sentido</w:t>
      </w:r>
      <w:r w:rsidR="00A545F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A545FD">
        <w:rPr>
          <w:color w:val="000000"/>
          <w:sz w:val="22"/>
          <w:szCs w:val="22"/>
        </w:rPr>
        <w:t xml:space="preserve">concluiu </w:t>
      </w:r>
      <w:r>
        <w:rPr>
          <w:color w:val="000000"/>
          <w:sz w:val="22"/>
          <w:szCs w:val="22"/>
        </w:rPr>
        <w:t>o relator t</w:t>
      </w:r>
      <w:r w:rsidRPr="003344B5">
        <w:rPr>
          <w:color w:val="000000"/>
          <w:sz w:val="22"/>
          <w:szCs w:val="22"/>
        </w:rPr>
        <w:t>rata</w:t>
      </w:r>
      <w:r w:rsidR="00A545FD">
        <w:rPr>
          <w:color w:val="000000"/>
          <w:sz w:val="22"/>
          <w:szCs w:val="22"/>
        </w:rPr>
        <w:t>r</w:t>
      </w:r>
      <w:r w:rsidRPr="003344B5">
        <w:rPr>
          <w:color w:val="000000"/>
          <w:sz w:val="22"/>
          <w:szCs w:val="22"/>
        </w:rPr>
        <w:t>-se, efetivamente</w:t>
      </w:r>
      <w:r>
        <w:rPr>
          <w:color w:val="000000"/>
          <w:sz w:val="22"/>
          <w:szCs w:val="22"/>
        </w:rPr>
        <w:t>,</w:t>
      </w:r>
      <w:r w:rsidRPr="003344B5">
        <w:rPr>
          <w:color w:val="000000"/>
          <w:sz w:val="22"/>
          <w:szCs w:val="22"/>
        </w:rPr>
        <w:t xml:space="preserve"> de cláusula restritiva e que potencialmente afastaria diversos interessados na prestação dos serviços, em confronto com o princípio da busca da proposta mais vantajosa para a Administração Pública.</w:t>
      </w:r>
      <w:r w:rsidRPr="000518E9">
        <w:rPr>
          <w:color w:val="000000"/>
          <w:sz w:val="22"/>
          <w:szCs w:val="22"/>
        </w:rPr>
        <w:t xml:space="preserve"> </w:t>
      </w:r>
      <w:r w:rsidR="00A545FD">
        <w:rPr>
          <w:color w:val="000000"/>
          <w:sz w:val="22"/>
          <w:szCs w:val="22"/>
        </w:rPr>
        <w:t>A</w:t>
      </w:r>
      <w:r w:rsidRPr="000518E9">
        <w:rPr>
          <w:color w:val="000000"/>
          <w:sz w:val="22"/>
          <w:szCs w:val="22"/>
        </w:rPr>
        <w:t xml:space="preserve">colhendo </w:t>
      </w:r>
      <w:r w:rsidR="00037E3B">
        <w:rPr>
          <w:color w:val="000000"/>
          <w:sz w:val="22"/>
          <w:szCs w:val="22"/>
        </w:rPr>
        <w:t xml:space="preserve">o </w:t>
      </w:r>
      <w:r w:rsidRPr="000518E9">
        <w:rPr>
          <w:color w:val="000000"/>
          <w:sz w:val="22"/>
          <w:szCs w:val="22"/>
        </w:rPr>
        <w:t>voto do relator</w:t>
      </w:r>
      <w:r>
        <w:rPr>
          <w:color w:val="000000"/>
          <w:sz w:val="22"/>
          <w:szCs w:val="22"/>
        </w:rPr>
        <w:t>,</w:t>
      </w:r>
      <w:r w:rsidRPr="000518E9">
        <w:rPr>
          <w:color w:val="000000"/>
          <w:sz w:val="22"/>
          <w:szCs w:val="22"/>
        </w:rPr>
        <w:t xml:space="preserve"> o Plenário </w:t>
      </w:r>
      <w:r w:rsidR="00037E3B">
        <w:rPr>
          <w:color w:val="000000"/>
          <w:sz w:val="22"/>
          <w:szCs w:val="22"/>
        </w:rPr>
        <w:t>decidiu fixar</w:t>
      </w:r>
      <w:r>
        <w:rPr>
          <w:color w:val="000000"/>
          <w:sz w:val="22"/>
          <w:szCs w:val="22"/>
        </w:rPr>
        <w:t xml:space="preserve"> prazo </w:t>
      </w:r>
      <w:r w:rsidR="00A545FD">
        <w:rPr>
          <w:color w:val="000000"/>
          <w:sz w:val="22"/>
          <w:szCs w:val="22"/>
        </w:rPr>
        <w:t xml:space="preserve">ao SESC/SP </w:t>
      </w:r>
      <w:r>
        <w:rPr>
          <w:color w:val="000000"/>
          <w:sz w:val="22"/>
          <w:szCs w:val="22"/>
        </w:rPr>
        <w:t>para anula</w:t>
      </w:r>
      <w:r w:rsidR="00A545FD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</w:t>
      </w:r>
      <w:r w:rsidR="00A545FD">
        <w:rPr>
          <w:color w:val="000000"/>
          <w:sz w:val="22"/>
          <w:szCs w:val="22"/>
        </w:rPr>
        <w:t xml:space="preserve">a </w:t>
      </w:r>
      <w:r w:rsidR="001D0814">
        <w:rPr>
          <w:color w:val="000000"/>
          <w:sz w:val="22"/>
          <w:szCs w:val="22"/>
        </w:rPr>
        <w:t>aludida</w:t>
      </w:r>
      <w:r w:rsidR="00037E3B">
        <w:rPr>
          <w:color w:val="000000"/>
          <w:sz w:val="22"/>
          <w:szCs w:val="22"/>
        </w:rPr>
        <w:t xml:space="preserve"> </w:t>
      </w:r>
      <w:r w:rsidR="00A545FD">
        <w:rPr>
          <w:color w:val="000000"/>
          <w:sz w:val="22"/>
          <w:szCs w:val="22"/>
        </w:rPr>
        <w:t>exigência editalícia</w:t>
      </w:r>
      <w:r w:rsidR="009A50C7">
        <w:rPr>
          <w:color w:val="000000"/>
          <w:sz w:val="22"/>
          <w:szCs w:val="22"/>
        </w:rPr>
        <w:t>,</w:t>
      </w:r>
      <w:r w:rsidR="00037E3B">
        <w:rPr>
          <w:color w:val="000000"/>
          <w:sz w:val="22"/>
          <w:szCs w:val="22"/>
        </w:rPr>
        <w:t xml:space="preserve"> sem prejuízo de</w:t>
      </w:r>
      <w:r w:rsidR="009A50C7">
        <w:rPr>
          <w:color w:val="000000"/>
          <w:sz w:val="22"/>
          <w:szCs w:val="22"/>
        </w:rPr>
        <w:t xml:space="preserve"> determina</w:t>
      </w:r>
      <w:r w:rsidR="00037E3B">
        <w:rPr>
          <w:color w:val="000000"/>
          <w:sz w:val="22"/>
          <w:szCs w:val="22"/>
        </w:rPr>
        <w:t>r</w:t>
      </w:r>
      <w:r w:rsidR="001D0814">
        <w:rPr>
          <w:color w:val="000000"/>
          <w:sz w:val="22"/>
          <w:szCs w:val="22"/>
        </w:rPr>
        <w:t xml:space="preserve"> à entidade</w:t>
      </w:r>
      <w:r w:rsidRPr="000518E9">
        <w:rPr>
          <w:color w:val="000000"/>
          <w:sz w:val="22"/>
          <w:szCs w:val="22"/>
        </w:rPr>
        <w:t xml:space="preserve"> que, nas próximas contratações de serviço de fornecimento de vales</w:t>
      </w:r>
      <w:r w:rsidR="00A545FD">
        <w:rPr>
          <w:color w:val="000000"/>
          <w:sz w:val="22"/>
          <w:szCs w:val="22"/>
        </w:rPr>
        <w:t>-</w:t>
      </w:r>
      <w:r w:rsidRPr="000518E9">
        <w:rPr>
          <w:color w:val="000000"/>
          <w:sz w:val="22"/>
          <w:szCs w:val="22"/>
        </w:rPr>
        <w:t>refeição para suas unidades, faça constar a exigência de comprovação de rede credenciada próxima às unidades do S</w:t>
      </w:r>
      <w:r w:rsidR="00A545FD">
        <w:rPr>
          <w:color w:val="000000"/>
          <w:sz w:val="22"/>
          <w:szCs w:val="22"/>
        </w:rPr>
        <w:t>ESC</w:t>
      </w:r>
      <w:r w:rsidRPr="000518E9">
        <w:rPr>
          <w:color w:val="000000"/>
          <w:sz w:val="22"/>
          <w:szCs w:val="22"/>
        </w:rPr>
        <w:t xml:space="preserve">/SP apenas na fase de contratação, com </w:t>
      </w:r>
      <w:r w:rsidR="00A545FD">
        <w:rPr>
          <w:color w:val="000000"/>
          <w:sz w:val="22"/>
          <w:szCs w:val="22"/>
        </w:rPr>
        <w:t>fixação</w:t>
      </w:r>
      <w:r w:rsidRPr="000518E9">
        <w:rPr>
          <w:color w:val="000000"/>
          <w:sz w:val="22"/>
          <w:szCs w:val="22"/>
        </w:rPr>
        <w:t xml:space="preserve"> de prazo para que a vencedora do certame credencie os estabelecimentos comerciais localizados nas imediações das unidades a serem atendidas.</w:t>
      </w:r>
      <w:r>
        <w:rPr>
          <w:color w:val="000000"/>
          <w:sz w:val="22"/>
          <w:szCs w:val="22"/>
        </w:rPr>
        <w:t xml:space="preserve"> </w:t>
      </w:r>
      <w:r w:rsidRPr="00201853">
        <w:rPr>
          <w:b/>
          <w:i/>
          <w:color w:val="000000"/>
          <w:sz w:val="22"/>
          <w:szCs w:val="22"/>
        </w:rPr>
        <w:t>Acórdão n</w:t>
      </w:r>
      <w:r w:rsidR="00A545FD">
        <w:rPr>
          <w:b/>
          <w:i/>
          <w:color w:val="000000"/>
          <w:sz w:val="22"/>
          <w:szCs w:val="22"/>
        </w:rPr>
        <w:t>.</w:t>
      </w:r>
      <w:r w:rsidRPr="00201853">
        <w:rPr>
          <w:b/>
          <w:i/>
          <w:color w:val="000000"/>
          <w:sz w:val="22"/>
          <w:szCs w:val="22"/>
        </w:rPr>
        <w:t>º 258</w:t>
      </w:r>
      <w:r>
        <w:rPr>
          <w:b/>
          <w:i/>
          <w:color w:val="000000"/>
          <w:sz w:val="22"/>
          <w:szCs w:val="22"/>
        </w:rPr>
        <w:t>1</w:t>
      </w:r>
      <w:r w:rsidRPr="00201853">
        <w:rPr>
          <w:b/>
          <w:i/>
          <w:color w:val="000000"/>
          <w:sz w:val="22"/>
          <w:szCs w:val="22"/>
        </w:rPr>
        <w:t>/2010-Plenário, TC-0</w:t>
      </w:r>
      <w:r>
        <w:rPr>
          <w:b/>
          <w:i/>
          <w:color w:val="000000"/>
          <w:sz w:val="22"/>
          <w:szCs w:val="22"/>
        </w:rPr>
        <w:t>16.159/2010-1</w:t>
      </w:r>
      <w:r w:rsidRPr="00201853">
        <w:rPr>
          <w:b/>
          <w:i/>
          <w:color w:val="000000"/>
          <w:sz w:val="22"/>
          <w:szCs w:val="22"/>
        </w:rPr>
        <w:t xml:space="preserve">, rel. Min. </w:t>
      </w:r>
      <w:r>
        <w:rPr>
          <w:b/>
          <w:i/>
          <w:color w:val="000000"/>
          <w:sz w:val="22"/>
          <w:szCs w:val="22"/>
        </w:rPr>
        <w:t>Benjamin Zymler,</w:t>
      </w:r>
      <w:r w:rsidRPr="00201853">
        <w:rPr>
          <w:b/>
          <w:i/>
          <w:color w:val="000000"/>
          <w:sz w:val="22"/>
          <w:szCs w:val="22"/>
        </w:rPr>
        <w:t xml:space="preserve"> 29</w:t>
      </w:r>
      <w:r w:rsidR="00A545FD">
        <w:rPr>
          <w:b/>
          <w:i/>
          <w:color w:val="000000"/>
          <w:sz w:val="22"/>
          <w:szCs w:val="22"/>
        </w:rPr>
        <w:t>.</w:t>
      </w:r>
      <w:r w:rsidRPr="00201853">
        <w:rPr>
          <w:b/>
          <w:i/>
          <w:color w:val="000000"/>
          <w:sz w:val="22"/>
          <w:szCs w:val="22"/>
        </w:rPr>
        <w:t>09</w:t>
      </w:r>
      <w:r w:rsidR="00A545FD">
        <w:rPr>
          <w:b/>
          <w:i/>
          <w:color w:val="000000"/>
          <w:sz w:val="22"/>
          <w:szCs w:val="22"/>
        </w:rPr>
        <w:t>.</w:t>
      </w:r>
      <w:r w:rsidRPr="00201853">
        <w:rPr>
          <w:b/>
          <w:i/>
          <w:color w:val="000000"/>
          <w:sz w:val="22"/>
          <w:szCs w:val="22"/>
        </w:rPr>
        <w:t>2010.</w:t>
      </w:r>
    </w:p>
    <w:p w:rsidR="00452688" w:rsidRPr="000518E9" w:rsidRDefault="00452688" w:rsidP="00452688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color w:val="000000"/>
          <w:sz w:val="22"/>
          <w:szCs w:val="22"/>
        </w:rPr>
      </w:pPr>
    </w:p>
    <w:p w:rsidR="00452688" w:rsidRPr="001D0814" w:rsidRDefault="001D0814" w:rsidP="00452688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</w:rPr>
      </w:pPr>
      <w:r w:rsidRPr="001D0814">
        <w:rPr>
          <w:b/>
          <w:sz w:val="22"/>
          <w:szCs w:val="22"/>
        </w:rPr>
        <w:t>Alterações contratuais envolvendo acréscimos e supressões de itens: cálculo em separado dos limites legais</w:t>
      </w:r>
    </w:p>
    <w:p w:rsidR="00452688" w:rsidRDefault="00452688" w:rsidP="00452688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i/>
          <w:color w:val="000000"/>
          <w:sz w:val="22"/>
          <w:szCs w:val="22"/>
        </w:rPr>
      </w:pPr>
      <w:r w:rsidRPr="00201853">
        <w:rPr>
          <w:color w:val="000000"/>
          <w:sz w:val="22"/>
          <w:szCs w:val="22"/>
        </w:rPr>
        <w:t xml:space="preserve">Relatório de auditoria realizada na Fundação Universidade do Vale do São Francisco </w:t>
      </w:r>
      <w:r w:rsidR="00693760">
        <w:rPr>
          <w:color w:val="000000"/>
          <w:sz w:val="22"/>
          <w:szCs w:val="22"/>
        </w:rPr>
        <w:t>(</w:t>
      </w:r>
      <w:r w:rsidRPr="00201853">
        <w:rPr>
          <w:color w:val="000000"/>
          <w:sz w:val="22"/>
          <w:szCs w:val="22"/>
        </w:rPr>
        <w:t>Univasf</w:t>
      </w:r>
      <w:r w:rsidR="00693760">
        <w:rPr>
          <w:color w:val="000000"/>
          <w:sz w:val="22"/>
          <w:szCs w:val="22"/>
        </w:rPr>
        <w:t>)</w:t>
      </w:r>
      <w:r w:rsidRPr="00201853">
        <w:rPr>
          <w:color w:val="000000"/>
          <w:sz w:val="22"/>
          <w:szCs w:val="22"/>
        </w:rPr>
        <w:t xml:space="preserve"> </w:t>
      </w:r>
      <w:r w:rsidR="00693760">
        <w:rPr>
          <w:color w:val="000000"/>
          <w:sz w:val="22"/>
          <w:szCs w:val="22"/>
        </w:rPr>
        <w:t>indicou</w:t>
      </w:r>
      <w:r w:rsidRPr="00201853">
        <w:rPr>
          <w:color w:val="000000"/>
          <w:sz w:val="22"/>
          <w:szCs w:val="22"/>
        </w:rPr>
        <w:t xml:space="preserve"> </w:t>
      </w:r>
      <w:r w:rsidR="00693760">
        <w:rPr>
          <w:color w:val="000000"/>
          <w:sz w:val="22"/>
          <w:szCs w:val="22"/>
        </w:rPr>
        <w:t>possível</w:t>
      </w:r>
      <w:r w:rsidRPr="00201853">
        <w:rPr>
          <w:color w:val="000000"/>
          <w:sz w:val="22"/>
          <w:szCs w:val="22"/>
        </w:rPr>
        <w:t xml:space="preserve"> extrapolação do limite máximo de 25% estabelecido no art. 65, § 1º, da Lei n</w:t>
      </w:r>
      <w:r w:rsidR="00693760">
        <w:rPr>
          <w:color w:val="000000"/>
          <w:sz w:val="22"/>
          <w:szCs w:val="22"/>
        </w:rPr>
        <w:t>.</w:t>
      </w:r>
      <w:r w:rsidRPr="00201853">
        <w:rPr>
          <w:color w:val="000000"/>
          <w:sz w:val="22"/>
          <w:szCs w:val="22"/>
        </w:rPr>
        <w:t xml:space="preserve">º 8.666/93, quando da assinatura do 4º </w:t>
      </w:r>
      <w:r w:rsidR="001D0814">
        <w:rPr>
          <w:color w:val="000000"/>
          <w:sz w:val="22"/>
          <w:szCs w:val="22"/>
        </w:rPr>
        <w:t>T</w:t>
      </w:r>
      <w:r w:rsidRPr="00201853">
        <w:rPr>
          <w:color w:val="000000"/>
          <w:sz w:val="22"/>
          <w:szCs w:val="22"/>
        </w:rPr>
        <w:t xml:space="preserve">ermo </w:t>
      </w:r>
      <w:r w:rsidR="001D0814">
        <w:rPr>
          <w:color w:val="000000"/>
          <w:sz w:val="22"/>
          <w:szCs w:val="22"/>
        </w:rPr>
        <w:t>A</w:t>
      </w:r>
      <w:r w:rsidRPr="00201853">
        <w:rPr>
          <w:color w:val="000000"/>
          <w:sz w:val="22"/>
          <w:szCs w:val="22"/>
        </w:rPr>
        <w:t>ditivo ao Contrato n</w:t>
      </w:r>
      <w:r w:rsidR="001D0814">
        <w:rPr>
          <w:color w:val="000000"/>
          <w:sz w:val="22"/>
          <w:szCs w:val="22"/>
        </w:rPr>
        <w:t>.</w:t>
      </w:r>
      <w:r w:rsidRPr="00201853">
        <w:rPr>
          <w:color w:val="000000"/>
          <w:sz w:val="22"/>
          <w:szCs w:val="22"/>
        </w:rPr>
        <w:t>º 89/2007</w:t>
      </w:r>
      <w:r w:rsidR="00693760">
        <w:rPr>
          <w:color w:val="000000"/>
          <w:sz w:val="22"/>
          <w:szCs w:val="22"/>
        </w:rPr>
        <w:t>. Teria sido constatado</w:t>
      </w:r>
      <w:r w:rsidRPr="00201853">
        <w:rPr>
          <w:color w:val="000000"/>
          <w:sz w:val="22"/>
          <w:szCs w:val="22"/>
        </w:rPr>
        <w:t xml:space="preserve"> acréscimo de quantitativos ao objeto </w:t>
      </w:r>
      <w:r w:rsidR="00693760">
        <w:rPr>
          <w:color w:val="000000"/>
          <w:sz w:val="22"/>
          <w:szCs w:val="22"/>
        </w:rPr>
        <w:t>contratual</w:t>
      </w:r>
      <w:r w:rsidRPr="00201853">
        <w:rPr>
          <w:color w:val="000000"/>
          <w:sz w:val="22"/>
          <w:szCs w:val="22"/>
        </w:rPr>
        <w:t>, por intermédio de dois aditivos (1º e 4º)</w:t>
      </w:r>
      <w:r w:rsidR="00693760">
        <w:rPr>
          <w:color w:val="000000"/>
          <w:sz w:val="22"/>
          <w:szCs w:val="22"/>
        </w:rPr>
        <w:t xml:space="preserve">, </w:t>
      </w:r>
      <w:r w:rsidRPr="00201853">
        <w:rPr>
          <w:color w:val="000000"/>
          <w:sz w:val="22"/>
          <w:szCs w:val="22"/>
        </w:rPr>
        <w:t>representando 29,2% do valor do contrato.</w:t>
      </w:r>
      <w:r>
        <w:rPr>
          <w:color w:val="000000"/>
          <w:sz w:val="22"/>
          <w:szCs w:val="22"/>
        </w:rPr>
        <w:t xml:space="preserve"> </w:t>
      </w:r>
      <w:r w:rsidR="00DE74F1">
        <w:rPr>
          <w:color w:val="000000"/>
          <w:sz w:val="22"/>
          <w:szCs w:val="22"/>
        </w:rPr>
        <w:t xml:space="preserve">Para a unidade técnica, </w:t>
      </w:r>
      <w:r w:rsidR="00F14CB4">
        <w:rPr>
          <w:color w:val="000000"/>
          <w:sz w:val="22"/>
          <w:szCs w:val="22"/>
        </w:rPr>
        <w:t>as</w:t>
      </w:r>
      <w:r>
        <w:rPr>
          <w:color w:val="000000"/>
          <w:sz w:val="22"/>
          <w:szCs w:val="22"/>
        </w:rPr>
        <w:t xml:space="preserve"> alterações</w:t>
      </w:r>
      <w:r w:rsidRPr="00201853">
        <w:rPr>
          <w:color w:val="000000"/>
          <w:sz w:val="22"/>
          <w:szCs w:val="22"/>
        </w:rPr>
        <w:t xml:space="preserve"> poderiam ter ocorrido com o intuito de adequar o objeto licitado, baseado em projeto básico deficiente e/ou desatualizado, à realidade de execução dos serviços. </w:t>
      </w:r>
      <w:r w:rsidR="00DE74F1">
        <w:rPr>
          <w:color w:val="000000"/>
          <w:sz w:val="22"/>
          <w:szCs w:val="22"/>
        </w:rPr>
        <w:t>D</w:t>
      </w:r>
      <w:r w:rsidRPr="00201853">
        <w:rPr>
          <w:color w:val="000000"/>
          <w:sz w:val="22"/>
          <w:szCs w:val="22"/>
        </w:rPr>
        <w:t>estacou</w:t>
      </w:r>
      <w:r w:rsidR="00DE74F1">
        <w:rPr>
          <w:color w:val="000000"/>
          <w:sz w:val="22"/>
          <w:szCs w:val="22"/>
        </w:rPr>
        <w:t>, no entanto,</w:t>
      </w:r>
      <w:r w:rsidRPr="00201853">
        <w:rPr>
          <w:color w:val="000000"/>
          <w:sz w:val="22"/>
          <w:szCs w:val="22"/>
        </w:rPr>
        <w:t xml:space="preserve"> que a jurisprudência </w:t>
      </w:r>
      <w:r w:rsidR="001321CC">
        <w:rPr>
          <w:color w:val="000000"/>
          <w:sz w:val="22"/>
          <w:szCs w:val="22"/>
        </w:rPr>
        <w:t>do TCU</w:t>
      </w:r>
      <w:r w:rsidRPr="00201853">
        <w:rPr>
          <w:color w:val="000000"/>
          <w:sz w:val="22"/>
          <w:szCs w:val="22"/>
        </w:rPr>
        <w:t xml:space="preserve">, na apuração do limite previsto no § 1º do art. 65 da Lei de Licitações, </w:t>
      </w:r>
      <w:r w:rsidR="00DE74F1">
        <w:rPr>
          <w:color w:val="000000"/>
          <w:sz w:val="22"/>
          <w:szCs w:val="22"/>
        </w:rPr>
        <w:t>acena no sentido de</w:t>
      </w:r>
      <w:r w:rsidRPr="00201853">
        <w:rPr>
          <w:color w:val="000000"/>
          <w:sz w:val="22"/>
          <w:szCs w:val="22"/>
        </w:rPr>
        <w:t xml:space="preserve"> que devem</w:t>
      </w:r>
      <w:r w:rsidR="00DE74F1">
        <w:rPr>
          <w:color w:val="000000"/>
          <w:sz w:val="22"/>
          <w:szCs w:val="22"/>
        </w:rPr>
        <w:t xml:space="preserve"> ser</w:t>
      </w:r>
      <w:r w:rsidRPr="00201853">
        <w:rPr>
          <w:color w:val="000000"/>
          <w:sz w:val="22"/>
          <w:szCs w:val="22"/>
        </w:rPr>
        <w:t xml:space="preserve"> considerados</w:t>
      </w:r>
      <w:r w:rsidR="00DE74F1">
        <w:rPr>
          <w:color w:val="000000"/>
          <w:sz w:val="22"/>
          <w:szCs w:val="22"/>
        </w:rPr>
        <w:t>, em separado,</w:t>
      </w:r>
      <w:r w:rsidRPr="00201853">
        <w:rPr>
          <w:color w:val="000000"/>
          <w:sz w:val="22"/>
          <w:szCs w:val="22"/>
        </w:rPr>
        <w:t xml:space="preserve"> os acréscimos </w:t>
      </w:r>
      <w:r w:rsidR="001321CC">
        <w:rPr>
          <w:color w:val="000000"/>
          <w:sz w:val="22"/>
          <w:szCs w:val="22"/>
        </w:rPr>
        <w:t>e</w:t>
      </w:r>
      <w:r w:rsidRPr="00201853">
        <w:rPr>
          <w:color w:val="000000"/>
          <w:sz w:val="22"/>
          <w:szCs w:val="22"/>
        </w:rPr>
        <w:t xml:space="preserve"> </w:t>
      </w:r>
      <w:r w:rsidR="00DE74F1">
        <w:rPr>
          <w:color w:val="000000"/>
          <w:sz w:val="22"/>
          <w:szCs w:val="22"/>
        </w:rPr>
        <w:t xml:space="preserve">as </w:t>
      </w:r>
      <w:r w:rsidRPr="00201853">
        <w:rPr>
          <w:color w:val="000000"/>
          <w:sz w:val="22"/>
          <w:szCs w:val="22"/>
        </w:rPr>
        <w:t xml:space="preserve">supressões contratuais, não sendo permitido o balanceamento dos valores acrescidos e suprimidos. Além da extrapolação do limite de 25%, a unidade técnica questionou a qualidade das justificativas apresentadas para as alterações contratuais, </w:t>
      </w:r>
      <w:r w:rsidR="00DE74F1">
        <w:rPr>
          <w:color w:val="000000"/>
          <w:sz w:val="22"/>
          <w:szCs w:val="22"/>
        </w:rPr>
        <w:t>em</w:t>
      </w:r>
      <w:r w:rsidRPr="00201853">
        <w:rPr>
          <w:color w:val="000000"/>
          <w:sz w:val="22"/>
          <w:szCs w:val="22"/>
        </w:rPr>
        <w:t xml:space="preserve"> descumprimento </w:t>
      </w:r>
      <w:r w:rsidR="00DE74F1">
        <w:rPr>
          <w:color w:val="000000"/>
          <w:sz w:val="22"/>
          <w:szCs w:val="22"/>
        </w:rPr>
        <w:t>ao</w:t>
      </w:r>
      <w:r w:rsidRPr="00201853">
        <w:rPr>
          <w:color w:val="000000"/>
          <w:sz w:val="22"/>
          <w:szCs w:val="22"/>
        </w:rPr>
        <w:t xml:space="preserve"> </w:t>
      </w:r>
      <w:r w:rsidRPr="00DE74F1">
        <w:rPr>
          <w:i/>
          <w:color w:val="000000"/>
          <w:sz w:val="22"/>
          <w:szCs w:val="22"/>
        </w:rPr>
        <w:t>caput</w:t>
      </w:r>
      <w:r w:rsidRPr="00201853">
        <w:rPr>
          <w:color w:val="000000"/>
          <w:sz w:val="22"/>
          <w:szCs w:val="22"/>
        </w:rPr>
        <w:t xml:space="preserve"> do mencionado art. 65, </w:t>
      </w:r>
      <w:r w:rsidR="00DE74F1">
        <w:rPr>
          <w:color w:val="000000"/>
          <w:sz w:val="22"/>
          <w:szCs w:val="22"/>
        </w:rPr>
        <w:t>o qual</w:t>
      </w:r>
      <w:r w:rsidRPr="00201853">
        <w:rPr>
          <w:color w:val="000000"/>
          <w:sz w:val="22"/>
          <w:szCs w:val="22"/>
        </w:rPr>
        <w:t xml:space="preserve"> prevê que as alterações promovidas em contratos devem ser devidamente justificadas.</w:t>
      </w:r>
      <w:r>
        <w:rPr>
          <w:color w:val="000000"/>
          <w:sz w:val="22"/>
          <w:szCs w:val="22"/>
        </w:rPr>
        <w:t xml:space="preserve"> De acordo com a unidade </w:t>
      </w:r>
      <w:r w:rsidR="00DE74F1">
        <w:rPr>
          <w:color w:val="000000"/>
          <w:sz w:val="22"/>
          <w:szCs w:val="22"/>
        </w:rPr>
        <w:t>instrutiva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“</w:t>
      </w:r>
      <w:r>
        <w:rPr>
          <w:i/>
          <w:iCs/>
          <w:sz w:val="23"/>
          <w:szCs w:val="23"/>
        </w:rPr>
        <w:t xml:space="preserve">a solução dada pela Univasf [...] seria aceitável, caso tivesse sido demonstrada pelos responsáveis, quando da assinatura dos termos aditivos, que a alternativa de rescisão contratual, seguida de nova licitação e contratação, importaria sacrifício insuportável ao interesse coletivo e que a solução adotada seria a mais adequada, e que os pressupostos previstos na Decisão TCU 215/1999 – Plenária teriam sido satisfeitos, o que não foi feito”. </w:t>
      </w:r>
      <w:r w:rsidR="00DE74F1">
        <w:rPr>
          <w:iCs/>
          <w:sz w:val="23"/>
          <w:szCs w:val="23"/>
        </w:rPr>
        <w:t>Em seu voto, o</w:t>
      </w:r>
      <w:r w:rsidRPr="00201853">
        <w:rPr>
          <w:color w:val="000000"/>
          <w:sz w:val="22"/>
          <w:szCs w:val="22"/>
        </w:rPr>
        <w:t xml:space="preserve"> relator concordou com a equipe técnica</w:t>
      </w:r>
      <w:r w:rsidR="00DE74F1">
        <w:rPr>
          <w:color w:val="000000"/>
          <w:sz w:val="22"/>
          <w:szCs w:val="22"/>
        </w:rPr>
        <w:t xml:space="preserve"> ao assinalar que</w:t>
      </w:r>
      <w:r w:rsidRPr="00201853">
        <w:rPr>
          <w:color w:val="000000"/>
          <w:sz w:val="22"/>
          <w:szCs w:val="22"/>
        </w:rPr>
        <w:t xml:space="preserve">, </w:t>
      </w:r>
      <w:r w:rsidR="00DE74F1" w:rsidRPr="00DE74F1">
        <w:rPr>
          <w:i/>
          <w:color w:val="000000"/>
          <w:sz w:val="22"/>
          <w:szCs w:val="22"/>
        </w:rPr>
        <w:t>“</w:t>
      </w:r>
      <w:r w:rsidRPr="00DE74F1">
        <w:rPr>
          <w:i/>
          <w:color w:val="000000"/>
          <w:sz w:val="22"/>
          <w:szCs w:val="22"/>
        </w:rPr>
        <w:t>embora a Univasf informasse que havia necessidade de adequação do contrato às necessidades do órgão; embora os elementos constantes da defesa demonstrassem que as alterações não foram expressivas (que teve supressões da ordem de 6,66% e acréscimos da ordem de 27,20% em relação ao valor inicial); embora a empresa contratada tenha aceitado as mesmas condições contratuais, para os acréscimos e decréscimos dos itens licitados</w:t>
      </w:r>
      <w:r w:rsidR="00DE74F1" w:rsidRPr="00DE74F1">
        <w:rPr>
          <w:i/>
          <w:color w:val="000000"/>
          <w:sz w:val="22"/>
          <w:szCs w:val="22"/>
        </w:rPr>
        <w:t>”</w:t>
      </w:r>
      <w:r w:rsidRPr="00201853">
        <w:rPr>
          <w:color w:val="000000"/>
          <w:sz w:val="22"/>
          <w:szCs w:val="22"/>
        </w:rPr>
        <w:t xml:space="preserve">, ao </w:t>
      </w:r>
      <w:r w:rsidR="00DE74F1">
        <w:rPr>
          <w:color w:val="000000"/>
          <w:sz w:val="22"/>
          <w:szCs w:val="22"/>
        </w:rPr>
        <w:t>serem analisados</w:t>
      </w:r>
      <w:r w:rsidRPr="00201853">
        <w:rPr>
          <w:color w:val="000000"/>
          <w:sz w:val="22"/>
          <w:szCs w:val="22"/>
        </w:rPr>
        <w:t xml:space="preserve"> os itens da planilha</w:t>
      </w:r>
      <w:r w:rsidR="00DE74F1">
        <w:rPr>
          <w:color w:val="000000"/>
          <w:sz w:val="22"/>
          <w:szCs w:val="22"/>
        </w:rPr>
        <w:t>,</w:t>
      </w:r>
      <w:r w:rsidRPr="00201853">
        <w:rPr>
          <w:color w:val="000000"/>
          <w:sz w:val="22"/>
          <w:szCs w:val="22"/>
        </w:rPr>
        <w:t xml:space="preserve"> verificou-se que não existiam fundamentos técnicos para embasar as alterações, bem como evidências de que tenham surgido </w:t>
      </w:r>
      <w:r w:rsidR="00DE74F1" w:rsidRPr="00DE74F1">
        <w:rPr>
          <w:i/>
          <w:color w:val="000000"/>
          <w:sz w:val="22"/>
          <w:szCs w:val="22"/>
        </w:rPr>
        <w:t>“</w:t>
      </w:r>
      <w:r w:rsidRPr="00DE74F1">
        <w:rPr>
          <w:i/>
          <w:color w:val="000000"/>
          <w:sz w:val="22"/>
          <w:szCs w:val="22"/>
        </w:rPr>
        <w:t>elementos supervenientes que implicassem necessidades imprevisíveis por ocasião da contratação inicial</w:t>
      </w:r>
      <w:r w:rsidR="00DE74F1" w:rsidRPr="00DE74F1">
        <w:rPr>
          <w:i/>
          <w:color w:val="000000"/>
          <w:sz w:val="22"/>
          <w:szCs w:val="22"/>
        </w:rPr>
        <w:t>”</w:t>
      </w:r>
      <w:r w:rsidRPr="00201853">
        <w:rPr>
          <w:color w:val="000000"/>
          <w:sz w:val="22"/>
          <w:szCs w:val="22"/>
        </w:rPr>
        <w:t xml:space="preserve">. </w:t>
      </w:r>
      <w:r w:rsidR="001321CC">
        <w:rPr>
          <w:color w:val="000000"/>
          <w:sz w:val="22"/>
          <w:szCs w:val="22"/>
        </w:rPr>
        <w:t>Acolhendo o</w:t>
      </w:r>
      <w:r w:rsidRPr="00201853">
        <w:rPr>
          <w:color w:val="000000"/>
          <w:sz w:val="22"/>
          <w:szCs w:val="22"/>
        </w:rPr>
        <w:t xml:space="preserve"> voto do relator</w:t>
      </w:r>
      <w:r w:rsidR="001321CC">
        <w:rPr>
          <w:color w:val="000000"/>
          <w:sz w:val="22"/>
          <w:szCs w:val="22"/>
        </w:rPr>
        <w:t>, o Plenário</w:t>
      </w:r>
      <w:r w:rsidRPr="00201853">
        <w:rPr>
          <w:color w:val="000000"/>
          <w:sz w:val="22"/>
          <w:szCs w:val="22"/>
        </w:rPr>
        <w:t xml:space="preserve"> </w:t>
      </w:r>
      <w:r w:rsidR="00DE74F1">
        <w:rPr>
          <w:color w:val="000000"/>
          <w:sz w:val="22"/>
          <w:szCs w:val="22"/>
        </w:rPr>
        <w:t xml:space="preserve">decidiu </w:t>
      </w:r>
      <w:r w:rsidRPr="00201853">
        <w:rPr>
          <w:color w:val="000000"/>
          <w:sz w:val="22"/>
          <w:szCs w:val="22"/>
        </w:rPr>
        <w:t>determin</w:t>
      </w:r>
      <w:r w:rsidR="00DE74F1">
        <w:rPr>
          <w:color w:val="000000"/>
          <w:sz w:val="22"/>
          <w:szCs w:val="22"/>
        </w:rPr>
        <w:t>ar</w:t>
      </w:r>
      <w:r w:rsidRPr="00201853">
        <w:rPr>
          <w:color w:val="000000"/>
          <w:sz w:val="22"/>
          <w:szCs w:val="22"/>
        </w:rPr>
        <w:t xml:space="preserve"> </w:t>
      </w:r>
      <w:r w:rsidR="00DE74F1">
        <w:rPr>
          <w:color w:val="000000"/>
          <w:sz w:val="22"/>
          <w:szCs w:val="22"/>
        </w:rPr>
        <w:t>à</w:t>
      </w:r>
      <w:r w:rsidRPr="00201853">
        <w:rPr>
          <w:color w:val="000000"/>
          <w:sz w:val="22"/>
          <w:szCs w:val="22"/>
        </w:rPr>
        <w:t xml:space="preserve"> Univasf</w:t>
      </w:r>
      <w:r w:rsidR="00DE74F1">
        <w:rPr>
          <w:color w:val="000000"/>
          <w:sz w:val="22"/>
          <w:szCs w:val="22"/>
        </w:rPr>
        <w:t xml:space="preserve"> que</w:t>
      </w:r>
      <w:r w:rsidRPr="00201853">
        <w:rPr>
          <w:color w:val="000000"/>
          <w:sz w:val="22"/>
          <w:szCs w:val="22"/>
        </w:rPr>
        <w:t xml:space="preserve"> obedeça, nas alterações contratuais, os limites estabelecidos pelo art. 65, §§ 1º e 2º, da Lei n</w:t>
      </w:r>
      <w:r w:rsidR="00DE74F1">
        <w:rPr>
          <w:color w:val="000000"/>
          <w:sz w:val="22"/>
          <w:szCs w:val="22"/>
        </w:rPr>
        <w:t>.</w:t>
      </w:r>
      <w:r w:rsidRPr="00201853">
        <w:rPr>
          <w:color w:val="000000"/>
          <w:sz w:val="22"/>
          <w:szCs w:val="22"/>
        </w:rPr>
        <w:t>º 8.666/93</w:t>
      </w:r>
      <w:r w:rsidR="00DE74F1">
        <w:rPr>
          <w:color w:val="000000"/>
          <w:sz w:val="22"/>
          <w:szCs w:val="22"/>
        </w:rPr>
        <w:t>,</w:t>
      </w:r>
      <w:r w:rsidRPr="00201853">
        <w:rPr>
          <w:color w:val="000000"/>
          <w:sz w:val="22"/>
          <w:szCs w:val="22"/>
        </w:rPr>
        <w:t xml:space="preserve"> </w:t>
      </w:r>
      <w:r w:rsidR="00DE74F1">
        <w:rPr>
          <w:color w:val="000000"/>
          <w:sz w:val="22"/>
          <w:szCs w:val="22"/>
        </w:rPr>
        <w:t>bem como</w:t>
      </w:r>
      <w:r w:rsidRPr="00201853">
        <w:rPr>
          <w:color w:val="000000"/>
          <w:sz w:val="22"/>
          <w:szCs w:val="22"/>
        </w:rPr>
        <w:t xml:space="preserve"> o disposto na Decisão n</w:t>
      </w:r>
      <w:r w:rsidR="009F6233">
        <w:rPr>
          <w:color w:val="000000"/>
          <w:sz w:val="22"/>
          <w:szCs w:val="22"/>
        </w:rPr>
        <w:t>.</w:t>
      </w:r>
      <w:r w:rsidRPr="00201853">
        <w:rPr>
          <w:color w:val="000000"/>
          <w:sz w:val="22"/>
          <w:szCs w:val="22"/>
        </w:rPr>
        <w:t>º 215/99-Plenário.</w:t>
      </w:r>
      <w:r w:rsidR="001321CC">
        <w:rPr>
          <w:color w:val="000000"/>
          <w:sz w:val="22"/>
          <w:szCs w:val="22"/>
        </w:rPr>
        <w:t xml:space="preserve"> Precedentes citados: Acórdãos n.</w:t>
      </w:r>
      <w:r w:rsidR="001321CC" w:rsidRPr="001321CC">
        <w:rPr>
          <w:color w:val="000000"/>
          <w:sz w:val="22"/>
          <w:szCs w:val="22"/>
          <w:vertAlign w:val="superscript"/>
        </w:rPr>
        <w:t>os</w:t>
      </w:r>
      <w:r w:rsidR="001321CC">
        <w:rPr>
          <w:color w:val="000000"/>
          <w:sz w:val="22"/>
          <w:szCs w:val="22"/>
        </w:rPr>
        <w:t xml:space="preserve"> 336/2008-Plenário e 2.079/2007-2ª Câmara.</w:t>
      </w:r>
      <w:r w:rsidRPr="00201853">
        <w:rPr>
          <w:color w:val="000000"/>
          <w:sz w:val="22"/>
          <w:szCs w:val="22"/>
        </w:rPr>
        <w:t xml:space="preserve"> </w:t>
      </w:r>
      <w:r w:rsidRPr="00201853">
        <w:rPr>
          <w:b/>
          <w:i/>
          <w:color w:val="000000"/>
          <w:sz w:val="22"/>
          <w:szCs w:val="22"/>
        </w:rPr>
        <w:t>Acórdão nº 2588/2010-Plenário, TC-027.340/2009-5, rel. Min. Augusto Nardes, 29</w:t>
      </w:r>
      <w:r w:rsidR="001321CC">
        <w:rPr>
          <w:b/>
          <w:i/>
          <w:color w:val="000000"/>
          <w:sz w:val="22"/>
          <w:szCs w:val="22"/>
        </w:rPr>
        <w:t>.</w:t>
      </w:r>
      <w:r w:rsidRPr="00201853">
        <w:rPr>
          <w:b/>
          <w:i/>
          <w:color w:val="000000"/>
          <w:sz w:val="22"/>
          <w:szCs w:val="22"/>
        </w:rPr>
        <w:t>09</w:t>
      </w:r>
      <w:r w:rsidR="001321CC">
        <w:rPr>
          <w:b/>
          <w:i/>
          <w:color w:val="000000"/>
          <w:sz w:val="22"/>
          <w:szCs w:val="22"/>
        </w:rPr>
        <w:t>.</w:t>
      </w:r>
      <w:r w:rsidRPr="00201853">
        <w:rPr>
          <w:b/>
          <w:i/>
          <w:color w:val="000000"/>
          <w:sz w:val="22"/>
          <w:szCs w:val="22"/>
        </w:rPr>
        <w:t>2010.</w:t>
      </w:r>
    </w:p>
    <w:p w:rsidR="0055716D" w:rsidRPr="00337E16" w:rsidRDefault="0055716D" w:rsidP="0055716D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PRIMEIRA</w:t>
      </w:r>
      <w:r w:rsidRPr="00337E16">
        <w:rPr>
          <w:rFonts w:ascii="Cambria" w:hAnsi="Cambria"/>
          <w:b/>
          <w:bCs/>
          <w:smallCaps/>
          <w:sz w:val="22"/>
          <w:szCs w:val="22"/>
        </w:rPr>
        <w:t xml:space="preserve"> CÂMARA</w:t>
      </w:r>
    </w:p>
    <w:p w:rsidR="0055716D" w:rsidRPr="00337E16" w:rsidRDefault="0055716D" w:rsidP="0055716D">
      <w:pPr>
        <w:pStyle w:val="Pargrafo"/>
        <w:jc w:val="both"/>
        <w:rPr>
          <w:b/>
          <w:sz w:val="22"/>
          <w:szCs w:val="22"/>
        </w:rPr>
      </w:pPr>
    </w:p>
    <w:p w:rsidR="0055716D" w:rsidRPr="00F14CB4" w:rsidRDefault="00F14CB4" w:rsidP="0055716D">
      <w:pPr>
        <w:pStyle w:val="Pargrafo"/>
        <w:jc w:val="both"/>
        <w:rPr>
          <w:b/>
          <w:sz w:val="22"/>
          <w:szCs w:val="22"/>
        </w:rPr>
      </w:pPr>
      <w:r w:rsidRPr="00F14CB4">
        <w:rPr>
          <w:b/>
          <w:sz w:val="22"/>
          <w:szCs w:val="22"/>
        </w:rPr>
        <w:t>Pressupostos para a dispensa de licitação com fundamento no art. 24, XXIII, da Lei n.º 8.666/93</w:t>
      </w:r>
    </w:p>
    <w:p w:rsidR="008C6490" w:rsidRPr="00337E16" w:rsidRDefault="00E2565F" w:rsidP="008D251B">
      <w:pPr>
        <w:pStyle w:val="enter-3p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Ao processo de</w:t>
      </w:r>
      <w:r w:rsidR="0021481D" w:rsidRPr="00E272C3">
        <w:rPr>
          <w:sz w:val="22"/>
          <w:szCs w:val="22"/>
        </w:rPr>
        <w:t xml:space="preserve"> prestação de contas relativa ao exercício de 2003</w:t>
      </w:r>
      <w:r w:rsidR="003518EE">
        <w:rPr>
          <w:sz w:val="22"/>
          <w:szCs w:val="22"/>
        </w:rPr>
        <w:t>,</w:t>
      </w:r>
      <w:r w:rsidR="0021481D" w:rsidRPr="00E272C3">
        <w:rPr>
          <w:sz w:val="22"/>
          <w:szCs w:val="22"/>
        </w:rPr>
        <w:t xml:space="preserve"> da BBT</w:t>
      </w:r>
      <w:r w:rsidR="00EC0578">
        <w:rPr>
          <w:sz w:val="22"/>
          <w:szCs w:val="22"/>
        </w:rPr>
        <w:t>ur</w:t>
      </w:r>
      <w:r w:rsidR="0021481D" w:rsidRPr="00E272C3">
        <w:rPr>
          <w:sz w:val="22"/>
          <w:szCs w:val="22"/>
        </w:rPr>
        <w:t xml:space="preserve"> Viagens e Turismo Ltda</w:t>
      </w:r>
      <w:r w:rsidR="00061B67">
        <w:rPr>
          <w:sz w:val="22"/>
          <w:szCs w:val="22"/>
        </w:rPr>
        <w:t>.</w:t>
      </w:r>
      <w:r>
        <w:rPr>
          <w:sz w:val="22"/>
          <w:szCs w:val="22"/>
        </w:rPr>
        <w:t>, foi apensad</w:t>
      </w:r>
      <w:r w:rsidR="00D00393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061B67">
        <w:rPr>
          <w:sz w:val="22"/>
          <w:szCs w:val="22"/>
        </w:rPr>
        <w:t xml:space="preserve">processo de </w:t>
      </w:r>
      <w:r>
        <w:rPr>
          <w:sz w:val="22"/>
          <w:szCs w:val="22"/>
        </w:rPr>
        <w:t xml:space="preserve">representação formulada ao TCU contra </w:t>
      </w:r>
      <w:r w:rsidR="0021481D" w:rsidRPr="00E272C3">
        <w:rPr>
          <w:sz w:val="22"/>
          <w:szCs w:val="22"/>
        </w:rPr>
        <w:t xml:space="preserve">supostas irregularidades </w:t>
      </w:r>
      <w:r w:rsidR="00D00393">
        <w:rPr>
          <w:sz w:val="22"/>
          <w:szCs w:val="22"/>
        </w:rPr>
        <w:t>em</w:t>
      </w:r>
      <w:r w:rsidR="0021481D" w:rsidRPr="00E272C3">
        <w:rPr>
          <w:sz w:val="22"/>
          <w:szCs w:val="22"/>
        </w:rPr>
        <w:t xml:space="preserve"> contrataç</w:t>
      </w:r>
      <w:r w:rsidR="00D00393">
        <w:rPr>
          <w:sz w:val="22"/>
          <w:szCs w:val="22"/>
        </w:rPr>
        <w:t>ões</w:t>
      </w:r>
      <w:r w:rsidR="0021481D" w:rsidRPr="00E272C3">
        <w:rPr>
          <w:sz w:val="22"/>
          <w:szCs w:val="22"/>
        </w:rPr>
        <w:t xml:space="preserve"> direta</w:t>
      </w:r>
      <w:r w:rsidR="00D00393">
        <w:rPr>
          <w:sz w:val="22"/>
          <w:szCs w:val="22"/>
        </w:rPr>
        <w:t>s</w:t>
      </w:r>
      <w:r w:rsidR="0021481D" w:rsidRPr="00E272C3">
        <w:rPr>
          <w:sz w:val="22"/>
          <w:szCs w:val="22"/>
        </w:rPr>
        <w:t xml:space="preserve"> da empresa Cobra Tecnologia S.A.</w:t>
      </w:r>
      <w:r w:rsidR="00D00393">
        <w:rPr>
          <w:sz w:val="22"/>
          <w:szCs w:val="22"/>
        </w:rPr>
        <w:t>,</w:t>
      </w:r>
      <w:r w:rsidR="0021481D" w:rsidRPr="00E272C3">
        <w:rPr>
          <w:sz w:val="22"/>
          <w:szCs w:val="22"/>
        </w:rPr>
        <w:t xml:space="preserve"> </w:t>
      </w:r>
      <w:r w:rsidR="003518EE">
        <w:rPr>
          <w:sz w:val="22"/>
          <w:szCs w:val="22"/>
        </w:rPr>
        <w:t xml:space="preserve">efetivadas </w:t>
      </w:r>
      <w:r w:rsidR="0021481D" w:rsidRPr="00E272C3">
        <w:rPr>
          <w:sz w:val="22"/>
          <w:szCs w:val="22"/>
        </w:rPr>
        <w:t>por órgãos e entidades da Administração Pública</w:t>
      </w:r>
      <w:r>
        <w:rPr>
          <w:sz w:val="22"/>
          <w:szCs w:val="22"/>
        </w:rPr>
        <w:t xml:space="preserve">. </w:t>
      </w:r>
      <w:r w:rsidR="00D00393">
        <w:rPr>
          <w:sz w:val="22"/>
          <w:szCs w:val="22"/>
        </w:rPr>
        <w:t>P</w:t>
      </w:r>
      <w:r w:rsidR="00061B67">
        <w:rPr>
          <w:sz w:val="22"/>
          <w:szCs w:val="22"/>
        </w:rPr>
        <w:t>or in</w:t>
      </w:r>
      <w:r w:rsidR="0021481D" w:rsidRPr="00E272C3">
        <w:rPr>
          <w:sz w:val="22"/>
          <w:szCs w:val="22"/>
        </w:rPr>
        <w:t xml:space="preserve">termédio do </w:t>
      </w:r>
      <w:r w:rsidR="00061B67" w:rsidRPr="00E272C3">
        <w:rPr>
          <w:sz w:val="22"/>
          <w:szCs w:val="22"/>
        </w:rPr>
        <w:t>Acórdão n</w:t>
      </w:r>
      <w:r w:rsidR="00061B67">
        <w:rPr>
          <w:sz w:val="22"/>
          <w:szCs w:val="22"/>
        </w:rPr>
        <w:t>.</w:t>
      </w:r>
      <w:r w:rsidR="00061B67" w:rsidRPr="00E272C3">
        <w:rPr>
          <w:sz w:val="22"/>
          <w:szCs w:val="22"/>
        </w:rPr>
        <w:t>º 127/2007-</w:t>
      </w:r>
      <w:r w:rsidR="00061B67">
        <w:rPr>
          <w:sz w:val="22"/>
          <w:szCs w:val="22"/>
        </w:rPr>
        <w:t>2ª</w:t>
      </w:r>
      <w:r w:rsidR="00061B67" w:rsidRPr="00E272C3">
        <w:rPr>
          <w:sz w:val="22"/>
          <w:szCs w:val="22"/>
        </w:rPr>
        <w:t xml:space="preserve"> Câmara</w:t>
      </w:r>
      <w:r w:rsidR="0021481D" w:rsidRPr="00E272C3">
        <w:rPr>
          <w:sz w:val="22"/>
          <w:szCs w:val="22"/>
        </w:rPr>
        <w:t xml:space="preserve">, o Tribunal deliberou </w:t>
      </w:r>
      <w:r w:rsidR="00D00393">
        <w:rPr>
          <w:sz w:val="22"/>
          <w:szCs w:val="22"/>
        </w:rPr>
        <w:t>pela</w:t>
      </w:r>
      <w:r w:rsidR="0021481D" w:rsidRPr="00E272C3">
        <w:rPr>
          <w:sz w:val="22"/>
          <w:szCs w:val="22"/>
        </w:rPr>
        <w:t xml:space="preserve"> aplicação de multa aos responsáveis e por </w:t>
      </w:r>
      <w:r w:rsidR="00D00393">
        <w:rPr>
          <w:sz w:val="22"/>
          <w:szCs w:val="22"/>
        </w:rPr>
        <w:t>expedir</w:t>
      </w:r>
      <w:r w:rsidR="0021481D" w:rsidRPr="00E272C3">
        <w:rPr>
          <w:sz w:val="22"/>
          <w:szCs w:val="22"/>
        </w:rPr>
        <w:t xml:space="preserve"> determinações à BBTur.</w:t>
      </w:r>
      <w:r w:rsidR="00E3307D">
        <w:rPr>
          <w:sz w:val="22"/>
          <w:szCs w:val="22"/>
        </w:rPr>
        <w:t xml:space="preserve"> No voto condutor do aludido </w:t>
      </w:r>
      <w:r w:rsidR="00E3307D" w:rsidRPr="00E3307D">
        <w:rPr>
          <w:b/>
          <w:sz w:val="22"/>
          <w:szCs w:val="22"/>
        </w:rPr>
        <w:t>decisum</w:t>
      </w:r>
      <w:r w:rsidR="00E3307D">
        <w:rPr>
          <w:sz w:val="22"/>
          <w:szCs w:val="22"/>
        </w:rPr>
        <w:t xml:space="preserve">, restou assente que </w:t>
      </w:r>
      <w:r w:rsidR="00E3307D">
        <w:rPr>
          <w:i/>
          <w:sz w:val="22"/>
          <w:szCs w:val="22"/>
        </w:rPr>
        <w:t>“</w:t>
      </w:r>
      <w:r w:rsidR="0021481D" w:rsidRPr="00E272C3">
        <w:rPr>
          <w:i/>
          <w:sz w:val="22"/>
          <w:szCs w:val="22"/>
        </w:rPr>
        <w:t xml:space="preserve">a empresa Cobra Computadores e Sistemas Brasileiros S.A., atualmente Cobra Tecnologia S.A., integra a administração pública federal como entidade sob controle indireto da União e direto do Banco do Brasil S.A </w:t>
      </w:r>
      <w:r w:rsidR="0021481D" w:rsidRPr="00E272C3">
        <w:rPr>
          <w:i/>
          <w:sz w:val="22"/>
          <w:szCs w:val="22"/>
        </w:rPr>
        <w:sym w:font="Symbol" w:char="F02D"/>
      </w:r>
      <w:r w:rsidR="0021481D" w:rsidRPr="00E272C3">
        <w:rPr>
          <w:i/>
          <w:sz w:val="22"/>
          <w:szCs w:val="22"/>
        </w:rPr>
        <w:t xml:space="preserve"> BB. Na condição de controlada do BB, torna-se possível sua contratação, pelo referido Banco, tendo por base o art. 24, XXIII, da Lei nº 8.666/1993.</w:t>
      </w:r>
      <w:r w:rsidR="00E3307D">
        <w:rPr>
          <w:i/>
          <w:sz w:val="22"/>
          <w:szCs w:val="22"/>
        </w:rPr>
        <w:t xml:space="preserve"> </w:t>
      </w:r>
      <w:r w:rsidR="0021481D" w:rsidRPr="00E272C3">
        <w:rPr>
          <w:i/>
          <w:sz w:val="22"/>
          <w:szCs w:val="22"/>
        </w:rPr>
        <w:t xml:space="preserve">Consignei, todavia, no Voto condutor da Decisão nº 645/2002-TCU-Plenário, que, na contratação de subsidiárias ou controladas pelos dirigentes de estatais, dois requisitos devem estar presentes: preço a ser pactuado compatível com o praticado no mercado, sob pena de o ajuste ser inquinado de ilegal, e relação de pertinência entre o serviço a ser prestado ou os bens a serem alienados ou adquiridos e </w:t>
      </w:r>
      <w:r w:rsidR="00EC0578">
        <w:rPr>
          <w:i/>
          <w:sz w:val="22"/>
          <w:szCs w:val="22"/>
        </w:rPr>
        <w:t xml:space="preserve">o </w:t>
      </w:r>
      <w:r w:rsidR="0021481D" w:rsidRPr="00E272C3">
        <w:rPr>
          <w:i/>
          <w:sz w:val="22"/>
          <w:szCs w:val="22"/>
        </w:rPr>
        <w:t>objetivo institucional ou social das mencionadas entidades.</w:t>
      </w:r>
      <w:r w:rsidR="00E3307D">
        <w:rPr>
          <w:i/>
          <w:sz w:val="22"/>
          <w:szCs w:val="22"/>
        </w:rPr>
        <w:t xml:space="preserve"> </w:t>
      </w:r>
      <w:r w:rsidR="0021481D" w:rsidRPr="00E272C3">
        <w:rPr>
          <w:i/>
          <w:sz w:val="22"/>
          <w:szCs w:val="22"/>
        </w:rPr>
        <w:t>Nessa oportunidade, ressaltei, ainda, que, no caso de a empresa não ter capacidade de prestar diretamente os serviços ou fabricar os produtos objeto da avença, em regra, é vedada a subcontratação total, nas hipóteses de contratação direta, mediante dispensa de licitação, com fulcro no art. 24, XXIII, da Lei de Licitações.</w:t>
      </w:r>
      <w:r w:rsidR="00E3307D">
        <w:rPr>
          <w:i/>
          <w:sz w:val="22"/>
          <w:szCs w:val="22"/>
        </w:rPr>
        <w:t xml:space="preserve"> </w:t>
      </w:r>
      <w:r w:rsidR="0021481D" w:rsidRPr="00E272C3">
        <w:rPr>
          <w:i/>
          <w:sz w:val="22"/>
          <w:szCs w:val="22"/>
        </w:rPr>
        <w:t>No presente caso, observa-se que as contratações diretas tiveram por base o art. 24, VIII, da Lei nº 8.666/1993 ou o art. 25, caput, da referida lei.</w:t>
      </w:r>
      <w:r w:rsidR="00E3307D">
        <w:rPr>
          <w:i/>
          <w:sz w:val="22"/>
          <w:szCs w:val="22"/>
        </w:rPr>
        <w:t xml:space="preserve"> </w:t>
      </w:r>
      <w:r w:rsidR="0021481D" w:rsidRPr="00E272C3">
        <w:rPr>
          <w:i/>
          <w:sz w:val="22"/>
          <w:szCs w:val="22"/>
        </w:rPr>
        <w:t>No que se refere à utilização do inciso VIII, do art. 24, da Lei de Licitações, a lei é clara ao prescrever que a natureza jurídica da contratante é de direito público interno. E a BBTur, por se tratar de controlada de uma sociedade de economia mista, não detém a prerrogativa conferida por esse dispositivo. No que diz respeito ao fundamento legal utilizado para o provimento de infra-estrutura de call center (art. 25, caput, da Lei nº 8.666/1993), a própria BBTur, para justificar o preço contratado com a empresa Cobra, realizou pesquisa de mercado junto às empresas ESRJ, CBCC, demonstrando que a licitação era viável e que os serviços por ela oferecidos não eram exclusivos.</w:t>
      </w:r>
      <w:r w:rsidR="00E3307D">
        <w:rPr>
          <w:i/>
          <w:sz w:val="22"/>
          <w:szCs w:val="22"/>
        </w:rPr>
        <w:t xml:space="preserve"> </w:t>
      </w:r>
      <w:r w:rsidR="0021481D" w:rsidRPr="00E272C3">
        <w:rPr>
          <w:i/>
          <w:sz w:val="22"/>
          <w:szCs w:val="22"/>
        </w:rPr>
        <w:t>Impende destacar, ainda, que, apesar de ter incluída no rol de seus objetivos institucionais a comercialização de equipamentos e sistemas de informática, bem como a prestação de serviços afins, a empresa Cobra, ao vender computadores ou outros equipamentos de informática à BBTur, por dispensa de licitação, sem produzi-los, estaria atuando como mera intermediária, prática contra a qual me insurgi ao relatar o TC nº 016.520/1999-8, que redundou na Decisão TCU nº 645/2002- Plenário, já citada</w:t>
      </w:r>
      <w:r w:rsidR="00E3307D">
        <w:rPr>
          <w:i/>
          <w:sz w:val="22"/>
          <w:szCs w:val="22"/>
        </w:rPr>
        <w:t xml:space="preserve"> [...]</w:t>
      </w:r>
      <w:r w:rsidR="007A22F3">
        <w:rPr>
          <w:i/>
          <w:sz w:val="22"/>
          <w:szCs w:val="22"/>
        </w:rPr>
        <w:t>.</w:t>
      </w:r>
      <w:r w:rsidR="00E3307D">
        <w:rPr>
          <w:i/>
          <w:sz w:val="22"/>
          <w:szCs w:val="22"/>
        </w:rPr>
        <w:t xml:space="preserve"> </w:t>
      </w:r>
      <w:r w:rsidR="0021481D" w:rsidRPr="00E272C3">
        <w:rPr>
          <w:i/>
          <w:sz w:val="22"/>
          <w:szCs w:val="22"/>
        </w:rPr>
        <w:t>Por fim, destaco que os presentes autos devem ser apensados às contas de 2003 da BBTUR Viagens e Turismo Ltda. (TC nº 009.072/2004-3), para subsidiar o exame de mérito da gestão, com os possíveis reflexos dos fatos aqui tratados nas contas ordinárias da BBTur.</w:t>
      </w:r>
      <w:r w:rsidR="00E3307D">
        <w:rPr>
          <w:i/>
          <w:sz w:val="22"/>
          <w:szCs w:val="22"/>
        </w:rPr>
        <w:t>”</w:t>
      </w:r>
      <w:r w:rsidR="008D251B">
        <w:rPr>
          <w:sz w:val="22"/>
          <w:szCs w:val="22"/>
        </w:rPr>
        <w:t xml:space="preserve"> </w:t>
      </w:r>
      <w:r w:rsidR="00EC0578">
        <w:rPr>
          <w:sz w:val="22"/>
          <w:szCs w:val="22"/>
        </w:rPr>
        <w:t>Quando do exame</w:t>
      </w:r>
      <w:r w:rsidR="007A22F3">
        <w:rPr>
          <w:sz w:val="22"/>
          <w:szCs w:val="22"/>
        </w:rPr>
        <w:t xml:space="preserve"> </w:t>
      </w:r>
      <w:r w:rsidR="00EC0578">
        <w:rPr>
          <w:sz w:val="22"/>
          <w:szCs w:val="22"/>
        </w:rPr>
        <w:t>d</w:t>
      </w:r>
      <w:r w:rsidR="007A22F3">
        <w:rPr>
          <w:sz w:val="22"/>
          <w:szCs w:val="22"/>
        </w:rPr>
        <w:t>as contas</w:t>
      </w:r>
      <w:r w:rsidR="00E272C3" w:rsidRPr="00E272C3">
        <w:rPr>
          <w:sz w:val="22"/>
          <w:szCs w:val="22"/>
        </w:rPr>
        <w:t xml:space="preserve">, </w:t>
      </w:r>
      <w:r w:rsidR="008D251B">
        <w:rPr>
          <w:sz w:val="22"/>
          <w:szCs w:val="22"/>
        </w:rPr>
        <w:t xml:space="preserve">o relator concluiu que a </w:t>
      </w:r>
      <w:r w:rsidR="00E272C3" w:rsidRPr="00E272C3">
        <w:rPr>
          <w:sz w:val="22"/>
          <w:szCs w:val="22"/>
        </w:rPr>
        <w:t>irregularidade</w:t>
      </w:r>
      <w:r w:rsidR="00EC0578">
        <w:rPr>
          <w:sz w:val="22"/>
          <w:szCs w:val="22"/>
        </w:rPr>
        <w:t xml:space="preserve"> perpetrada não seria</w:t>
      </w:r>
      <w:r w:rsidR="00E272C3" w:rsidRPr="00E272C3">
        <w:rPr>
          <w:sz w:val="22"/>
          <w:szCs w:val="22"/>
        </w:rPr>
        <w:t xml:space="preserve">, por si só, grave o suficiente para macular a gestão dos responsáveis como um todo. Não </w:t>
      </w:r>
      <w:r w:rsidR="008D251B">
        <w:rPr>
          <w:sz w:val="22"/>
          <w:szCs w:val="22"/>
        </w:rPr>
        <w:t>havendo</w:t>
      </w:r>
      <w:r w:rsidR="00E272C3" w:rsidRPr="00E272C3">
        <w:rPr>
          <w:sz w:val="22"/>
          <w:szCs w:val="22"/>
        </w:rPr>
        <w:t xml:space="preserve"> </w:t>
      </w:r>
      <w:r w:rsidR="007A22F3">
        <w:rPr>
          <w:sz w:val="22"/>
          <w:szCs w:val="22"/>
        </w:rPr>
        <w:t>evidência</w:t>
      </w:r>
      <w:r w:rsidR="00E272C3" w:rsidRPr="00E272C3">
        <w:rPr>
          <w:sz w:val="22"/>
          <w:szCs w:val="22"/>
        </w:rPr>
        <w:t xml:space="preserve"> de má-fé nem de dano ao erário</w:t>
      </w:r>
      <w:r w:rsidR="008D251B">
        <w:rPr>
          <w:sz w:val="22"/>
          <w:szCs w:val="22"/>
        </w:rPr>
        <w:t>,</w:t>
      </w:r>
      <w:r w:rsidR="00E272C3" w:rsidRPr="00E272C3">
        <w:rPr>
          <w:sz w:val="22"/>
          <w:szCs w:val="22"/>
        </w:rPr>
        <w:t xml:space="preserve"> e </w:t>
      </w:r>
      <w:r w:rsidR="007A22F3">
        <w:rPr>
          <w:sz w:val="22"/>
          <w:szCs w:val="22"/>
        </w:rPr>
        <w:t xml:space="preserve">considerando </w:t>
      </w:r>
      <w:r w:rsidR="008D251B">
        <w:rPr>
          <w:sz w:val="22"/>
          <w:szCs w:val="22"/>
        </w:rPr>
        <w:t xml:space="preserve">que </w:t>
      </w:r>
      <w:r w:rsidR="00E272C3" w:rsidRPr="00E272C3">
        <w:rPr>
          <w:sz w:val="22"/>
          <w:szCs w:val="22"/>
        </w:rPr>
        <w:t xml:space="preserve">os valores dos contratos, </w:t>
      </w:r>
      <w:r w:rsidR="007A22F3">
        <w:rPr>
          <w:sz w:val="22"/>
          <w:szCs w:val="22"/>
        </w:rPr>
        <w:t>os quais</w:t>
      </w:r>
      <w:r w:rsidR="00E272C3" w:rsidRPr="00E272C3">
        <w:rPr>
          <w:sz w:val="22"/>
          <w:szCs w:val="22"/>
        </w:rPr>
        <w:t xml:space="preserve"> soma</w:t>
      </w:r>
      <w:r w:rsidR="008D251B">
        <w:rPr>
          <w:sz w:val="22"/>
          <w:szCs w:val="22"/>
        </w:rPr>
        <w:t>va</w:t>
      </w:r>
      <w:r w:rsidR="00E272C3" w:rsidRPr="00E272C3">
        <w:rPr>
          <w:sz w:val="22"/>
          <w:szCs w:val="22"/>
        </w:rPr>
        <w:t>m aproximadamente R$ 2 milhões, representa</w:t>
      </w:r>
      <w:r w:rsidR="008D251B">
        <w:rPr>
          <w:sz w:val="22"/>
          <w:szCs w:val="22"/>
        </w:rPr>
        <w:t>va</w:t>
      </w:r>
      <w:r w:rsidR="00E272C3" w:rsidRPr="00E272C3">
        <w:rPr>
          <w:sz w:val="22"/>
          <w:szCs w:val="22"/>
        </w:rPr>
        <w:t xml:space="preserve">m 0,25% do valor total gerido no exercício, </w:t>
      </w:r>
      <w:r w:rsidR="008D251B">
        <w:rPr>
          <w:sz w:val="22"/>
          <w:szCs w:val="22"/>
        </w:rPr>
        <w:t xml:space="preserve">o relator propôs e </w:t>
      </w:r>
      <w:r w:rsidR="00E772B5">
        <w:rPr>
          <w:sz w:val="22"/>
          <w:szCs w:val="22"/>
        </w:rPr>
        <w:t>a Primeira Câmara</w:t>
      </w:r>
      <w:r w:rsidR="008D251B">
        <w:rPr>
          <w:sz w:val="22"/>
          <w:szCs w:val="22"/>
        </w:rPr>
        <w:t xml:space="preserve"> decidiu </w:t>
      </w:r>
      <w:r w:rsidR="00E272C3" w:rsidRPr="00E272C3">
        <w:rPr>
          <w:sz w:val="22"/>
          <w:szCs w:val="22"/>
        </w:rPr>
        <w:t>julgar regulares com ressalvas</w:t>
      </w:r>
      <w:r w:rsidR="008D251B">
        <w:rPr>
          <w:sz w:val="22"/>
          <w:szCs w:val="22"/>
        </w:rPr>
        <w:t xml:space="preserve"> as contas dos </w:t>
      </w:r>
      <w:r w:rsidR="00E272C3" w:rsidRPr="00E272C3">
        <w:rPr>
          <w:sz w:val="22"/>
          <w:szCs w:val="22"/>
        </w:rPr>
        <w:t xml:space="preserve">responsáveis </w:t>
      </w:r>
      <w:r w:rsidR="007A22F3">
        <w:rPr>
          <w:sz w:val="22"/>
          <w:szCs w:val="22"/>
        </w:rPr>
        <w:t>ouvidos em audiência</w:t>
      </w:r>
      <w:r w:rsidR="00E272C3" w:rsidRPr="00E272C3">
        <w:rPr>
          <w:sz w:val="22"/>
          <w:szCs w:val="22"/>
        </w:rPr>
        <w:t>, dando-lhes quitação</w:t>
      </w:r>
      <w:r w:rsidR="008D251B">
        <w:rPr>
          <w:sz w:val="22"/>
          <w:szCs w:val="22"/>
        </w:rPr>
        <w:t xml:space="preserve">, sem prejuízo de </w:t>
      </w:r>
      <w:r w:rsidR="008D251B" w:rsidRPr="008D251B">
        <w:rPr>
          <w:i/>
          <w:sz w:val="22"/>
          <w:szCs w:val="22"/>
        </w:rPr>
        <w:t>“</w:t>
      </w:r>
      <w:r w:rsidR="00E272C3" w:rsidRPr="008D251B">
        <w:rPr>
          <w:i/>
          <w:sz w:val="22"/>
          <w:szCs w:val="22"/>
        </w:rPr>
        <w:t>determinar à empresa BBTUR Viagens e Turismo Ltda. que não contrate a empresa Cobra Tecnologia com base no art. 24, XXIII, da Lei nº 8.666/1993, bem como, havendo viabilidade de competição, que não contrate diretamente tal entidade com fulcro no art. 25, caput, da mencionada Lei</w:t>
      </w:r>
      <w:r w:rsidR="008D251B" w:rsidRPr="008D251B">
        <w:rPr>
          <w:i/>
          <w:sz w:val="22"/>
          <w:szCs w:val="22"/>
        </w:rPr>
        <w:t>”</w:t>
      </w:r>
      <w:r w:rsidR="008D251B">
        <w:rPr>
          <w:sz w:val="22"/>
          <w:szCs w:val="22"/>
        </w:rPr>
        <w:t xml:space="preserve">. </w:t>
      </w:r>
      <w:r w:rsidR="008C6490" w:rsidRPr="00337E16">
        <w:rPr>
          <w:b/>
          <w:i/>
          <w:sz w:val="22"/>
          <w:szCs w:val="22"/>
        </w:rPr>
        <w:t xml:space="preserve">Acórdão n.º </w:t>
      </w:r>
      <w:r w:rsidR="00E272C3">
        <w:rPr>
          <w:b/>
          <w:i/>
          <w:sz w:val="22"/>
          <w:szCs w:val="22"/>
        </w:rPr>
        <w:t>6301</w:t>
      </w:r>
      <w:r w:rsidR="008C6490" w:rsidRPr="00337E16">
        <w:rPr>
          <w:b/>
          <w:i/>
          <w:sz w:val="22"/>
          <w:szCs w:val="22"/>
        </w:rPr>
        <w:t>/2010</w:t>
      </w:r>
      <w:r w:rsidR="008C6490">
        <w:rPr>
          <w:b/>
          <w:i/>
          <w:sz w:val="22"/>
          <w:szCs w:val="22"/>
        </w:rPr>
        <w:t>-</w:t>
      </w:r>
      <w:r w:rsidR="0048438C">
        <w:rPr>
          <w:b/>
          <w:i/>
          <w:sz w:val="22"/>
          <w:szCs w:val="22"/>
        </w:rPr>
        <w:t>1ª Câmara</w:t>
      </w:r>
      <w:r w:rsidR="008C6490" w:rsidRPr="00337E16">
        <w:rPr>
          <w:b/>
          <w:i/>
          <w:sz w:val="22"/>
          <w:szCs w:val="22"/>
        </w:rPr>
        <w:t>, TC-0</w:t>
      </w:r>
      <w:r w:rsidR="008C6490">
        <w:rPr>
          <w:b/>
          <w:i/>
          <w:sz w:val="22"/>
          <w:szCs w:val="22"/>
        </w:rPr>
        <w:t>09</w:t>
      </w:r>
      <w:r w:rsidR="008C6490" w:rsidRPr="00337E16">
        <w:rPr>
          <w:b/>
          <w:i/>
          <w:sz w:val="22"/>
          <w:szCs w:val="22"/>
        </w:rPr>
        <w:t>.</w:t>
      </w:r>
      <w:r w:rsidR="008C6490">
        <w:rPr>
          <w:b/>
          <w:i/>
          <w:sz w:val="22"/>
          <w:szCs w:val="22"/>
        </w:rPr>
        <w:t>0</w:t>
      </w:r>
      <w:r w:rsidR="00E272C3">
        <w:rPr>
          <w:b/>
          <w:i/>
          <w:sz w:val="22"/>
          <w:szCs w:val="22"/>
        </w:rPr>
        <w:t>72</w:t>
      </w:r>
      <w:r w:rsidR="008C6490" w:rsidRPr="00337E16">
        <w:rPr>
          <w:b/>
          <w:i/>
          <w:sz w:val="22"/>
          <w:szCs w:val="22"/>
        </w:rPr>
        <w:t>/20</w:t>
      </w:r>
      <w:r w:rsidR="008C6490">
        <w:rPr>
          <w:b/>
          <w:i/>
          <w:sz w:val="22"/>
          <w:szCs w:val="22"/>
        </w:rPr>
        <w:t>0</w:t>
      </w:r>
      <w:r w:rsidR="00E272C3">
        <w:rPr>
          <w:b/>
          <w:i/>
          <w:sz w:val="22"/>
          <w:szCs w:val="22"/>
        </w:rPr>
        <w:t>4</w:t>
      </w:r>
      <w:r w:rsidR="008C6490" w:rsidRPr="00337E16">
        <w:rPr>
          <w:b/>
          <w:i/>
          <w:sz w:val="22"/>
          <w:szCs w:val="22"/>
        </w:rPr>
        <w:t>-</w:t>
      </w:r>
      <w:r w:rsidR="008C6490">
        <w:rPr>
          <w:b/>
          <w:i/>
          <w:sz w:val="22"/>
          <w:szCs w:val="22"/>
        </w:rPr>
        <w:t>3</w:t>
      </w:r>
      <w:r w:rsidR="008C6490" w:rsidRPr="00337E16">
        <w:rPr>
          <w:b/>
          <w:i/>
          <w:sz w:val="22"/>
          <w:szCs w:val="22"/>
        </w:rPr>
        <w:t>, rel. Min</w:t>
      </w:r>
      <w:r w:rsidR="008C6490">
        <w:rPr>
          <w:b/>
          <w:i/>
          <w:sz w:val="22"/>
          <w:szCs w:val="22"/>
        </w:rPr>
        <w:t xml:space="preserve">-Subst. </w:t>
      </w:r>
      <w:r w:rsidR="00E272C3">
        <w:rPr>
          <w:b/>
          <w:i/>
          <w:sz w:val="22"/>
          <w:szCs w:val="22"/>
        </w:rPr>
        <w:t>Weder de Oliveira</w:t>
      </w:r>
      <w:r w:rsidR="008C6490" w:rsidRPr="00337E16">
        <w:rPr>
          <w:b/>
          <w:i/>
          <w:sz w:val="22"/>
          <w:szCs w:val="22"/>
        </w:rPr>
        <w:t xml:space="preserve">, </w:t>
      </w:r>
      <w:r w:rsidR="00E272C3">
        <w:rPr>
          <w:b/>
          <w:i/>
          <w:sz w:val="22"/>
          <w:szCs w:val="22"/>
        </w:rPr>
        <w:t>2</w:t>
      </w:r>
      <w:r w:rsidR="008C6490">
        <w:rPr>
          <w:b/>
          <w:i/>
          <w:sz w:val="22"/>
          <w:szCs w:val="22"/>
        </w:rPr>
        <w:t>8</w:t>
      </w:r>
      <w:r w:rsidR="008C6490" w:rsidRPr="00337E16">
        <w:rPr>
          <w:b/>
          <w:i/>
          <w:sz w:val="22"/>
          <w:szCs w:val="22"/>
        </w:rPr>
        <w:t>.0</w:t>
      </w:r>
      <w:r w:rsidR="00E272C3">
        <w:rPr>
          <w:b/>
          <w:i/>
          <w:sz w:val="22"/>
          <w:szCs w:val="22"/>
        </w:rPr>
        <w:t>9</w:t>
      </w:r>
      <w:r w:rsidR="008C6490" w:rsidRPr="00337E16">
        <w:rPr>
          <w:b/>
          <w:i/>
          <w:sz w:val="22"/>
          <w:szCs w:val="22"/>
        </w:rPr>
        <w:t>.2010</w:t>
      </w:r>
      <w:r w:rsidR="008C6490" w:rsidRPr="00337E16">
        <w:rPr>
          <w:sz w:val="22"/>
          <w:szCs w:val="22"/>
        </w:rPr>
        <w:t>.</w:t>
      </w:r>
    </w:p>
    <w:p w:rsidR="00BC5737" w:rsidRPr="00337E16" w:rsidRDefault="00BC5737" w:rsidP="00BC5737">
      <w:pPr>
        <w:pStyle w:val="enter-3pt"/>
        <w:spacing w:line="240" w:lineRule="auto"/>
        <w:rPr>
          <w:sz w:val="22"/>
          <w:szCs w:val="22"/>
        </w:rPr>
      </w:pPr>
    </w:p>
    <w:p w:rsidR="008A2417" w:rsidRPr="00337E16" w:rsidRDefault="008A2417" w:rsidP="008A2417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SEGUNDA</w:t>
      </w:r>
      <w:r w:rsidRPr="00337E16">
        <w:rPr>
          <w:rFonts w:ascii="Cambria" w:hAnsi="Cambria"/>
          <w:b/>
          <w:bCs/>
          <w:smallCaps/>
          <w:sz w:val="22"/>
          <w:szCs w:val="22"/>
        </w:rPr>
        <w:t xml:space="preserve"> CÂMARA</w:t>
      </w:r>
    </w:p>
    <w:p w:rsidR="008A2417" w:rsidRPr="00337E16" w:rsidRDefault="008A2417" w:rsidP="008A2417">
      <w:pPr>
        <w:pStyle w:val="Pargrafo"/>
        <w:jc w:val="both"/>
        <w:rPr>
          <w:b/>
          <w:sz w:val="22"/>
          <w:szCs w:val="22"/>
        </w:rPr>
      </w:pPr>
    </w:p>
    <w:p w:rsidR="008A2417" w:rsidRPr="002C1C8E" w:rsidRDefault="002C1C8E" w:rsidP="008A2417">
      <w:pPr>
        <w:pStyle w:val="Pargrafo"/>
        <w:jc w:val="both"/>
        <w:rPr>
          <w:b/>
          <w:sz w:val="22"/>
          <w:szCs w:val="22"/>
        </w:rPr>
      </w:pPr>
      <w:r w:rsidRPr="002C1C8E">
        <w:rPr>
          <w:b/>
          <w:sz w:val="22"/>
          <w:szCs w:val="22"/>
        </w:rPr>
        <w:t>Majoração linear, a título de reequilíbrio econômico-financeiro, dos preços inicialmente pactuados, como consequência da subavaliação dos preços constantes do orçamento elaborado pela Administração e adotado como referência para a proposta da contratada</w:t>
      </w:r>
    </w:p>
    <w:p w:rsidR="008A2417" w:rsidRDefault="00A04275" w:rsidP="00AE52B8">
      <w:pPr>
        <w:pStyle w:val="enter-3p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 âmbito da</w:t>
      </w:r>
      <w:r w:rsidR="00604CA6">
        <w:rPr>
          <w:sz w:val="22"/>
          <w:szCs w:val="22"/>
        </w:rPr>
        <w:t xml:space="preserve"> a</w:t>
      </w:r>
      <w:r w:rsidR="0002358D" w:rsidRPr="0002358D">
        <w:rPr>
          <w:sz w:val="22"/>
          <w:szCs w:val="22"/>
        </w:rPr>
        <w:t xml:space="preserve">uditoria realizada com vistas a fiscalizar a aplicação de recursos federais repassados pelo Fundo Nacional de Desenvolvimento da Educação </w:t>
      </w:r>
      <w:r w:rsidR="002B407B">
        <w:rPr>
          <w:sz w:val="22"/>
          <w:szCs w:val="22"/>
        </w:rPr>
        <w:t>(</w:t>
      </w:r>
      <w:r w:rsidR="0002358D" w:rsidRPr="0002358D">
        <w:rPr>
          <w:sz w:val="22"/>
          <w:szCs w:val="22"/>
        </w:rPr>
        <w:t>FNDE</w:t>
      </w:r>
      <w:r w:rsidR="002B407B">
        <w:rPr>
          <w:sz w:val="22"/>
          <w:szCs w:val="22"/>
        </w:rPr>
        <w:t>)</w:t>
      </w:r>
      <w:r w:rsidR="0002358D" w:rsidRPr="0002358D">
        <w:rPr>
          <w:sz w:val="22"/>
          <w:szCs w:val="22"/>
        </w:rPr>
        <w:t xml:space="preserve"> à Prefeitura Municipal de Matão/SP</w:t>
      </w:r>
      <w:r>
        <w:rPr>
          <w:sz w:val="22"/>
          <w:szCs w:val="22"/>
        </w:rPr>
        <w:t>, objetivando</w:t>
      </w:r>
      <w:r w:rsidR="0002358D" w:rsidRPr="0002358D">
        <w:rPr>
          <w:sz w:val="22"/>
          <w:szCs w:val="22"/>
        </w:rPr>
        <w:t xml:space="preserve"> a construção de uma escola de educação infantil </w:t>
      </w:r>
      <w:r w:rsidR="00604CA6">
        <w:rPr>
          <w:sz w:val="22"/>
          <w:szCs w:val="22"/>
        </w:rPr>
        <w:t>na referida municipalidade, f</w:t>
      </w:r>
      <w:r w:rsidR="0002358D" w:rsidRPr="0002358D">
        <w:rPr>
          <w:sz w:val="22"/>
          <w:szCs w:val="22"/>
        </w:rPr>
        <w:t xml:space="preserve">oi promovida a oitiva </w:t>
      </w:r>
      <w:r w:rsidR="00604CA6">
        <w:rPr>
          <w:sz w:val="22"/>
          <w:szCs w:val="22"/>
        </w:rPr>
        <w:t xml:space="preserve">do </w:t>
      </w:r>
      <w:r w:rsidR="0002358D" w:rsidRPr="0002358D">
        <w:rPr>
          <w:sz w:val="22"/>
          <w:szCs w:val="22"/>
        </w:rPr>
        <w:t xml:space="preserve">Prefeito </w:t>
      </w:r>
      <w:r w:rsidR="00604CA6">
        <w:rPr>
          <w:sz w:val="22"/>
          <w:szCs w:val="22"/>
        </w:rPr>
        <w:t xml:space="preserve">e do </w:t>
      </w:r>
      <w:r w:rsidR="0002358D" w:rsidRPr="0002358D">
        <w:rPr>
          <w:sz w:val="22"/>
          <w:szCs w:val="22"/>
        </w:rPr>
        <w:t>Assessor Jurídico da Prefeitura</w:t>
      </w:r>
      <w:r w:rsidR="00604CA6">
        <w:rPr>
          <w:sz w:val="22"/>
          <w:szCs w:val="22"/>
        </w:rPr>
        <w:t>, bem como</w:t>
      </w:r>
      <w:r w:rsidR="0002358D" w:rsidRPr="0002358D">
        <w:rPr>
          <w:sz w:val="22"/>
          <w:szCs w:val="22"/>
        </w:rPr>
        <w:t xml:space="preserve"> da empresa contratada</w:t>
      </w:r>
      <w:r w:rsidR="00604CA6">
        <w:rPr>
          <w:sz w:val="22"/>
          <w:szCs w:val="22"/>
        </w:rPr>
        <w:t>,</w:t>
      </w:r>
      <w:r w:rsidR="0002358D" w:rsidRPr="0002358D">
        <w:rPr>
          <w:sz w:val="22"/>
          <w:szCs w:val="22"/>
        </w:rPr>
        <w:t xml:space="preserve"> em razão </w:t>
      </w:r>
      <w:r w:rsidR="00604CA6">
        <w:rPr>
          <w:sz w:val="22"/>
          <w:szCs w:val="22"/>
        </w:rPr>
        <w:t xml:space="preserve">de </w:t>
      </w:r>
      <w:r w:rsidR="0002358D" w:rsidRPr="0002358D">
        <w:rPr>
          <w:sz w:val="22"/>
          <w:szCs w:val="22"/>
        </w:rPr>
        <w:t>ocorrências verificadas na execução contratual</w:t>
      </w:r>
      <w:r w:rsidR="00604CA6">
        <w:rPr>
          <w:sz w:val="22"/>
          <w:szCs w:val="22"/>
        </w:rPr>
        <w:t xml:space="preserve">, entre elas a </w:t>
      </w:r>
      <w:r w:rsidR="00604CA6" w:rsidRPr="00604CA6">
        <w:rPr>
          <w:i/>
          <w:sz w:val="22"/>
          <w:szCs w:val="22"/>
        </w:rPr>
        <w:t>“</w:t>
      </w:r>
      <w:r w:rsidR="0002358D" w:rsidRPr="00604CA6">
        <w:rPr>
          <w:i/>
          <w:sz w:val="22"/>
          <w:szCs w:val="22"/>
        </w:rPr>
        <w:t>revisão de cláusulas financeiras com justificativa irregular de reequilíbrio econômico-financeiro, por meio do 4º Termo Aditivo ao contrato</w:t>
      </w:r>
      <w:r w:rsidR="00604CA6" w:rsidRPr="00604CA6">
        <w:rPr>
          <w:i/>
          <w:sz w:val="22"/>
          <w:szCs w:val="22"/>
        </w:rPr>
        <w:t>”</w:t>
      </w:r>
      <w:r w:rsidR="0002358D" w:rsidRPr="0002358D">
        <w:rPr>
          <w:sz w:val="22"/>
          <w:szCs w:val="22"/>
        </w:rPr>
        <w:t>.</w:t>
      </w:r>
      <w:r w:rsidR="00604CA6">
        <w:rPr>
          <w:sz w:val="22"/>
          <w:szCs w:val="22"/>
        </w:rPr>
        <w:t xml:space="preserve"> </w:t>
      </w:r>
      <w:r>
        <w:rPr>
          <w:sz w:val="22"/>
          <w:szCs w:val="22"/>
        </w:rPr>
        <w:t>Tendo em vista</w:t>
      </w:r>
      <w:r w:rsidR="0002358D" w:rsidRPr="0002358D">
        <w:rPr>
          <w:sz w:val="22"/>
          <w:szCs w:val="22"/>
        </w:rPr>
        <w:t xml:space="preserve"> que </w:t>
      </w:r>
      <w:r w:rsidR="0002358D" w:rsidRPr="00564041">
        <w:rPr>
          <w:i/>
          <w:sz w:val="22"/>
          <w:szCs w:val="22"/>
        </w:rPr>
        <w:t>“os preços relativos à presente contratação quedaram-se aquém daqueles praticados no mercado”</w:t>
      </w:r>
      <w:r>
        <w:rPr>
          <w:sz w:val="22"/>
          <w:szCs w:val="22"/>
        </w:rPr>
        <w:t>, houve</w:t>
      </w:r>
      <w:r w:rsidRPr="00A04275">
        <w:rPr>
          <w:sz w:val="22"/>
          <w:szCs w:val="22"/>
        </w:rPr>
        <w:t xml:space="preserve"> </w:t>
      </w:r>
      <w:r w:rsidRPr="0002358D">
        <w:rPr>
          <w:sz w:val="22"/>
          <w:szCs w:val="22"/>
        </w:rPr>
        <w:t>a majoração linear</w:t>
      </w:r>
      <w:r>
        <w:rPr>
          <w:sz w:val="22"/>
          <w:szCs w:val="22"/>
        </w:rPr>
        <w:t>,</w:t>
      </w:r>
      <w:r w:rsidR="0002358D" w:rsidRPr="0002358D">
        <w:rPr>
          <w:sz w:val="22"/>
          <w:szCs w:val="22"/>
        </w:rPr>
        <w:t xml:space="preserve"> a título de reequilíbrio econômico-financeiro, dos preços inicialmente pactuados.</w:t>
      </w:r>
      <w:r w:rsidR="00564041">
        <w:rPr>
          <w:sz w:val="22"/>
          <w:szCs w:val="22"/>
        </w:rPr>
        <w:t xml:space="preserve"> Em seu voto, o relator observou que </w:t>
      </w:r>
      <w:r w:rsidR="0002358D" w:rsidRPr="0002358D">
        <w:rPr>
          <w:sz w:val="22"/>
          <w:szCs w:val="22"/>
        </w:rPr>
        <w:t xml:space="preserve">a matéria é regida pela alínea ‘d’ do inciso II do art. 65 da Lei </w:t>
      </w:r>
      <w:r>
        <w:rPr>
          <w:sz w:val="22"/>
          <w:szCs w:val="22"/>
        </w:rPr>
        <w:t xml:space="preserve">n.º </w:t>
      </w:r>
      <w:r w:rsidR="0002358D" w:rsidRPr="0002358D">
        <w:rPr>
          <w:sz w:val="22"/>
          <w:szCs w:val="22"/>
        </w:rPr>
        <w:t>8.666/93</w:t>
      </w:r>
      <w:r w:rsidR="00564041">
        <w:rPr>
          <w:sz w:val="22"/>
          <w:szCs w:val="22"/>
        </w:rPr>
        <w:t xml:space="preserve">, tratando-se de </w:t>
      </w:r>
      <w:r w:rsidR="0002358D" w:rsidRPr="0002358D">
        <w:rPr>
          <w:sz w:val="22"/>
          <w:szCs w:val="22"/>
        </w:rPr>
        <w:t xml:space="preserve">hipótese em que se busca o reestabelecimento da relação contratual inicialmente ajustada pelas partes, a qual teria sofrido alteração por álea extraordinária superveniente ao originalmente contratado. </w:t>
      </w:r>
      <w:r>
        <w:rPr>
          <w:sz w:val="22"/>
          <w:szCs w:val="22"/>
        </w:rPr>
        <w:t>N</w:t>
      </w:r>
      <w:r w:rsidR="00564041">
        <w:rPr>
          <w:sz w:val="22"/>
          <w:szCs w:val="22"/>
        </w:rPr>
        <w:t>o caso concreto</w:t>
      </w:r>
      <w:r w:rsidR="0002358D" w:rsidRPr="0002358D">
        <w:rPr>
          <w:sz w:val="22"/>
          <w:szCs w:val="22"/>
        </w:rPr>
        <w:t>, os responsáveis</w:t>
      </w:r>
      <w:r w:rsidR="00564041">
        <w:rPr>
          <w:sz w:val="22"/>
          <w:szCs w:val="22"/>
        </w:rPr>
        <w:t>,</w:t>
      </w:r>
      <w:r w:rsidR="0002358D" w:rsidRPr="0002358D">
        <w:rPr>
          <w:sz w:val="22"/>
          <w:szCs w:val="22"/>
        </w:rPr>
        <w:t xml:space="preserve"> </w:t>
      </w:r>
      <w:r w:rsidR="00564041">
        <w:rPr>
          <w:i/>
          <w:sz w:val="22"/>
          <w:szCs w:val="22"/>
        </w:rPr>
        <w:t>“</w:t>
      </w:r>
      <w:r w:rsidR="0002358D" w:rsidRPr="00564041">
        <w:rPr>
          <w:i/>
          <w:sz w:val="22"/>
          <w:szCs w:val="22"/>
        </w:rPr>
        <w:t>além de não apontarem nenhum fato superveniente à celebração do contrato, expressamente afirmam que o suposto problema decorreu de subavaliação dos preços constantes do orçamento efetuado pela Prefeitura e adotado como referência para a proposta da empresa. Assim, aparentemente a empresa foi beneficiada pelo fato dela, no entender dos gestores, haver apresentado uma proposta desconectada dos preços de mercado</w:t>
      </w:r>
      <w:r w:rsidR="0002358D" w:rsidRPr="0002358D">
        <w:rPr>
          <w:sz w:val="22"/>
          <w:szCs w:val="22"/>
        </w:rPr>
        <w:t>.</w:t>
      </w:r>
      <w:r w:rsidR="00564041">
        <w:rPr>
          <w:i/>
          <w:sz w:val="22"/>
          <w:szCs w:val="22"/>
        </w:rPr>
        <w:t>”</w:t>
      </w:r>
      <w:r w:rsidR="00564041">
        <w:rPr>
          <w:sz w:val="22"/>
          <w:szCs w:val="22"/>
        </w:rPr>
        <w:t>.</w:t>
      </w:r>
      <w:r w:rsidR="0002358D" w:rsidRPr="0002358D">
        <w:rPr>
          <w:sz w:val="22"/>
          <w:szCs w:val="22"/>
        </w:rPr>
        <w:t xml:space="preserve"> </w:t>
      </w:r>
      <w:r w:rsidR="00564041">
        <w:rPr>
          <w:sz w:val="22"/>
          <w:szCs w:val="22"/>
        </w:rPr>
        <w:t xml:space="preserve">O relator concluiu não haver </w:t>
      </w:r>
      <w:r w:rsidR="0002358D" w:rsidRPr="0002358D">
        <w:rPr>
          <w:sz w:val="22"/>
          <w:szCs w:val="22"/>
        </w:rPr>
        <w:t xml:space="preserve">amparo legal para procedimentos da espécie, </w:t>
      </w:r>
      <w:r w:rsidR="00564041" w:rsidRPr="00564041">
        <w:rPr>
          <w:i/>
          <w:sz w:val="22"/>
          <w:szCs w:val="22"/>
        </w:rPr>
        <w:t>“</w:t>
      </w:r>
      <w:r w:rsidR="0002358D" w:rsidRPr="00564041">
        <w:rPr>
          <w:i/>
          <w:sz w:val="22"/>
          <w:szCs w:val="22"/>
        </w:rPr>
        <w:t>mesmo que, apenas por argumentar, estivesse demonstrada a inadequação da proposta aos preços de mercado</w:t>
      </w:r>
      <w:r w:rsidR="00564041" w:rsidRPr="00564041">
        <w:rPr>
          <w:i/>
          <w:sz w:val="22"/>
          <w:szCs w:val="22"/>
        </w:rPr>
        <w:t>”</w:t>
      </w:r>
      <w:r w:rsidR="0002358D" w:rsidRPr="0002358D">
        <w:rPr>
          <w:sz w:val="22"/>
          <w:szCs w:val="22"/>
        </w:rPr>
        <w:t>.</w:t>
      </w:r>
      <w:r w:rsidR="00564041">
        <w:rPr>
          <w:sz w:val="22"/>
          <w:szCs w:val="22"/>
        </w:rPr>
        <w:t xml:space="preserve"> Segundo o relator, em </w:t>
      </w:r>
      <w:r w:rsidR="0002358D" w:rsidRPr="0002358D">
        <w:rPr>
          <w:sz w:val="22"/>
          <w:szCs w:val="22"/>
        </w:rPr>
        <w:t xml:space="preserve">havendo erro em determinada proposta de empresa licitante, deve ela responder por </w:t>
      </w:r>
      <w:r>
        <w:rPr>
          <w:sz w:val="22"/>
          <w:szCs w:val="22"/>
        </w:rPr>
        <w:t>isso</w:t>
      </w:r>
      <w:r w:rsidR="0002358D" w:rsidRPr="0002358D">
        <w:rPr>
          <w:sz w:val="22"/>
          <w:szCs w:val="22"/>
        </w:rPr>
        <w:t xml:space="preserve">, rescindindo eventual contrato, por exemplo, e arcando com as consequências daí decorrentes. </w:t>
      </w:r>
      <w:r w:rsidR="00564041">
        <w:rPr>
          <w:sz w:val="22"/>
          <w:szCs w:val="22"/>
        </w:rPr>
        <w:t>Para ele, não</w:t>
      </w:r>
      <w:r w:rsidR="0002358D" w:rsidRPr="0002358D">
        <w:rPr>
          <w:sz w:val="22"/>
          <w:szCs w:val="22"/>
        </w:rPr>
        <w:t xml:space="preserve"> importa </w:t>
      </w:r>
      <w:r w:rsidR="00564041" w:rsidRPr="00564041">
        <w:rPr>
          <w:i/>
          <w:sz w:val="22"/>
          <w:szCs w:val="22"/>
        </w:rPr>
        <w:t>“</w:t>
      </w:r>
      <w:r w:rsidR="0002358D" w:rsidRPr="00564041">
        <w:rPr>
          <w:i/>
          <w:sz w:val="22"/>
          <w:szCs w:val="22"/>
        </w:rPr>
        <w:t>que o orçamento</w:t>
      </w:r>
      <w:r>
        <w:rPr>
          <w:i/>
          <w:sz w:val="22"/>
          <w:szCs w:val="22"/>
        </w:rPr>
        <w:t xml:space="preserve"> </w:t>
      </w:r>
      <w:r w:rsidR="0002358D" w:rsidRPr="00564041">
        <w:rPr>
          <w:i/>
          <w:sz w:val="22"/>
          <w:szCs w:val="22"/>
        </w:rPr>
        <w:t>base esteja equivocado, pois as licitantes devem elaborar as propostas de acordo com o seu conhecimento do mercado e não de acordo com o conhecimento da Administração</w:t>
      </w:r>
      <w:r w:rsidR="00564041" w:rsidRPr="00564041">
        <w:rPr>
          <w:i/>
          <w:sz w:val="22"/>
          <w:szCs w:val="22"/>
        </w:rPr>
        <w:t>”</w:t>
      </w:r>
      <w:r w:rsidR="0002358D" w:rsidRPr="0002358D">
        <w:rPr>
          <w:sz w:val="22"/>
          <w:szCs w:val="22"/>
        </w:rPr>
        <w:t xml:space="preserve">. </w:t>
      </w:r>
      <w:r w:rsidR="00564041">
        <w:rPr>
          <w:sz w:val="22"/>
          <w:szCs w:val="22"/>
        </w:rPr>
        <w:t>Ademais, t</w:t>
      </w:r>
      <w:r w:rsidR="0002358D" w:rsidRPr="0002358D">
        <w:rPr>
          <w:sz w:val="22"/>
          <w:szCs w:val="22"/>
        </w:rPr>
        <w:t>al espécie de alteração contratual acabaria por descaracterizar o processo licitatório, pois afetaria o princípio da isonomia</w:t>
      </w:r>
      <w:r w:rsidR="00564041">
        <w:rPr>
          <w:sz w:val="22"/>
          <w:szCs w:val="22"/>
        </w:rPr>
        <w:t>,</w:t>
      </w:r>
      <w:r w:rsidR="0002358D" w:rsidRPr="0002358D">
        <w:rPr>
          <w:sz w:val="22"/>
          <w:szCs w:val="22"/>
        </w:rPr>
        <w:t xml:space="preserve"> </w:t>
      </w:r>
      <w:r w:rsidR="00564041" w:rsidRPr="00564041">
        <w:rPr>
          <w:i/>
          <w:sz w:val="22"/>
          <w:szCs w:val="22"/>
        </w:rPr>
        <w:t>“</w:t>
      </w:r>
      <w:r w:rsidR="0002358D" w:rsidRPr="00564041">
        <w:rPr>
          <w:i/>
          <w:sz w:val="22"/>
          <w:szCs w:val="22"/>
        </w:rPr>
        <w:t>ao se propiciar uma vantagem à contratada que não era de conhecimento dos demais potenciais licitantes</w:t>
      </w:r>
      <w:r w:rsidR="00564041" w:rsidRPr="00564041">
        <w:rPr>
          <w:i/>
          <w:sz w:val="22"/>
          <w:szCs w:val="22"/>
        </w:rPr>
        <w:t>”</w:t>
      </w:r>
      <w:r w:rsidR="0002358D" w:rsidRPr="0002358D">
        <w:rPr>
          <w:sz w:val="22"/>
          <w:szCs w:val="22"/>
        </w:rPr>
        <w:t xml:space="preserve">. </w:t>
      </w:r>
      <w:r w:rsidR="00AE52B8">
        <w:rPr>
          <w:sz w:val="22"/>
          <w:szCs w:val="22"/>
        </w:rPr>
        <w:t xml:space="preserve">Considerando, no entanto, </w:t>
      </w:r>
      <w:r w:rsidR="0002358D" w:rsidRPr="0002358D">
        <w:rPr>
          <w:sz w:val="22"/>
          <w:szCs w:val="22"/>
        </w:rPr>
        <w:t>que não foram aplicados recursos federais no aditivo mencionado</w:t>
      </w:r>
      <w:r w:rsidR="00AE52B8">
        <w:rPr>
          <w:sz w:val="22"/>
          <w:szCs w:val="22"/>
        </w:rPr>
        <w:t>, o relator concluiu que o TCU</w:t>
      </w:r>
      <w:r w:rsidR="0002358D" w:rsidRPr="0002358D">
        <w:rPr>
          <w:sz w:val="22"/>
          <w:szCs w:val="22"/>
        </w:rPr>
        <w:t xml:space="preserve"> não possui jurisdição sobre os atos de gestão relacionados a esse termo aditivo.</w:t>
      </w:r>
      <w:r w:rsidR="00AE52B8">
        <w:rPr>
          <w:sz w:val="22"/>
          <w:szCs w:val="22"/>
        </w:rPr>
        <w:t xml:space="preserve"> Acolhendo o voto do relator, a Segunda Câmara deliberou no sentido de </w:t>
      </w:r>
      <w:r w:rsidR="00AE52B8" w:rsidRPr="00AE52B8">
        <w:rPr>
          <w:i/>
          <w:sz w:val="22"/>
          <w:szCs w:val="22"/>
        </w:rPr>
        <w:t>“</w:t>
      </w:r>
      <w:r w:rsidR="0002358D" w:rsidRPr="00AE52B8">
        <w:rPr>
          <w:i/>
          <w:sz w:val="22"/>
          <w:szCs w:val="22"/>
        </w:rPr>
        <w:t>determinar à Prefeitura Municipal de Matão/SP que se abstenha de utilizar recursos de origem federal para promover pagamentos com base no 4º Termo Aditivo ao contrato celebrado entre essa municipalidade e a Construtora Cusinato Ltda.</w:t>
      </w:r>
      <w:r w:rsidR="00AE52B8" w:rsidRPr="00AE52B8">
        <w:rPr>
          <w:i/>
          <w:sz w:val="22"/>
          <w:szCs w:val="22"/>
        </w:rPr>
        <w:t>”</w:t>
      </w:r>
      <w:r w:rsidR="00AE52B8">
        <w:rPr>
          <w:sz w:val="22"/>
          <w:szCs w:val="22"/>
        </w:rPr>
        <w:t xml:space="preserve">, bem como </w:t>
      </w:r>
      <w:r w:rsidR="00AE52B8" w:rsidRPr="00AE52B8">
        <w:rPr>
          <w:i/>
          <w:sz w:val="22"/>
          <w:szCs w:val="22"/>
        </w:rPr>
        <w:t>“</w:t>
      </w:r>
      <w:r w:rsidR="0002358D" w:rsidRPr="00AE52B8">
        <w:rPr>
          <w:i/>
          <w:sz w:val="22"/>
          <w:szCs w:val="22"/>
        </w:rPr>
        <w:t>encaminhar cópia deste Acórdão, acompanhado do Relatório e Voto que o fundamentam, ao Tribunal de Contas do Estado de São Paulo e ao Ministério Público do Estado de São Paulo</w:t>
      </w:r>
      <w:r w:rsidR="00AE52B8" w:rsidRPr="00AE52B8">
        <w:rPr>
          <w:i/>
          <w:sz w:val="22"/>
          <w:szCs w:val="22"/>
        </w:rPr>
        <w:t>”</w:t>
      </w:r>
      <w:r w:rsidR="00AE52B8">
        <w:rPr>
          <w:sz w:val="22"/>
          <w:szCs w:val="22"/>
        </w:rPr>
        <w:t xml:space="preserve">. </w:t>
      </w:r>
      <w:r w:rsidR="008A2417" w:rsidRPr="00337E16">
        <w:rPr>
          <w:b/>
          <w:i/>
          <w:sz w:val="22"/>
          <w:szCs w:val="22"/>
        </w:rPr>
        <w:t xml:space="preserve">Acórdão n.º </w:t>
      </w:r>
      <w:r w:rsidR="0002358D">
        <w:rPr>
          <w:b/>
          <w:i/>
          <w:sz w:val="22"/>
          <w:szCs w:val="22"/>
        </w:rPr>
        <w:t>5686</w:t>
      </w:r>
      <w:r w:rsidR="008A2417" w:rsidRPr="00337E16">
        <w:rPr>
          <w:b/>
          <w:i/>
          <w:sz w:val="22"/>
          <w:szCs w:val="22"/>
        </w:rPr>
        <w:t>/2010</w:t>
      </w:r>
      <w:r w:rsidR="00151F92">
        <w:rPr>
          <w:b/>
          <w:i/>
          <w:sz w:val="22"/>
          <w:szCs w:val="22"/>
        </w:rPr>
        <w:t>-2ª Câmara</w:t>
      </w:r>
      <w:r w:rsidR="008A2417" w:rsidRPr="00337E16">
        <w:rPr>
          <w:b/>
          <w:i/>
          <w:sz w:val="22"/>
          <w:szCs w:val="22"/>
        </w:rPr>
        <w:t>, TC-0</w:t>
      </w:r>
      <w:r w:rsidR="0002358D">
        <w:rPr>
          <w:b/>
          <w:i/>
          <w:sz w:val="22"/>
          <w:szCs w:val="22"/>
        </w:rPr>
        <w:t>18</w:t>
      </w:r>
      <w:r w:rsidR="008A2417" w:rsidRPr="00337E16">
        <w:rPr>
          <w:b/>
          <w:i/>
          <w:sz w:val="22"/>
          <w:szCs w:val="22"/>
        </w:rPr>
        <w:t>.</w:t>
      </w:r>
      <w:r w:rsidR="0002358D">
        <w:rPr>
          <w:b/>
          <w:i/>
          <w:sz w:val="22"/>
          <w:szCs w:val="22"/>
        </w:rPr>
        <w:t>026</w:t>
      </w:r>
      <w:r w:rsidR="008A2417" w:rsidRPr="00337E16">
        <w:rPr>
          <w:b/>
          <w:i/>
          <w:sz w:val="22"/>
          <w:szCs w:val="22"/>
        </w:rPr>
        <w:t>/20</w:t>
      </w:r>
      <w:r w:rsidR="0002358D">
        <w:rPr>
          <w:b/>
          <w:i/>
          <w:sz w:val="22"/>
          <w:szCs w:val="22"/>
        </w:rPr>
        <w:t>10</w:t>
      </w:r>
      <w:r w:rsidR="008A2417" w:rsidRPr="00337E16">
        <w:rPr>
          <w:b/>
          <w:i/>
          <w:sz w:val="22"/>
          <w:szCs w:val="22"/>
        </w:rPr>
        <w:t>-</w:t>
      </w:r>
      <w:r w:rsidR="0002358D">
        <w:rPr>
          <w:b/>
          <w:i/>
          <w:sz w:val="22"/>
          <w:szCs w:val="22"/>
        </w:rPr>
        <w:t>9</w:t>
      </w:r>
      <w:r w:rsidR="008A2417" w:rsidRPr="00337E16">
        <w:rPr>
          <w:b/>
          <w:i/>
          <w:sz w:val="22"/>
          <w:szCs w:val="22"/>
        </w:rPr>
        <w:t xml:space="preserve">, rel. Min. </w:t>
      </w:r>
      <w:r w:rsidR="0002358D">
        <w:rPr>
          <w:b/>
          <w:i/>
          <w:sz w:val="22"/>
          <w:szCs w:val="22"/>
        </w:rPr>
        <w:t>Benjamin Zymler</w:t>
      </w:r>
      <w:r w:rsidR="008A2417" w:rsidRPr="00337E16">
        <w:rPr>
          <w:b/>
          <w:i/>
          <w:sz w:val="22"/>
          <w:szCs w:val="22"/>
        </w:rPr>
        <w:t xml:space="preserve">, </w:t>
      </w:r>
      <w:r w:rsidR="0002358D">
        <w:rPr>
          <w:b/>
          <w:i/>
          <w:sz w:val="22"/>
          <w:szCs w:val="22"/>
        </w:rPr>
        <w:t>2</w:t>
      </w:r>
      <w:r w:rsidR="00D51F18">
        <w:rPr>
          <w:b/>
          <w:i/>
          <w:sz w:val="22"/>
          <w:szCs w:val="22"/>
        </w:rPr>
        <w:t>8</w:t>
      </w:r>
      <w:r w:rsidR="008A2417" w:rsidRPr="00337E16">
        <w:rPr>
          <w:b/>
          <w:i/>
          <w:sz w:val="22"/>
          <w:szCs w:val="22"/>
        </w:rPr>
        <w:t>.0</w:t>
      </w:r>
      <w:r w:rsidR="0002358D">
        <w:rPr>
          <w:b/>
          <w:i/>
          <w:sz w:val="22"/>
          <w:szCs w:val="22"/>
        </w:rPr>
        <w:t>9</w:t>
      </w:r>
      <w:r w:rsidR="008A2417" w:rsidRPr="00337E16">
        <w:rPr>
          <w:b/>
          <w:i/>
          <w:sz w:val="22"/>
          <w:szCs w:val="22"/>
        </w:rPr>
        <w:t>.2010</w:t>
      </w:r>
      <w:r w:rsidR="008A2417" w:rsidRPr="00337E16">
        <w:rPr>
          <w:sz w:val="22"/>
          <w:szCs w:val="22"/>
        </w:rPr>
        <w:t>.</w:t>
      </w:r>
    </w:p>
    <w:p w:rsidR="00BD5DE1" w:rsidRDefault="00BD5DE1" w:rsidP="00BD5DE1">
      <w:pPr>
        <w:pStyle w:val="enter-3pt"/>
        <w:spacing w:line="240" w:lineRule="auto"/>
        <w:rPr>
          <w:sz w:val="22"/>
          <w:szCs w:val="22"/>
        </w:rPr>
      </w:pPr>
    </w:p>
    <w:p w:rsidR="00BD5DE1" w:rsidRPr="00DC09A0" w:rsidRDefault="00DC09A0" w:rsidP="00BD5DE1">
      <w:pPr>
        <w:pStyle w:val="indice"/>
        <w:spacing w:before="60" w:line="240" w:lineRule="auto"/>
        <w:rPr>
          <w:b/>
        </w:rPr>
      </w:pPr>
      <w:r w:rsidRPr="00DC09A0">
        <w:rPr>
          <w:b/>
        </w:rPr>
        <w:t>Justificativa para prosseguimento de certame na modalidade de convite sem o quórum mínimo de licitantes</w:t>
      </w:r>
    </w:p>
    <w:p w:rsidR="00BD5DE1" w:rsidRDefault="00CA7CB9" w:rsidP="004109DA">
      <w:pPr>
        <w:pStyle w:val="enter-3p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Ao examinar</w:t>
      </w:r>
      <w:r w:rsidR="00981335" w:rsidRPr="00981335">
        <w:rPr>
          <w:sz w:val="22"/>
          <w:szCs w:val="22"/>
        </w:rPr>
        <w:t xml:space="preserve"> </w:t>
      </w:r>
      <w:r w:rsidR="00DC09A0">
        <w:rPr>
          <w:sz w:val="22"/>
          <w:szCs w:val="22"/>
        </w:rPr>
        <w:t xml:space="preserve">a </w:t>
      </w:r>
      <w:r w:rsidR="00981335" w:rsidRPr="00981335">
        <w:rPr>
          <w:sz w:val="22"/>
          <w:szCs w:val="22"/>
        </w:rPr>
        <w:t xml:space="preserve">prestação de contas do Centro Federal de Educação Tecnológica de Sergipe </w:t>
      </w:r>
      <w:r>
        <w:rPr>
          <w:sz w:val="22"/>
          <w:szCs w:val="22"/>
        </w:rPr>
        <w:t>(</w:t>
      </w:r>
      <w:r w:rsidR="00981335" w:rsidRPr="00981335">
        <w:rPr>
          <w:sz w:val="22"/>
          <w:szCs w:val="22"/>
        </w:rPr>
        <w:t>Cefet/SE</w:t>
      </w:r>
      <w:r>
        <w:rPr>
          <w:sz w:val="22"/>
          <w:szCs w:val="22"/>
        </w:rPr>
        <w:t>)</w:t>
      </w:r>
      <w:r w:rsidR="00981335" w:rsidRPr="00981335">
        <w:rPr>
          <w:sz w:val="22"/>
          <w:szCs w:val="22"/>
        </w:rPr>
        <w:t xml:space="preserve"> relativa ao exercício de 2007</w:t>
      </w:r>
      <w:r>
        <w:rPr>
          <w:sz w:val="22"/>
          <w:szCs w:val="22"/>
        </w:rPr>
        <w:t xml:space="preserve">, a </w:t>
      </w:r>
      <w:r w:rsidR="00981335" w:rsidRPr="00981335">
        <w:rPr>
          <w:sz w:val="22"/>
          <w:szCs w:val="22"/>
        </w:rPr>
        <w:t xml:space="preserve">unidade técnica </w:t>
      </w:r>
      <w:r w:rsidR="00A63286">
        <w:rPr>
          <w:sz w:val="22"/>
          <w:szCs w:val="22"/>
        </w:rPr>
        <w:t>identificou</w:t>
      </w:r>
      <w:r>
        <w:rPr>
          <w:sz w:val="22"/>
          <w:szCs w:val="22"/>
        </w:rPr>
        <w:t xml:space="preserve"> </w:t>
      </w:r>
      <w:r w:rsidR="00B43693">
        <w:rPr>
          <w:sz w:val="22"/>
          <w:szCs w:val="22"/>
        </w:rPr>
        <w:t>possíveis irregularidades</w:t>
      </w:r>
      <w:r>
        <w:rPr>
          <w:sz w:val="22"/>
          <w:szCs w:val="22"/>
        </w:rPr>
        <w:t xml:space="preserve">, entre elas a </w:t>
      </w:r>
      <w:r>
        <w:rPr>
          <w:i/>
          <w:sz w:val="22"/>
          <w:szCs w:val="22"/>
        </w:rPr>
        <w:t>“</w:t>
      </w:r>
      <w:r w:rsidR="00981335" w:rsidRPr="00644D06">
        <w:rPr>
          <w:i/>
          <w:sz w:val="22"/>
          <w:szCs w:val="22"/>
        </w:rPr>
        <w:t>realização de Convite sem o número mínimo de três propostas válidas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  <w:r w:rsidR="00785801">
        <w:rPr>
          <w:sz w:val="22"/>
          <w:szCs w:val="22"/>
        </w:rPr>
        <w:t xml:space="preserve">De acordo com a unidade </w:t>
      </w:r>
      <w:r w:rsidR="00047543">
        <w:rPr>
          <w:sz w:val="22"/>
          <w:szCs w:val="22"/>
        </w:rPr>
        <w:t>instrutiva</w:t>
      </w:r>
      <w:r w:rsidR="00785801">
        <w:rPr>
          <w:sz w:val="22"/>
          <w:szCs w:val="22"/>
        </w:rPr>
        <w:t xml:space="preserve">, </w:t>
      </w:r>
      <w:r w:rsidR="00785801">
        <w:rPr>
          <w:i/>
          <w:sz w:val="22"/>
          <w:szCs w:val="22"/>
        </w:rPr>
        <w:t>“</w:t>
      </w:r>
      <w:r w:rsidR="00981335" w:rsidRPr="00644D06">
        <w:rPr>
          <w:i/>
          <w:sz w:val="22"/>
          <w:szCs w:val="22"/>
        </w:rPr>
        <w:t>a falha ocorreu por limitações do mercado e manifesto desinteresse dos convidados, o que deveria ter sido, a princípio, cabalmente justificado no processo licitatório, sob pena de repetição do convite, consoante disposto no § 7º do artigo 22 do Estatuto das Licitações e Contratos.</w:t>
      </w:r>
      <w:r w:rsidR="002134EC">
        <w:rPr>
          <w:i/>
          <w:sz w:val="22"/>
          <w:szCs w:val="22"/>
        </w:rPr>
        <w:t xml:space="preserve"> </w:t>
      </w:r>
      <w:r w:rsidR="00981335" w:rsidRPr="00644D06">
        <w:rPr>
          <w:i/>
          <w:sz w:val="22"/>
          <w:szCs w:val="22"/>
        </w:rPr>
        <w:t>Em suas justificativas, o gestor esclareceu que não limitou sua pesquisa de mercado, tendo convidado treze empresas do ramo, apesar do comparecimento de apenas duas para apresentação de propostas. Acrescentou que o fato da CPL ter prosseguido o certame com apenas uma proposta válida ocorreu porque havia uma representação do Ministério Público Federal cobrando providências em relação à revisão dos telhados, e, repetir a carta-convite, retardaria a execução do objeto e comprometeria a segurança da Instituição. Em seguida, verificou que o preço estava condizente com o de mercado e haviam sido atendidas as condições de habilitação e exigências editalícias antes de adjudic</w:t>
      </w:r>
      <w:r w:rsidR="00047543">
        <w:rPr>
          <w:i/>
          <w:sz w:val="22"/>
          <w:szCs w:val="22"/>
        </w:rPr>
        <w:t>ar</w:t>
      </w:r>
      <w:r w:rsidR="00981335" w:rsidRPr="00644D06">
        <w:rPr>
          <w:i/>
          <w:sz w:val="22"/>
          <w:szCs w:val="22"/>
        </w:rPr>
        <w:t xml:space="preserve"> a única proposta válida, o que minimiza a gravidade da constatação e permite que o indício de irregularidade seja considerado como falha na gestão.</w:t>
      </w:r>
      <w:r w:rsidR="002134EC">
        <w:rPr>
          <w:i/>
          <w:sz w:val="22"/>
          <w:szCs w:val="22"/>
        </w:rPr>
        <w:t>”</w:t>
      </w:r>
      <w:r w:rsidR="002134EC">
        <w:rPr>
          <w:sz w:val="22"/>
          <w:szCs w:val="22"/>
        </w:rPr>
        <w:t xml:space="preserve">. </w:t>
      </w:r>
      <w:r w:rsidR="00047543">
        <w:rPr>
          <w:sz w:val="22"/>
          <w:szCs w:val="22"/>
        </w:rPr>
        <w:t>Ao dissentir da unidade técnica, o</w:t>
      </w:r>
      <w:r w:rsidR="004109DA">
        <w:rPr>
          <w:sz w:val="22"/>
          <w:szCs w:val="22"/>
        </w:rPr>
        <w:t xml:space="preserve"> relator</w:t>
      </w:r>
      <w:r w:rsidR="00047543">
        <w:rPr>
          <w:sz w:val="22"/>
          <w:szCs w:val="22"/>
        </w:rPr>
        <w:t xml:space="preserve"> </w:t>
      </w:r>
      <w:r w:rsidR="00A63286">
        <w:rPr>
          <w:sz w:val="22"/>
          <w:szCs w:val="22"/>
        </w:rPr>
        <w:t>destacou</w:t>
      </w:r>
      <w:r w:rsidR="00047543">
        <w:rPr>
          <w:sz w:val="22"/>
          <w:szCs w:val="22"/>
        </w:rPr>
        <w:t xml:space="preserve"> </w:t>
      </w:r>
      <w:r w:rsidR="00981335" w:rsidRPr="00981335">
        <w:rPr>
          <w:sz w:val="22"/>
          <w:szCs w:val="22"/>
        </w:rPr>
        <w:t xml:space="preserve">que foram inicialmente convidadas treze empresas, tendo comparecido apenas duas. </w:t>
      </w:r>
      <w:r w:rsidR="00047543">
        <w:rPr>
          <w:sz w:val="22"/>
          <w:szCs w:val="22"/>
        </w:rPr>
        <w:t>Em razão disso, d</w:t>
      </w:r>
      <w:r w:rsidR="00981335" w:rsidRPr="00981335">
        <w:rPr>
          <w:sz w:val="22"/>
          <w:szCs w:val="22"/>
        </w:rPr>
        <w:t>esignou-se nova data para abertura das propostas, convocando-se mais onze empresas, além das treze inicialmente convidadas. Ainda assim, não foram obtidas três propostas válidas. Ness</w:t>
      </w:r>
      <w:r w:rsidR="00B43693">
        <w:rPr>
          <w:sz w:val="22"/>
          <w:szCs w:val="22"/>
        </w:rPr>
        <w:t>e</w:t>
      </w:r>
      <w:r w:rsidR="00981335" w:rsidRPr="00981335">
        <w:rPr>
          <w:sz w:val="22"/>
          <w:szCs w:val="22"/>
        </w:rPr>
        <w:t xml:space="preserve"> </w:t>
      </w:r>
      <w:r w:rsidR="00B43693">
        <w:rPr>
          <w:sz w:val="22"/>
          <w:szCs w:val="22"/>
        </w:rPr>
        <w:t>contexto</w:t>
      </w:r>
      <w:r w:rsidR="00981335" w:rsidRPr="00981335">
        <w:rPr>
          <w:sz w:val="22"/>
          <w:szCs w:val="22"/>
        </w:rPr>
        <w:t xml:space="preserve">, </w:t>
      </w:r>
      <w:r w:rsidR="004109DA" w:rsidRPr="004109DA">
        <w:rPr>
          <w:i/>
          <w:sz w:val="22"/>
          <w:szCs w:val="22"/>
        </w:rPr>
        <w:t>“</w:t>
      </w:r>
      <w:r w:rsidR="00981335" w:rsidRPr="004109DA">
        <w:rPr>
          <w:i/>
          <w:sz w:val="22"/>
          <w:szCs w:val="22"/>
        </w:rPr>
        <w:t>mostra-se razoavelmente justificado o prosseguimento da licitação</w:t>
      </w:r>
      <w:r w:rsidR="004109DA" w:rsidRPr="004109DA">
        <w:rPr>
          <w:i/>
          <w:sz w:val="22"/>
          <w:szCs w:val="22"/>
        </w:rPr>
        <w:t>”</w:t>
      </w:r>
      <w:r w:rsidR="00047543">
        <w:rPr>
          <w:sz w:val="22"/>
          <w:szCs w:val="22"/>
        </w:rPr>
        <w:t>, entendimento que contou com a anuência do</w:t>
      </w:r>
      <w:r w:rsidR="004109DA">
        <w:rPr>
          <w:sz w:val="22"/>
          <w:szCs w:val="22"/>
        </w:rPr>
        <w:t xml:space="preserve"> Colegiado</w:t>
      </w:r>
      <w:r w:rsidR="00981335" w:rsidRPr="00981335">
        <w:rPr>
          <w:sz w:val="22"/>
          <w:szCs w:val="22"/>
        </w:rPr>
        <w:t>.</w:t>
      </w:r>
      <w:r w:rsidR="004109DA">
        <w:rPr>
          <w:sz w:val="22"/>
          <w:szCs w:val="22"/>
        </w:rPr>
        <w:t xml:space="preserve"> </w:t>
      </w:r>
      <w:r w:rsidR="00BD5DE1" w:rsidRPr="00337E16">
        <w:rPr>
          <w:b/>
          <w:i/>
          <w:sz w:val="22"/>
          <w:szCs w:val="22"/>
        </w:rPr>
        <w:t xml:space="preserve">Acórdão n.º </w:t>
      </w:r>
      <w:r w:rsidR="00BD5DE1">
        <w:rPr>
          <w:b/>
          <w:i/>
          <w:sz w:val="22"/>
          <w:szCs w:val="22"/>
        </w:rPr>
        <w:t>56</w:t>
      </w:r>
      <w:r w:rsidR="00EA366A">
        <w:rPr>
          <w:b/>
          <w:i/>
          <w:sz w:val="22"/>
          <w:szCs w:val="22"/>
        </w:rPr>
        <w:t>70</w:t>
      </w:r>
      <w:r w:rsidR="00BD5DE1" w:rsidRPr="00337E16">
        <w:rPr>
          <w:b/>
          <w:i/>
          <w:sz w:val="22"/>
          <w:szCs w:val="22"/>
        </w:rPr>
        <w:t>/2010</w:t>
      </w:r>
      <w:r w:rsidR="00BD5DE1">
        <w:rPr>
          <w:b/>
          <w:i/>
          <w:sz w:val="22"/>
          <w:szCs w:val="22"/>
        </w:rPr>
        <w:t>-2ª Câmara</w:t>
      </w:r>
      <w:r w:rsidR="00BD5DE1" w:rsidRPr="00337E16">
        <w:rPr>
          <w:b/>
          <w:i/>
          <w:sz w:val="22"/>
          <w:szCs w:val="22"/>
        </w:rPr>
        <w:t>, TC-0</w:t>
      </w:r>
      <w:r w:rsidR="00BD5DE1">
        <w:rPr>
          <w:b/>
          <w:i/>
          <w:sz w:val="22"/>
          <w:szCs w:val="22"/>
        </w:rPr>
        <w:t>18</w:t>
      </w:r>
      <w:r w:rsidR="00BD5DE1" w:rsidRPr="00337E16">
        <w:rPr>
          <w:b/>
          <w:i/>
          <w:sz w:val="22"/>
          <w:szCs w:val="22"/>
        </w:rPr>
        <w:t>.</w:t>
      </w:r>
      <w:r w:rsidR="00BD5DE1">
        <w:rPr>
          <w:b/>
          <w:i/>
          <w:sz w:val="22"/>
          <w:szCs w:val="22"/>
        </w:rPr>
        <w:t>0</w:t>
      </w:r>
      <w:r w:rsidR="00EA366A">
        <w:rPr>
          <w:b/>
          <w:i/>
          <w:sz w:val="22"/>
          <w:szCs w:val="22"/>
        </w:rPr>
        <w:t>07</w:t>
      </w:r>
      <w:r w:rsidR="00BD5DE1" w:rsidRPr="00337E16">
        <w:rPr>
          <w:b/>
          <w:i/>
          <w:sz w:val="22"/>
          <w:szCs w:val="22"/>
        </w:rPr>
        <w:t>/20</w:t>
      </w:r>
      <w:r w:rsidR="00EA366A">
        <w:rPr>
          <w:b/>
          <w:i/>
          <w:sz w:val="22"/>
          <w:szCs w:val="22"/>
        </w:rPr>
        <w:t>08</w:t>
      </w:r>
      <w:r w:rsidR="00BD5DE1" w:rsidRPr="00337E16">
        <w:rPr>
          <w:b/>
          <w:i/>
          <w:sz w:val="22"/>
          <w:szCs w:val="22"/>
        </w:rPr>
        <w:t>-</w:t>
      </w:r>
      <w:r w:rsidR="00EA366A">
        <w:rPr>
          <w:b/>
          <w:i/>
          <w:sz w:val="22"/>
          <w:szCs w:val="22"/>
        </w:rPr>
        <w:t>7</w:t>
      </w:r>
      <w:r w:rsidR="00BD5DE1" w:rsidRPr="00337E16">
        <w:rPr>
          <w:b/>
          <w:i/>
          <w:sz w:val="22"/>
          <w:szCs w:val="22"/>
        </w:rPr>
        <w:t xml:space="preserve">, rel. Min. </w:t>
      </w:r>
      <w:r w:rsidR="00EA366A">
        <w:rPr>
          <w:b/>
          <w:i/>
          <w:sz w:val="22"/>
          <w:szCs w:val="22"/>
        </w:rPr>
        <w:t>José Jorge</w:t>
      </w:r>
      <w:r w:rsidR="00BD5DE1" w:rsidRPr="00337E16">
        <w:rPr>
          <w:b/>
          <w:i/>
          <w:sz w:val="22"/>
          <w:szCs w:val="22"/>
        </w:rPr>
        <w:t xml:space="preserve">, </w:t>
      </w:r>
      <w:r w:rsidR="00BD5DE1">
        <w:rPr>
          <w:b/>
          <w:i/>
          <w:sz w:val="22"/>
          <w:szCs w:val="22"/>
        </w:rPr>
        <w:t>28</w:t>
      </w:r>
      <w:r w:rsidR="00BD5DE1" w:rsidRPr="00337E16">
        <w:rPr>
          <w:b/>
          <w:i/>
          <w:sz w:val="22"/>
          <w:szCs w:val="22"/>
        </w:rPr>
        <w:t>.0</w:t>
      </w:r>
      <w:r w:rsidR="00BD5DE1">
        <w:rPr>
          <w:b/>
          <w:i/>
          <w:sz w:val="22"/>
          <w:szCs w:val="22"/>
        </w:rPr>
        <w:t>9</w:t>
      </w:r>
      <w:r w:rsidR="00BD5DE1" w:rsidRPr="00337E16">
        <w:rPr>
          <w:b/>
          <w:i/>
          <w:sz w:val="22"/>
          <w:szCs w:val="22"/>
        </w:rPr>
        <w:t>.2010</w:t>
      </w:r>
      <w:r w:rsidR="00BD5DE1" w:rsidRPr="00337E16">
        <w:rPr>
          <w:sz w:val="22"/>
          <w:szCs w:val="22"/>
        </w:rPr>
        <w:t>.</w:t>
      </w:r>
    </w:p>
    <w:p w:rsidR="00785CF8" w:rsidRPr="00337E16" w:rsidRDefault="00785CF8" w:rsidP="00337E16">
      <w:pPr>
        <w:pStyle w:val="enter-3pt"/>
        <w:spacing w:line="240" w:lineRule="auto"/>
        <w:jc w:val="center"/>
        <w:rPr>
          <w:b/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1"/>
      </w:tblGrid>
      <w:tr w:rsidR="00D2041E" w:rsidRPr="00337E16" w:rsidTr="00F03AB9">
        <w:trPr>
          <w:trHeight w:val="779"/>
          <w:jc w:val="center"/>
        </w:trPr>
        <w:tc>
          <w:tcPr>
            <w:tcW w:w="0" w:type="auto"/>
            <w:vAlign w:val="center"/>
          </w:tcPr>
          <w:p w:rsidR="00F27170" w:rsidRPr="00337E16" w:rsidRDefault="005E5FF1" w:rsidP="00337E16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37E16">
              <w:rPr>
                <w:b/>
                <w:i/>
                <w:sz w:val="18"/>
                <w:szCs w:val="18"/>
              </w:rPr>
              <w:t>R</w:t>
            </w:r>
            <w:r w:rsidR="00F27170" w:rsidRPr="00337E16">
              <w:rPr>
                <w:b/>
                <w:i/>
                <w:sz w:val="18"/>
                <w:szCs w:val="18"/>
              </w:rPr>
              <w:t>esponsáve</w:t>
            </w:r>
            <w:r w:rsidRPr="00337E16">
              <w:rPr>
                <w:b/>
                <w:i/>
                <w:sz w:val="18"/>
                <w:szCs w:val="18"/>
              </w:rPr>
              <w:t>is</w:t>
            </w:r>
            <w:r w:rsidR="00F27170" w:rsidRPr="00337E16">
              <w:rPr>
                <w:b/>
                <w:i/>
                <w:sz w:val="18"/>
                <w:szCs w:val="18"/>
              </w:rPr>
              <w:t xml:space="preserve"> pelo Informativo:</w:t>
            </w:r>
          </w:p>
          <w:p w:rsidR="00F27170" w:rsidRPr="00337E16" w:rsidRDefault="00713DE5" w:rsidP="00337E1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37E16">
              <w:rPr>
                <w:b/>
                <w:i/>
                <w:sz w:val="18"/>
                <w:szCs w:val="18"/>
              </w:rPr>
              <w:t>Elaboração:</w:t>
            </w:r>
            <w:r w:rsidRPr="00337E16">
              <w:rPr>
                <w:i/>
                <w:sz w:val="18"/>
                <w:szCs w:val="18"/>
              </w:rPr>
              <w:t xml:space="preserve"> </w:t>
            </w:r>
            <w:r w:rsidR="00F27170" w:rsidRPr="00337E16">
              <w:rPr>
                <w:i/>
                <w:sz w:val="18"/>
                <w:szCs w:val="18"/>
              </w:rPr>
              <w:t>Luiz Felipe Bezerra Almeida Simões</w:t>
            </w:r>
            <w:r w:rsidRPr="00337E16">
              <w:rPr>
                <w:i/>
                <w:sz w:val="18"/>
                <w:szCs w:val="18"/>
              </w:rPr>
              <w:t>, Assessor da Secretaria das Sessões</w:t>
            </w:r>
          </w:p>
          <w:p w:rsidR="005E5FF1" w:rsidRPr="00337E16" w:rsidRDefault="00A30683" w:rsidP="00337E1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Revisão</w:t>
            </w:r>
            <w:r w:rsidR="00713DE5" w:rsidRPr="00337E16">
              <w:rPr>
                <w:b/>
                <w:i/>
                <w:sz w:val="18"/>
                <w:szCs w:val="18"/>
              </w:rPr>
              <w:t>:</w:t>
            </w:r>
            <w:r w:rsidR="00713DE5" w:rsidRPr="00337E16">
              <w:rPr>
                <w:i/>
                <w:sz w:val="18"/>
                <w:szCs w:val="18"/>
              </w:rPr>
              <w:t xml:space="preserve"> </w:t>
            </w:r>
            <w:r w:rsidR="005E5FF1" w:rsidRPr="00337E16">
              <w:rPr>
                <w:i/>
                <w:sz w:val="18"/>
                <w:szCs w:val="18"/>
              </w:rPr>
              <w:t>Odilon Cavallari de Oliveira</w:t>
            </w:r>
            <w:r w:rsidR="00713DE5" w:rsidRPr="00337E16">
              <w:rPr>
                <w:i/>
                <w:sz w:val="18"/>
                <w:szCs w:val="18"/>
              </w:rPr>
              <w:t>, Secretário das Sessões</w:t>
            </w:r>
          </w:p>
          <w:p w:rsidR="00D2041E" w:rsidRPr="00337E16" w:rsidRDefault="00D2041E" w:rsidP="00337E16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337E16">
              <w:rPr>
                <w:b/>
                <w:i/>
                <w:sz w:val="18"/>
                <w:szCs w:val="18"/>
              </w:rPr>
              <w:t xml:space="preserve">Contato: </w:t>
            </w:r>
            <w:hyperlink r:id="rId8" w:history="1">
              <w:r w:rsidRPr="00337E16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D2041E" w:rsidRPr="00337E16" w:rsidRDefault="00D2041E" w:rsidP="003D7B83">
      <w:pPr>
        <w:pStyle w:val="enter-3pt"/>
        <w:spacing w:line="240" w:lineRule="auto"/>
        <w:rPr>
          <w:b/>
          <w:sz w:val="22"/>
          <w:szCs w:val="22"/>
        </w:rPr>
      </w:pPr>
    </w:p>
    <w:sectPr w:rsidR="00D2041E" w:rsidRPr="00337E16" w:rsidSect="00337E16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E0" w:rsidRDefault="000F51E0" w:rsidP="008B0547">
      <w:pPr>
        <w:spacing w:after="0"/>
      </w:pPr>
      <w:r>
        <w:separator/>
      </w:r>
    </w:p>
  </w:endnote>
  <w:endnote w:type="continuationSeparator" w:id="0">
    <w:p w:rsidR="000F51E0" w:rsidRDefault="000F51E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1F4CC0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E0" w:rsidRDefault="000F51E0" w:rsidP="008B0547">
      <w:pPr>
        <w:spacing w:after="0"/>
      </w:pPr>
      <w:r>
        <w:separator/>
      </w:r>
    </w:p>
  </w:footnote>
  <w:footnote w:type="continuationSeparator" w:id="0">
    <w:p w:rsidR="000F51E0" w:rsidRDefault="000F51E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8E6D62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8E6D62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FA88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DB1B11">
      <w:rPr>
        <w:rFonts w:ascii="Arial" w:hAnsi="Arial" w:cs="Arial"/>
        <w:noProof/>
        <w:lang w:eastAsia="pt-BR"/>
      </w:rPr>
      <w:t>36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521745A"/>
    <w:multiLevelType w:val="hybridMultilevel"/>
    <w:tmpl w:val="40F42622"/>
    <w:lvl w:ilvl="0" w:tplc="6F765A36">
      <w:start w:val="1"/>
      <w:numFmt w:val="bullet"/>
      <w:pStyle w:val="Normal-bullet"/>
      <w:lvlText w:val=""/>
      <w:lvlJc w:val="left"/>
      <w:pPr>
        <w:ind w:left="720" w:hanging="360"/>
      </w:pPr>
      <w:rPr>
        <w:rFonts w:ascii="Wingdings" w:hAnsi="Wingdings" w:hint="default"/>
        <w:u w:color="59595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13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3CEA"/>
    <w:rsid w:val="00004614"/>
    <w:rsid w:val="00005435"/>
    <w:rsid w:val="00005E1E"/>
    <w:rsid w:val="00012468"/>
    <w:rsid w:val="0001636D"/>
    <w:rsid w:val="0002358D"/>
    <w:rsid w:val="00023D72"/>
    <w:rsid w:val="000271FA"/>
    <w:rsid w:val="00032198"/>
    <w:rsid w:val="00037E3B"/>
    <w:rsid w:val="00041450"/>
    <w:rsid w:val="0004660A"/>
    <w:rsid w:val="00047543"/>
    <w:rsid w:val="00052B15"/>
    <w:rsid w:val="00054432"/>
    <w:rsid w:val="000562CD"/>
    <w:rsid w:val="00056D51"/>
    <w:rsid w:val="0006028E"/>
    <w:rsid w:val="00061B67"/>
    <w:rsid w:val="00061C2E"/>
    <w:rsid w:val="00065E95"/>
    <w:rsid w:val="00080148"/>
    <w:rsid w:val="00084727"/>
    <w:rsid w:val="0009133A"/>
    <w:rsid w:val="00092C2E"/>
    <w:rsid w:val="00095D76"/>
    <w:rsid w:val="000A2C56"/>
    <w:rsid w:val="000B0ECB"/>
    <w:rsid w:val="000B0FEA"/>
    <w:rsid w:val="000B2AFA"/>
    <w:rsid w:val="000D1FD7"/>
    <w:rsid w:val="000D6418"/>
    <w:rsid w:val="000D7DB6"/>
    <w:rsid w:val="000D7DED"/>
    <w:rsid w:val="000E3B31"/>
    <w:rsid w:val="000F51E0"/>
    <w:rsid w:val="000F6D85"/>
    <w:rsid w:val="000F7CEE"/>
    <w:rsid w:val="001104BA"/>
    <w:rsid w:val="00112676"/>
    <w:rsid w:val="0011373A"/>
    <w:rsid w:val="00114511"/>
    <w:rsid w:val="00126026"/>
    <w:rsid w:val="001321CC"/>
    <w:rsid w:val="00133EA9"/>
    <w:rsid w:val="00140ACA"/>
    <w:rsid w:val="00141D7A"/>
    <w:rsid w:val="001420D1"/>
    <w:rsid w:val="001444A2"/>
    <w:rsid w:val="00151F92"/>
    <w:rsid w:val="0015258E"/>
    <w:rsid w:val="00152ECC"/>
    <w:rsid w:val="001532E4"/>
    <w:rsid w:val="00156A48"/>
    <w:rsid w:val="00157AFE"/>
    <w:rsid w:val="00157C0F"/>
    <w:rsid w:val="001744E7"/>
    <w:rsid w:val="00176375"/>
    <w:rsid w:val="001764E1"/>
    <w:rsid w:val="00190EE8"/>
    <w:rsid w:val="001A330B"/>
    <w:rsid w:val="001A60A2"/>
    <w:rsid w:val="001B3E8E"/>
    <w:rsid w:val="001B4F90"/>
    <w:rsid w:val="001C0575"/>
    <w:rsid w:val="001C437E"/>
    <w:rsid w:val="001C74F5"/>
    <w:rsid w:val="001D03C7"/>
    <w:rsid w:val="001D0814"/>
    <w:rsid w:val="001D1478"/>
    <w:rsid w:val="001D74CE"/>
    <w:rsid w:val="001E0BF1"/>
    <w:rsid w:val="001E1E28"/>
    <w:rsid w:val="001E2620"/>
    <w:rsid w:val="001E4147"/>
    <w:rsid w:val="001E7C3D"/>
    <w:rsid w:val="001F0080"/>
    <w:rsid w:val="001F00DF"/>
    <w:rsid w:val="001F4CC0"/>
    <w:rsid w:val="002002CE"/>
    <w:rsid w:val="0020066F"/>
    <w:rsid w:val="00203A6F"/>
    <w:rsid w:val="00211816"/>
    <w:rsid w:val="002134EC"/>
    <w:rsid w:val="0021481D"/>
    <w:rsid w:val="00226D9D"/>
    <w:rsid w:val="00232158"/>
    <w:rsid w:val="002328F9"/>
    <w:rsid w:val="00233CE3"/>
    <w:rsid w:val="0024593F"/>
    <w:rsid w:val="002476B6"/>
    <w:rsid w:val="002533D4"/>
    <w:rsid w:val="00254590"/>
    <w:rsid w:val="0026362E"/>
    <w:rsid w:val="002649A7"/>
    <w:rsid w:val="002663B7"/>
    <w:rsid w:val="00271D81"/>
    <w:rsid w:val="00273E72"/>
    <w:rsid w:val="00276DC0"/>
    <w:rsid w:val="002810D9"/>
    <w:rsid w:val="00281830"/>
    <w:rsid w:val="0029043B"/>
    <w:rsid w:val="00290A06"/>
    <w:rsid w:val="0029211E"/>
    <w:rsid w:val="0029450E"/>
    <w:rsid w:val="002A190F"/>
    <w:rsid w:val="002A3B3F"/>
    <w:rsid w:val="002B407B"/>
    <w:rsid w:val="002B71BA"/>
    <w:rsid w:val="002C1C8E"/>
    <w:rsid w:val="002C4029"/>
    <w:rsid w:val="002C7B61"/>
    <w:rsid w:val="002C7B6D"/>
    <w:rsid w:val="002D35F5"/>
    <w:rsid w:val="002D47FE"/>
    <w:rsid w:val="002D739A"/>
    <w:rsid w:val="002D76AB"/>
    <w:rsid w:val="002E361C"/>
    <w:rsid w:val="002E3943"/>
    <w:rsid w:val="002E4254"/>
    <w:rsid w:val="002E5983"/>
    <w:rsid w:val="002F5F3B"/>
    <w:rsid w:val="002F693C"/>
    <w:rsid w:val="003020F4"/>
    <w:rsid w:val="00304A73"/>
    <w:rsid w:val="003069F9"/>
    <w:rsid w:val="00310208"/>
    <w:rsid w:val="0031058F"/>
    <w:rsid w:val="0031089E"/>
    <w:rsid w:val="00310D69"/>
    <w:rsid w:val="00312529"/>
    <w:rsid w:val="003147B7"/>
    <w:rsid w:val="00317E59"/>
    <w:rsid w:val="00322AE7"/>
    <w:rsid w:val="00323394"/>
    <w:rsid w:val="003275E4"/>
    <w:rsid w:val="00337E16"/>
    <w:rsid w:val="00340E66"/>
    <w:rsid w:val="00340F10"/>
    <w:rsid w:val="0034486B"/>
    <w:rsid w:val="00344D92"/>
    <w:rsid w:val="003455A2"/>
    <w:rsid w:val="00350E87"/>
    <w:rsid w:val="003518EE"/>
    <w:rsid w:val="00351C09"/>
    <w:rsid w:val="00353B7C"/>
    <w:rsid w:val="0035438E"/>
    <w:rsid w:val="00355828"/>
    <w:rsid w:val="00357CBE"/>
    <w:rsid w:val="00361661"/>
    <w:rsid w:val="00364DC3"/>
    <w:rsid w:val="003824E4"/>
    <w:rsid w:val="00385DAB"/>
    <w:rsid w:val="0038696B"/>
    <w:rsid w:val="00392509"/>
    <w:rsid w:val="003943E5"/>
    <w:rsid w:val="00397D8E"/>
    <w:rsid w:val="003A2222"/>
    <w:rsid w:val="003A5479"/>
    <w:rsid w:val="003A5C1B"/>
    <w:rsid w:val="003A7C7F"/>
    <w:rsid w:val="003B0304"/>
    <w:rsid w:val="003B043F"/>
    <w:rsid w:val="003B2E10"/>
    <w:rsid w:val="003B33CE"/>
    <w:rsid w:val="003B343D"/>
    <w:rsid w:val="003B56D7"/>
    <w:rsid w:val="003C1B4F"/>
    <w:rsid w:val="003C2288"/>
    <w:rsid w:val="003C6DEB"/>
    <w:rsid w:val="003C7A5C"/>
    <w:rsid w:val="003D73BD"/>
    <w:rsid w:val="003D7B83"/>
    <w:rsid w:val="003D7CCE"/>
    <w:rsid w:val="003E1B68"/>
    <w:rsid w:val="003E65D7"/>
    <w:rsid w:val="003F413A"/>
    <w:rsid w:val="003F54FB"/>
    <w:rsid w:val="003F6D1F"/>
    <w:rsid w:val="004109DA"/>
    <w:rsid w:val="004169D8"/>
    <w:rsid w:val="004201AF"/>
    <w:rsid w:val="00425FF9"/>
    <w:rsid w:val="00427B3B"/>
    <w:rsid w:val="00427EBF"/>
    <w:rsid w:val="004362AB"/>
    <w:rsid w:val="004415FB"/>
    <w:rsid w:val="00441CE3"/>
    <w:rsid w:val="0044434A"/>
    <w:rsid w:val="00445E76"/>
    <w:rsid w:val="00452688"/>
    <w:rsid w:val="00452C60"/>
    <w:rsid w:val="0046384E"/>
    <w:rsid w:val="0046706B"/>
    <w:rsid w:val="00471284"/>
    <w:rsid w:val="00473696"/>
    <w:rsid w:val="0047491E"/>
    <w:rsid w:val="004837C6"/>
    <w:rsid w:val="00483998"/>
    <w:rsid w:val="0048438C"/>
    <w:rsid w:val="00484E4C"/>
    <w:rsid w:val="00491438"/>
    <w:rsid w:val="00492E3F"/>
    <w:rsid w:val="00493F5C"/>
    <w:rsid w:val="004A171B"/>
    <w:rsid w:val="004B1DC3"/>
    <w:rsid w:val="004C780C"/>
    <w:rsid w:val="004D708E"/>
    <w:rsid w:val="004E357A"/>
    <w:rsid w:val="004E524E"/>
    <w:rsid w:val="004E65EB"/>
    <w:rsid w:val="004F7174"/>
    <w:rsid w:val="0050355D"/>
    <w:rsid w:val="00503951"/>
    <w:rsid w:val="005055B5"/>
    <w:rsid w:val="00511BBF"/>
    <w:rsid w:val="00515E7B"/>
    <w:rsid w:val="005217F8"/>
    <w:rsid w:val="0052267A"/>
    <w:rsid w:val="00531143"/>
    <w:rsid w:val="00536332"/>
    <w:rsid w:val="00543EB8"/>
    <w:rsid w:val="00554A33"/>
    <w:rsid w:val="0055716D"/>
    <w:rsid w:val="00557953"/>
    <w:rsid w:val="00560E55"/>
    <w:rsid w:val="0056301A"/>
    <w:rsid w:val="00564041"/>
    <w:rsid w:val="005640E1"/>
    <w:rsid w:val="00564EA1"/>
    <w:rsid w:val="0056534C"/>
    <w:rsid w:val="00567CEE"/>
    <w:rsid w:val="005713F4"/>
    <w:rsid w:val="00571E64"/>
    <w:rsid w:val="00580F26"/>
    <w:rsid w:val="0058427E"/>
    <w:rsid w:val="00590907"/>
    <w:rsid w:val="005A72F2"/>
    <w:rsid w:val="005B2194"/>
    <w:rsid w:val="005B2BC3"/>
    <w:rsid w:val="005B4CFA"/>
    <w:rsid w:val="005C1A79"/>
    <w:rsid w:val="005E269C"/>
    <w:rsid w:val="005E3586"/>
    <w:rsid w:val="005E4DEE"/>
    <w:rsid w:val="005E5FF1"/>
    <w:rsid w:val="005F01CE"/>
    <w:rsid w:val="005F70B6"/>
    <w:rsid w:val="00604CA6"/>
    <w:rsid w:val="00604DBE"/>
    <w:rsid w:val="006063E1"/>
    <w:rsid w:val="006065E4"/>
    <w:rsid w:val="00612045"/>
    <w:rsid w:val="00613AC9"/>
    <w:rsid w:val="00620E86"/>
    <w:rsid w:val="006219DD"/>
    <w:rsid w:val="00632ACC"/>
    <w:rsid w:val="00644D06"/>
    <w:rsid w:val="00650463"/>
    <w:rsid w:val="00651660"/>
    <w:rsid w:val="00652171"/>
    <w:rsid w:val="006669D9"/>
    <w:rsid w:val="00670FEA"/>
    <w:rsid w:val="0067353C"/>
    <w:rsid w:val="00676163"/>
    <w:rsid w:val="00677C22"/>
    <w:rsid w:val="006808CC"/>
    <w:rsid w:val="00685899"/>
    <w:rsid w:val="00687928"/>
    <w:rsid w:val="0069012D"/>
    <w:rsid w:val="00692D30"/>
    <w:rsid w:val="00693760"/>
    <w:rsid w:val="00697477"/>
    <w:rsid w:val="006A037E"/>
    <w:rsid w:val="006A6160"/>
    <w:rsid w:val="006A7796"/>
    <w:rsid w:val="006B0495"/>
    <w:rsid w:val="006B0DCB"/>
    <w:rsid w:val="006B2408"/>
    <w:rsid w:val="006B3AF9"/>
    <w:rsid w:val="006B414C"/>
    <w:rsid w:val="006B4B0F"/>
    <w:rsid w:val="006F4DE0"/>
    <w:rsid w:val="006F7332"/>
    <w:rsid w:val="0070385B"/>
    <w:rsid w:val="0070494F"/>
    <w:rsid w:val="00705758"/>
    <w:rsid w:val="0070717A"/>
    <w:rsid w:val="00713DE5"/>
    <w:rsid w:val="007174DA"/>
    <w:rsid w:val="00720910"/>
    <w:rsid w:val="00720F29"/>
    <w:rsid w:val="007224C2"/>
    <w:rsid w:val="007322D5"/>
    <w:rsid w:val="00737FEC"/>
    <w:rsid w:val="00756AA0"/>
    <w:rsid w:val="00757CE6"/>
    <w:rsid w:val="00764A40"/>
    <w:rsid w:val="007671B6"/>
    <w:rsid w:val="007671DA"/>
    <w:rsid w:val="007719A8"/>
    <w:rsid w:val="00774593"/>
    <w:rsid w:val="00777599"/>
    <w:rsid w:val="00785801"/>
    <w:rsid w:val="00785CF8"/>
    <w:rsid w:val="00790AFE"/>
    <w:rsid w:val="00796CC0"/>
    <w:rsid w:val="007A1A35"/>
    <w:rsid w:val="007A22F3"/>
    <w:rsid w:val="007A5922"/>
    <w:rsid w:val="007B259B"/>
    <w:rsid w:val="007B5018"/>
    <w:rsid w:val="007C0025"/>
    <w:rsid w:val="007C670D"/>
    <w:rsid w:val="007D0ED0"/>
    <w:rsid w:val="007D4A4A"/>
    <w:rsid w:val="007E0E05"/>
    <w:rsid w:val="007E13C5"/>
    <w:rsid w:val="007E1DD3"/>
    <w:rsid w:val="007E209F"/>
    <w:rsid w:val="007E4655"/>
    <w:rsid w:val="007E55E0"/>
    <w:rsid w:val="007E5C50"/>
    <w:rsid w:val="007F22A5"/>
    <w:rsid w:val="00810CC2"/>
    <w:rsid w:val="0081324B"/>
    <w:rsid w:val="00816193"/>
    <w:rsid w:val="008165E4"/>
    <w:rsid w:val="00825155"/>
    <w:rsid w:val="00825EB9"/>
    <w:rsid w:val="008303E2"/>
    <w:rsid w:val="008341F8"/>
    <w:rsid w:val="008359F3"/>
    <w:rsid w:val="00835DB6"/>
    <w:rsid w:val="00836AC2"/>
    <w:rsid w:val="00844C5B"/>
    <w:rsid w:val="008501A4"/>
    <w:rsid w:val="008505A1"/>
    <w:rsid w:val="00850817"/>
    <w:rsid w:val="0086124E"/>
    <w:rsid w:val="008652C9"/>
    <w:rsid w:val="00866992"/>
    <w:rsid w:val="00875991"/>
    <w:rsid w:val="00877FDD"/>
    <w:rsid w:val="00880FED"/>
    <w:rsid w:val="008841C8"/>
    <w:rsid w:val="00892BB8"/>
    <w:rsid w:val="00893014"/>
    <w:rsid w:val="00896755"/>
    <w:rsid w:val="008A2417"/>
    <w:rsid w:val="008A5D49"/>
    <w:rsid w:val="008A751E"/>
    <w:rsid w:val="008B0547"/>
    <w:rsid w:val="008B11A3"/>
    <w:rsid w:val="008B1FE5"/>
    <w:rsid w:val="008B434A"/>
    <w:rsid w:val="008B7B55"/>
    <w:rsid w:val="008C3A5B"/>
    <w:rsid w:val="008C6490"/>
    <w:rsid w:val="008D251B"/>
    <w:rsid w:val="008D6F5D"/>
    <w:rsid w:val="008E003A"/>
    <w:rsid w:val="008E15E3"/>
    <w:rsid w:val="008E4C62"/>
    <w:rsid w:val="008E6D62"/>
    <w:rsid w:val="008E727E"/>
    <w:rsid w:val="008F2902"/>
    <w:rsid w:val="008F660B"/>
    <w:rsid w:val="009005CE"/>
    <w:rsid w:val="00901376"/>
    <w:rsid w:val="009021A4"/>
    <w:rsid w:val="0091511B"/>
    <w:rsid w:val="009239AA"/>
    <w:rsid w:val="009245B5"/>
    <w:rsid w:val="0093795C"/>
    <w:rsid w:val="009444E6"/>
    <w:rsid w:val="00944A8E"/>
    <w:rsid w:val="009455E6"/>
    <w:rsid w:val="00956BA7"/>
    <w:rsid w:val="00956FD8"/>
    <w:rsid w:val="009571E1"/>
    <w:rsid w:val="009575F7"/>
    <w:rsid w:val="0096021A"/>
    <w:rsid w:val="00960F73"/>
    <w:rsid w:val="00971139"/>
    <w:rsid w:val="0097401F"/>
    <w:rsid w:val="00981335"/>
    <w:rsid w:val="00981FA0"/>
    <w:rsid w:val="00984366"/>
    <w:rsid w:val="00984C36"/>
    <w:rsid w:val="00984E80"/>
    <w:rsid w:val="0098690F"/>
    <w:rsid w:val="00987EE5"/>
    <w:rsid w:val="00997C8A"/>
    <w:rsid w:val="009A1339"/>
    <w:rsid w:val="009A3006"/>
    <w:rsid w:val="009A3994"/>
    <w:rsid w:val="009A50C7"/>
    <w:rsid w:val="009B62AF"/>
    <w:rsid w:val="009D1B99"/>
    <w:rsid w:val="009D5445"/>
    <w:rsid w:val="009D565F"/>
    <w:rsid w:val="009D65B9"/>
    <w:rsid w:val="009E04DC"/>
    <w:rsid w:val="009E0FB3"/>
    <w:rsid w:val="009E5105"/>
    <w:rsid w:val="009F2FDE"/>
    <w:rsid w:val="009F6233"/>
    <w:rsid w:val="00A0244C"/>
    <w:rsid w:val="00A033FF"/>
    <w:rsid w:val="00A04275"/>
    <w:rsid w:val="00A1329C"/>
    <w:rsid w:val="00A14E25"/>
    <w:rsid w:val="00A16A60"/>
    <w:rsid w:val="00A17A3D"/>
    <w:rsid w:val="00A2062A"/>
    <w:rsid w:val="00A21E19"/>
    <w:rsid w:val="00A30683"/>
    <w:rsid w:val="00A3115F"/>
    <w:rsid w:val="00A33030"/>
    <w:rsid w:val="00A378A2"/>
    <w:rsid w:val="00A4422A"/>
    <w:rsid w:val="00A545FD"/>
    <w:rsid w:val="00A60F52"/>
    <w:rsid w:val="00A63286"/>
    <w:rsid w:val="00A63B4C"/>
    <w:rsid w:val="00A664E7"/>
    <w:rsid w:val="00A66E7F"/>
    <w:rsid w:val="00A75C52"/>
    <w:rsid w:val="00A767B2"/>
    <w:rsid w:val="00A82B9E"/>
    <w:rsid w:val="00A84186"/>
    <w:rsid w:val="00A85B14"/>
    <w:rsid w:val="00A9704A"/>
    <w:rsid w:val="00A97AD0"/>
    <w:rsid w:val="00AA1377"/>
    <w:rsid w:val="00AA49AF"/>
    <w:rsid w:val="00AA57CE"/>
    <w:rsid w:val="00AA7540"/>
    <w:rsid w:val="00AC0BAE"/>
    <w:rsid w:val="00AC126F"/>
    <w:rsid w:val="00AE1128"/>
    <w:rsid w:val="00AE1AB0"/>
    <w:rsid w:val="00AE2609"/>
    <w:rsid w:val="00AE439A"/>
    <w:rsid w:val="00AE52B8"/>
    <w:rsid w:val="00AF09C7"/>
    <w:rsid w:val="00B03D35"/>
    <w:rsid w:val="00B05065"/>
    <w:rsid w:val="00B05194"/>
    <w:rsid w:val="00B17303"/>
    <w:rsid w:val="00B25143"/>
    <w:rsid w:val="00B2585D"/>
    <w:rsid w:val="00B27359"/>
    <w:rsid w:val="00B33FC2"/>
    <w:rsid w:val="00B347F1"/>
    <w:rsid w:val="00B3502B"/>
    <w:rsid w:val="00B35C3E"/>
    <w:rsid w:val="00B36473"/>
    <w:rsid w:val="00B43693"/>
    <w:rsid w:val="00B44029"/>
    <w:rsid w:val="00B47943"/>
    <w:rsid w:val="00B50446"/>
    <w:rsid w:val="00B530FD"/>
    <w:rsid w:val="00B5639B"/>
    <w:rsid w:val="00B60C3E"/>
    <w:rsid w:val="00B64775"/>
    <w:rsid w:val="00B67B4F"/>
    <w:rsid w:val="00B81718"/>
    <w:rsid w:val="00B86AF6"/>
    <w:rsid w:val="00B86E2A"/>
    <w:rsid w:val="00B96EA4"/>
    <w:rsid w:val="00B97A3E"/>
    <w:rsid w:val="00BA2FFD"/>
    <w:rsid w:val="00BB37AF"/>
    <w:rsid w:val="00BB4C08"/>
    <w:rsid w:val="00BC5737"/>
    <w:rsid w:val="00BD3C68"/>
    <w:rsid w:val="00BD421D"/>
    <w:rsid w:val="00BD5DE1"/>
    <w:rsid w:val="00BE4614"/>
    <w:rsid w:val="00BE4E6F"/>
    <w:rsid w:val="00BE529D"/>
    <w:rsid w:val="00BE6637"/>
    <w:rsid w:val="00BF0EB6"/>
    <w:rsid w:val="00BF10E8"/>
    <w:rsid w:val="00BF3158"/>
    <w:rsid w:val="00C03A04"/>
    <w:rsid w:val="00C046F7"/>
    <w:rsid w:val="00C10C0B"/>
    <w:rsid w:val="00C1776A"/>
    <w:rsid w:val="00C22519"/>
    <w:rsid w:val="00C2305C"/>
    <w:rsid w:val="00C233D0"/>
    <w:rsid w:val="00C24162"/>
    <w:rsid w:val="00C2509D"/>
    <w:rsid w:val="00C34ABD"/>
    <w:rsid w:val="00C35F43"/>
    <w:rsid w:val="00C44A07"/>
    <w:rsid w:val="00C44BDC"/>
    <w:rsid w:val="00C45BFB"/>
    <w:rsid w:val="00C54B14"/>
    <w:rsid w:val="00C6352A"/>
    <w:rsid w:val="00C65B2D"/>
    <w:rsid w:val="00C65C5D"/>
    <w:rsid w:val="00C711E5"/>
    <w:rsid w:val="00C76339"/>
    <w:rsid w:val="00C83AEE"/>
    <w:rsid w:val="00C85AC7"/>
    <w:rsid w:val="00C906CD"/>
    <w:rsid w:val="00CA6716"/>
    <w:rsid w:val="00CA7CB9"/>
    <w:rsid w:val="00CC42D4"/>
    <w:rsid w:val="00CD2536"/>
    <w:rsid w:val="00CF230D"/>
    <w:rsid w:val="00CF5489"/>
    <w:rsid w:val="00CF7615"/>
    <w:rsid w:val="00D00393"/>
    <w:rsid w:val="00D003F8"/>
    <w:rsid w:val="00D10769"/>
    <w:rsid w:val="00D116C7"/>
    <w:rsid w:val="00D13AC5"/>
    <w:rsid w:val="00D14E5F"/>
    <w:rsid w:val="00D2041E"/>
    <w:rsid w:val="00D341C9"/>
    <w:rsid w:val="00D3447D"/>
    <w:rsid w:val="00D3488B"/>
    <w:rsid w:val="00D361DE"/>
    <w:rsid w:val="00D46C4C"/>
    <w:rsid w:val="00D51F18"/>
    <w:rsid w:val="00D564BB"/>
    <w:rsid w:val="00D565FA"/>
    <w:rsid w:val="00D568ED"/>
    <w:rsid w:val="00D6014E"/>
    <w:rsid w:val="00D630E7"/>
    <w:rsid w:val="00D700E5"/>
    <w:rsid w:val="00D76186"/>
    <w:rsid w:val="00D86DD4"/>
    <w:rsid w:val="00D92529"/>
    <w:rsid w:val="00D977E7"/>
    <w:rsid w:val="00DA5AAB"/>
    <w:rsid w:val="00DA6858"/>
    <w:rsid w:val="00DB1B11"/>
    <w:rsid w:val="00DB1CD7"/>
    <w:rsid w:val="00DB2651"/>
    <w:rsid w:val="00DB4717"/>
    <w:rsid w:val="00DC09A0"/>
    <w:rsid w:val="00DC6F31"/>
    <w:rsid w:val="00DD6D82"/>
    <w:rsid w:val="00DE045E"/>
    <w:rsid w:val="00DE23D6"/>
    <w:rsid w:val="00DE2CB6"/>
    <w:rsid w:val="00DE2DDE"/>
    <w:rsid w:val="00DE5414"/>
    <w:rsid w:val="00DE74F1"/>
    <w:rsid w:val="00DF0C37"/>
    <w:rsid w:val="00DF2506"/>
    <w:rsid w:val="00DF301A"/>
    <w:rsid w:val="00DF3469"/>
    <w:rsid w:val="00DF3BE2"/>
    <w:rsid w:val="00DF4E2C"/>
    <w:rsid w:val="00DF75EC"/>
    <w:rsid w:val="00E079C6"/>
    <w:rsid w:val="00E146CF"/>
    <w:rsid w:val="00E23C05"/>
    <w:rsid w:val="00E247E2"/>
    <w:rsid w:val="00E2565F"/>
    <w:rsid w:val="00E272C3"/>
    <w:rsid w:val="00E304EB"/>
    <w:rsid w:val="00E329D0"/>
    <w:rsid w:val="00E3307D"/>
    <w:rsid w:val="00E33746"/>
    <w:rsid w:val="00E36B53"/>
    <w:rsid w:val="00E37585"/>
    <w:rsid w:val="00E469D5"/>
    <w:rsid w:val="00E46CD5"/>
    <w:rsid w:val="00E500D9"/>
    <w:rsid w:val="00E51AB5"/>
    <w:rsid w:val="00E52345"/>
    <w:rsid w:val="00E52763"/>
    <w:rsid w:val="00E563AE"/>
    <w:rsid w:val="00E578C7"/>
    <w:rsid w:val="00E662CD"/>
    <w:rsid w:val="00E71A2E"/>
    <w:rsid w:val="00E73271"/>
    <w:rsid w:val="00E74214"/>
    <w:rsid w:val="00E74D52"/>
    <w:rsid w:val="00E75855"/>
    <w:rsid w:val="00E772B5"/>
    <w:rsid w:val="00E86566"/>
    <w:rsid w:val="00E875F5"/>
    <w:rsid w:val="00E92527"/>
    <w:rsid w:val="00E97045"/>
    <w:rsid w:val="00EA270C"/>
    <w:rsid w:val="00EA366A"/>
    <w:rsid w:val="00EA5CF4"/>
    <w:rsid w:val="00EB09B9"/>
    <w:rsid w:val="00EB7CB1"/>
    <w:rsid w:val="00EC0578"/>
    <w:rsid w:val="00EC1C35"/>
    <w:rsid w:val="00EC2322"/>
    <w:rsid w:val="00ED0557"/>
    <w:rsid w:val="00ED2868"/>
    <w:rsid w:val="00ED34D4"/>
    <w:rsid w:val="00EE30EE"/>
    <w:rsid w:val="00EE6DE6"/>
    <w:rsid w:val="00EF057C"/>
    <w:rsid w:val="00EF1D14"/>
    <w:rsid w:val="00F01B31"/>
    <w:rsid w:val="00F03AB9"/>
    <w:rsid w:val="00F06479"/>
    <w:rsid w:val="00F076C5"/>
    <w:rsid w:val="00F120D9"/>
    <w:rsid w:val="00F124BE"/>
    <w:rsid w:val="00F14CB4"/>
    <w:rsid w:val="00F27170"/>
    <w:rsid w:val="00F30016"/>
    <w:rsid w:val="00F31C75"/>
    <w:rsid w:val="00F341CC"/>
    <w:rsid w:val="00F40CAB"/>
    <w:rsid w:val="00F47C5C"/>
    <w:rsid w:val="00F54856"/>
    <w:rsid w:val="00F64F51"/>
    <w:rsid w:val="00F765E8"/>
    <w:rsid w:val="00F86D88"/>
    <w:rsid w:val="00F87FA7"/>
    <w:rsid w:val="00F9473C"/>
    <w:rsid w:val="00FA40A3"/>
    <w:rsid w:val="00FB3BA6"/>
    <w:rsid w:val="00FB4B9A"/>
    <w:rsid w:val="00FB4D65"/>
    <w:rsid w:val="00FB5954"/>
    <w:rsid w:val="00FC0CDF"/>
    <w:rsid w:val="00FC183A"/>
    <w:rsid w:val="00FC3D1C"/>
    <w:rsid w:val="00FD08A7"/>
    <w:rsid w:val="00FD2E55"/>
    <w:rsid w:val="00FD2FA9"/>
    <w:rsid w:val="00FD5EE3"/>
    <w:rsid w:val="00FE01C8"/>
    <w:rsid w:val="00FF025A"/>
    <w:rsid w:val="00FF088B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FC652E4-3601-446C-B497-4DCB850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5855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character" w:customStyle="1" w:styleId="CharacterStyle2">
    <w:name w:val="Character Style 2"/>
    <w:uiPriority w:val="99"/>
    <w:rsid w:val="00984C36"/>
    <w:rPr>
      <w:sz w:val="20"/>
    </w:rPr>
  </w:style>
  <w:style w:type="paragraph" w:customStyle="1" w:styleId="Normal0">
    <w:name w:val="#Normal"/>
    <w:rsid w:val="0021481D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bullet">
    <w:name w:val="#Normal-bullet"/>
    <w:qFormat/>
    <w:rsid w:val="0021481D"/>
    <w:pPr>
      <w:numPr>
        <w:numId w:val="18"/>
      </w:numPr>
      <w:tabs>
        <w:tab w:val="left" w:pos="1134"/>
      </w:tabs>
      <w:spacing w:before="60" w:after="60"/>
      <w:jc w:val="both"/>
    </w:pPr>
    <w:rPr>
      <w:rFonts w:eastAsia="Times New Roman"/>
      <w:sz w:val="24"/>
      <w:szCs w:val="24"/>
      <w:lang w:eastAsia="ar-SA"/>
    </w:rPr>
  </w:style>
  <w:style w:type="paragraph" w:customStyle="1" w:styleId="Acordao-VISTOS-em-diante">
    <w:name w:val="#Acordao-VISTOS-em-diante"/>
    <w:uiPriority w:val="99"/>
    <w:rsid w:val="00E272C3"/>
    <w:pPr>
      <w:ind w:firstLine="1134"/>
      <w:jc w:val="both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832E-D622-498A-AD07-D877EFD9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3103</Words>
  <Characters>16760</Characters>
  <Application>Microsoft Office Word</Application>
  <DocSecurity>4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19824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2010-05-26T15:17:00Z</cp:lastPrinted>
  <dcterms:created xsi:type="dcterms:W3CDTF">2015-05-07T12:33:00Z</dcterms:created>
  <dcterms:modified xsi:type="dcterms:W3CDTF">2015-05-07T12:33:00Z</dcterms:modified>
</cp:coreProperties>
</file>