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C62" w:rsidRPr="00337E16" w:rsidRDefault="009444E6" w:rsidP="00337E16">
      <w:pPr>
        <w:pStyle w:val="Ttulo8"/>
        <w:tabs>
          <w:tab w:val="right" w:pos="4423"/>
        </w:tabs>
        <w:spacing w:before="0" w:after="0"/>
        <w:ind w:left="0"/>
        <w:rPr>
          <w:rFonts w:ascii="Times New Roman" w:hAnsi="Times New Roman"/>
          <w:b/>
          <w:i w:val="0"/>
          <w:sz w:val="22"/>
          <w:szCs w:val="22"/>
        </w:rPr>
      </w:pPr>
      <w:bookmarkStart w:id="0" w:name="_GoBack"/>
      <w:bookmarkEnd w:id="0"/>
      <w:r w:rsidRPr="00337E16">
        <w:rPr>
          <w:rFonts w:ascii="Times New Roman" w:hAnsi="Times New Roman"/>
          <w:b/>
          <w:i w:val="0"/>
          <w:sz w:val="22"/>
          <w:szCs w:val="22"/>
        </w:rPr>
        <w:t xml:space="preserve">Sessões: </w:t>
      </w:r>
      <w:r w:rsidR="00835DB6">
        <w:rPr>
          <w:rFonts w:ascii="Times New Roman" w:hAnsi="Times New Roman"/>
          <w:b/>
          <w:i w:val="0"/>
          <w:sz w:val="22"/>
          <w:szCs w:val="22"/>
        </w:rPr>
        <w:t>1</w:t>
      </w:r>
      <w:r w:rsidR="0055716D">
        <w:rPr>
          <w:rFonts w:ascii="Times New Roman" w:hAnsi="Times New Roman"/>
          <w:b/>
          <w:i w:val="0"/>
          <w:sz w:val="22"/>
          <w:szCs w:val="22"/>
        </w:rPr>
        <w:t>4</w:t>
      </w:r>
      <w:r w:rsidR="00F01B31" w:rsidRPr="00337E16">
        <w:rPr>
          <w:rFonts w:ascii="Times New Roman" w:hAnsi="Times New Roman"/>
          <w:b/>
          <w:i w:val="0"/>
          <w:sz w:val="22"/>
          <w:szCs w:val="22"/>
        </w:rPr>
        <w:t xml:space="preserve"> e </w:t>
      </w:r>
      <w:r w:rsidR="00835DB6">
        <w:rPr>
          <w:rFonts w:ascii="Times New Roman" w:hAnsi="Times New Roman"/>
          <w:b/>
          <w:i w:val="0"/>
          <w:sz w:val="22"/>
          <w:szCs w:val="22"/>
        </w:rPr>
        <w:t>1</w:t>
      </w:r>
      <w:r w:rsidR="0055716D">
        <w:rPr>
          <w:rFonts w:ascii="Times New Roman" w:hAnsi="Times New Roman"/>
          <w:b/>
          <w:i w:val="0"/>
          <w:sz w:val="22"/>
          <w:szCs w:val="22"/>
        </w:rPr>
        <w:t>5</w:t>
      </w:r>
      <w:r w:rsidRPr="00337E16">
        <w:rPr>
          <w:rFonts w:ascii="Times New Roman" w:hAnsi="Times New Roman"/>
          <w:b/>
          <w:i w:val="0"/>
          <w:sz w:val="22"/>
          <w:szCs w:val="22"/>
        </w:rPr>
        <w:t xml:space="preserve"> de </w:t>
      </w:r>
      <w:r w:rsidR="0055716D">
        <w:rPr>
          <w:rFonts w:ascii="Times New Roman" w:hAnsi="Times New Roman"/>
          <w:b/>
          <w:i w:val="0"/>
          <w:sz w:val="22"/>
          <w:szCs w:val="22"/>
        </w:rPr>
        <w:t>setembro</w:t>
      </w:r>
      <w:r w:rsidRPr="00337E16">
        <w:rPr>
          <w:rFonts w:ascii="Times New Roman" w:hAnsi="Times New Roman"/>
          <w:b/>
          <w:i w:val="0"/>
          <w:sz w:val="22"/>
          <w:szCs w:val="22"/>
        </w:rPr>
        <w:t xml:space="preserve"> de 2010</w:t>
      </w:r>
    </w:p>
    <w:p w:rsidR="002D35F5" w:rsidRPr="00337E16" w:rsidRDefault="002D35F5" w:rsidP="00337E16">
      <w:pPr>
        <w:pStyle w:val="Corpodetexto2"/>
        <w:spacing w:after="0" w:line="240" w:lineRule="auto"/>
        <w:ind w:left="0"/>
        <w:rPr>
          <w:sz w:val="22"/>
          <w:szCs w:val="22"/>
        </w:rPr>
      </w:pPr>
      <w:r w:rsidRPr="00337E16">
        <w:rPr>
          <w:sz w:val="22"/>
          <w:szCs w:val="22"/>
        </w:rPr>
        <w:t>Este Informativo, elaborado a partir das deliberações tomadas pelo Tribunal nas sessões de julgamento das Câmaras e do Plenário, contém resumos de algumas decisões proferidas na</w:t>
      </w:r>
      <w:r w:rsidR="000562CD" w:rsidRPr="00337E16">
        <w:rPr>
          <w:sz w:val="22"/>
          <w:szCs w:val="22"/>
        </w:rPr>
        <w:t>(</w:t>
      </w:r>
      <w:r w:rsidRPr="00337E16">
        <w:rPr>
          <w:sz w:val="22"/>
          <w:szCs w:val="22"/>
        </w:rPr>
        <w:t>s</w:t>
      </w:r>
      <w:r w:rsidR="000562CD" w:rsidRPr="00337E16">
        <w:rPr>
          <w:sz w:val="22"/>
          <w:szCs w:val="22"/>
        </w:rPr>
        <w:t>)</w:t>
      </w:r>
      <w:r w:rsidRPr="00337E16">
        <w:rPr>
          <w:sz w:val="22"/>
          <w:szCs w:val="22"/>
        </w:rPr>
        <w:t xml:space="preserve"> data</w:t>
      </w:r>
      <w:r w:rsidR="000562CD" w:rsidRPr="00337E16">
        <w:rPr>
          <w:sz w:val="22"/>
          <w:szCs w:val="22"/>
        </w:rPr>
        <w:t>(</w:t>
      </w:r>
      <w:r w:rsidRPr="00337E16">
        <w:rPr>
          <w:sz w:val="22"/>
          <w:szCs w:val="22"/>
        </w:rPr>
        <w:t>s</w:t>
      </w:r>
      <w:r w:rsidR="000562CD" w:rsidRPr="00337E16">
        <w:rPr>
          <w:sz w:val="22"/>
          <w:szCs w:val="22"/>
        </w:rPr>
        <w:t>)</w:t>
      </w:r>
      <w:r w:rsidRPr="00337E16">
        <w:rPr>
          <w:sz w:val="22"/>
          <w:szCs w:val="22"/>
        </w:rPr>
        <w:t xml:space="preserve"> acima indicada</w:t>
      </w:r>
      <w:r w:rsidR="000562CD" w:rsidRPr="00337E16">
        <w:rPr>
          <w:sz w:val="22"/>
          <w:szCs w:val="22"/>
        </w:rPr>
        <w:t>(</w:t>
      </w:r>
      <w:r w:rsidRPr="00337E16">
        <w:rPr>
          <w:sz w:val="22"/>
          <w:szCs w:val="22"/>
        </w:rPr>
        <w:t>s</w:t>
      </w:r>
      <w:r w:rsidR="000562CD" w:rsidRPr="00337E16">
        <w:rPr>
          <w:sz w:val="22"/>
          <w:szCs w:val="22"/>
        </w:rPr>
        <w:t>)</w:t>
      </w:r>
      <w:r w:rsidRPr="00337E16">
        <w:rPr>
          <w:sz w:val="22"/>
          <w:szCs w:val="22"/>
        </w:rPr>
        <w:t>, relativas a licitações e contratos, e tem por finalidade facilitar o acompanhamento, pelo leitor, da jurisprudência do TCU quanto aos aspectos relevantes que envolvem o tema. Por esse motivo, a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w:t>
      </w:r>
    </w:p>
    <w:p w:rsidR="009615CB" w:rsidRDefault="009615CB" w:rsidP="00337E16">
      <w:pPr>
        <w:pStyle w:val="Corpodetexto2"/>
        <w:spacing w:after="0" w:line="240" w:lineRule="auto"/>
        <w:ind w:left="0"/>
        <w:rPr>
          <w:sz w:val="22"/>
          <w:szCs w:val="22"/>
        </w:rPr>
      </w:pPr>
    </w:p>
    <w:p w:rsidR="00BA5A4A" w:rsidRPr="00337E16" w:rsidRDefault="00BA5A4A" w:rsidP="00337E16">
      <w:pPr>
        <w:pStyle w:val="Corpodetexto2"/>
        <w:spacing w:after="0" w:line="240" w:lineRule="auto"/>
        <w:ind w:left="0"/>
        <w:rPr>
          <w:sz w:val="22"/>
          <w:szCs w:val="22"/>
        </w:rPr>
      </w:pPr>
    </w:p>
    <w:p w:rsidR="002D35F5" w:rsidRPr="00337E16" w:rsidRDefault="002D35F5" w:rsidP="00337E16">
      <w:pPr>
        <w:pBdr>
          <w:top w:val="threeDEmboss" w:sz="24" w:space="0" w:color="auto"/>
        </w:pBdr>
        <w:tabs>
          <w:tab w:val="left" w:pos="284"/>
        </w:tabs>
        <w:spacing w:after="0"/>
        <w:ind w:left="0"/>
        <w:jc w:val="center"/>
        <w:rPr>
          <w:rFonts w:ascii="Cambria" w:hAnsi="Cambria"/>
          <w:b/>
          <w:bCs/>
          <w:smallCaps/>
          <w:sz w:val="22"/>
          <w:szCs w:val="22"/>
        </w:rPr>
      </w:pPr>
      <w:r w:rsidRPr="00337E16">
        <w:rPr>
          <w:rFonts w:ascii="Cambria" w:hAnsi="Cambria"/>
          <w:b/>
          <w:bCs/>
          <w:smallCaps/>
          <w:sz w:val="22"/>
          <w:szCs w:val="22"/>
        </w:rPr>
        <w:t>S</w:t>
      </w:r>
      <w:r w:rsidR="00FF7C62" w:rsidRPr="00337E16">
        <w:rPr>
          <w:rFonts w:ascii="Cambria" w:hAnsi="Cambria"/>
          <w:b/>
          <w:bCs/>
          <w:smallCaps/>
          <w:sz w:val="22"/>
          <w:szCs w:val="22"/>
        </w:rPr>
        <w:t>UMÁRIO</w:t>
      </w:r>
    </w:p>
    <w:p w:rsidR="009444E6" w:rsidRPr="00337E16" w:rsidRDefault="009444E6" w:rsidP="00337E16">
      <w:pPr>
        <w:pStyle w:val="tita"/>
        <w:spacing w:before="45" w:after="0" w:line="240" w:lineRule="auto"/>
        <w:jc w:val="both"/>
        <w:rPr>
          <w:i w:val="0"/>
          <w:iCs w:val="0"/>
          <w:sz w:val="22"/>
          <w:szCs w:val="22"/>
        </w:rPr>
      </w:pPr>
      <w:r w:rsidRPr="00337E16">
        <w:rPr>
          <w:i w:val="0"/>
          <w:iCs w:val="0"/>
          <w:sz w:val="22"/>
          <w:szCs w:val="22"/>
        </w:rPr>
        <w:t>Plenário</w:t>
      </w:r>
    </w:p>
    <w:p w:rsidR="00DC584E" w:rsidRDefault="00DC584E" w:rsidP="001B6A33">
      <w:pPr>
        <w:pStyle w:val="indice"/>
        <w:spacing w:before="80" w:line="240" w:lineRule="auto"/>
      </w:pPr>
      <w:r>
        <w:t>Utilização preferencial e não obrigatória do pregão, em sua forma eletrônica, pelo ente público convenente.</w:t>
      </w:r>
    </w:p>
    <w:p w:rsidR="00DC584E" w:rsidRPr="00B02A3C" w:rsidRDefault="00B02A3C" w:rsidP="001B6A33">
      <w:pPr>
        <w:pStyle w:val="indice"/>
        <w:spacing w:before="80" w:line="240" w:lineRule="auto"/>
      </w:pPr>
      <w:r w:rsidRPr="00B02A3C">
        <w:t xml:space="preserve">Imposição, durante a execução do contrato, da adoção do preço considerado de mercado para os itens que </w:t>
      </w:r>
      <w:r w:rsidR="003A06F9">
        <w:t>tiverem</w:t>
      </w:r>
      <w:r w:rsidRPr="00B02A3C">
        <w:t xml:space="preserve"> quantitativos majorados e cujos preços já estejam </w:t>
      </w:r>
      <w:r w:rsidR="00A00926">
        <w:t>superestimados</w:t>
      </w:r>
      <w:r w:rsidR="00A23EF5" w:rsidRPr="00B02A3C">
        <w:t>.</w:t>
      </w:r>
    </w:p>
    <w:p w:rsidR="001A6DFB" w:rsidRPr="00922B34" w:rsidRDefault="00922B34" w:rsidP="001B6A33">
      <w:pPr>
        <w:pStyle w:val="indice"/>
        <w:tabs>
          <w:tab w:val="left" w:pos="567"/>
        </w:tabs>
        <w:spacing w:before="80" w:line="240" w:lineRule="auto"/>
      </w:pPr>
      <w:r w:rsidRPr="00922B34">
        <w:t xml:space="preserve">A autorização </w:t>
      </w:r>
      <w:r w:rsidR="0027638D">
        <w:t xml:space="preserve">editalícia </w:t>
      </w:r>
      <w:r w:rsidRPr="00922B34">
        <w:t>para a formação de consórcios não afasta eventual restrição à competitividade evidenciada pelo não parcelamento do objeto licitado.</w:t>
      </w:r>
    </w:p>
    <w:p w:rsidR="00540934" w:rsidRDefault="00540934" w:rsidP="001B6A33">
      <w:pPr>
        <w:pStyle w:val="indice"/>
        <w:spacing w:before="80" w:line="240" w:lineRule="auto"/>
      </w:pPr>
      <w:r>
        <w:t>Pregão para prestação de serviços técnicos de gerenciamento, supervisão, apoio à fiscalização e acompanhamento de obras portuárias</w:t>
      </w:r>
      <w:r w:rsidR="00922B34">
        <w:t>.</w:t>
      </w:r>
    </w:p>
    <w:p w:rsidR="006364DE" w:rsidRDefault="006364DE" w:rsidP="001B6A33">
      <w:pPr>
        <w:pStyle w:val="indice"/>
        <w:spacing w:before="80" w:line="240" w:lineRule="auto"/>
      </w:pPr>
      <w:r>
        <w:t>Irregularidades contratuais:</w:t>
      </w:r>
    </w:p>
    <w:p w:rsidR="006364DE" w:rsidRPr="00337E16" w:rsidRDefault="006364DE" w:rsidP="001B6A33">
      <w:pPr>
        <w:pStyle w:val="indice"/>
        <w:tabs>
          <w:tab w:val="left" w:pos="567"/>
        </w:tabs>
        <w:spacing w:before="80" w:line="240" w:lineRule="auto"/>
      </w:pPr>
      <w:r w:rsidRPr="00337E16">
        <w:tab/>
        <w:t xml:space="preserve">1 </w:t>
      </w:r>
      <w:r>
        <w:t>-</w:t>
      </w:r>
      <w:r w:rsidRPr="00337E16">
        <w:t xml:space="preserve"> </w:t>
      </w:r>
      <w:r>
        <w:t xml:space="preserve">A suspensão do contrato impossibilita a produção de efeitos jurídicos, não alterando, </w:t>
      </w:r>
      <w:r w:rsidR="00CF10E4">
        <w:t>no entanto</w:t>
      </w:r>
      <w:r>
        <w:t>, a vigência contratual</w:t>
      </w:r>
      <w:r w:rsidRPr="00337E16">
        <w:t>;</w:t>
      </w:r>
    </w:p>
    <w:p w:rsidR="006364DE" w:rsidRDefault="006364DE" w:rsidP="001B6A33">
      <w:pPr>
        <w:pStyle w:val="indice"/>
        <w:tabs>
          <w:tab w:val="left" w:pos="567"/>
        </w:tabs>
        <w:spacing w:before="80" w:line="240" w:lineRule="auto"/>
      </w:pPr>
      <w:r>
        <w:tab/>
        <w:t xml:space="preserve">2 - A cessão de direitos, com </w:t>
      </w:r>
      <w:r w:rsidR="009241A2">
        <w:t xml:space="preserve">a </w:t>
      </w:r>
      <w:r>
        <w:t>consequente sub-rogação da contratada, contraria a Lei n.º 8.666/93.</w:t>
      </w:r>
    </w:p>
    <w:p w:rsidR="0055716D" w:rsidRPr="00337E16" w:rsidRDefault="0055716D" w:rsidP="001B6A33">
      <w:pPr>
        <w:pStyle w:val="tita"/>
        <w:spacing w:before="80" w:after="0" w:line="240" w:lineRule="auto"/>
        <w:jc w:val="both"/>
        <w:rPr>
          <w:i w:val="0"/>
          <w:iCs w:val="0"/>
          <w:sz w:val="22"/>
          <w:szCs w:val="22"/>
        </w:rPr>
      </w:pPr>
      <w:r>
        <w:rPr>
          <w:i w:val="0"/>
          <w:iCs w:val="0"/>
          <w:sz w:val="22"/>
          <w:szCs w:val="22"/>
        </w:rPr>
        <w:t>Primeira</w:t>
      </w:r>
      <w:r w:rsidRPr="00337E16">
        <w:rPr>
          <w:i w:val="0"/>
          <w:iCs w:val="0"/>
          <w:sz w:val="22"/>
          <w:szCs w:val="22"/>
        </w:rPr>
        <w:t xml:space="preserve"> Câmara</w:t>
      </w:r>
    </w:p>
    <w:p w:rsidR="0055716D" w:rsidRDefault="00970068" w:rsidP="001B6A33">
      <w:pPr>
        <w:pStyle w:val="enter-3pt"/>
        <w:spacing w:before="80" w:line="240" w:lineRule="auto"/>
        <w:rPr>
          <w:sz w:val="22"/>
          <w:szCs w:val="22"/>
        </w:rPr>
      </w:pPr>
      <w:r>
        <w:rPr>
          <w:sz w:val="22"/>
          <w:szCs w:val="22"/>
        </w:rPr>
        <w:t>Pregão: uso indevido da denominação “projeto básico” em substituição a “termo de referência”</w:t>
      </w:r>
      <w:r w:rsidR="0055716D">
        <w:rPr>
          <w:sz w:val="22"/>
          <w:szCs w:val="22"/>
        </w:rPr>
        <w:t>.</w:t>
      </w:r>
    </w:p>
    <w:p w:rsidR="00BC5737" w:rsidRPr="00337E16" w:rsidRDefault="00BC5737" w:rsidP="001B6A33">
      <w:pPr>
        <w:pStyle w:val="tita"/>
        <w:spacing w:before="80" w:after="0" w:line="240" w:lineRule="auto"/>
        <w:jc w:val="both"/>
        <w:rPr>
          <w:i w:val="0"/>
          <w:iCs w:val="0"/>
          <w:sz w:val="22"/>
          <w:szCs w:val="22"/>
        </w:rPr>
      </w:pPr>
      <w:r>
        <w:rPr>
          <w:i w:val="0"/>
          <w:iCs w:val="0"/>
          <w:sz w:val="22"/>
          <w:szCs w:val="22"/>
        </w:rPr>
        <w:t>Segunda</w:t>
      </w:r>
      <w:r w:rsidRPr="00337E16">
        <w:rPr>
          <w:i w:val="0"/>
          <w:iCs w:val="0"/>
          <w:sz w:val="22"/>
          <w:szCs w:val="22"/>
        </w:rPr>
        <w:t xml:space="preserve"> Câmara</w:t>
      </w:r>
    </w:p>
    <w:p w:rsidR="00BC5737" w:rsidRDefault="00BC5737" w:rsidP="001B6A33">
      <w:pPr>
        <w:pStyle w:val="enter-3pt"/>
        <w:spacing w:before="80" w:line="240" w:lineRule="auto"/>
        <w:rPr>
          <w:sz w:val="22"/>
          <w:szCs w:val="22"/>
        </w:rPr>
      </w:pPr>
      <w:r>
        <w:rPr>
          <w:sz w:val="22"/>
          <w:szCs w:val="22"/>
        </w:rPr>
        <w:t xml:space="preserve">Contratação de </w:t>
      </w:r>
      <w:r w:rsidR="001B4473">
        <w:rPr>
          <w:sz w:val="22"/>
          <w:szCs w:val="22"/>
        </w:rPr>
        <w:t>serviços advocatícios por inexigibilidade de licitação:</w:t>
      </w:r>
    </w:p>
    <w:p w:rsidR="001B4473" w:rsidRPr="00337E16" w:rsidRDefault="001B4473" w:rsidP="001B6A33">
      <w:pPr>
        <w:pStyle w:val="indice"/>
        <w:tabs>
          <w:tab w:val="left" w:pos="567"/>
        </w:tabs>
        <w:spacing w:before="80" w:line="240" w:lineRule="auto"/>
      </w:pPr>
      <w:r w:rsidRPr="00337E16">
        <w:tab/>
        <w:t xml:space="preserve">1 </w:t>
      </w:r>
      <w:r>
        <w:t>-</w:t>
      </w:r>
      <w:r w:rsidRPr="00337E16">
        <w:t xml:space="preserve"> </w:t>
      </w:r>
      <w:r>
        <w:t>Serviços contínuos X serviços de natureza singular</w:t>
      </w:r>
      <w:r w:rsidRPr="00337E16">
        <w:t>;</w:t>
      </w:r>
    </w:p>
    <w:p w:rsidR="001B4473" w:rsidRDefault="001B4473" w:rsidP="001B6A33">
      <w:pPr>
        <w:pStyle w:val="indice"/>
        <w:tabs>
          <w:tab w:val="left" w:pos="567"/>
        </w:tabs>
        <w:spacing w:before="80" w:line="240" w:lineRule="auto"/>
      </w:pPr>
      <w:r>
        <w:tab/>
        <w:t>2 - Responsabilidade, perante o TCU, do parecerista jurídico</w:t>
      </w:r>
      <w:r w:rsidR="00CD7AA9">
        <w:t xml:space="preserve"> e</w:t>
      </w:r>
      <w:r>
        <w:t xml:space="preserve"> daqueles que decidem com base </w:t>
      </w:r>
      <w:r w:rsidR="00CD7AA9">
        <w:t>em</w:t>
      </w:r>
      <w:r>
        <w:t xml:space="preserve"> parecer </w:t>
      </w:r>
      <w:r w:rsidR="00CD7AA9">
        <w:t xml:space="preserve">no qual se </w:t>
      </w:r>
      <w:r>
        <w:t>defende tese flagrantemente ilegal.</w:t>
      </w:r>
    </w:p>
    <w:p w:rsidR="001B6A33" w:rsidRDefault="001B6A33" w:rsidP="00337E16">
      <w:pPr>
        <w:pStyle w:val="indice"/>
        <w:spacing w:line="240" w:lineRule="auto"/>
      </w:pPr>
    </w:p>
    <w:p w:rsidR="00BA5A4A" w:rsidRPr="00337E16" w:rsidRDefault="00BA5A4A" w:rsidP="00337E16">
      <w:pPr>
        <w:pStyle w:val="indice"/>
        <w:spacing w:line="240" w:lineRule="auto"/>
      </w:pPr>
    </w:p>
    <w:p w:rsidR="003C6DEB" w:rsidRPr="00337E16" w:rsidRDefault="003C6DEB" w:rsidP="00337E16">
      <w:pPr>
        <w:pBdr>
          <w:top w:val="threeDEmboss" w:sz="24" w:space="0" w:color="auto"/>
        </w:pBdr>
        <w:tabs>
          <w:tab w:val="left" w:pos="284"/>
        </w:tabs>
        <w:spacing w:after="0"/>
        <w:ind w:left="0"/>
        <w:jc w:val="center"/>
        <w:rPr>
          <w:rFonts w:ascii="Cambria" w:hAnsi="Cambria"/>
          <w:b/>
          <w:bCs/>
          <w:smallCaps/>
          <w:sz w:val="22"/>
          <w:szCs w:val="22"/>
        </w:rPr>
      </w:pPr>
      <w:r w:rsidRPr="00337E16">
        <w:rPr>
          <w:rFonts w:ascii="Cambria" w:hAnsi="Cambria"/>
          <w:b/>
          <w:bCs/>
          <w:smallCaps/>
          <w:sz w:val="22"/>
          <w:szCs w:val="22"/>
        </w:rPr>
        <w:t>PLENÁRIO</w:t>
      </w:r>
    </w:p>
    <w:p w:rsidR="003C6DEB" w:rsidRDefault="003C6DEB" w:rsidP="00DD1816">
      <w:pPr>
        <w:pStyle w:val="tita"/>
        <w:spacing w:before="60" w:after="0" w:line="240" w:lineRule="auto"/>
        <w:jc w:val="both"/>
        <w:rPr>
          <w:i w:val="0"/>
          <w:iCs w:val="0"/>
          <w:sz w:val="22"/>
          <w:szCs w:val="22"/>
        </w:rPr>
      </w:pPr>
    </w:p>
    <w:p w:rsidR="00DC584E" w:rsidRPr="00DC584E" w:rsidRDefault="00DC584E" w:rsidP="00DD1816">
      <w:pPr>
        <w:pStyle w:val="tita"/>
        <w:spacing w:before="60" w:after="0" w:line="240" w:lineRule="auto"/>
        <w:jc w:val="both"/>
        <w:rPr>
          <w:i w:val="0"/>
          <w:iCs w:val="0"/>
          <w:sz w:val="22"/>
          <w:szCs w:val="22"/>
        </w:rPr>
      </w:pPr>
      <w:r w:rsidRPr="00DC584E">
        <w:rPr>
          <w:i w:val="0"/>
          <w:sz w:val="22"/>
          <w:szCs w:val="22"/>
        </w:rPr>
        <w:t>Utilização preferencial e não obrigatória do pregão, em sua forma eletrônica, pelo ente público convenente</w:t>
      </w:r>
    </w:p>
    <w:p w:rsidR="00DC584E" w:rsidRPr="00337E16" w:rsidRDefault="0081416A" w:rsidP="00AB3E74">
      <w:pPr>
        <w:pStyle w:val="tita"/>
        <w:spacing w:before="0" w:after="0" w:line="240" w:lineRule="auto"/>
        <w:jc w:val="both"/>
        <w:rPr>
          <w:sz w:val="22"/>
          <w:szCs w:val="22"/>
        </w:rPr>
      </w:pPr>
      <w:r>
        <w:rPr>
          <w:b w:val="0"/>
          <w:i w:val="0"/>
          <w:iCs w:val="0"/>
          <w:sz w:val="22"/>
          <w:szCs w:val="22"/>
        </w:rPr>
        <w:t>D</w:t>
      </w:r>
      <w:r w:rsidR="00DC584E" w:rsidRPr="00DC584E">
        <w:rPr>
          <w:b w:val="0"/>
          <w:i w:val="0"/>
          <w:iCs w:val="0"/>
          <w:sz w:val="22"/>
          <w:szCs w:val="22"/>
        </w:rPr>
        <w:t xml:space="preserve">enúncia </w:t>
      </w:r>
      <w:r>
        <w:rPr>
          <w:b w:val="0"/>
          <w:i w:val="0"/>
          <w:iCs w:val="0"/>
          <w:sz w:val="22"/>
          <w:szCs w:val="22"/>
        </w:rPr>
        <w:t>formulada ao TCU indicou</w:t>
      </w:r>
      <w:r w:rsidR="00DC584E" w:rsidRPr="00DC584E">
        <w:rPr>
          <w:b w:val="0"/>
          <w:i w:val="0"/>
          <w:iCs w:val="0"/>
          <w:sz w:val="22"/>
          <w:szCs w:val="22"/>
        </w:rPr>
        <w:t xml:space="preserve"> possíveis irregularidades no Pregão Presencial para Registro de Preços </w:t>
      </w:r>
      <w:r>
        <w:rPr>
          <w:b w:val="0"/>
          <w:i w:val="0"/>
          <w:iCs w:val="0"/>
          <w:sz w:val="22"/>
          <w:szCs w:val="22"/>
        </w:rPr>
        <w:t xml:space="preserve">n.º </w:t>
      </w:r>
      <w:r w:rsidR="00DC584E" w:rsidRPr="00DC584E">
        <w:rPr>
          <w:b w:val="0"/>
          <w:i w:val="0"/>
          <w:iCs w:val="0"/>
          <w:sz w:val="22"/>
          <w:szCs w:val="22"/>
        </w:rPr>
        <w:t>151/2009, realizado pela Secretaria Adjunta de Compras e Licitações Públicas do Acre</w:t>
      </w:r>
      <w:r w:rsidR="001F697C">
        <w:rPr>
          <w:b w:val="0"/>
          <w:i w:val="0"/>
          <w:iCs w:val="0"/>
          <w:sz w:val="22"/>
          <w:szCs w:val="22"/>
        </w:rPr>
        <w:t xml:space="preserve"> – </w:t>
      </w:r>
      <w:r>
        <w:rPr>
          <w:b w:val="0"/>
          <w:i w:val="0"/>
          <w:iCs w:val="0"/>
          <w:sz w:val="22"/>
          <w:szCs w:val="22"/>
        </w:rPr>
        <w:t>com recursos federais repassados mediante convênio</w:t>
      </w:r>
      <w:r w:rsidR="00B948E1">
        <w:rPr>
          <w:b w:val="0"/>
          <w:i w:val="0"/>
          <w:iCs w:val="0"/>
          <w:sz w:val="22"/>
          <w:szCs w:val="22"/>
        </w:rPr>
        <w:t>s</w:t>
      </w:r>
      <w:r w:rsidR="001F697C">
        <w:rPr>
          <w:b w:val="0"/>
          <w:i w:val="0"/>
          <w:iCs w:val="0"/>
          <w:sz w:val="22"/>
          <w:szCs w:val="22"/>
        </w:rPr>
        <w:t xml:space="preserve"> –</w:t>
      </w:r>
      <w:r>
        <w:rPr>
          <w:b w:val="0"/>
          <w:i w:val="0"/>
          <w:iCs w:val="0"/>
          <w:sz w:val="22"/>
          <w:szCs w:val="22"/>
        </w:rPr>
        <w:t xml:space="preserve">, tendo por </w:t>
      </w:r>
      <w:r w:rsidR="00DC584E" w:rsidRPr="00DC584E">
        <w:rPr>
          <w:b w:val="0"/>
          <w:i w:val="0"/>
          <w:iCs w:val="0"/>
          <w:sz w:val="22"/>
          <w:szCs w:val="22"/>
        </w:rPr>
        <w:t xml:space="preserve">objeto a aquisição de equipamentos de informática e eletroeletrônicos. </w:t>
      </w:r>
      <w:r w:rsidR="002837FC">
        <w:rPr>
          <w:b w:val="0"/>
          <w:i w:val="0"/>
          <w:iCs w:val="0"/>
          <w:sz w:val="22"/>
          <w:szCs w:val="22"/>
        </w:rPr>
        <w:t>Quanto</w:t>
      </w:r>
      <w:r w:rsidR="00DC584E" w:rsidRPr="00DC584E">
        <w:rPr>
          <w:b w:val="0"/>
          <w:i w:val="0"/>
          <w:iCs w:val="0"/>
          <w:sz w:val="22"/>
          <w:szCs w:val="22"/>
        </w:rPr>
        <w:t xml:space="preserve"> à aquisição </w:t>
      </w:r>
      <w:r>
        <w:rPr>
          <w:b w:val="0"/>
          <w:i w:val="0"/>
          <w:iCs w:val="0"/>
          <w:sz w:val="22"/>
          <w:szCs w:val="22"/>
        </w:rPr>
        <w:t xml:space="preserve">de </w:t>
      </w:r>
      <w:r w:rsidR="00B948E1">
        <w:rPr>
          <w:b w:val="0"/>
          <w:i w:val="0"/>
          <w:iCs w:val="0"/>
          <w:sz w:val="22"/>
          <w:szCs w:val="22"/>
        </w:rPr>
        <w:t>‘</w:t>
      </w:r>
      <w:r w:rsidR="00DC584E" w:rsidRPr="00DC584E">
        <w:rPr>
          <w:b w:val="0"/>
          <w:i w:val="0"/>
          <w:iCs w:val="0"/>
          <w:sz w:val="22"/>
          <w:szCs w:val="22"/>
        </w:rPr>
        <w:t>notebook corporativo</w:t>
      </w:r>
      <w:r w:rsidR="00B948E1">
        <w:rPr>
          <w:b w:val="0"/>
          <w:i w:val="0"/>
          <w:iCs w:val="0"/>
          <w:sz w:val="22"/>
          <w:szCs w:val="22"/>
        </w:rPr>
        <w:t>’</w:t>
      </w:r>
      <w:r w:rsidR="00DC584E" w:rsidRPr="00DC584E">
        <w:rPr>
          <w:b w:val="0"/>
          <w:i w:val="0"/>
          <w:iCs w:val="0"/>
          <w:sz w:val="22"/>
          <w:szCs w:val="22"/>
        </w:rPr>
        <w:t xml:space="preserve">, </w:t>
      </w:r>
      <w:r>
        <w:rPr>
          <w:b w:val="0"/>
          <w:i w:val="0"/>
          <w:iCs w:val="0"/>
          <w:sz w:val="22"/>
          <w:szCs w:val="22"/>
        </w:rPr>
        <w:t xml:space="preserve">foi apontada a </w:t>
      </w:r>
      <w:r w:rsidRPr="0081416A">
        <w:rPr>
          <w:b w:val="0"/>
          <w:iCs w:val="0"/>
          <w:sz w:val="22"/>
          <w:szCs w:val="22"/>
        </w:rPr>
        <w:t>“</w:t>
      </w:r>
      <w:r w:rsidR="00DC584E" w:rsidRPr="0081416A">
        <w:rPr>
          <w:b w:val="0"/>
          <w:iCs w:val="0"/>
          <w:sz w:val="22"/>
          <w:szCs w:val="22"/>
        </w:rPr>
        <w:t>ausência da utilização do pregão na forma eletrônica, em desacordo com o art. 1º, §1º e §2º, do Decreto nº 5.504/2005</w:t>
      </w:r>
      <w:r w:rsidRPr="0081416A">
        <w:rPr>
          <w:b w:val="0"/>
          <w:iCs w:val="0"/>
          <w:sz w:val="22"/>
          <w:szCs w:val="22"/>
        </w:rPr>
        <w:t>”</w:t>
      </w:r>
      <w:r w:rsidR="00DC584E" w:rsidRPr="00DC584E">
        <w:rPr>
          <w:b w:val="0"/>
          <w:i w:val="0"/>
          <w:iCs w:val="0"/>
          <w:sz w:val="22"/>
          <w:szCs w:val="22"/>
        </w:rPr>
        <w:t>.</w:t>
      </w:r>
      <w:r>
        <w:rPr>
          <w:b w:val="0"/>
          <w:i w:val="0"/>
          <w:iCs w:val="0"/>
          <w:sz w:val="22"/>
          <w:szCs w:val="22"/>
        </w:rPr>
        <w:t xml:space="preserve"> Em seu voto, o relator </w:t>
      </w:r>
      <w:r w:rsidR="002837FC">
        <w:rPr>
          <w:b w:val="0"/>
          <w:i w:val="0"/>
          <w:iCs w:val="0"/>
          <w:sz w:val="22"/>
          <w:szCs w:val="22"/>
        </w:rPr>
        <w:t>assinalou</w:t>
      </w:r>
      <w:r>
        <w:rPr>
          <w:b w:val="0"/>
          <w:i w:val="0"/>
          <w:iCs w:val="0"/>
          <w:sz w:val="22"/>
          <w:szCs w:val="22"/>
        </w:rPr>
        <w:t xml:space="preserve"> que, de acordo com o conteúdo das </w:t>
      </w:r>
      <w:r w:rsidR="00AB3E74">
        <w:rPr>
          <w:b w:val="0"/>
          <w:i w:val="0"/>
          <w:iCs w:val="0"/>
          <w:sz w:val="22"/>
          <w:szCs w:val="22"/>
        </w:rPr>
        <w:t xml:space="preserve">aludidas </w:t>
      </w:r>
      <w:r>
        <w:rPr>
          <w:b w:val="0"/>
          <w:i w:val="0"/>
          <w:iCs w:val="0"/>
          <w:sz w:val="22"/>
          <w:szCs w:val="22"/>
        </w:rPr>
        <w:t>disposições</w:t>
      </w:r>
      <w:r w:rsidR="00AB3E74">
        <w:rPr>
          <w:b w:val="0"/>
          <w:i w:val="0"/>
          <w:iCs w:val="0"/>
          <w:sz w:val="22"/>
          <w:szCs w:val="22"/>
        </w:rPr>
        <w:t xml:space="preserve"> normativas, </w:t>
      </w:r>
      <w:r w:rsidR="00DC584E" w:rsidRPr="00DC584E">
        <w:rPr>
          <w:b w:val="0"/>
          <w:i w:val="0"/>
          <w:iCs w:val="0"/>
          <w:sz w:val="22"/>
          <w:szCs w:val="22"/>
        </w:rPr>
        <w:t>a utilização do pregão eletrônico</w:t>
      </w:r>
      <w:r w:rsidR="00AB3E74">
        <w:rPr>
          <w:b w:val="0"/>
          <w:i w:val="0"/>
          <w:iCs w:val="0"/>
          <w:sz w:val="22"/>
          <w:szCs w:val="22"/>
        </w:rPr>
        <w:t>,</w:t>
      </w:r>
      <w:r w:rsidR="00DC584E" w:rsidRPr="00DC584E">
        <w:rPr>
          <w:b w:val="0"/>
          <w:i w:val="0"/>
          <w:iCs w:val="0"/>
          <w:sz w:val="22"/>
          <w:szCs w:val="22"/>
        </w:rPr>
        <w:t xml:space="preserve"> no caso concreto</w:t>
      </w:r>
      <w:r w:rsidR="00AB3E74">
        <w:rPr>
          <w:b w:val="0"/>
          <w:i w:val="0"/>
          <w:iCs w:val="0"/>
          <w:sz w:val="22"/>
          <w:szCs w:val="22"/>
        </w:rPr>
        <w:t>,</w:t>
      </w:r>
      <w:r w:rsidR="00DC584E" w:rsidRPr="00DC584E">
        <w:rPr>
          <w:b w:val="0"/>
          <w:i w:val="0"/>
          <w:iCs w:val="0"/>
          <w:sz w:val="22"/>
          <w:szCs w:val="22"/>
        </w:rPr>
        <w:t xml:space="preserve"> é preferencial e não obrigatória, cabendo ao gestor apenas justificar a utilização do pregão presencial. </w:t>
      </w:r>
      <w:r w:rsidR="002837FC">
        <w:rPr>
          <w:b w:val="0"/>
          <w:i w:val="0"/>
          <w:iCs w:val="0"/>
          <w:sz w:val="22"/>
          <w:szCs w:val="22"/>
        </w:rPr>
        <w:t>C</w:t>
      </w:r>
      <w:r w:rsidR="00DC584E" w:rsidRPr="00DC584E">
        <w:rPr>
          <w:b w:val="0"/>
          <w:i w:val="0"/>
          <w:iCs w:val="0"/>
          <w:sz w:val="22"/>
          <w:szCs w:val="22"/>
        </w:rPr>
        <w:t>onsidero</w:t>
      </w:r>
      <w:r w:rsidR="00AB3E74">
        <w:rPr>
          <w:b w:val="0"/>
          <w:i w:val="0"/>
          <w:iCs w:val="0"/>
          <w:sz w:val="22"/>
          <w:szCs w:val="22"/>
        </w:rPr>
        <w:t>u</w:t>
      </w:r>
      <w:r w:rsidR="002837FC">
        <w:rPr>
          <w:b w:val="0"/>
          <w:i w:val="0"/>
          <w:iCs w:val="0"/>
          <w:sz w:val="22"/>
          <w:szCs w:val="22"/>
        </w:rPr>
        <w:t>, portanto,</w:t>
      </w:r>
      <w:r w:rsidR="00DC584E" w:rsidRPr="00DC584E">
        <w:rPr>
          <w:b w:val="0"/>
          <w:i w:val="0"/>
          <w:iCs w:val="0"/>
          <w:sz w:val="22"/>
          <w:szCs w:val="22"/>
        </w:rPr>
        <w:t xml:space="preserve"> razoáveis </w:t>
      </w:r>
      <w:r w:rsidR="002837FC">
        <w:rPr>
          <w:b w:val="0"/>
          <w:i w:val="0"/>
          <w:iCs w:val="0"/>
          <w:sz w:val="22"/>
          <w:szCs w:val="22"/>
        </w:rPr>
        <w:t>os argumentos aduzidos</w:t>
      </w:r>
      <w:r w:rsidR="00DC584E" w:rsidRPr="00DC584E">
        <w:rPr>
          <w:b w:val="0"/>
          <w:i w:val="0"/>
          <w:iCs w:val="0"/>
          <w:sz w:val="22"/>
          <w:szCs w:val="22"/>
        </w:rPr>
        <w:t xml:space="preserve"> pelos responsáveis</w:t>
      </w:r>
      <w:r w:rsidR="00AB3E74">
        <w:rPr>
          <w:b w:val="0"/>
          <w:i w:val="0"/>
          <w:iCs w:val="0"/>
          <w:sz w:val="22"/>
          <w:szCs w:val="22"/>
        </w:rPr>
        <w:t xml:space="preserve">, no sentido de que </w:t>
      </w:r>
      <w:r w:rsidR="00DC584E" w:rsidRPr="00DC584E">
        <w:rPr>
          <w:b w:val="0"/>
          <w:iCs w:val="0"/>
          <w:sz w:val="22"/>
          <w:szCs w:val="22"/>
        </w:rPr>
        <w:t>“o pregão presencial está regulamentado no Estado do Acre por meio do Decreto nº 12.472/2005, enquanto que</w:t>
      </w:r>
      <w:r w:rsidR="002837FC">
        <w:rPr>
          <w:b w:val="0"/>
          <w:iCs w:val="0"/>
          <w:sz w:val="22"/>
          <w:szCs w:val="22"/>
        </w:rPr>
        <w:t>,</w:t>
      </w:r>
      <w:r w:rsidR="00DC584E" w:rsidRPr="00DC584E">
        <w:rPr>
          <w:b w:val="0"/>
          <w:iCs w:val="0"/>
          <w:sz w:val="22"/>
          <w:szCs w:val="22"/>
        </w:rPr>
        <w:t xml:space="preserve"> para o pregão eletrônico</w:t>
      </w:r>
      <w:r w:rsidR="002837FC">
        <w:rPr>
          <w:b w:val="0"/>
          <w:iCs w:val="0"/>
          <w:sz w:val="22"/>
          <w:szCs w:val="22"/>
        </w:rPr>
        <w:t>,</w:t>
      </w:r>
      <w:r w:rsidR="00DC584E" w:rsidRPr="00DC584E">
        <w:rPr>
          <w:b w:val="0"/>
          <w:iCs w:val="0"/>
          <w:sz w:val="22"/>
          <w:szCs w:val="22"/>
        </w:rPr>
        <w:t xml:space="preserve"> ainda não existe regulamentação estadual específica para respaldar as decisões das autoridades superiores. Não obstante, todos os editais das licitações realizadas no Estado merecem ampla publicidade</w:t>
      </w:r>
      <w:r w:rsidR="00B948E1">
        <w:rPr>
          <w:b w:val="0"/>
          <w:iCs w:val="0"/>
          <w:sz w:val="22"/>
          <w:szCs w:val="22"/>
        </w:rPr>
        <w:t>,</w:t>
      </w:r>
      <w:r w:rsidR="00DC584E" w:rsidRPr="00DC584E">
        <w:rPr>
          <w:b w:val="0"/>
          <w:iCs w:val="0"/>
          <w:sz w:val="22"/>
          <w:szCs w:val="22"/>
        </w:rPr>
        <w:t xml:space="preserve"> por intermédio da rede mundial de computadores (WEB portal do governo do Acre: </w:t>
      </w:r>
      <w:hyperlink r:id="rId8" w:history="1">
        <w:r w:rsidR="00DC584E" w:rsidRPr="00DC584E">
          <w:rPr>
            <w:b w:val="0"/>
            <w:iCs w:val="0"/>
            <w:sz w:val="22"/>
            <w:szCs w:val="22"/>
          </w:rPr>
          <w:t>www.ac.gov.br/licitações</w:t>
        </w:r>
      </w:hyperlink>
      <w:r w:rsidR="00DC584E" w:rsidRPr="00DC584E">
        <w:rPr>
          <w:b w:val="0"/>
          <w:iCs w:val="0"/>
          <w:sz w:val="22"/>
          <w:szCs w:val="22"/>
        </w:rPr>
        <w:t>).”</w:t>
      </w:r>
      <w:r w:rsidR="00AB3E74">
        <w:rPr>
          <w:b w:val="0"/>
          <w:i w:val="0"/>
          <w:iCs w:val="0"/>
          <w:sz w:val="22"/>
          <w:szCs w:val="22"/>
        </w:rPr>
        <w:t xml:space="preserve">. </w:t>
      </w:r>
      <w:r w:rsidR="00027541">
        <w:rPr>
          <w:b w:val="0"/>
          <w:i w:val="0"/>
          <w:iCs w:val="0"/>
          <w:sz w:val="22"/>
          <w:szCs w:val="22"/>
        </w:rPr>
        <w:t>Além disso</w:t>
      </w:r>
      <w:r w:rsidR="00B948E1">
        <w:rPr>
          <w:b w:val="0"/>
          <w:i w:val="0"/>
          <w:iCs w:val="0"/>
          <w:sz w:val="22"/>
          <w:szCs w:val="22"/>
        </w:rPr>
        <w:t>,</w:t>
      </w:r>
      <w:r w:rsidR="00DC584E" w:rsidRPr="00DC584E">
        <w:rPr>
          <w:b w:val="0"/>
          <w:i w:val="0"/>
          <w:iCs w:val="0"/>
          <w:sz w:val="22"/>
          <w:szCs w:val="22"/>
        </w:rPr>
        <w:t xml:space="preserve"> os </w:t>
      </w:r>
      <w:r w:rsidR="00027541">
        <w:rPr>
          <w:b w:val="0"/>
          <w:i w:val="0"/>
          <w:iCs w:val="0"/>
          <w:sz w:val="22"/>
          <w:szCs w:val="22"/>
        </w:rPr>
        <w:t>instrumentos</w:t>
      </w:r>
      <w:r w:rsidR="00DC584E" w:rsidRPr="00DC584E">
        <w:rPr>
          <w:b w:val="0"/>
          <w:i w:val="0"/>
          <w:iCs w:val="0"/>
          <w:sz w:val="22"/>
          <w:szCs w:val="22"/>
        </w:rPr>
        <w:t xml:space="preserve"> de convênio que serviram de </w:t>
      </w:r>
      <w:r w:rsidR="00027541">
        <w:rPr>
          <w:b w:val="0"/>
          <w:i w:val="0"/>
          <w:iCs w:val="0"/>
          <w:sz w:val="22"/>
          <w:szCs w:val="22"/>
        </w:rPr>
        <w:t>suporte para</w:t>
      </w:r>
      <w:r w:rsidR="00DC584E" w:rsidRPr="00DC584E">
        <w:rPr>
          <w:b w:val="0"/>
          <w:i w:val="0"/>
          <w:iCs w:val="0"/>
          <w:sz w:val="22"/>
          <w:szCs w:val="22"/>
        </w:rPr>
        <w:t xml:space="preserve"> as despesas do pregão </w:t>
      </w:r>
      <w:r w:rsidR="00B948E1">
        <w:rPr>
          <w:b w:val="0"/>
          <w:i w:val="0"/>
          <w:iCs w:val="0"/>
          <w:sz w:val="22"/>
          <w:szCs w:val="22"/>
        </w:rPr>
        <w:t>não previram</w:t>
      </w:r>
      <w:r w:rsidR="00DC584E" w:rsidRPr="00DC584E">
        <w:rPr>
          <w:b w:val="0"/>
          <w:i w:val="0"/>
          <w:iCs w:val="0"/>
          <w:sz w:val="22"/>
          <w:szCs w:val="22"/>
        </w:rPr>
        <w:t xml:space="preserve"> a obrigatoriedade da utilização de pregão eletrônico</w:t>
      </w:r>
      <w:r w:rsidR="00B948E1">
        <w:rPr>
          <w:b w:val="0"/>
          <w:i w:val="0"/>
          <w:iCs w:val="0"/>
          <w:sz w:val="22"/>
          <w:szCs w:val="22"/>
        </w:rPr>
        <w:t>, a</w:t>
      </w:r>
      <w:r w:rsidR="00DC584E" w:rsidRPr="00DC584E">
        <w:rPr>
          <w:b w:val="0"/>
          <w:i w:val="0"/>
          <w:iCs w:val="0"/>
          <w:sz w:val="22"/>
          <w:szCs w:val="22"/>
        </w:rPr>
        <w:t xml:space="preserve">té porque </w:t>
      </w:r>
      <w:r w:rsidR="00AB3E74" w:rsidRPr="00AB3E74">
        <w:rPr>
          <w:b w:val="0"/>
          <w:iCs w:val="0"/>
          <w:sz w:val="22"/>
          <w:szCs w:val="22"/>
        </w:rPr>
        <w:t>“</w:t>
      </w:r>
      <w:r w:rsidR="00DC584E" w:rsidRPr="00AB3E74">
        <w:rPr>
          <w:b w:val="0"/>
          <w:iCs w:val="0"/>
          <w:sz w:val="22"/>
          <w:szCs w:val="22"/>
        </w:rPr>
        <w:t>não poderia ser de forma diferente, pois se o decreto que rege a matéria não fez tal exigência, não poderiam normas de hierarquia inferior dispor de forma diversa</w:t>
      </w:r>
      <w:r w:rsidR="00AB3E74" w:rsidRPr="00AB3E74">
        <w:rPr>
          <w:b w:val="0"/>
          <w:iCs w:val="0"/>
          <w:sz w:val="22"/>
          <w:szCs w:val="22"/>
        </w:rPr>
        <w:t>”</w:t>
      </w:r>
      <w:r w:rsidR="00DC584E" w:rsidRPr="00DC584E">
        <w:rPr>
          <w:b w:val="0"/>
          <w:i w:val="0"/>
          <w:iCs w:val="0"/>
          <w:sz w:val="22"/>
          <w:szCs w:val="22"/>
        </w:rPr>
        <w:t>.</w:t>
      </w:r>
      <w:r w:rsidR="00AB3E74">
        <w:rPr>
          <w:b w:val="0"/>
          <w:i w:val="0"/>
          <w:iCs w:val="0"/>
          <w:sz w:val="22"/>
          <w:szCs w:val="22"/>
        </w:rPr>
        <w:t xml:space="preserve"> Ao final, </w:t>
      </w:r>
      <w:r w:rsidR="00B948E1">
        <w:rPr>
          <w:b w:val="0"/>
          <w:i w:val="0"/>
          <w:iCs w:val="0"/>
          <w:sz w:val="22"/>
          <w:szCs w:val="22"/>
        </w:rPr>
        <w:t xml:space="preserve">o relator </w:t>
      </w:r>
      <w:r w:rsidR="00AB3E74">
        <w:rPr>
          <w:b w:val="0"/>
          <w:i w:val="0"/>
          <w:iCs w:val="0"/>
          <w:sz w:val="22"/>
          <w:szCs w:val="22"/>
        </w:rPr>
        <w:t xml:space="preserve">concluiu que a suposta </w:t>
      </w:r>
      <w:r w:rsidR="00027541">
        <w:rPr>
          <w:b w:val="0"/>
          <w:i w:val="0"/>
          <w:iCs w:val="0"/>
          <w:sz w:val="22"/>
          <w:szCs w:val="22"/>
        </w:rPr>
        <w:t>irregularidade</w:t>
      </w:r>
      <w:r w:rsidR="00DC584E" w:rsidRPr="00DC584E">
        <w:rPr>
          <w:b w:val="0"/>
          <w:i w:val="0"/>
          <w:iCs w:val="0"/>
          <w:sz w:val="22"/>
          <w:szCs w:val="22"/>
        </w:rPr>
        <w:t xml:space="preserve"> não restou configurada</w:t>
      </w:r>
      <w:r w:rsidR="00AB3E74">
        <w:rPr>
          <w:b w:val="0"/>
          <w:i w:val="0"/>
          <w:iCs w:val="0"/>
          <w:sz w:val="22"/>
          <w:szCs w:val="22"/>
        </w:rPr>
        <w:t>, no que foi acompanhado pelos demais ministros</w:t>
      </w:r>
      <w:r w:rsidR="00DC584E" w:rsidRPr="00DC584E">
        <w:rPr>
          <w:b w:val="0"/>
          <w:i w:val="0"/>
          <w:iCs w:val="0"/>
          <w:sz w:val="22"/>
          <w:szCs w:val="22"/>
        </w:rPr>
        <w:t>.</w:t>
      </w:r>
      <w:r w:rsidR="00AB3E74">
        <w:rPr>
          <w:b w:val="0"/>
          <w:i w:val="0"/>
          <w:iCs w:val="0"/>
          <w:sz w:val="22"/>
          <w:szCs w:val="22"/>
        </w:rPr>
        <w:t xml:space="preserve"> </w:t>
      </w:r>
      <w:r w:rsidR="00DC584E" w:rsidRPr="00AB3E74">
        <w:rPr>
          <w:sz w:val="22"/>
          <w:szCs w:val="22"/>
        </w:rPr>
        <w:t>Acórdão n.º 2433/2010-Plenário, TC-009.046/2010-0, rel. Min. Benjamin Zymler, 15.09.2010</w:t>
      </w:r>
      <w:r w:rsidR="00DC584E" w:rsidRPr="00337E16">
        <w:rPr>
          <w:sz w:val="22"/>
          <w:szCs w:val="22"/>
        </w:rPr>
        <w:t>.</w:t>
      </w:r>
    </w:p>
    <w:p w:rsidR="00DC584E" w:rsidRDefault="00DC584E" w:rsidP="0094474B">
      <w:pPr>
        <w:pStyle w:val="tita"/>
        <w:spacing w:before="60" w:after="0" w:line="240" w:lineRule="auto"/>
        <w:jc w:val="both"/>
        <w:rPr>
          <w:i w:val="0"/>
          <w:iCs w:val="0"/>
          <w:sz w:val="22"/>
          <w:szCs w:val="22"/>
        </w:rPr>
      </w:pPr>
    </w:p>
    <w:p w:rsidR="00DC584E" w:rsidRPr="00A23EF5" w:rsidRDefault="00A23EF5" w:rsidP="00DD1816">
      <w:pPr>
        <w:pStyle w:val="tita"/>
        <w:spacing w:before="60" w:after="0" w:line="240" w:lineRule="auto"/>
        <w:jc w:val="both"/>
        <w:rPr>
          <w:i w:val="0"/>
          <w:iCs w:val="0"/>
          <w:sz w:val="22"/>
          <w:szCs w:val="22"/>
        </w:rPr>
      </w:pPr>
      <w:r w:rsidRPr="00A23EF5">
        <w:rPr>
          <w:i w:val="0"/>
          <w:sz w:val="22"/>
          <w:szCs w:val="22"/>
        </w:rPr>
        <w:t>Imposição</w:t>
      </w:r>
      <w:r w:rsidR="00B02A3C">
        <w:rPr>
          <w:i w:val="0"/>
          <w:sz w:val="22"/>
          <w:szCs w:val="22"/>
        </w:rPr>
        <w:t>, durante a execução do contrato,</w:t>
      </w:r>
      <w:r w:rsidRPr="00A23EF5">
        <w:rPr>
          <w:i w:val="0"/>
          <w:sz w:val="22"/>
          <w:szCs w:val="22"/>
        </w:rPr>
        <w:t xml:space="preserve"> da adoção do preço considerado de mercado para os itens que </w:t>
      </w:r>
      <w:r w:rsidR="003A06F9">
        <w:rPr>
          <w:i w:val="0"/>
          <w:sz w:val="22"/>
          <w:szCs w:val="22"/>
        </w:rPr>
        <w:t>tiverem</w:t>
      </w:r>
      <w:r w:rsidRPr="00A23EF5">
        <w:rPr>
          <w:i w:val="0"/>
          <w:sz w:val="22"/>
          <w:szCs w:val="22"/>
        </w:rPr>
        <w:t xml:space="preserve"> quantitativos majorados e cujos preços já estejam </w:t>
      </w:r>
      <w:r w:rsidR="00A00926">
        <w:rPr>
          <w:i w:val="0"/>
          <w:sz w:val="22"/>
          <w:szCs w:val="22"/>
        </w:rPr>
        <w:t>superestimados</w:t>
      </w:r>
    </w:p>
    <w:p w:rsidR="00A23EF5" w:rsidRPr="00337E16" w:rsidRDefault="00AA6931" w:rsidP="005C6784">
      <w:pPr>
        <w:pStyle w:val="tita"/>
        <w:spacing w:before="0" w:after="0" w:line="240" w:lineRule="auto"/>
        <w:jc w:val="both"/>
        <w:rPr>
          <w:sz w:val="22"/>
          <w:szCs w:val="22"/>
        </w:rPr>
      </w:pPr>
      <w:r>
        <w:rPr>
          <w:b w:val="0"/>
          <w:i w:val="0"/>
          <w:iCs w:val="0"/>
          <w:sz w:val="22"/>
          <w:szCs w:val="22"/>
        </w:rPr>
        <w:t>R</w:t>
      </w:r>
      <w:r w:rsidR="00A23EF5" w:rsidRPr="00A23EF5">
        <w:rPr>
          <w:b w:val="0"/>
          <w:i w:val="0"/>
          <w:iCs w:val="0"/>
          <w:sz w:val="22"/>
          <w:szCs w:val="22"/>
        </w:rPr>
        <w:t xml:space="preserve">elatório de auditoria nas obras de implantação do Perímetro Irrigado “Platôs de Guadalupe”, </w:t>
      </w:r>
      <w:r>
        <w:rPr>
          <w:b w:val="0"/>
          <w:i w:val="0"/>
          <w:iCs w:val="0"/>
          <w:sz w:val="22"/>
          <w:szCs w:val="22"/>
        </w:rPr>
        <w:t>no Estado do Piauí, concluiu que a</w:t>
      </w:r>
      <w:r w:rsidR="00A23EF5" w:rsidRPr="00A23EF5">
        <w:rPr>
          <w:b w:val="0"/>
          <w:i w:val="0"/>
          <w:iCs w:val="0"/>
          <w:sz w:val="22"/>
          <w:szCs w:val="22"/>
        </w:rPr>
        <w:t xml:space="preserve"> </w:t>
      </w:r>
      <w:r w:rsidRPr="00AA6931">
        <w:rPr>
          <w:b w:val="0"/>
          <w:iCs w:val="0"/>
          <w:sz w:val="22"/>
          <w:szCs w:val="22"/>
        </w:rPr>
        <w:t>“</w:t>
      </w:r>
      <w:r w:rsidR="00A23EF5" w:rsidRPr="00AA6931">
        <w:rPr>
          <w:b w:val="0"/>
          <w:iCs w:val="0"/>
          <w:sz w:val="22"/>
          <w:szCs w:val="22"/>
        </w:rPr>
        <w:t>planilha de serviços e preços unitários</w:t>
      </w:r>
      <w:r w:rsidRPr="00AA6931">
        <w:rPr>
          <w:b w:val="0"/>
          <w:iCs w:val="0"/>
          <w:sz w:val="22"/>
          <w:szCs w:val="22"/>
        </w:rPr>
        <w:t>”</w:t>
      </w:r>
      <w:r w:rsidR="00A23EF5" w:rsidRPr="00A23EF5">
        <w:rPr>
          <w:b w:val="0"/>
          <w:i w:val="0"/>
          <w:iCs w:val="0"/>
          <w:sz w:val="22"/>
          <w:szCs w:val="22"/>
        </w:rPr>
        <w:t xml:space="preserve"> não apresenta</w:t>
      </w:r>
      <w:r>
        <w:rPr>
          <w:b w:val="0"/>
          <w:i w:val="0"/>
          <w:iCs w:val="0"/>
          <w:sz w:val="22"/>
          <w:szCs w:val="22"/>
        </w:rPr>
        <w:t>va</w:t>
      </w:r>
      <w:r w:rsidR="00A23EF5" w:rsidRPr="00A23EF5">
        <w:rPr>
          <w:b w:val="0"/>
          <w:i w:val="0"/>
          <w:iCs w:val="0"/>
          <w:sz w:val="22"/>
          <w:szCs w:val="22"/>
        </w:rPr>
        <w:t xml:space="preserve"> sobrepreço global, mas alguns itens específicos </w:t>
      </w:r>
      <w:r>
        <w:rPr>
          <w:b w:val="0"/>
          <w:i w:val="0"/>
          <w:iCs w:val="0"/>
          <w:sz w:val="22"/>
          <w:szCs w:val="22"/>
        </w:rPr>
        <w:t>estariam</w:t>
      </w:r>
      <w:r w:rsidR="00A23EF5" w:rsidRPr="00A23EF5">
        <w:rPr>
          <w:b w:val="0"/>
          <w:i w:val="0"/>
          <w:iCs w:val="0"/>
          <w:sz w:val="22"/>
          <w:szCs w:val="22"/>
        </w:rPr>
        <w:t xml:space="preserve"> visivelmente superestimados</w:t>
      </w:r>
      <w:r w:rsidR="00B02A3C">
        <w:rPr>
          <w:b w:val="0"/>
          <w:i w:val="0"/>
          <w:iCs w:val="0"/>
          <w:sz w:val="22"/>
          <w:szCs w:val="22"/>
        </w:rPr>
        <w:t>,</w:t>
      </w:r>
      <w:r w:rsidR="00A23EF5" w:rsidRPr="00A23EF5">
        <w:rPr>
          <w:b w:val="0"/>
          <w:i w:val="0"/>
          <w:iCs w:val="0"/>
          <w:sz w:val="22"/>
          <w:szCs w:val="22"/>
        </w:rPr>
        <w:t xml:space="preserve"> quando confrontados com os referenciais utilizados pelos auditores. </w:t>
      </w:r>
      <w:r>
        <w:rPr>
          <w:b w:val="0"/>
          <w:i w:val="0"/>
          <w:iCs w:val="0"/>
          <w:sz w:val="22"/>
          <w:szCs w:val="22"/>
        </w:rPr>
        <w:t>Em consequência</w:t>
      </w:r>
      <w:r w:rsidR="00A23EF5" w:rsidRPr="00A23EF5">
        <w:rPr>
          <w:b w:val="0"/>
          <w:i w:val="0"/>
          <w:iCs w:val="0"/>
          <w:sz w:val="22"/>
          <w:szCs w:val="22"/>
        </w:rPr>
        <w:t xml:space="preserve">, a equipe </w:t>
      </w:r>
      <w:r>
        <w:rPr>
          <w:b w:val="0"/>
          <w:i w:val="0"/>
          <w:iCs w:val="0"/>
          <w:sz w:val="22"/>
          <w:szCs w:val="22"/>
        </w:rPr>
        <w:t>propôs que o Tribunal expedisse determinação ao Departamento Nacional de Obras contra as Secas (</w:t>
      </w:r>
      <w:r w:rsidR="00A23EF5" w:rsidRPr="00A23EF5">
        <w:rPr>
          <w:b w:val="0"/>
          <w:i w:val="0"/>
          <w:iCs w:val="0"/>
          <w:sz w:val="22"/>
          <w:szCs w:val="22"/>
        </w:rPr>
        <w:t>Dnocs</w:t>
      </w:r>
      <w:r>
        <w:rPr>
          <w:b w:val="0"/>
          <w:i w:val="0"/>
          <w:iCs w:val="0"/>
          <w:sz w:val="22"/>
          <w:szCs w:val="22"/>
        </w:rPr>
        <w:t>)</w:t>
      </w:r>
      <w:r w:rsidR="00A23EF5" w:rsidRPr="00A23EF5">
        <w:rPr>
          <w:b w:val="0"/>
          <w:i w:val="0"/>
          <w:iCs w:val="0"/>
          <w:sz w:val="22"/>
          <w:szCs w:val="22"/>
        </w:rPr>
        <w:t xml:space="preserve"> </w:t>
      </w:r>
      <w:r>
        <w:rPr>
          <w:b w:val="0"/>
          <w:i w:val="0"/>
          <w:iCs w:val="0"/>
          <w:sz w:val="22"/>
          <w:szCs w:val="22"/>
        </w:rPr>
        <w:t>no sentido de que</w:t>
      </w:r>
      <w:r w:rsidR="00A23EF5" w:rsidRPr="00A23EF5">
        <w:rPr>
          <w:b w:val="0"/>
          <w:i w:val="0"/>
          <w:iCs w:val="0"/>
          <w:sz w:val="22"/>
          <w:szCs w:val="22"/>
        </w:rPr>
        <w:t xml:space="preserve">, </w:t>
      </w:r>
      <w:r w:rsidRPr="00AA6931">
        <w:rPr>
          <w:b w:val="0"/>
          <w:iCs w:val="0"/>
          <w:sz w:val="22"/>
          <w:szCs w:val="22"/>
        </w:rPr>
        <w:t>“</w:t>
      </w:r>
      <w:r w:rsidR="00A23EF5" w:rsidRPr="00AA6931">
        <w:rPr>
          <w:b w:val="0"/>
          <w:iCs w:val="0"/>
          <w:sz w:val="22"/>
          <w:szCs w:val="22"/>
        </w:rPr>
        <w:t>na eventual necessidade de aditamento contratual para acréscimo ou supressão de quantitativos, quantifique os reflexos das alterações no desconto global advindo da licitação, incluindo valor compensatório, diminutivo, do novo valor do contrato, de forma a manter o desconto global inicial</w:t>
      </w:r>
      <w:r w:rsidRPr="00AA6931">
        <w:rPr>
          <w:b w:val="0"/>
          <w:iCs w:val="0"/>
          <w:sz w:val="22"/>
          <w:szCs w:val="22"/>
        </w:rPr>
        <w:t>”</w:t>
      </w:r>
      <w:r w:rsidR="00A23EF5" w:rsidRPr="00A23EF5">
        <w:rPr>
          <w:b w:val="0"/>
          <w:i w:val="0"/>
          <w:iCs w:val="0"/>
          <w:sz w:val="22"/>
          <w:szCs w:val="22"/>
        </w:rPr>
        <w:t xml:space="preserve">. </w:t>
      </w:r>
      <w:r>
        <w:rPr>
          <w:b w:val="0"/>
          <w:i w:val="0"/>
          <w:iCs w:val="0"/>
          <w:sz w:val="22"/>
          <w:szCs w:val="22"/>
        </w:rPr>
        <w:t xml:space="preserve">Em seu voto, o relator </w:t>
      </w:r>
      <w:r w:rsidR="00156D7F">
        <w:rPr>
          <w:b w:val="0"/>
          <w:i w:val="0"/>
          <w:iCs w:val="0"/>
          <w:sz w:val="22"/>
          <w:szCs w:val="22"/>
        </w:rPr>
        <w:t>constatou</w:t>
      </w:r>
      <w:r>
        <w:rPr>
          <w:b w:val="0"/>
          <w:i w:val="0"/>
          <w:iCs w:val="0"/>
          <w:sz w:val="22"/>
          <w:szCs w:val="22"/>
        </w:rPr>
        <w:t xml:space="preserve"> que </w:t>
      </w:r>
      <w:r w:rsidR="00A23EF5" w:rsidRPr="00A23EF5">
        <w:rPr>
          <w:b w:val="0"/>
          <w:i w:val="0"/>
          <w:iCs w:val="0"/>
          <w:sz w:val="22"/>
          <w:szCs w:val="22"/>
        </w:rPr>
        <w:t xml:space="preserve">tal proposta </w:t>
      </w:r>
      <w:r w:rsidR="00156D7F">
        <w:rPr>
          <w:b w:val="0"/>
          <w:i w:val="0"/>
          <w:iCs w:val="0"/>
          <w:sz w:val="22"/>
          <w:szCs w:val="22"/>
        </w:rPr>
        <w:t>estaria vinculada</w:t>
      </w:r>
      <w:r w:rsidR="00A23EF5" w:rsidRPr="00A23EF5">
        <w:rPr>
          <w:b w:val="0"/>
          <w:i w:val="0"/>
          <w:iCs w:val="0"/>
          <w:sz w:val="22"/>
          <w:szCs w:val="22"/>
        </w:rPr>
        <w:t xml:space="preserve"> ao que se convencionou chamar de </w:t>
      </w:r>
      <w:r w:rsidR="00156D7F">
        <w:rPr>
          <w:b w:val="0"/>
          <w:i w:val="0"/>
          <w:iCs w:val="0"/>
          <w:sz w:val="22"/>
          <w:szCs w:val="22"/>
        </w:rPr>
        <w:t>‘</w:t>
      </w:r>
      <w:r w:rsidR="00A23EF5" w:rsidRPr="00A23EF5">
        <w:rPr>
          <w:b w:val="0"/>
          <w:i w:val="0"/>
          <w:iCs w:val="0"/>
          <w:sz w:val="22"/>
          <w:szCs w:val="22"/>
        </w:rPr>
        <w:t>método dos balanços</w:t>
      </w:r>
      <w:r w:rsidR="00156D7F">
        <w:rPr>
          <w:b w:val="0"/>
          <w:i w:val="0"/>
          <w:iCs w:val="0"/>
          <w:sz w:val="22"/>
          <w:szCs w:val="22"/>
        </w:rPr>
        <w:t>’</w:t>
      </w:r>
      <w:r w:rsidR="00A23EF5" w:rsidRPr="00A23EF5">
        <w:rPr>
          <w:b w:val="0"/>
          <w:i w:val="0"/>
          <w:iCs w:val="0"/>
          <w:sz w:val="22"/>
          <w:szCs w:val="22"/>
        </w:rPr>
        <w:t xml:space="preserve">, </w:t>
      </w:r>
      <w:r w:rsidR="00B02A3C">
        <w:rPr>
          <w:b w:val="0"/>
          <w:i w:val="0"/>
          <w:iCs w:val="0"/>
          <w:sz w:val="22"/>
          <w:szCs w:val="22"/>
        </w:rPr>
        <w:t>segundo o</w:t>
      </w:r>
      <w:r w:rsidR="00A23EF5" w:rsidRPr="00A23EF5">
        <w:rPr>
          <w:b w:val="0"/>
          <w:i w:val="0"/>
          <w:iCs w:val="0"/>
          <w:sz w:val="22"/>
          <w:szCs w:val="22"/>
        </w:rPr>
        <w:t xml:space="preserve"> qual a simples redução de quantitativos de serviço cujos preços estejam abaixo dos de mercado gera a presunção de crédito da União junto à contratada. Todavia, seguindo as conclusões expostas no voto condutor do Acórdão </w:t>
      </w:r>
      <w:r>
        <w:rPr>
          <w:b w:val="0"/>
          <w:i w:val="0"/>
          <w:iCs w:val="0"/>
          <w:sz w:val="22"/>
          <w:szCs w:val="22"/>
        </w:rPr>
        <w:t xml:space="preserve">n.º </w:t>
      </w:r>
      <w:r w:rsidR="00A23EF5" w:rsidRPr="00A23EF5">
        <w:rPr>
          <w:b w:val="0"/>
          <w:i w:val="0"/>
          <w:iCs w:val="0"/>
          <w:sz w:val="22"/>
          <w:szCs w:val="22"/>
        </w:rPr>
        <w:t xml:space="preserve">1.715/2004-Plenário, </w:t>
      </w:r>
      <w:r w:rsidRPr="00AA6931">
        <w:rPr>
          <w:b w:val="0"/>
          <w:iCs w:val="0"/>
          <w:sz w:val="22"/>
          <w:szCs w:val="22"/>
        </w:rPr>
        <w:t>“</w:t>
      </w:r>
      <w:r w:rsidR="00A23EF5" w:rsidRPr="00AA6931">
        <w:rPr>
          <w:b w:val="0"/>
          <w:iCs w:val="0"/>
          <w:sz w:val="22"/>
          <w:szCs w:val="22"/>
        </w:rPr>
        <w:t>não é necessário que se calcule o desconto perdido por via das diminuições e supressões de quantitativos, a não ser que não haja qualquer justificação técnica para esse fato, evidenciando a prática do malfadado jogo de planilha</w:t>
      </w:r>
      <w:r w:rsidRPr="00AA6931">
        <w:rPr>
          <w:b w:val="0"/>
          <w:iCs w:val="0"/>
          <w:sz w:val="22"/>
          <w:szCs w:val="22"/>
        </w:rPr>
        <w:t>”</w:t>
      </w:r>
      <w:r w:rsidR="00A23EF5" w:rsidRPr="00A23EF5">
        <w:rPr>
          <w:b w:val="0"/>
          <w:i w:val="0"/>
          <w:iCs w:val="0"/>
          <w:sz w:val="22"/>
          <w:szCs w:val="22"/>
        </w:rPr>
        <w:t xml:space="preserve">. </w:t>
      </w:r>
      <w:r w:rsidR="00B02A3C">
        <w:rPr>
          <w:b w:val="0"/>
          <w:i w:val="0"/>
          <w:iCs w:val="0"/>
          <w:sz w:val="22"/>
          <w:szCs w:val="22"/>
        </w:rPr>
        <w:t>Nesse sentido</w:t>
      </w:r>
      <w:r w:rsidR="00A23EF5" w:rsidRPr="00A23EF5">
        <w:rPr>
          <w:b w:val="0"/>
          <w:i w:val="0"/>
          <w:iCs w:val="0"/>
          <w:sz w:val="22"/>
          <w:szCs w:val="22"/>
        </w:rPr>
        <w:t xml:space="preserve">, </w:t>
      </w:r>
      <w:r>
        <w:rPr>
          <w:b w:val="0"/>
          <w:i w:val="0"/>
          <w:iCs w:val="0"/>
          <w:sz w:val="22"/>
          <w:szCs w:val="22"/>
        </w:rPr>
        <w:t xml:space="preserve">concluiu o relator que, </w:t>
      </w:r>
      <w:r w:rsidR="00A23EF5" w:rsidRPr="00A23EF5">
        <w:rPr>
          <w:b w:val="0"/>
          <w:i w:val="0"/>
          <w:iCs w:val="0"/>
          <w:sz w:val="22"/>
          <w:szCs w:val="22"/>
        </w:rPr>
        <w:t xml:space="preserve">se as alterações são tecnicamente recomendadas e justificadas, </w:t>
      </w:r>
      <w:r w:rsidRPr="00AA6931">
        <w:rPr>
          <w:b w:val="0"/>
          <w:iCs w:val="0"/>
          <w:sz w:val="22"/>
          <w:szCs w:val="22"/>
        </w:rPr>
        <w:t>“</w:t>
      </w:r>
      <w:r w:rsidR="00A23EF5" w:rsidRPr="00AA6931">
        <w:rPr>
          <w:b w:val="0"/>
          <w:iCs w:val="0"/>
          <w:sz w:val="22"/>
          <w:szCs w:val="22"/>
        </w:rPr>
        <w:t>basta que se imponha ao gestor adotar o preço considerado de mercado para os itens que terão quantitativos majorados e cujos preços já estejam sobreprecificados em relação ao mercado</w:t>
      </w:r>
      <w:r w:rsidRPr="00AA6931">
        <w:rPr>
          <w:b w:val="0"/>
          <w:iCs w:val="0"/>
          <w:sz w:val="22"/>
          <w:szCs w:val="22"/>
        </w:rPr>
        <w:t>”</w:t>
      </w:r>
      <w:r w:rsidR="00A23EF5" w:rsidRPr="00A23EF5">
        <w:rPr>
          <w:b w:val="0"/>
          <w:i w:val="0"/>
          <w:iCs w:val="0"/>
          <w:sz w:val="22"/>
          <w:szCs w:val="22"/>
        </w:rPr>
        <w:t xml:space="preserve">. </w:t>
      </w:r>
      <w:r w:rsidR="00A07B7F">
        <w:rPr>
          <w:b w:val="0"/>
          <w:i w:val="0"/>
          <w:iCs w:val="0"/>
          <w:sz w:val="22"/>
          <w:szCs w:val="22"/>
        </w:rPr>
        <w:t>Nos termos do voto d</w:t>
      </w:r>
      <w:r w:rsidR="005C6784">
        <w:rPr>
          <w:b w:val="0"/>
          <w:i w:val="0"/>
          <w:iCs w:val="0"/>
          <w:sz w:val="22"/>
          <w:szCs w:val="22"/>
        </w:rPr>
        <w:t>o relator</w:t>
      </w:r>
      <w:r w:rsidR="00A07B7F">
        <w:rPr>
          <w:b w:val="0"/>
          <w:i w:val="0"/>
          <w:iCs w:val="0"/>
          <w:sz w:val="22"/>
          <w:szCs w:val="22"/>
        </w:rPr>
        <w:t>,</w:t>
      </w:r>
      <w:r w:rsidR="005C6784">
        <w:rPr>
          <w:b w:val="0"/>
          <w:i w:val="0"/>
          <w:iCs w:val="0"/>
          <w:sz w:val="22"/>
          <w:szCs w:val="22"/>
        </w:rPr>
        <w:t xml:space="preserve"> o Plenário decidiu </w:t>
      </w:r>
      <w:r w:rsidR="00A23EF5" w:rsidRPr="00A23EF5">
        <w:rPr>
          <w:b w:val="0"/>
          <w:i w:val="0"/>
          <w:iCs w:val="0"/>
          <w:sz w:val="22"/>
          <w:szCs w:val="22"/>
        </w:rPr>
        <w:t>determinar ao Dnocs que</w:t>
      </w:r>
      <w:r w:rsidR="005C6784">
        <w:rPr>
          <w:b w:val="0"/>
          <w:i w:val="0"/>
          <w:iCs w:val="0"/>
          <w:sz w:val="22"/>
          <w:szCs w:val="22"/>
        </w:rPr>
        <w:t xml:space="preserve">, </w:t>
      </w:r>
      <w:r w:rsidR="00A23EF5" w:rsidRPr="00A23EF5">
        <w:rPr>
          <w:b w:val="0"/>
          <w:i w:val="0"/>
          <w:iCs w:val="0"/>
          <w:sz w:val="22"/>
          <w:szCs w:val="22"/>
        </w:rPr>
        <w:t xml:space="preserve">em caso de aditivos contratuais que incluam novos serviços ou que aumentem o quantitativo de itens de serviços em relação ao estabelecido originalmente, </w:t>
      </w:r>
      <w:r w:rsidR="005C6784" w:rsidRPr="005C6784">
        <w:rPr>
          <w:b w:val="0"/>
          <w:iCs w:val="0"/>
          <w:sz w:val="22"/>
          <w:szCs w:val="22"/>
        </w:rPr>
        <w:t>“</w:t>
      </w:r>
      <w:r w:rsidR="00A23EF5" w:rsidRPr="005C6784">
        <w:rPr>
          <w:b w:val="0"/>
          <w:iCs w:val="0"/>
          <w:sz w:val="22"/>
          <w:szCs w:val="22"/>
        </w:rPr>
        <w:t xml:space="preserve">atente para a necessidade de </w:t>
      </w:r>
      <w:r w:rsidR="005C6784" w:rsidRPr="005C6784">
        <w:rPr>
          <w:b w:val="0"/>
          <w:iCs w:val="0"/>
          <w:sz w:val="22"/>
          <w:szCs w:val="22"/>
        </w:rPr>
        <w:t xml:space="preserve">que </w:t>
      </w:r>
      <w:r w:rsidR="00A23EF5" w:rsidRPr="005C6784">
        <w:rPr>
          <w:b w:val="0"/>
          <w:iCs w:val="0"/>
          <w:sz w:val="22"/>
          <w:szCs w:val="22"/>
        </w:rPr>
        <w:t>os preços a serem estipulados para os quantitativos adicionais deverão corresponder aos preços de mercado, aferidos por meio de sistemas referenciais de preços idôneos</w:t>
      </w:r>
      <w:r w:rsidR="005C6784" w:rsidRPr="005C6784">
        <w:rPr>
          <w:b w:val="0"/>
          <w:iCs w:val="0"/>
          <w:sz w:val="22"/>
          <w:szCs w:val="22"/>
        </w:rPr>
        <w:t>”</w:t>
      </w:r>
      <w:r w:rsidR="005C6784">
        <w:rPr>
          <w:b w:val="0"/>
          <w:i w:val="0"/>
          <w:iCs w:val="0"/>
          <w:sz w:val="22"/>
          <w:szCs w:val="22"/>
        </w:rPr>
        <w:t xml:space="preserve">. </w:t>
      </w:r>
      <w:r w:rsidR="00A23EF5" w:rsidRPr="005C6784">
        <w:rPr>
          <w:sz w:val="22"/>
          <w:szCs w:val="22"/>
        </w:rPr>
        <w:t>Acórdão n.º 2384/2010-Plenário, TC-013.641/2010-7, rel. Min. Augusto Nardes, 15.09.2010</w:t>
      </w:r>
      <w:r w:rsidR="00A23EF5" w:rsidRPr="00337E16">
        <w:rPr>
          <w:sz w:val="22"/>
          <w:szCs w:val="22"/>
        </w:rPr>
        <w:t>.</w:t>
      </w:r>
    </w:p>
    <w:p w:rsidR="00A23EF5" w:rsidRDefault="00A23EF5" w:rsidP="00337E16">
      <w:pPr>
        <w:pStyle w:val="tita"/>
        <w:spacing w:before="0" w:after="0" w:line="240" w:lineRule="auto"/>
        <w:jc w:val="both"/>
        <w:rPr>
          <w:i w:val="0"/>
          <w:iCs w:val="0"/>
          <w:sz w:val="22"/>
          <w:szCs w:val="22"/>
        </w:rPr>
      </w:pPr>
    </w:p>
    <w:p w:rsidR="001A6DFB" w:rsidRPr="00AE1BB8" w:rsidRDefault="00AE1BB8" w:rsidP="001A6DFB">
      <w:pPr>
        <w:pStyle w:val="indice"/>
        <w:spacing w:before="60" w:line="240" w:lineRule="auto"/>
        <w:rPr>
          <w:b/>
        </w:rPr>
      </w:pPr>
      <w:r w:rsidRPr="00AE1BB8">
        <w:rPr>
          <w:b/>
        </w:rPr>
        <w:t xml:space="preserve">A autorização </w:t>
      </w:r>
      <w:r w:rsidR="0027638D">
        <w:rPr>
          <w:b/>
        </w:rPr>
        <w:t xml:space="preserve">editalícia </w:t>
      </w:r>
      <w:r w:rsidRPr="00AE1BB8">
        <w:rPr>
          <w:b/>
        </w:rPr>
        <w:t>para a formação de consórcios não afasta eventual restrição à competitividade evidenciada pelo não parcelamento do objeto</w:t>
      </w:r>
      <w:r w:rsidR="00922B34">
        <w:rPr>
          <w:b/>
        </w:rPr>
        <w:t xml:space="preserve"> licitado</w:t>
      </w:r>
    </w:p>
    <w:p w:rsidR="001A6DFB" w:rsidRPr="00337E16" w:rsidRDefault="001A6DFB" w:rsidP="00074586">
      <w:pPr>
        <w:pStyle w:val="tita"/>
        <w:spacing w:before="0" w:after="0" w:line="240" w:lineRule="auto"/>
        <w:jc w:val="both"/>
        <w:rPr>
          <w:sz w:val="22"/>
          <w:szCs w:val="22"/>
        </w:rPr>
      </w:pPr>
      <w:r w:rsidRPr="001A6DFB">
        <w:rPr>
          <w:b w:val="0"/>
          <w:i w:val="0"/>
          <w:iCs w:val="0"/>
          <w:sz w:val="22"/>
          <w:szCs w:val="22"/>
        </w:rPr>
        <w:t xml:space="preserve">Representação </w:t>
      </w:r>
      <w:r w:rsidR="00B43457">
        <w:rPr>
          <w:b w:val="0"/>
          <w:i w:val="0"/>
          <w:iCs w:val="0"/>
          <w:sz w:val="22"/>
          <w:szCs w:val="22"/>
        </w:rPr>
        <w:t>oferecida ao TCU indicou</w:t>
      </w:r>
      <w:r w:rsidRPr="001A6DFB">
        <w:rPr>
          <w:b w:val="0"/>
          <w:i w:val="0"/>
          <w:iCs w:val="0"/>
          <w:sz w:val="22"/>
          <w:szCs w:val="22"/>
        </w:rPr>
        <w:t xml:space="preserve"> possíveis irregularidades n</w:t>
      </w:r>
      <w:r w:rsidR="00B43457">
        <w:rPr>
          <w:b w:val="0"/>
          <w:i w:val="0"/>
          <w:iCs w:val="0"/>
          <w:sz w:val="22"/>
          <w:szCs w:val="22"/>
        </w:rPr>
        <w:t>o edital d</w:t>
      </w:r>
      <w:r w:rsidRPr="001A6DFB">
        <w:rPr>
          <w:b w:val="0"/>
          <w:i w:val="0"/>
          <w:iCs w:val="0"/>
          <w:sz w:val="22"/>
          <w:szCs w:val="22"/>
        </w:rPr>
        <w:t xml:space="preserve">a Concorrência </w:t>
      </w:r>
      <w:r w:rsidR="00B43457">
        <w:rPr>
          <w:b w:val="0"/>
          <w:i w:val="0"/>
          <w:iCs w:val="0"/>
          <w:sz w:val="22"/>
          <w:szCs w:val="22"/>
        </w:rPr>
        <w:t xml:space="preserve">n.º </w:t>
      </w:r>
      <w:r w:rsidRPr="001A6DFB">
        <w:rPr>
          <w:b w:val="0"/>
          <w:i w:val="0"/>
          <w:iCs w:val="0"/>
          <w:sz w:val="22"/>
          <w:szCs w:val="22"/>
        </w:rPr>
        <w:t xml:space="preserve">174/2010, </w:t>
      </w:r>
      <w:r w:rsidR="00B43457">
        <w:rPr>
          <w:b w:val="0"/>
          <w:i w:val="0"/>
          <w:iCs w:val="0"/>
          <w:sz w:val="22"/>
          <w:szCs w:val="22"/>
        </w:rPr>
        <w:t>realizada pelo</w:t>
      </w:r>
      <w:r w:rsidRPr="001A6DFB">
        <w:rPr>
          <w:b w:val="0"/>
          <w:i w:val="0"/>
          <w:iCs w:val="0"/>
          <w:sz w:val="22"/>
          <w:szCs w:val="22"/>
        </w:rPr>
        <w:t xml:space="preserve"> Departamento Nacional de Infraestrutura de Transportes </w:t>
      </w:r>
      <w:r w:rsidR="00B43457">
        <w:rPr>
          <w:b w:val="0"/>
          <w:i w:val="0"/>
          <w:iCs w:val="0"/>
          <w:sz w:val="22"/>
          <w:szCs w:val="22"/>
        </w:rPr>
        <w:t>(</w:t>
      </w:r>
      <w:r w:rsidRPr="001A6DFB">
        <w:rPr>
          <w:b w:val="0"/>
          <w:i w:val="0"/>
          <w:iCs w:val="0"/>
          <w:sz w:val="22"/>
          <w:szCs w:val="22"/>
        </w:rPr>
        <w:t>DNIT</w:t>
      </w:r>
      <w:r w:rsidR="00B43457">
        <w:rPr>
          <w:b w:val="0"/>
          <w:i w:val="0"/>
          <w:iCs w:val="0"/>
          <w:sz w:val="22"/>
          <w:szCs w:val="22"/>
        </w:rPr>
        <w:t>), merecendo destaque a</w:t>
      </w:r>
      <w:r w:rsidRPr="001A6DFB">
        <w:rPr>
          <w:b w:val="0"/>
          <w:i w:val="0"/>
          <w:iCs w:val="0"/>
          <w:sz w:val="22"/>
          <w:szCs w:val="22"/>
        </w:rPr>
        <w:t xml:space="preserve"> </w:t>
      </w:r>
      <w:r w:rsidR="00B43457" w:rsidRPr="00B43457">
        <w:rPr>
          <w:b w:val="0"/>
          <w:iCs w:val="0"/>
          <w:sz w:val="22"/>
          <w:szCs w:val="22"/>
        </w:rPr>
        <w:t>“</w:t>
      </w:r>
      <w:r w:rsidRPr="00B43457">
        <w:rPr>
          <w:b w:val="0"/>
          <w:iCs w:val="0"/>
          <w:sz w:val="22"/>
          <w:szCs w:val="22"/>
        </w:rPr>
        <w:t>aglutinação, em objeto único, de serviços de diferentes naturezas, que deveriam ser objeto do parcelamento previsto no art. 23, §1º da Lei 8.666/93</w:t>
      </w:r>
      <w:r w:rsidR="00B43457" w:rsidRPr="00B43457">
        <w:rPr>
          <w:b w:val="0"/>
          <w:iCs w:val="0"/>
          <w:sz w:val="22"/>
          <w:szCs w:val="22"/>
        </w:rPr>
        <w:t>”</w:t>
      </w:r>
      <w:r w:rsidR="00B43457">
        <w:rPr>
          <w:b w:val="0"/>
          <w:i w:val="0"/>
          <w:iCs w:val="0"/>
          <w:sz w:val="22"/>
          <w:szCs w:val="22"/>
        </w:rPr>
        <w:t>.</w:t>
      </w:r>
      <w:r w:rsidRPr="001A6DFB">
        <w:rPr>
          <w:b w:val="0"/>
          <w:i w:val="0"/>
          <w:iCs w:val="0"/>
          <w:sz w:val="22"/>
          <w:szCs w:val="22"/>
        </w:rPr>
        <w:t xml:space="preserve"> </w:t>
      </w:r>
      <w:r w:rsidR="00240975">
        <w:rPr>
          <w:b w:val="0"/>
          <w:i w:val="0"/>
          <w:iCs w:val="0"/>
          <w:sz w:val="22"/>
          <w:szCs w:val="22"/>
        </w:rPr>
        <w:t>O</w:t>
      </w:r>
      <w:r w:rsidR="00B43457">
        <w:rPr>
          <w:b w:val="0"/>
          <w:i w:val="0"/>
          <w:iCs w:val="0"/>
          <w:sz w:val="22"/>
          <w:szCs w:val="22"/>
        </w:rPr>
        <w:t xml:space="preserve"> relator assinalou que, d</w:t>
      </w:r>
      <w:r w:rsidRPr="001A6DFB">
        <w:rPr>
          <w:b w:val="0"/>
          <w:i w:val="0"/>
          <w:iCs w:val="0"/>
          <w:sz w:val="22"/>
          <w:szCs w:val="22"/>
        </w:rPr>
        <w:t>e fato, a licitação concentra, em objeto único, grupos de serviços distintos</w:t>
      </w:r>
      <w:r w:rsidR="00B43457">
        <w:rPr>
          <w:b w:val="0"/>
          <w:i w:val="0"/>
          <w:iCs w:val="0"/>
          <w:sz w:val="22"/>
          <w:szCs w:val="22"/>
        </w:rPr>
        <w:t>, a saber</w:t>
      </w:r>
      <w:r w:rsidRPr="001A6DFB">
        <w:rPr>
          <w:b w:val="0"/>
          <w:i w:val="0"/>
          <w:iCs w:val="0"/>
          <w:sz w:val="22"/>
          <w:szCs w:val="22"/>
        </w:rPr>
        <w:t>: 1</w:t>
      </w:r>
      <w:r w:rsidR="00B43457">
        <w:rPr>
          <w:b w:val="0"/>
          <w:i w:val="0"/>
          <w:iCs w:val="0"/>
          <w:sz w:val="22"/>
          <w:szCs w:val="22"/>
        </w:rPr>
        <w:t>º</w:t>
      </w:r>
      <w:r w:rsidRPr="001A6DFB">
        <w:rPr>
          <w:b w:val="0"/>
          <w:i w:val="0"/>
          <w:iCs w:val="0"/>
          <w:sz w:val="22"/>
          <w:szCs w:val="22"/>
        </w:rPr>
        <w:t>) controle patrimonial e contábil de bens; 2</w:t>
      </w:r>
      <w:r w:rsidR="00B43457">
        <w:rPr>
          <w:b w:val="0"/>
          <w:i w:val="0"/>
          <w:iCs w:val="0"/>
          <w:sz w:val="22"/>
          <w:szCs w:val="22"/>
        </w:rPr>
        <w:t>º</w:t>
      </w:r>
      <w:r w:rsidRPr="001A6DFB">
        <w:rPr>
          <w:b w:val="0"/>
          <w:i w:val="0"/>
          <w:iCs w:val="0"/>
          <w:sz w:val="22"/>
          <w:szCs w:val="22"/>
        </w:rPr>
        <w:t xml:space="preserve">) implementação de sistema informatizado; </w:t>
      </w:r>
      <w:r w:rsidR="00B43457">
        <w:rPr>
          <w:b w:val="0"/>
          <w:i w:val="0"/>
          <w:iCs w:val="0"/>
          <w:sz w:val="22"/>
          <w:szCs w:val="22"/>
        </w:rPr>
        <w:t xml:space="preserve">e </w:t>
      </w:r>
      <w:r w:rsidRPr="001A6DFB">
        <w:rPr>
          <w:b w:val="0"/>
          <w:i w:val="0"/>
          <w:iCs w:val="0"/>
          <w:sz w:val="22"/>
          <w:szCs w:val="22"/>
        </w:rPr>
        <w:t>3</w:t>
      </w:r>
      <w:r w:rsidR="00B43457">
        <w:rPr>
          <w:b w:val="0"/>
          <w:i w:val="0"/>
          <w:iCs w:val="0"/>
          <w:sz w:val="22"/>
          <w:szCs w:val="22"/>
        </w:rPr>
        <w:t>º</w:t>
      </w:r>
      <w:r w:rsidRPr="001A6DFB">
        <w:rPr>
          <w:b w:val="0"/>
          <w:i w:val="0"/>
          <w:iCs w:val="0"/>
          <w:sz w:val="22"/>
          <w:szCs w:val="22"/>
        </w:rPr>
        <w:t xml:space="preserve">) serviços técnicos especializados, caracterizados por assessorias, estudos e pareceres. </w:t>
      </w:r>
      <w:r w:rsidR="0000094F">
        <w:rPr>
          <w:b w:val="0"/>
          <w:i w:val="0"/>
          <w:iCs w:val="0"/>
          <w:sz w:val="22"/>
          <w:szCs w:val="22"/>
        </w:rPr>
        <w:t>A</w:t>
      </w:r>
      <w:r w:rsidRPr="001A6DFB">
        <w:rPr>
          <w:b w:val="0"/>
          <w:i w:val="0"/>
          <w:iCs w:val="0"/>
          <w:sz w:val="22"/>
          <w:szCs w:val="22"/>
        </w:rPr>
        <w:t xml:space="preserve">inda que todos os serviços sejam pertinentes à gestão do patrimônio ferroviário do DNIT, suas naturezas distintas </w:t>
      </w:r>
      <w:r w:rsidR="00B43457" w:rsidRPr="00B43457">
        <w:rPr>
          <w:b w:val="0"/>
          <w:iCs w:val="0"/>
          <w:sz w:val="22"/>
          <w:szCs w:val="22"/>
        </w:rPr>
        <w:t>“</w:t>
      </w:r>
      <w:r w:rsidRPr="00B43457">
        <w:rPr>
          <w:b w:val="0"/>
          <w:iCs w:val="0"/>
          <w:sz w:val="22"/>
          <w:szCs w:val="22"/>
        </w:rPr>
        <w:t>impõem o parcelamento versado no §1º do art. 23 da Lei 8.666/93</w:t>
      </w:r>
      <w:r w:rsidR="00B43457" w:rsidRPr="00B43457">
        <w:rPr>
          <w:b w:val="0"/>
          <w:iCs w:val="0"/>
          <w:sz w:val="22"/>
          <w:szCs w:val="22"/>
        </w:rPr>
        <w:t>”</w:t>
      </w:r>
      <w:r w:rsidRPr="001A6DFB">
        <w:rPr>
          <w:b w:val="0"/>
          <w:i w:val="0"/>
          <w:iCs w:val="0"/>
          <w:sz w:val="22"/>
          <w:szCs w:val="22"/>
        </w:rPr>
        <w:t xml:space="preserve">. Embora o DNIT tenha contra-argumentado que o edital admite a participação de consórcios, </w:t>
      </w:r>
      <w:r w:rsidR="00074586">
        <w:rPr>
          <w:b w:val="0"/>
          <w:i w:val="0"/>
          <w:iCs w:val="0"/>
          <w:sz w:val="22"/>
          <w:szCs w:val="22"/>
        </w:rPr>
        <w:t>o relator concluiu</w:t>
      </w:r>
      <w:r w:rsidRPr="001A6DFB">
        <w:rPr>
          <w:b w:val="0"/>
          <w:i w:val="0"/>
          <w:iCs w:val="0"/>
          <w:sz w:val="22"/>
          <w:szCs w:val="22"/>
        </w:rPr>
        <w:t xml:space="preserve"> que, no caso concreto, essa solução restringe a competitividade. Primeiro, porque existem muitas empresas no mercado que, apesar de possuírem condições de executar os serviços se estes forem parcelados, não possuem suficiente grau de articulação com empresas de ramos distintos para formarem consórcios. Esse fato, por si só, </w:t>
      </w:r>
      <w:r w:rsidR="00074586" w:rsidRPr="00074586">
        <w:rPr>
          <w:b w:val="0"/>
          <w:iCs w:val="0"/>
          <w:sz w:val="22"/>
          <w:szCs w:val="22"/>
        </w:rPr>
        <w:t>“</w:t>
      </w:r>
      <w:r w:rsidRPr="00074586">
        <w:rPr>
          <w:b w:val="0"/>
          <w:iCs w:val="0"/>
          <w:sz w:val="22"/>
          <w:szCs w:val="22"/>
        </w:rPr>
        <w:t>já reduz o número potencial de empresas concorrentes</w:t>
      </w:r>
      <w:r w:rsidR="00074586" w:rsidRPr="00074586">
        <w:rPr>
          <w:b w:val="0"/>
          <w:iCs w:val="0"/>
          <w:sz w:val="22"/>
          <w:szCs w:val="22"/>
        </w:rPr>
        <w:t>”</w:t>
      </w:r>
      <w:r w:rsidRPr="001A6DFB">
        <w:rPr>
          <w:b w:val="0"/>
          <w:i w:val="0"/>
          <w:iCs w:val="0"/>
          <w:sz w:val="22"/>
          <w:szCs w:val="22"/>
        </w:rPr>
        <w:t xml:space="preserve">. </w:t>
      </w:r>
      <w:r w:rsidR="00240975">
        <w:rPr>
          <w:b w:val="0"/>
          <w:i w:val="0"/>
          <w:iCs w:val="0"/>
          <w:sz w:val="22"/>
          <w:szCs w:val="22"/>
        </w:rPr>
        <w:t>Segundo, porque</w:t>
      </w:r>
      <w:r w:rsidR="00074586">
        <w:rPr>
          <w:b w:val="0"/>
          <w:i w:val="0"/>
          <w:iCs w:val="0"/>
          <w:sz w:val="22"/>
          <w:szCs w:val="22"/>
        </w:rPr>
        <w:t>, não obstante</w:t>
      </w:r>
      <w:r w:rsidRPr="001A6DFB">
        <w:rPr>
          <w:b w:val="0"/>
          <w:i w:val="0"/>
          <w:iCs w:val="0"/>
          <w:sz w:val="22"/>
          <w:szCs w:val="22"/>
        </w:rPr>
        <w:t xml:space="preserve"> a opção pelo consórcio </w:t>
      </w:r>
      <w:r w:rsidR="0000094F">
        <w:rPr>
          <w:b w:val="0"/>
          <w:i w:val="0"/>
          <w:iCs w:val="0"/>
          <w:sz w:val="22"/>
          <w:szCs w:val="22"/>
        </w:rPr>
        <w:t>ser</w:t>
      </w:r>
      <w:r w:rsidRPr="001A6DFB">
        <w:rPr>
          <w:b w:val="0"/>
          <w:i w:val="0"/>
          <w:iCs w:val="0"/>
          <w:sz w:val="22"/>
          <w:szCs w:val="22"/>
        </w:rPr>
        <w:t xml:space="preserve"> uma faculdade da Administração, </w:t>
      </w:r>
      <w:r w:rsidR="0000094F">
        <w:rPr>
          <w:b w:val="0"/>
          <w:i w:val="0"/>
          <w:iCs w:val="0"/>
          <w:sz w:val="22"/>
          <w:szCs w:val="22"/>
        </w:rPr>
        <w:t>t</w:t>
      </w:r>
      <w:r w:rsidRPr="001A6DFB">
        <w:rPr>
          <w:b w:val="0"/>
          <w:i w:val="0"/>
          <w:iCs w:val="0"/>
          <w:sz w:val="22"/>
          <w:szCs w:val="22"/>
        </w:rPr>
        <w:t>a</w:t>
      </w:r>
      <w:r w:rsidR="0000094F">
        <w:rPr>
          <w:b w:val="0"/>
          <w:i w:val="0"/>
          <w:iCs w:val="0"/>
          <w:sz w:val="22"/>
          <w:szCs w:val="22"/>
        </w:rPr>
        <w:t>l</w:t>
      </w:r>
      <w:r w:rsidRPr="001A6DFB">
        <w:rPr>
          <w:b w:val="0"/>
          <w:i w:val="0"/>
          <w:iCs w:val="0"/>
          <w:sz w:val="22"/>
          <w:szCs w:val="22"/>
        </w:rPr>
        <w:t xml:space="preserve"> escolha se justifica apenas sob certas circunstâncias, quando necessário aumentar a competitividade do certame, em face da complexidade </w:t>
      </w:r>
      <w:r w:rsidR="00074586" w:rsidRPr="001A6DFB">
        <w:rPr>
          <w:b w:val="0"/>
          <w:i w:val="0"/>
          <w:iCs w:val="0"/>
          <w:sz w:val="22"/>
          <w:szCs w:val="22"/>
        </w:rPr>
        <w:t xml:space="preserve">dos serviços pretendidos </w:t>
      </w:r>
      <w:r w:rsidRPr="001A6DFB">
        <w:rPr>
          <w:b w:val="0"/>
          <w:i w:val="0"/>
          <w:iCs w:val="0"/>
          <w:sz w:val="22"/>
          <w:szCs w:val="22"/>
        </w:rPr>
        <w:t xml:space="preserve">ou das </w:t>
      </w:r>
      <w:r w:rsidR="00074586" w:rsidRPr="001A6DFB">
        <w:rPr>
          <w:b w:val="0"/>
          <w:i w:val="0"/>
          <w:iCs w:val="0"/>
          <w:sz w:val="22"/>
          <w:szCs w:val="22"/>
        </w:rPr>
        <w:t xml:space="preserve">peculiaridades </w:t>
      </w:r>
      <w:r w:rsidRPr="001A6DFB">
        <w:rPr>
          <w:b w:val="0"/>
          <w:i w:val="0"/>
          <w:iCs w:val="0"/>
          <w:sz w:val="22"/>
          <w:szCs w:val="22"/>
        </w:rPr>
        <w:t>do mercado</w:t>
      </w:r>
      <w:r w:rsidR="00074586">
        <w:rPr>
          <w:b w:val="0"/>
          <w:i w:val="0"/>
          <w:iCs w:val="0"/>
          <w:sz w:val="22"/>
          <w:szCs w:val="22"/>
        </w:rPr>
        <w:t xml:space="preserve">, </w:t>
      </w:r>
      <w:r w:rsidR="00240975">
        <w:rPr>
          <w:b w:val="0"/>
          <w:i w:val="0"/>
          <w:iCs w:val="0"/>
          <w:sz w:val="22"/>
          <w:szCs w:val="22"/>
        </w:rPr>
        <w:t xml:space="preserve">premissas que, segundo o relator, </w:t>
      </w:r>
      <w:r w:rsidR="00074586">
        <w:rPr>
          <w:b w:val="0"/>
          <w:i w:val="0"/>
          <w:iCs w:val="0"/>
          <w:sz w:val="22"/>
          <w:szCs w:val="22"/>
        </w:rPr>
        <w:t>não se faz</w:t>
      </w:r>
      <w:r w:rsidR="00240975">
        <w:rPr>
          <w:b w:val="0"/>
          <w:i w:val="0"/>
          <w:iCs w:val="0"/>
          <w:sz w:val="22"/>
          <w:szCs w:val="22"/>
        </w:rPr>
        <w:t>em</w:t>
      </w:r>
      <w:r w:rsidR="00074586">
        <w:rPr>
          <w:b w:val="0"/>
          <w:i w:val="0"/>
          <w:iCs w:val="0"/>
          <w:sz w:val="22"/>
          <w:szCs w:val="22"/>
        </w:rPr>
        <w:t xml:space="preserve"> presentes </w:t>
      </w:r>
      <w:r w:rsidRPr="001A6DFB">
        <w:rPr>
          <w:b w:val="0"/>
          <w:i w:val="0"/>
          <w:iCs w:val="0"/>
          <w:sz w:val="22"/>
          <w:szCs w:val="22"/>
        </w:rPr>
        <w:t xml:space="preserve">no caso </w:t>
      </w:r>
      <w:r w:rsidR="0000094F">
        <w:rPr>
          <w:b w:val="0"/>
          <w:i w:val="0"/>
          <w:iCs w:val="0"/>
          <w:sz w:val="22"/>
          <w:szCs w:val="22"/>
        </w:rPr>
        <w:t>concreto</w:t>
      </w:r>
      <w:r w:rsidRPr="001A6DFB">
        <w:rPr>
          <w:b w:val="0"/>
          <w:i w:val="0"/>
          <w:iCs w:val="0"/>
          <w:sz w:val="22"/>
          <w:szCs w:val="22"/>
        </w:rPr>
        <w:t>.</w:t>
      </w:r>
      <w:r w:rsidR="00074586">
        <w:rPr>
          <w:b w:val="0"/>
          <w:i w:val="0"/>
          <w:iCs w:val="0"/>
          <w:sz w:val="22"/>
          <w:szCs w:val="22"/>
        </w:rPr>
        <w:t xml:space="preserve"> </w:t>
      </w:r>
      <w:r w:rsidR="00240975">
        <w:rPr>
          <w:b w:val="0"/>
          <w:i w:val="0"/>
          <w:iCs w:val="0"/>
          <w:sz w:val="22"/>
          <w:szCs w:val="22"/>
        </w:rPr>
        <w:t>Em seu voto, r</w:t>
      </w:r>
      <w:r w:rsidRPr="001A6DFB">
        <w:rPr>
          <w:b w:val="0"/>
          <w:i w:val="0"/>
          <w:iCs w:val="0"/>
          <w:sz w:val="22"/>
          <w:szCs w:val="22"/>
        </w:rPr>
        <w:t>essalto</w:t>
      </w:r>
      <w:r w:rsidR="00240975">
        <w:rPr>
          <w:b w:val="0"/>
          <w:i w:val="0"/>
          <w:iCs w:val="0"/>
          <w:sz w:val="22"/>
          <w:szCs w:val="22"/>
        </w:rPr>
        <w:t>u</w:t>
      </w:r>
      <w:r w:rsidR="00074586">
        <w:rPr>
          <w:b w:val="0"/>
          <w:i w:val="0"/>
          <w:iCs w:val="0"/>
          <w:sz w:val="22"/>
          <w:szCs w:val="22"/>
        </w:rPr>
        <w:t>, ainda,</w:t>
      </w:r>
      <w:r w:rsidRPr="001A6DFB">
        <w:rPr>
          <w:b w:val="0"/>
          <w:i w:val="0"/>
          <w:iCs w:val="0"/>
          <w:sz w:val="22"/>
          <w:szCs w:val="22"/>
        </w:rPr>
        <w:t xml:space="preserve"> não est</w:t>
      </w:r>
      <w:r w:rsidR="0000094F">
        <w:rPr>
          <w:b w:val="0"/>
          <w:i w:val="0"/>
          <w:iCs w:val="0"/>
          <w:sz w:val="22"/>
          <w:szCs w:val="22"/>
        </w:rPr>
        <w:t>ar</w:t>
      </w:r>
      <w:r w:rsidRPr="001A6DFB">
        <w:rPr>
          <w:b w:val="0"/>
          <w:i w:val="0"/>
          <w:iCs w:val="0"/>
          <w:sz w:val="22"/>
          <w:szCs w:val="22"/>
        </w:rPr>
        <w:t xml:space="preserve"> a reprovar a admissão de consórcios na licitação sob exame</w:t>
      </w:r>
      <w:r w:rsidR="00074586">
        <w:rPr>
          <w:b w:val="0"/>
          <w:i w:val="0"/>
          <w:iCs w:val="0"/>
          <w:sz w:val="22"/>
          <w:szCs w:val="22"/>
        </w:rPr>
        <w:t xml:space="preserve">, </w:t>
      </w:r>
      <w:r w:rsidR="0000094F">
        <w:rPr>
          <w:b w:val="0"/>
          <w:i w:val="0"/>
          <w:iCs w:val="0"/>
          <w:sz w:val="22"/>
          <w:szCs w:val="22"/>
        </w:rPr>
        <w:t xml:space="preserve">sustentando </w:t>
      </w:r>
      <w:r w:rsidR="00074586">
        <w:rPr>
          <w:b w:val="0"/>
          <w:i w:val="0"/>
          <w:iCs w:val="0"/>
          <w:sz w:val="22"/>
          <w:szCs w:val="22"/>
        </w:rPr>
        <w:t xml:space="preserve">apenas </w:t>
      </w:r>
      <w:r w:rsidRPr="001A6DFB">
        <w:rPr>
          <w:b w:val="0"/>
          <w:i w:val="0"/>
          <w:iCs w:val="0"/>
          <w:sz w:val="22"/>
          <w:szCs w:val="22"/>
        </w:rPr>
        <w:t>que essa solução, alegada pelo DNIT como fator de compensação às exigências editalícias e à aglutinação dos serviços em objeto único, não afasta a necessidade de parcela</w:t>
      </w:r>
      <w:r w:rsidR="00240975">
        <w:rPr>
          <w:b w:val="0"/>
          <w:i w:val="0"/>
          <w:iCs w:val="0"/>
          <w:sz w:val="22"/>
          <w:szCs w:val="22"/>
        </w:rPr>
        <w:t>mento</w:t>
      </w:r>
      <w:r w:rsidRPr="001A6DFB">
        <w:rPr>
          <w:b w:val="0"/>
          <w:i w:val="0"/>
          <w:iCs w:val="0"/>
          <w:sz w:val="22"/>
          <w:szCs w:val="22"/>
        </w:rPr>
        <w:t xml:space="preserve"> </w:t>
      </w:r>
      <w:r w:rsidR="00240975">
        <w:rPr>
          <w:b w:val="0"/>
          <w:i w:val="0"/>
          <w:iCs w:val="0"/>
          <w:sz w:val="22"/>
          <w:szCs w:val="22"/>
        </w:rPr>
        <w:t>d</w:t>
      </w:r>
      <w:r w:rsidRPr="001A6DFB">
        <w:rPr>
          <w:b w:val="0"/>
          <w:i w:val="0"/>
          <w:iCs w:val="0"/>
          <w:sz w:val="22"/>
          <w:szCs w:val="22"/>
        </w:rPr>
        <w:t>o objeto pretendido.</w:t>
      </w:r>
      <w:r w:rsidR="00074586">
        <w:rPr>
          <w:b w:val="0"/>
          <w:i w:val="0"/>
          <w:iCs w:val="0"/>
          <w:sz w:val="22"/>
          <w:szCs w:val="22"/>
        </w:rPr>
        <w:t xml:space="preserve"> </w:t>
      </w:r>
      <w:r w:rsidR="00A07B7F">
        <w:rPr>
          <w:b w:val="0"/>
          <w:i w:val="0"/>
          <w:iCs w:val="0"/>
          <w:sz w:val="22"/>
          <w:szCs w:val="22"/>
        </w:rPr>
        <w:t>Acolhendo o voto do relator</w:t>
      </w:r>
      <w:r w:rsidR="00074586">
        <w:rPr>
          <w:b w:val="0"/>
          <w:i w:val="0"/>
          <w:iCs w:val="0"/>
          <w:sz w:val="22"/>
          <w:szCs w:val="22"/>
        </w:rPr>
        <w:t xml:space="preserve">, o Plenário decidiu </w:t>
      </w:r>
      <w:r w:rsidRPr="001A6DFB">
        <w:rPr>
          <w:b w:val="0"/>
          <w:i w:val="0"/>
          <w:iCs w:val="0"/>
          <w:sz w:val="22"/>
          <w:szCs w:val="22"/>
        </w:rPr>
        <w:t xml:space="preserve">determinar ao DNIT que </w:t>
      </w:r>
      <w:r w:rsidR="00074586" w:rsidRPr="00074586">
        <w:rPr>
          <w:b w:val="0"/>
          <w:iCs w:val="0"/>
          <w:sz w:val="22"/>
          <w:szCs w:val="22"/>
        </w:rPr>
        <w:t>“</w:t>
      </w:r>
      <w:r w:rsidRPr="00074586">
        <w:rPr>
          <w:b w:val="0"/>
          <w:iCs w:val="0"/>
          <w:sz w:val="22"/>
          <w:szCs w:val="22"/>
        </w:rPr>
        <w:t>adote as providências necessárias ao exato cumprimento da lei, no tocante à Concorrência 174/2010, de modo a sanear as irregularidades apontadas na presente Representação, informando a este Tribunal, no prazo de 30 (trinta) dias, contados da ciência, sobre as providências adotadas</w:t>
      </w:r>
      <w:r w:rsidR="00074586" w:rsidRPr="00074586">
        <w:rPr>
          <w:b w:val="0"/>
          <w:iCs w:val="0"/>
          <w:sz w:val="22"/>
          <w:szCs w:val="22"/>
        </w:rPr>
        <w:t>”</w:t>
      </w:r>
      <w:r w:rsidR="00074586">
        <w:rPr>
          <w:b w:val="0"/>
          <w:i w:val="0"/>
          <w:iCs w:val="0"/>
          <w:sz w:val="22"/>
          <w:szCs w:val="22"/>
        </w:rPr>
        <w:t xml:space="preserve">. Precedentes citados: </w:t>
      </w:r>
      <w:r w:rsidR="00074586" w:rsidRPr="001A6DFB">
        <w:rPr>
          <w:b w:val="0"/>
          <w:i w:val="0"/>
          <w:iCs w:val="0"/>
          <w:sz w:val="22"/>
          <w:szCs w:val="22"/>
        </w:rPr>
        <w:t>Acórdão</w:t>
      </w:r>
      <w:r w:rsidR="00074586">
        <w:rPr>
          <w:b w:val="0"/>
          <w:i w:val="0"/>
          <w:iCs w:val="0"/>
          <w:sz w:val="22"/>
          <w:szCs w:val="22"/>
        </w:rPr>
        <w:t>s</w:t>
      </w:r>
      <w:r w:rsidR="00074586" w:rsidRPr="001A6DFB">
        <w:rPr>
          <w:b w:val="0"/>
          <w:i w:val="0"/>
          <w:iCs w:val="0"/>
          <w:sz w:val="22"/>
          <w:szCs w:val="22"/>
        </w:rPr>
        <w:t xml:space="preserve"> </w:t>
      </w:r>
      <w:r w:rsidR="00074586">
        <w:rPr>
          <w:b w:val="0"/>
          <w:i w:val="0"/>
          <w:iCs w:val="0"/>
          <w:sz w:val="22"/>
          <w:szCs w:val="22"/>
        </w:rPr>
        <w:t>n.</w:t>
      </w:r>
      <w:r w:rsidR="00074586" w:rsidRPr="00074586">
        <w:rPr>
          <w:b w:val="0"/>
          <w:i w:val="0"/>
          <w:iCs w:val="0"/>
          <w:sz w:val="22"/>
          <w:szCs w:val="22"/>
          <w:vertAlign w:val="superscript"/>
        </w:rPr>
        <w:t>os</w:t>
      </w:r>
      <w:r w:rsidR="00074586">
        <w:rPr>
          <w:b w:val="0"/>
          <w:i w:val="0"/>
          <w:iCs w:val="0"/>
          <w:sz w:val="22"/>
          <w:szCs w:val="22"/>
        </w:rPr>
        <w:t xml:space="preserve"> </w:t>
      </w:r>
      <w:r w:rsidR="00074586" w:rsidRPr="001A6DFB">
        <w:rPr>
          <w:b w:val="0"/>
          <w:i w:val="0"/>
          <w:iCs w:val="0"/>
          <w:sz w:val="22"/>
          <w:szCs w:val="22"/>
        </w:rPr>
        <w:t>280/2010</w:t>
      </w:r>
      <w:r w:rsidR="00074586">
        <w:rPr>
          <w:b w:val="0"/>
          <w:i w:val="0"/>
          <w:iCs w:val="0"/>
          <w:sz w:val="22"/>
          <w:szCs w:val="22"/>
        </w:rPr>
        <w:t xml:space="preserve"> e </w:t>
      </w:r>
      <w:r w:rsidR="00074586" w:rsidRPr="001A6DFB">
        <w:rPr>
          <w:b w:val="0"/>
          <w:i w:val="0"/>
          <w:iCs w:val="0"/>
          <w:sz w:val="22"/>
          <w:szCs w:val="22"/>
        </w:rPr>
        <w:t>2.295/2005</w:t>
      </w:r>
      <w:r w:rsidR="00074586">
        <w:rPr>
          <w:b w:val="0"/>
          <w:i w:val="0"/>
          <w:iCs w:val="0"/>
          <w:sz w:val="22"/>
          <w:szCs w:val="22"/>
        </w:rPr>
        <w:t xml:space="preserve">, ambos do </w:t>
      </w:r>
      <w:r w:rsidR="00074586" w:rsidRPr="001A6DFB">
        <w:rPr>
          <w:b w:val="0"/>
          <w:i w:val="0"/>
          <w:iCs w:val="0"/>
          <w:sz w:val="22"/>
          <w:szCs w:val="22"/>
        </w:rPr>
        <w:t>Plenário</w:t>
      </w:r>
      <w:r w:rsidR="00074586">
        <w:rPr>
          <w:b w:val="0"/>
          <w:i w:val="0"/>
          <w:iCs w:val="0"/>
          <w:sz w:val="22"/>
          <w:szCs w:val="22"/>
        </w:rPr>
        <w:t xml:space="preserve">. </w:t>
      </w:r>
      <w:r w:rsidRPr="00074586">
        <w:rPr>
          <w:sz w:val="22"/>
          <w:szCs w:val="22"/>
        </w:rPr>
        <w:t>Acórdão n.º 23</w:t>
      </w:r>
      <w:r w:rsidR="007C27F1" w:rsidRPr="00074586">
        <w:rPr>
          <w:sz w:val="22"/>
          <w:szCs w:val="22"/>
        </w:rPr>
        <w:t>95</w:t>
      </w:r>
      <w:r w:rsidRPr="00074586">
        <w:rPr>
          <w:sz w:val="22"/>
          <w:szCs w:val="22"/>
        </w:rPr>
        <w:t>/2010-Plenário, TC-01</w:t>
      </w:r>
      <w:r w:rsidR="007C27F1" w:rsidRPr="00074586">
        <w:rPr>
          <w:sz w:val="22"/>
          <w:szCs w:val="22"/>
        </w:rPr>
        <w:t>6</w:t>
      </w:r>
      <w:r w:rsidRPr="00074586">
        <w:rPr>
          <w:sz w:val="22"/>
          <w:szCs w:val="22"/>
        </w:rPr>
        <w:t>.</w:t>
      </w:r>
      <w:r w:rsidR="007C27F1" w:rsidRPr="00074586">
        <w:rPr>
          <w:sz w:val="22"/>
          <w:szCs w:val="22"/>
        </w:rPr>
        <w:t>449</w:t>
      </w:r>
      <w:r w:rsidRPr="00074586">
        <w:rPr>
          <w:sz w:val="22"/>
          <w:szCs w:val="22"/>
        </w:rPr>
        <w:t>/2010-</w:t>
      </w:r>
      <w:r w:rsidR="007C27F1" w:rsidRPr="00074586">
        <w:rPr>
          <w:sz w:val="22"/>
          <w:szCs w:val="22"/>
        </w:rPr>
        <w:t>0</w:t>
      </w:r>
      <w:r w:rsidRPr="00074586">
        <w:rPr>
          <w:sz w:val="22"/>
          <w:szCs w:val="22"/>
        </w:rPr>
        <w:t xml:space="preserve">, rel. Min. </w:t>
      </w:r>
      <w:r w:rsidR="007C27F1" w:rsidRPr="00074586">
        <w:rPr>
          <w:sz w:val="22"/>
          <w:szCs w:val="22"/>
        </w:rPr>
        <w:t>Raimundo Carreiro</w:t>
      </w:r>
      <w:r w:rsidRPr="00074586">
        <w:rPr>
          <w:sz w:val="22"/>
          <w:szCs w:val="22"/>
        </w:rPr>
        <w:t>, 15.09.2010</w:t>
      </w:r>
      <w:r w:rsidRPr="00337E16">
        <w:rPr>
          <w:sz w:val="22"/>
          <w:szCs w:val="22"/>
        </w:rPr>
        <w:t>.</w:t>
      </w:r>
    </w:p>
    <w:p w:rsidR="001A6DFB" w:rsidRPr="00337E16" w:rsidRDefault="001A6DFB" w:rsidP="001A6DFB">
      <w:pPr>
        <w:pStyle w:val="indice"/>
        <w:tabs>
          <w:tab w:val="left" w:pos="567"/>
        </w:tabs>
        <w:spacing w:before="60" w:line="240" w:lineRule="auto"/>
      </w:pPr>
    </w:p>
    <w:p w:rsidR="00540934" w:rsidRPr="00540934" w:rsidRDefault="00540934" w:rsidP="00337E16">
      <w:pPr>
        <w:pStyle w:val="tita"/>
        <w:spacing w:before="0" w:after="0" w:line="240" w:lineRule="auto"/>
        <w:jc w:val="both"/>
        <w:rPr>
          <w:i w:val="0"/>
          <w:iCs w:val="0"/>
          <w:sz w:val="22"/>
          <w:szCs w:val="22"/>
        </w:rPr>
      </w:pPr>
      <w:r w:rsidRPr="00540934">
        <w:rPr>
          <w:i w:val="0"/>
          <w:sz w:val="22"/>
          <w:szCs w:val="22"/>
        </w:rPr>
        <w:t>Pregão para prestação de serviços técnicos de gerenciamento, supervisão, apoio à fiscalização e acompanhamento de obras portuárias</w:t>
      </w:r>
    </w:p>
    <w:p w:rsidR="00540934" w:rsidRPr="00DF7504" w:rsidRDefault="00E362FC" w:rsidP="00337E16">
      <w:pPr>
        <w:pStyle w:val="tita"/>
        <w:spacing w:before="0" w:after="0" w:line="240" w:lineRule="auto"/>
        <w:jc w:val="both"/>
        <w:rPr>
          <w:iCs w:val="0"/>
          <w:sz w:val="22"/>
          <w:szCs w:val="22"/>
        </w:rPr>
      </w:pPr>
      <w:r>
        <w:rPr>
          <w:b w:val="0"/>
          <w:i w:val="0"/>
          <w:iCs w:val="0"/>
          <w:sz w:val="22"/>
          <w:szCs w:val="22"/>
        </w:rPr>
        <w:t>O relator</w:t>
      </w:r>
      <w:r w:rsidR="00DF7504" w:rsidRPr="00DF7504">
        <w:rPr>
          <w:b w:val="0"/>
          <w:i w:val="0"/>
          <w:iCs w:val="0"/>
          <w:sz w:val="22"/>
          <w:szCs w:val="22"/>
        </w:rPr>
        <w:t xml:space="preserve"> comunico</w:t>
      </w:r>
      <w:r>
        <w:rPr>
          <w:b w:val="0"/>
          <w:i w:val="0"/>
          <w:iCs w:val="0"/>
          <w:sz w:val="22"/>
          <w:szCs w:val="22"/>
        </w:rPr>
        <w:t xml:space="preserve">u ao </w:t>
      </w:r>
      <w:r w:rsidR="00DF7504" w:rsidRPr="00DF7504">
        <w:rPr>
          <w:b w:val="0"/>
          <w:i w:val="0"/>
          <w:iCs w:val="0"/>
          <w:sz w:val="22"/>
          <w:szCs w:val="22"/>
        </w:rPr>
        <w:t xml:space="preserve">Plenário </w:t>
      </w:r>
      <w:r>
        <w:rPr>
          <w:b w:val="0"/>
          <w:i w:val="0"/>
          <w:iCs w:val="0"/>
          <w:sz w:val="22"/>
          <w:szCs w:val="22"/>
        </w:rPr>
        <w:t>haver revogado</w:t>
      </w:r>
      <w:r w:rsidR="00DF7504" w:rsidRPr="00DF7504">
        <w:rPr>
          <w:b w:val="0"/>
          <w:i w:val="0"/>
          <w:iCs w:val="0"/>
          <w:sz w:val="22"/>
          <w:szCs w:val="22"/>
        </w:rPr>
        <w:t xml:space="preserve"> medida cautelar que determin</w:t>
      </w:r>
      <w:r w:rsidR="007B0EF7">
        <w:rPr>
          <w:b w:val="0"/>
          <w:i w:val="0"/>
          <w:iCs w:val="0"/>
          <w:sz w:val="22"/>
          <w:szCs w:val="22"/>
        </w:rPr>
        <w:t>ara</w:t>
      </w:r>
      <w:r w:rsidR="00DF7504" w:rsidRPr="00DF7504">
        <w:rPr>
          <w:b w:val="0"/>
          <w:i w:val="0"/>
          <w:iCs w:val="0"/>
          <w:sz w:val="22"/>
          <w:szCs w:val="22"/>
        </w:rPr>
        <w:t xml:space="preserve"> a suspensão, pela Companhia Docas do Espírito Santo (Codesa), dos atos referentes ao Pregão Eletrônico n.º 033/2010</w:t>
      </w:r>
      <w:r w:rsidR="00396237">
        <w:rPr>
          <w:b w:val="0"/>
          <w:i w:val="0"/>
          <w:iCs w:val="0"/>
          <w:sz w:val="22"/>
          <w:szCs w:val="22"/>
        </w:rPr>
        <w:t>, destinado à</w:t>
      </w:r>
      <w:r>
        <w:rPr>
          <w:b w:val="0"/>
          <w:i w:val="0"/>
          <w:iCs w:val="0"/>
          <w:sz w:val="22"/>
          <w:szCs w:val="22"/>
        </w:rPr>
        <w:t xml:space="preserve"> </w:t>
      </w:r>
      <w:r w:rsidR="00DF7504" w:rsidRPr="00DF7504">
        <w:rPr>
          <w:b w:val="0"/>
          <w:i w:val="0"/>
          <w:iCs w:val="0"/>
          <w:sz w:val="22"/>
          <w:szCs w:val="22"/>
        </w:rPr>
        <w:t xml:space="preserve">contratação de empresa para </w:t>
      </w:r>
      <w:r>
        <w:rPr>
          <w:b w:val="0"/>
          <w:i w:val="0"/>
          <w:iCs w:val="0"/>
          <w:sz w:val="22"/>
          <w:szCs w:val="22"/>
        </w:rPr>
        <w:t>prestação</w:t>
      </w:r>
      <w:r w:rsidR="00DF7504" w:rsidRPr="00DF7504">
        <w:rPr>
          <w:b w:val="0"/>
          <w:i w:val="0"/>
          <w:iCs w:val="0"/>
          <w:sz w:val="22"/>
          <w:szCs w:val="22"/>
        </w:rPr>
        <w:t xml:space="preserve"> de serviços técnicos de gerenciamento, supervisão, apoio à fiscalização e acompanhamento das obras de reforma, alargamento e ampliação dos berços 101 e 102 do cais com</w:t>
      </w:r>
      <w:r>
        <w:rPr>
          <w:b w:val="0"/>
          <w:i w:val="0"/>
          <w:iCs w:val="0"/>
          <w:sz w:val="22"/>
          <w:szCs w:val="22"/>
        </w:rPr>
        <w:t>ercial do porto de Vitória</w:t>
      </w:r>
      <w:r w:rsidR="00F77EDC">
        <w:rPr>
          <w:b w:val="0"/>
          <w:i w:val="0"/>
          <w:iCs w:val="0"/>
          <w:sz w:val="22"/>
          <w:szCs w:val="22"/>
        </w:rPr>
        <w:t>/</w:t>
      </w:r>
      <w:r>
        <w:rPr>
          <w:b w:val="0"/>
          <w:i w:val="0"/>
          <w:iCs w:val="0"/>
          <w:sz w:val="22"/>
          <w:szCs w:val="22"/>
        </w:rPr>
        <w:t>ES</w:t>
      </w:r>
      <w:r w:rsidR="00DF7504" w:rsidRPr="00DF7504">
        <w:rPr>
          <w:b w:val="0"/>
          <w:i w:val="0"/>
          <w:iCs w:val="0"/>
          <w:sz w:val="22"/>
          <w:szCs w:val="22"/>
        </w:rPr>
        <w:t xml:space="preserve">. </w:t>
      </w:r>
      <w:r w:rsidRPr="00DF7504">
        <w:rPr>
          <w:b w:val="0"/>
          <w:i w:val="0"/>
          <w:iCs w:val="0"/>
          <w:sz w:val="22"/>
          <w:szCs w:val="22"/>
        </w:rPr>
        <w:t xml:space="preserve">Por entender, em sede de cognição sumária, não </w:t>
      </w:r>
      <w:r w:rsidR="004A3B81">
        <w:rPr>
          <w:b w:val="0"/>
          <w:i w:val="0"/>
          <w:iCs w:val="0"/>
          <w:sz w:val="22"/>
          <w:szCs w:val="22"/>
        </w:rPr>
        <w:t>restar</w:t>
      </w:r>
      <w:r w:rsidRPr="00DF7504">
        <w:rPr>
          <w:b w:val="0"/>
          <w:i w:val="0"/>
          <w:iCs w:val="0"/>
          <w:sz w:val="22"/>
          <w:szCs w:val="22"/>
        </w:rPr>
        <w:t xml:space="preserve"> </w:t>
      </w:r>
      <w:r w:rsidR="00F77EDC">
        <w:rPr>
          <w:b w:val="0"/>
          <w:i w:val="0"/>
          <w:iCs w:val="0"/>
          <w:sz w:val="22"/>
          <w:szCs w:val="22"/>
        </w:rPr>
        <w:t>evidenciada</w:t>
      </w:r>
      <w:r w:rsidRPr="00DF7504">
        <w:rPr>
          <w:b w:val="0"/>
          <w:i w:val="0"/>
          <w:iCs w:val="0"/>
          <w:sz w:val="22"/>
          <w:szCs w:val="22"/>
        </w:rPr>
        <w:t xml:space="preserve"> </w:t>
      </w:r>
      <w:r w:rsidR="00F77EDC">
        <w:rPr>
          <w:b w:val="0"/>
          <w:i w:val="0"/>
          <w:iCs w:val="0"/>
          <w:sz w:val="22"/>
          <w:szCs w:val="22"/>
        </w:rPr>
        <w:t xml:space="preserve">a </w:t>
      </w:r>
      <w:r w:rsidR="00F77EDC" w:rsidRPr="00DF7504">
        <w:rPr>
          <w:b w:val="0"/>
          <w:i w:val="0"/>
          <w:iCs w:val="0"/>
          <w:sz w:val="22"/>
          <w:szCs w:val="22"/>
        </w:rPr>
        <w:t xml:space="preserve">natureza comum </w:t>
      </w:r>
      <w:r w:rsidR="00F77EDC">
        <w:rPr>
          <w:b w:val="0"/>
          <w:i w:val="0"/>
          <w:iCs w:val="0"/>
          <w:sz w:val="22"/>
          <w:szCs w:val="22"/>
        </w:rPr>
        <w:t>do</w:t>
      </w:r>
      <w:r w:rsidRPr="00DF7504">
        <w:rPr>
          <w:b w:val="0"/>
          <w:i w:val="0"/>
          <w:iCs w:val="0"/>
          <w:sz w:val="22"/>
          <w:szCs w:val="22"/>
        </w:rPr>
        <w:t xml:space="preserve"> objeto do certame, </w:t>
      </w:r>
      <w:r w:rsidR="004A3B81">
        <w:rPr>
          <w:b w:val="0"/>
          <w:i w:val="0"/>
          <w:iCs w:val="0"/>
          <w:sz w:val="22"/>
          <w:szCs w:val="22"/>
        </w:rPr>
        <w:t>o que justificaria</w:t>
      </w:r>
      <w:r>
        <w:rPr>
          <w:b w:val="0"/>
          <w:i w:val="0"/>
          <w:iCs w:val="0"/>
          <w:sz w:val="22"/>
          <w:szCs w:val="22"/>
        </w:rPr>
        <w:t xml:space="preserve"> a adoção do pregão, o relator determ</w:t>
      </w:r>
      <w:r w:rsidR="00396237">
        <w:rPr>
          <w:b w:val="0"/>
          <w:i w:val="0"/>
          <w:iCs w:val="0"/>
          <w:sz w:val="22"/>
          <w:szCs w:val="22"/>
        </w:rPr>
        <w:t>i</w:t>
      </w:r>
      <w:r>
        <w:rPr>
          <w:b w:val="0"/>
          <w:i w:val="0"/>
          <w:iCs w:val="0"/>
          <w:sz w:val="22"/>
          <w:szCs w:val="22"/>
        </w:rPr>
        <w:t>nou</w:t>
      </w:r>
      <w:r w:rsidRPr="00DF7504">
        <w:rPr>
          <w:b w:val="0"/>
          <w:i w:val="0"/>
          <w:iCs w:val="0"/>
          <w:sz w:val="22"/>
          <w:szCs w:val="22"/>
        </w:rPr>
        <w:t xml:space="preserve"> a suspensão cautelar </w:t>
      </w:r>
      <w:r w:rsidR="00B159DD">
        <w:rPr>
          <w:b w:val="0"/>
          <w:i w:val="0"/>
          <w:iCs w:val="0"/>
          <w:sz w:val="22"/>
          <w:szCs w:val="22"/>
        </w:rPr>
        <w:t>da licitação</w:t>
      </w:r>
      <w:r w:rsidRPr="00DF7504">
        <w:rPr>
          <w:b w:val="0"/>
          <w:i w:val="0"/>
          <w:iCs w:val="0"/>
          <w:sz w:val="22"/>
          <w:szCs w:val="22"/>
        </w:rPr>
        <w:t xml:space="preserve"> e a oitiva dos responsáveis</w:t>
      </w:r>
      <w:r w:rsidR="00396237">
        <w:rPr>
          <w:b w:val="0"/>
          <w:i w:val="0"/>
          <w:iCs w:val="0"/>
          <w:sz w:val="22"/>
          <w:szCs w:val="22"/>
        </w:rPr>
        <w:t xml:space="preserve"> (decisão noticiada no Informativo/TCU n.º 20)</w:t>
      </w:r>
      <w:r w:rsidRPr="00DF7504">
        <w:rPr>
          <w:b w:val="0"/>
          <w:i w:val="0"/>
          <w:iCs w:val="0"/>
          <w:sz w:val="22"/>
          <w:szCs w:val="22"/>
        </w:rPr>
        <w:t xml:space="preserve">. </w:t>
      </w:r>
      <w:r w:rsidR="00CD3B61">
        <w:rPr>
          <w:b w:val="0"/>
          <w:i w:val="0"/>
          <w:iCs w:val="0"/>
          <w:sz w:val="22"/>
          <w:szCs w:val="22"/>
        </w:rPr>
        <w:t xml:space="preserve">Considerando </w:t>
      </w:r>
      <w:r w:rsidR="004A3B81">
        <w:rPr>
          <w:b w:val="0"/>
          <w:i w:val="0"/>
          <w:iCs w:val="0"/>
          <w:sz w:val="22"/>
          <w:szCs w:val="22"/>
        </w:rPr>
        <w:t>a natureza</w:t>
      </w:r>
      <w:r w:rsidR="00DF7504" w:rsidRPr="00DF7504">
        <w:rPr>
          <w:b w:val="0"/>
          <w:i w:val="0"/>
          <w:iCs w:val="0"/>
          <w:sz w:val="22"/>
          <w:szCs w:val="22"/>
        </w:rPr>
        <w:t xml:space="preserve"> </w:t>
      </w:r>
      <w:r w:rsidR="004A3B81">
        <w:rPr>
          <w:b w:val="0"/>
          <w:i w:val="0"/>
          <w:iCs w:val="0"/>
          <w:sz w:val="22"/>
          <w:szCs w:val="22"/>
        </w:rPr>
        <w:t>da matéria</w:t>
      </w:r>
      <w:r w:rsidR="00DF7504" w:rsidRPr="00DF7504">
        <w:rPr>
          <w:b w:val="0"/>
          <w:i w:val="0"/>
          <w:iCs w:val="0"/>
          <w:sz w:val="22"/>
          <w:szCs w:val="22"/>
        </w:rPr>
        <w:t xml:space="preserve">, </w:t>
      </w:r>
      <w:r w:rsidR="00CD3B61">
        <w:rPr>
          <w:b w:val="0"/>
          <w:i w:val="0"/>
          <w:iCs w:val="0"/>
          <w:sz w:val="22"/>
          <w:szCs w:val="22"/>
        </w:rPr>
        <w:t xml:space="preserve">o relator </w:t>
      </w:r>
      <w:r w:rsidR="004A3B81">
        <w:rPr>
          <w:b w:val="0"/>
          <w:i w:val="0"/>
          <w:iCs w:val="0"/>
          <w:sz w:val="22"/>
          <w:szCs w:val="22"/>
        </w:rPr>
        <w:t>julgou</w:t>
      </w:r>
      <w:r w:rsidR="00CD3B61">
        <w:rPr>
          <w:b w:val="0"/>
          <w:i w:val="0"/>
          <w:iCs w:val="0"/>
          <w:sz w:val="22"/>
          <w:szCs w:val="22"/>
        </w:rPr>
        <w:t xml:space="preserve"> </w:t>
      </w:r>
      <w:r w:rsidR="00DF7504" w:rsidRPr="00DF7504">
        <w:rPr>
          <w:b w:val="0"/>
          <w:i w:val="0"/>
          <w:iCs w:val="0"/>
          <w:sz w:val="22"/>
          <w:szCs w:val="22"/>
        </w:rPr>
        <w:t xml:space="preserve">prudente ouvir a </w:t>
      </w:r>
      <w:r w:rsidR="00CD3B61">
        <w:rPr>
          <w:b w:val="0"/>
          <w:i w:val="0"/>
          <w:iCs w:val="0"/>
          <w:sz w:val="22"/>
          <w:szCs w:val="22"/>
        </w:rPr>
        <w:t>unidade técnica</w:t>
      </w:r>
      <w:r w:rsidR="00DF7504" w:rsidRPr="00DF7504">
        <w:rPr>
          <w:b w:val="0"/>
          <w:i w:val="0"/>
          <w:iCs w:val="0"/>
          <w:sz w:val="22"/>
          <w:szCs w:val="22"/>
        </w:rPr>
        <w:t xml:space="preserve"> </w:t>
      </w:r>
      <w:r w:rsidR="00396237">
        <w:rPr>
          <w:b w:val="0"/>
          <w:i w:val="0"/>
          <w:iCs w:val="0"/>
          <w:sz w:val="22"/>
          <w:szCs w:val="22"/>
        </w:rPr>
        <w:t xml:space="preserve">do TCU </w:t>
      </w:r>
      <w:r w:rsidR="00DF7504" w:rsidRPr="00DF7504">
        <w:rPr>
          <w:b w:val="0"/>
          <w:i w:val="0"/>
          <w:iCs w:val="0"/>
          <w:sz w:val="22"/>
          <w:szCs w:val="22"/>
        </w:rPr>
        <w:t>responsável pela fiscalização de obras portuárias</w:t>
      </w:r>
      <w:r w:rsidR="00396237">
        <w:rPr>
          <w:b w:val="0"/>
          <w:i w:val="0"/>
          <w:iCs w:val="0"/>
          <w:sz w:val="22"/>
          <w:szCs w:val="22"/>
        </w:rPr>
        <w:t xml:space="preserve">, que assim se </w:t>
      </w:r>
      <w:r w:rsidR="004A3B81">
        <w:rPr>
          <w:b w:val="0"/>
          <w:i w:val="0"/>
          <w:iCs w:val="0"/>
          <w:sz w:val="22"/>
          <w:szCs w:val="22"/>
        </w:rPr>
        <w:t>posicionou</w:t>
      </w:r>
      <w:r w:rsidR="00396237">
        <w:rPr>
          <w:b w:val="0"/>
          <w:i w:val="0"/>
          <w:iCs w:val="0"/>
          <w:sz w:val="22"/>
          <w:szCs w:val="22"/>
        </w:rPr>
        <w:t>, em síntese:</w:t>
      </w:r>
      <w:r w:rsidR="00CD3B61">
        <w:rPr>
          <w:b w:val="0"/>
          <w:i w:val="0"/>
          <w:iCs w:val="0"/>
          <w:sz w:val="22"/>
          <w:szCs w:val="22"/>
        </w:rPr>
        <w:t xml:space="preserve"> </w:t>
      </w:r>
      <w:r w:rsidR="00CD3B61">
        <w:rPr>
          <w:b w:val="0"/>
          <w:iCs w:val="0"/>
          <w:sz w:val="22"/>
          <w:szCs w:val="22"/>
        </w:rPr>
        <w:t>“</w:t>
      </w:r>
      <w:r w:rsidR="00DF7504" w:rsidRPr="00DF7504">
        <w:rPr>
          <w:b w:val="0"/>
          <w:iCs w:val="0"/>
          <w:sz w:val="22"/>
          <w:szCs w:val="22"/>
        </w:rPr>
        <w:t>Em manifestação recebida, afirmou-se que este TCU vem contratando o serviço de apoio à fiscalização de suas obras em todo o território nacional por meio de pregão eletrônico. No entanto, convém notar que não se vislumbra qualquer similaridade entre o serviço contratado por este Tribunal (apoio à fiscalização de obras promovidas pelo TCU em todo território nacional) e aquele pretendido pela Codesa (execução de serviços técnicos de gerenciamento, supervisão, apoio à fiscalização e acompanhamento das obras de reforma, alargamento e ampliação dos berços 101 e 102 do Cais Comercial do Porto de Vitória/ES), posto que o objeto do pregão eletrônico realizado pelo TCU trata de fiscalização de obras de edificação de forma geral</w:t>
      </w:r>
      <w:r w:rsidR="004A3B81">
        <w:rPr>
          <w:b w:val="0"/>
          <w:iCs w:val="0"/>
          <w:sz w:val="22"/>
          <w:szCs w:val="22"/>
        </w:rPr>
        <w:t>,</w:t>
      </w:r>
      <w:r w:rsidR="00DF7504" w:rsidRPr="00DF7504">
        <w:rPr>
          <w:b w:val="0"/>
          <w:iCs w:val="0"/>
          <w:sz w:val="22"/>
          <w:szCs w:val="22"/>
        </w:rPr>
        <w:t xml:space="preserve"> e aquele promovido pela Codesa aborda gerenciamento, supervisão, fiscalização e acompanhamento de obra portuária. Ante a natureza complexa do objeto em análise e o seu não enquadramento no conceito de serviço comum, conclui-se que a Codesa estaria impedida de valer-se unicamente do critério de menor preço para escolha da proposta mais vantajosa, regente da modalidade pregão. Contudo, tendo em vista o posicionamento deste Tribunal ao analisar os casos concretos, entende-se que não se deve suspender o processo de licitação em razão de o procedimento licitatório não haver provocado restrição à competitividade nem prejuízo para a Administração.</w:t>
      </w:r>
      <w:r w:rsidR="00CD3B61">
        <w:rPr>
          <w:b w:val="0"/>
          <w:iCs w:val="0"/>
          <w:sz w:val="22"/>
          <w:szCs w:val="22"/>
        </w:rPr>
        <w:t>”</w:t>
      </w:r>
      <w:r w:rsidR="00CD3B61">
        <w:rPr>
          <w:b w:val="0"/>
          <w:i w:val="0"/>
          <w:iCs w:val="0"/>
          <w:sz w:val="22"/>
          <w:szCs w:val="22"/>
        </w:rPr>
        <w:t>.</w:t>
      </w:r>
      <w:r w:rsidR="00DF7504" w:rsidRPr="00CD3B61">
        <w:rPr>
          <w:b w:val="0"/>
          <w:i w:val="0"/>
          <w:iCs w:val="0"/>
          <w:sz w:val="22"/>
          <w:szCs w:val="22"/>
        </w:rPr>
        <w:t xml:space="preserve"> </w:t>
      </w:r>
      <w:r w:rsidR="00E7355C">
        <w:rPr>
          <w:b w:val="0"/>
          <w:i w:val="0"/>
          <w:iCs w:val="0"/>
          <w:sz w:val="22"/>
          <w:szCs w:val="22"/>
        </w:rPr>
        <w:t xml:space="preserve">Acolhendo a manifestação da unidade técnica, e </w:t>
      </w:r>
      <w:r w:rsidR="004A3B81">
        <w:rPr>
          <w:b w:val="0"/>
          <w:i w:val="0"/>
          <w:iCs w:val="0"/>
          <w:sz w:val="22"/>
          <w:szCs w:val="22"/>
        </w:rPr>
        <w:t>a fim de embasar</w:t>
      </w:r>
      <w:r w:rsidR="00E7355C">
        <w:rPr>
          <w:b w:val="0"/>
          <w:i w:val="0"/>
          <w:iCs w:val="0"/>
          <w:sz w:val="22"/>
          <w:szCs w:val="22"/>
        </w:rPr>
        <w:t xml:space="preserve"> a sua decisão, o relator ressaltou a presença de </w:t>
      </w:r>
      <w:r w:rsidR="00DF7504" w:rsidRPr="00CD3B61">
        <w:rPr>
          <w:i w:val="0"/>
          <w:iCs w:val="0"/>
          <w:sz w:val="22"/>
          <w:szCs w:val="22"/>
        </w:rPr>
        <w:t xml:space="preserve">periculum in mora </w:t>
      </w:r>
      <w:r w:rsidR="00DF7504" w:rsidRPr="00E7355C">
        <w:rPr>
          <w:b w:val="0"/>
          <w:i w:val="0"/>
          <w:iCs w:val="0"/>
          <w:sz w:val="22"/>
          <w:szCs w:val="22"/>
        </w:rPr>
        <w:t>reverso</w:t>
      </w:r>
      <w:r w:rsidR="00E7355C">
        <w:rPr>
          <w:b w:val="0"/>
          <w:i w:val="0"/>
          <w:iCs w:val="0"/>
          <w:sz w:val="22"/>
          <w:szCs w:val="22"/>
        </w:rPr>
        <w:t>, decorrente do início das obras do porto</w:t>
      </w:r>
      <w:r w:rsidR="00DF7504" w:rsidRPr="00DF7504">
        <w:rPr>
          <w:b w:val="0"/>
          <w:i w:val="0"/>
          <w:iCs w:val="0"/>
          <w:sz w:val="22"/>
          <w:szCs w:val="22"/>
        </w:rPr>
        <w:t xml:space="preserve">. </w:t>
      </w:r>
      <w:r w:rsidR="00CD3B61">
        <w:rPr>
          <w:b w:val="0"/>
          <w:i w:val="0"/>
          <w:iCs w:val="0"/>
          <w:sz w:val="22"/>
          <w:szCs w:val="22"/>
        </w:rPr>
        <w:t xml:space="preserve">O Plenário referendou a </w:t>
      </w:r>
      <w:r w:rsidR="004A3B81">
        <w:rPr>
          <w:b w:val="0"/>
          <w:i w:val="0"/>
          <w:iCs w:val="0"/>
          <w:sz w:val="22"/>
          <w:szCs w:val="22"/>
        </w:rPr>
        <w:t xml:space="preserve">revogação da </w:t>
      </w:r>
      <w:r w:rsidR="00CD3B61">
        <w:rPr>
          <w:b w:val="0"/>
          <w:i w:val="0"/>
          <w:iCs w:val="0"/>
          <w:sz w:val="22"/>
          <w:szCs w:val="22"/>
        </w:rPr>
        <w:t xml:space="preserve">cautelar. Precedente citado: </w:t>
      </w:r>
      <w:r w:rsidR="00CD3B61" w:rsidRPr="00CD3B61">
        <w:rPr>
          <w:b w:val="0"/>
          <w:i w:val="0"/>
          <w:iCs w:val="0"/>
          <w:sz w:val="22"/>
          <w:szCs w:val="22"/>
        </w:rPr>
        <w:t xml:space="preserve">Acórdão </w:t>
      </w:r>
      <w:r w:rsidR="00CD3B61">
        <w:rPr>
          <w:b w:val="0"/>
          <w:i w:val="0"/>
          <w:iCs w:val="0"/>
          <w:sz w:val="22"/>
          <w:szCs w:val="22"/>
        </w:rPr>
        <w:t xml:space="preserve">n.º </w:t>
      </w:r>
      <w:r w:rsidR="00CD3B61" w:rsidRPr="00CD3B61">
        <w:rPr>
          <w:b w:val="0"/>
          <w:i w:val="0"/>
          <w:iCs w:val="0"/>
          <w:sz w:val="22"/>
          <w:szCs w:val="22"/>
        </w:rPr>
        <w:t>1</w:t>
      </w:r>
      <w:r w:rsidR="00CD3B61">
        <w:rPr>
          <w:b w:val="0"/>
          <w:i w:val="0"/>
          <w:iCs w:val="0"/>
          <w:sz w:val="22"/>
          <w:szCs w:val="22"/>
        </w:rPr>
        <w:t>.</w:t>
      </w:r>
      <w:r w:rsidR="00CD3B61" w:rsidRPr="00CD3B61">
        <w:rPr>
          <w:b w:val="0"/>
          <w:i w:val="0"/>
          <w:iCs w:val="0"/>
          <w:sz w:val="22"/>
          <w:szCs w:val="22"/>
        </w:rPr>
        <w:t>908/2008-P</w:t>
      </w:r>
      <w:r w:rsidR="00CD3B61">
        <w:rPr>
          <w:b w:val="0"/>
          <w:i w:val="0"/>
          <w:iCs w:val="0"/>
          <w:sz w:val="22"/>
          <w:szCs w:val="22"/>
        </w:rPr>
        <w:t xml:space="preserve">lenário. </w:t>
      </w:r>
      <w:r w:rsidR="00DF7504" w:rsidRPr="00DF7504">
        <w:rPr>
          <w:sz w:val="22"/>
          <w:szCs w:val="22"/>
        </w:rPr>
        <w:t xml:space="preserve">Decisão monocrática no TC-013.796/2010-0, rel. Min. Raimundo Carreiro, </w:t>
      </w:r>
      <w:r w:rsidR="00DF7504">
        <w:rPr>
          <w:sz w:val="22"/>
          <w:szCs w:val="22"/>
        </w:rPr>
        <w:t>15</w:t>
      </w:r>
      <w:r w:rsidR="00DF7504" w:rsidRPr="00DF7504">
        <w:rPr>
          <w:sz w:val="22"/>
          <w:szCs w:val="22"/>
        </w:rPr>
        <w:t>.0</w:t>
      </w:r>
      <w:r w:rsidR="00DF7504">
        <w:rPr>
          <w:sz w:val="22"/>
          <w:szCs w:val="22"/>
        </w:rPr>
        <w:t>9</w:t>
      </w:r>
      <w:r w:rsidR="00DF7504" w:rsidRPr="00DF7504">
        <w:rPr>
          <w:sz w:val="22"/>
          <w:szCs w:val="22"/>
        </w:rPr>
        <w:t>.2010.</w:t>
      </w:r>
    </w:p>
    <w:p w:rsidR="00540934" w:rsidRDefault="00540934" w:rsidP="00337E16">
      <w:pPr>
        <w:pStyle w:val="tita"/>
        <w:spacing w:before="0" w:after="0" w:line="240" w:lineRule="auto"/>
        <w:jc w:val="both"/>
        <w:rPr>
          <w:i w:val="0"/>
          <w:iCs w:val="0"/>
          <w:sz w:val="22"/>
          <w:szCs w:val="22"/>
        </w:rPr>
      </w:pPr>
    </w:p>
    <w:p w:rsidR="009241A2" w:rsidRPr="009241A2" w:rsidRDefault="009241A2" w:rsidP="009241A2">
      <w:pPr>
        <w:pStyle w:val="indice"/>
        <w:spacing w:before="60" w:line="240" w:lineRule="auto"/>
        <w:rPr>
          <w:b/>
        </w:rPr>
      </w:pPr>
      <w:r w:rsidRPr="009241A2">
        <w:rPr>
          <w:b/>
        </w:rPr>
        <w:t xml:space="preserve">Irregularidades contratuais: 1 - A suspensão do contrato impossibilita a produção de efeitos jurídicos, não alterando, </w:t>
      </w:r>
      <w:r w:rsidR="00702574">
        <w:rPr>
          <w:b/>
        </w:rPr>
        <w:t>no entanto</w:t>
      </w:r>
      <w:r w:rsidRPr="009241A2">
        <w:rPr>
          <w:b/>
        </w:rPr>
        <w:t>, a vigência contratual</w:t>
      </w:r>
    </w:p>
    <w:p w:rsidR="009241A2" w:rsidRPr="00337E16" w:rsidRDefault="009241A2" w:rsidP="006C07ED">
      <w:pPr>
        <w:pStyle w:val="tita"/>
        <w:spacing w:before="0" w:after="0" w:line="240" w:lineRule="auto"/>
        <w:jc w:val="both"/>
        <w:rPr>
          <w:sz w:val="22"/>
          <w:szCs w:val="22"/>
        </w:rPr>
      </w:pPr>
      <w:r w:rsidRPr="009241A2">
        <w:rPr>
          <w:b w:val="0"/>
          <w:i w:val="0"/>
          <w:iCs w:val="0"/>
          <w:sz w:val="22"/>
          <w:szCs w:val="22"/>
        </w:rPr>
        <w:t xml:space="preserve">Solicitação do Congresso Nacional </w:t>
      </w:r>
      <w:r w:rsidR="00702574">
        <w:rPr>
          <w:b w:val="0"/>
          <w:i w:val="0"/>
          <w:iCs w:val="0"/>
          <w:sz w:val="22"/>
          <w:szCs w:val="22"/>
        </w:rPr>
        <w:t>motivou a realização de inspeção</w:t>
      </w:r>
      <w:r w:rsidR="00702574" w:rsidRPr="009241A2">
        <w:rPr>
          <w:b w:val="0"/>
          <w:i w:val="0"/>
          <w:iCs w:val="0"/>
          <w:sz w:val="22"/>
          <w:szCs w:val="22"/>
        </w:rPr>
        <w:t xml:space="preserve"> </w:t>
      </w:r>
      <w:r w:rsidR="00147845">
        <w:rPr>
          <w:b w:val="0"/>
          <w:i w:val="0"/>
          <w:iCs w:val="0"/>
          <w:sz w:val="22"/>
          <w:szCs w:val="22"/>
        </w:rPr>
        <w:t>destinada a verificar</w:t>
      </w:r>
      <w:r w:rsidR="00702574">
        <w:rPr>
          <w:b w:val="0"/>
          <w:i w:val="0"/>
          <w:iCs w:val="0"/>
          <w:sz w:val="22"/>
          <w:szCs w:val="22"/>
        </w:rPr>
        <w:t xml:space="preserve">, entre outros </w:t>
      </w:r>
      <w:r w:rsidR="00147845">
        <w:rPr>
          <w:b w:val="0"/>
          <w:i w:val="0"/>
          <w:iCs w:val="0"/>
          <w:sz w:val="22"/>
          <w:szCs w:val="22"/>
        </w:rPr>
        <w:t>itens</w:t>
      </w:r>
      <w:r w:rsidR="00702574">
        <w:rPr>
          <w:b w:val="0"/>
          <w:i w:val="0"/>
          <w:iCs w:val="0"/>
          <w:sz w:val="22"/>
          <w:szCs w:val="22"/>
        </w:rPr>
        <w:t xml:space="preserve">, se </w:t>
      </w:r>
      <w:r w:rsidR="00702574" w:rsidRPr="009241A2">
        <w:rPr>
          <w:b w:val="0"/>
          <w:i w:val="0"/>
          <w:iCs w:val="0"/>
          <w:sz w:val="22"/>
          <w:szCs w:val="22"/>
        </w:rPr>
        <w:t xml:space="preserve">a decisão da Companhia Brasileira de Trens Urbanos </w:t>
      </w:r>
      <w:r w:rsidR="00702574">
        <w:rPr>
          <w:b w:val="0"/>
          <w:i w:val="0"/>
          <w:iCs w:val="0"/>
          <w:sz w:val="22"/>
          <w:szCs w:val="22"/>
        </w:rPr>
        <w:t>(</w:t>
      </w:r>
      <w:r w:rsidR="00702574" w:rsidRPr="009241A2">
        <w:rPr>
          <w:b w:val="0"/>
          <w:i w:val="0"/>
          <w:iCs w:val="0"/>
          <w:sz w:val="22"/>
          <w:szCs w:val="22"/>
        </w:rPr>
        <w:t>CBTU</w:t>
      </w:r>
      <w:r w:rsidR="00702574">
        <w:rPr>
          <w:b w:val="0"/>
          <w:i w:val="0"/>
          <w:iCs w:val="0"/>
          <w:sz w:val="22"/>
          <w:szCs w:val="22"/>
        </w:rPr>
        <w:t>)</w:t>
      </w:r>
      <w:r w:rsidR="00702574" w:rsidRPr="009241A2">
        <w:rPr>
          <w:b w:val="0"/>
          <w:i w:val="0"/>
          <w:iCs w:val="0"/>
          <w:sz w:val="22"/>
          <w:szCs w:val="22"/>
        </w:rPr>
        <w:t xml:space="preserve"> de rescindir o Contrato n.</w:t>
      </w:r>
      <w:r w:rsidR="00702574">
        <w:rPr>
          <w:b w:val="0"/>
          <w:i w:val="0"/>
          <w:iCs w:val="0"/>
          <w:sz w:val="22"/>
          <w:szCs w:val="22"/>
        </w:rPr>
        <w:t>º</w:t>
      </w:r>
      <w:r w:rsidR="00702574" w:rsidRPr="009241A2">
        <w:rPr>
          <w:b w:val="0"/>
          <w:i w:val="0"/>
          <w:iCs w:val="0"/>
          <w:sz w:val="22"/>
          <w:szCs w:val="22"/>
        </w:rPr>
        <w:t xml:space="preserve"> 031-88/DT</w:t>
      </w:r>
      <w:r w:rsidR="002B113E">
        <w:rPr>
          <w:b w:val="0"/>
          <w:i w:val="0"/>
          <w:iCs w:val="0"/>
          <w:sz w:val="22"/>
          <w:szCs w:val="22"/>
        </w:rPr>
        <w:t xml:space="preserve">, </w:t>
      </w:r>
      <w:r w:rsidR="00147845">
        <w:rPr>
          <w:b w:val="0"/>
          <w:i w:val="0"/>
          <w:iCs w:val="0"/>
          <w:sz w:val="22"/>
          <w:szCs w:val="22"/>
        </w:rPr>
        <w:t>tendo</w:t>
      </w:r>
      <w:r w:rsidR="002B113E">
        <w:rPr>
          <w:b w:val="0"/>
          <w:i w:val="0"/>
          <w:iCs w:val="0"/>
          <w:sz w:val="22"/>
          <w:szCs w:val="22"/>
        </w:rPr>
        <w:t xml:space="preserve"> por objeto a modernização de trens elétricos,</w:t>
      </w:r>
      <w:r w:rsidR="00702574" w:rsidRPr="009241A2">
        <w:rPr>
          <w:b w:val="0"/>
          <w:i w:val="0"/>
          <w:iCs w:val="0"/>
          <w:sz w:val="22"/>
          <w:szCs w:val="22"/>
        </w:rPr>
        <w:t xml:space="preserve"> contrariou a Lei n.</w:t>
      </w:r>
      <w:r w:rsidR="00702574">
        <w:rPr>
          <w:b w:val="0"/>
          <w:i w:val="0"/>
          <w:iCs w:val="0"/>
          <w:sz w:val="22"/>
          <w:szCs w:val="22"/>
        </w:rPr>
        <w:t>º</w:t>
      </w:r>
      <w:r w:rsidR="00702574" w:rsidRPr="009241A2">
        <w:rPr>
          <w:b w:val="0"/>
          <w:i w:val="0"/>
          <w:iCs w:val="0"/>
          <w:sz w:val="22"/>
          <w:szCs w:val="22"/>
        </w:rPr>
        <w:t xml:space="preserve"> 8.666/93 ou qualquer outro norm</w:t>
      </w:r>
      <w:r w:rsidR="00702574">
        <w:rPr>
          <w:b w:val="0"/>
          <w:i w:val="0"/>
          <w:iCs w:val="0"/>
          <w:sz w:val="22"/>
          <w:szCs w:val="22"/>
        </w:rPr>
        <w:t>ativo legal aplicável à espécie. Ao historiar os fatos, o relator destacou que</w:t>
      </w:r>
      <w:r w:rsidR="00653635" w:rsidRPr="009241A2">
        <w:rPr>
          <w:b w:val="0"/>
          <w:i w:val="0"/>
          <w:iCs w:val="0"/>
          <w:sz w:val="22"/>
          <w:szCs w:val="22"/>
        </w:rPr>
        <w:t xml:space="preserve">, diante da falta de cumprimento, por parte da </w:t>
      </w:r>
      <w:r w:rsidR="00653635">
        <w:rPr>
          <w:b w:val="0"/>
          <w:i w:val="0"/>
          <w:iCs w:val="0"/>
          <w:sz w:val="22"/>
          <w:szCs w:val="22"/>
        </w:rPr>
        <w:t>contratada</w:t>
      </w:r>
      <w:r w:rsidR="00653635" w:rsidRPr="009241A2">
        <w:rPr>
          <w:b w:val="0"/>
          <w:i w:val="0"/>
          <w:iCs w:val="0"/>
          <w:sz w:val="22"/>
          <w:szCs w:val="22"/>
        </w:rPr>
        <w:t xml:space="preserve">, da obrigação de entregar cinco </w:t>
      </w:r>
      <w:r w:rsidR="00653635">
        <w:rPr>
          <w:b w:val="0"/>
          <w:i w:val="0"/>
          <w:iCs w:val="0"/>
          <w:sz w:val="22"/>
          <w:szCs w:val="22"/>
        </w:rPr>
        <w:t>trens</w:t>
      </w:r>
      <w:r w:rsidR="00653635" w:rsidRPr="009241A2">
        <w:rPr>
          <w:b w:val="0"/>
          <w:i w:val="0"/>
          <w:iCs w:val="0"/>
          <w:sz w:val="22"/>
          <w:szCs w:val="22"/>
        </w:rPr>
        <w:t xml:space="preserve"> modernizados até 17/01/2003, bem como da ausência de orçamento para </w:t>
      </w:r>
      <w:r w:rsidR="0059095B">
        <w:rPr>
          <w:b w:val="0"/>
          <w:i w:val="0"/>
          <w:iCs w:val="0"/>
          <w:sz w:val="22"/>
          <w:szCs w:val="22"/>
        </w:rPr>
        <w:t>fazer frente a todas as</w:t>
      </w:r>
      <w:r w:rsidR="00653635" w:rsidRPr="009241A2">
        <w:rPr>
          <w:b w:val="0"/>
          <w:i w:val="0"/>
          <w:iCs w:val="0"/>
          <w:sz w:val="22"/>
          <w:szCs w:val="22"/>
        </w:rPr>
        <w:t xml:space="preserve"> despesas </w:t>
      </w:r>
      <w:r w:rsidR="0059095B">
        <w:rPr>
          <w:b w:val="0"/>
          <w:i w:val="0"/>
          <w:iCs w:val="0"/>
          <w:sz w:val="22"/>
          <w:szCs w:val="22"/>
        </w:rPr>
        <w:t>contratuais</w:t>
      </w:r>
      <w:r w:rsidR="00653635" w:rsidRPr="009241A2">
        <w:rPr>
          <w:b w:val="0"/>
          <w:i w:val="0"/>
          <w:iCs w:val="0"/>
          <w:sz w:val="22"/>
          <w:szCs w:val="22"/>
        </w:rPr>
        <w:t xml:space="preserve">, </w:t>
      </w:r>
      <w:r w:rsidR="00147845">
        <w:rPr>
          <w:b w:val="0"/>
          <w:i w:val="0"/>
          <w:iCs w:val="0"/>
          <w:sz w:val="22"/>
          <w:szCs w:val="22"/>
        </w:rPr>
        <w:t>a</w:t>
      </w:r>
      <w:r w:rsidR="00147845" w:rsidRPr="009241A2">
        <w:rPr>
          <w:b w:val="0"/>
          <w:i w:val="0"/>
          <w:iCs w:val="0"/>
          <w:sz w:val="22"/>
          <w:szCs w:val="22"/>
        </w:rPr>
        <w:t xml:space="preserve"> CBTU </w:t>
      </w:r>
      <w:r w:rsidR="00653635" w:rsidRPr="009241A2">
        <w:rPr>
          <w:b w:val="0"/>
          <w:i w:val="0"/>
          <w:iCs w:val="0"/>
          <w:sz w:val="22"/>
          <w:szCs w:val="22"/>
        </w:rPr>
        <w:t>decidiu, unilateral</w:t>
      </w:r>
      <w:r w:rsidR="0059095B">
        <w:rPr>
          <w:b w:val="0"/>
          <w:i w:val="0"/>
          <w:iCs w:val="0"/>
          <w:sz w:val="22"/>
          <w:szCs w:val="22"/>
        </w:rPr>
        <w:t>mente</w:t>
      </w:r>
      <w:r w:rsidR="00653635" w:rsidRPr="009241A2">
        <w:rPr>
          <w:b w:val="0"/>
          <w:i w:val="0"/>
          <w:iCs w:val="0"/>
          <w:sz w:val="22"/>
          <w:szCs w:val="22"/>
        </w:rPr>
        <w:t xml:space="preserve">, </w:t>
      </w:r>
      <w:r w:rsidR="0059095B" w:rsidRPr="0059095B">
        <w:rPr>
          <w:b w:val="0"/>
          <w:iCs w:val="0"/>
          <w:sz w:val="22"/>
          <w:szCs w:val="22"/>
        </w:rPr>
        <w:t>“</w:t>
      </w:r>
      <w:r w:rsidR="00653635" w:rsidRPr="0059095B">
        <w:rPr>
          <w:b w:val="0"/>
          <w:iCs w:val="0"/>
          <w:sz w:val="22"/>
          <w:szCs w:val="22"/>
        </w:rPr>
        <w:t>paralisar o ajuste</w:t>
      </w:r>
      <w:r w:rsidR="0059095B" w:rsidRPr="0059095B">
        <w:rPr>
          <w:b w:val="0"/>
          <w:iCs w:val="0"/>
          <w:sz w:val="22"/>
          <w:szCs w:val="22"/>
        </w:rPr>
        <w:t>”</w:t>
      </w:r>
      <w:r w:rsidR="00653635" w:rsidRPr="009241A2">
        <w:rPr>
          <w:b w:val="0"/>
          <w:i w:val="0"/>
          <w:iCs w:val="0"/>
          <w:sz w:val="22"/>
          <w:szCs w:val="22"/>
        </w:rPr>
        <w:t>, por meio d</w:t>
      </w:r>
      <w:r w:rsidR="0059095B">
        <w:rPr>
          <w:b w:val="0"/>
          <w:i w:val="0"/>
          <w:iCs w:val="0"/>
          <w:sz w:val="22"/>
          <w:szCs w:val="22"/>
        </w:rPr>
        <w:t xml:space="preserve">o </w:t>
      </w:r>
      <w:r w:rsidR="0059095B" w:rsidRPr="009241A2">
        <w:rPr>
          <w:b w:val="0"/>
          <w:i w:val="0"/>
          <w:iCs w:val="0"/>
          <w:sz w:val="22"/>
          <w:szCs w:val="22"/>
        </w:rPr>
        <w:t>9º Termo Aditivo</w:t>
      </w:r>
      <w:r w:rsidR="0059095B">
        <w:rPr>
          <w:b w:val="0"/>
          <w:i w:val="0"/>
          <w:iCs w:val="0"/>
          <w:sz w:val="22"/>
          <w:szCs w:val="22"/>
        </w:rPr>
        <w:t xml:space="preserve"> (TA), datado de</w:t>
      </w:r>
      <w:r w:rsidR="0059095B" w:rsidRPr="009241A2">
        <w:rPr>
          <w:b w:val="0"/>
          <w:i w:val="0"/>
          <w:iCs w:val="0"/>
          <w:sz w:val="22"/>
          <w:szCs w:val="22"/>
        </w:rPr>
        <w:t xml:space="preserve"> 30/06/2004</w:t>
      </w:r>
      <w:r w:rsidR="00653635" w:rsidRPr="009241A2">
        <w:rPr>
          <w:b w:val="0"/>
          <w:i w:val="0"/>
          <w:iCs w:val="0"/>
          <w:sz w:val="22"/>
          <w:szCs w:val="22"/>
        </w:rPr>
        <w:t>.</w:t>
      </w:r>
      <w:r w:rsidR="00653635">
        <w:rPr>
          <w:b w:val="0"/>
          <w:i w:val="0"/>
          <w:iCs w:val="0"/>
          <w:sz w:val="22"/>
          <w:szCs w:val="22"/>
        </w:rPr>
        <w:t xml:space="preserve"> </w:t>
      </w:r>
      <w:r w:rsidR="00F056AC" w:rsidRPr="009241A2">
        <w:rPr>
          <w:b w:val="0"/>
          <w:i w:val="0"/>
          <w:iCs w:val="0"/>
          <w:sz w:val="22"/>
          <w:szCs w:val="22"/>
        </w:rPr>
        <w:t>A suspensão perdurou até 2007, quando a CBTU</w:t>
      </w:r>
      <w:r w:rsidR="00767698">
        <w:rPr>
          <w:b w:val="0"/>
          <w:i w:val="0"/>
          <w:iCs w:val="0"/>
          <w:sz w:val="22"/>
          <w:szCs w:val="22"/>
        </w:rPr>
        <w:t>,</w:t>
      </w:r>
      <w:r w:rsidR="00F056AC" w:rsidRPr="009241A2">
        <w:rPr>
          <w:b w:val="0"/>
          <w:i w:val="0"/>
          <w:iCs w:val="0"/>
          <w:sz w:val="22"/>
          <w:szCs w:val="22"/>
        </w:rPr>
        <w:t xml:space="preserve"> </w:t>
      </w:r>
      <w:r w:rsidR="00767698">
        <w:rPr>
          <w:b w:val="0"/>
          <w:i w:val="0"/>
          <w:iCs w:val="0"/>
          <w:sz w:val="22"/>
          <w:szCs w:val="22"/>
        </w:rPr>
        <w:t>a</w:t>
      </w:r>
      <w:r w:rsidR="00F056AC" w:rsidRPr="009241A2">
        <w:rPr>
          <w:b w:val="0"/>
          <w:i w:val="0"/>
          <w:iCs w:val="0"/>
          <w:sz w:val="22"/>
          <w:szCs w:val="22"/>
        </w:rPr>
        <w:t>colhendo parecer da Consultoria Jurídica do Ministério das Cidades</w:t>
      </w:r>
      <w:r w:rsidR="00F056AC">
        <w:rPr>
          <w:b w:val="0"/>
          <w:i w:val="0"/>
          <w:iCs w:val="0"/>
          <w:sz w:val="22"/>
          <w:szCs w:val="22"/>
        </w:rPr>
        <w:t xml:space="preserve"> (</w:t>
      </w:r>
      <w:r w:rsidR="00F056AC" w:rsidRPr="009241A2">
        <w:rPr>
          <w:b w:val="0"/>
          <w:i w:val="0"/>
          <w:iCs w:val="0"/>
          <w:sz w:val="22"/>
          <w:szCs w:val="22"/>
        </w:rPr>
        <w:t>Conjur/MC</w:t>
      </w:r>
      <w:r w:rsidR="00F056AC">
        <w:rPr>
          <w:b w:val="0"/>
          <w:i w:val="0"/>
          <w:iCs w:val="0"/>
          <w:sz w:val="22"/>
          <w:szCs w:val="22"/>
        </w:rPr>
        <w:t>)</w:t>
      </w:r>
      <w:r w:rsidR="00F056AC" w:rsidRPr="009241A2">
        <w:rPr>
          <w:b w:val="0"/>
          <w:i w:val="0"/>
          <w:iCs w:val="0"/>
          <w:sz w:val="22"/>
          <w:szCs w:val="22"/>
        </w:rPr>
        <w:t>, considerou extinto o Contrato n.</w:t>
      </w:r>
      <w:r w:rsidR="00F056AC">
        <w:rPr>
          <w:b w:val="0"/>
          <w:i w:val="0"/>
          <w:iCs w:val="0"/>
          <w:sz w:val="22"/>
          <w:szCs w:val="22"/>
        </w:rPr>
        <w:t>º</w:t>
      </w:r>
      <w:r w:rsidR="00F056AC" w:rsidRPr="009241A2">
        <w:rPr>
          <w:b w:val="0"/>
          <w:i w:val="0"/>
          <w:iCs w:val="0"/>
          <w:sz w:val="22"/>
          <w:szCs w:val="22"/>
        </w:rPr>
        <w:t xml:space="preserve"> 031-88/DT.</w:t>
      </w:r>
      <w:r w:rsidR="00A81F78">
        <w:rPr>
          <w:b w:val="0"/>
          <w:i w:val="0"/>
          <w:iCs w:val="0"/>
          <w:sz w:val="22"/>
          <w:szCs w:val="22"/>
        </w:rPr>
        <w:t xml:space="preserve"> </w:t>
      </w:r>
      <w:r w:rsidRPr="009241A2">
        <w:rPr>
          <w:b w:val="0"/>
          <w:i w:val="0"/>
          <w:iCs w:val="0"/>
          <w:sz w:val="22"/>
          <w:szCs w:val="22"/>
        </w:rPr>
        <w:t xml:space="preserve">O entendimento da Conjur/MC, ao reconhecer a impossibilidade jurídica de continuação da avença, baseou-se, em síntese, no fato de o </w:t>
      </w:r>
      <w:r w:rsidR="00147845">
        <w:rPr>
          <w:b w:val="0"/>
          <w:i w:val="0"/>
          <w:iCs w:val="0"/>
          <w:sz w:val="22"/>
          <w:szCs w:val="22"/>
        </w:rPr>
        <w:t xml:space="preserve">8º </w:t>
      </w:r>
      <w:r w:rsidRPr="009241A2">
        <w:rPr>
          <w:b w:val="0"/>
          <w:i w:val="0"/>
          <w:iCs w:val="0"/>
          <w:sz w:val="22"/>
          <w:szCs w:val="22"/>
        </w:rPr>
        <w:t xml:space="preserve">TA </w:t>
      </w:r>
      <w:r w:rsidR="00147845">
        <w:rPr>
          <w:b w:val="0"/>
          <w:i w:val="0"/>
          <w:iCs w:val="0"/>
          <w:sz w:val="22"/>
          <w:szCs w:val="22"/>
        </w:rPr>
        <w:t>haver</w:t>
      </w:r>
      <w:r w:rsidRPr="009241A2">
        <w:rPr>
          <w:b w:val="0"/>
          <w:i w:val="0"/>
          <w:iCs w:val="0"/>
          <w:sz w:val="22"/>
          <w:szCs w:val="22"/>
        </w:rPr>
        <w:t xml:space="preserve"> prorrogado a vigência do contrato até 17/01/2004, sendo que o </w:t>
      </w:r>
      <w:r w:rsidR="00147845">
        <w:rPr>
          <w:b w:val="0"/>
          <w:i w:val="0"/>
          <w:iCs w:val="0"/>
          <w:sz w:val="22"/>
          <w:szCs w:val="22"/>
        </w:rPr>
        <w:t xml:space="preserve">9º </w:t>
      </w:r>
      <w:r w:rsidRPr="009241A2">
        <w:rPr>
          <w:b w:val="0"/>
          <w:i w:val="0"/>
          <w:iCs w:val="0"/>
          <w:sz w:val="22"/>
          <w:szCs w:val="22"/>
        </w:rPr>
        <w:t>TA somente fora firmado em 30/06/2004.</w:t>
      </w:r>
      <w:r w:rsidR="008F0BDC">
        <w:rPr>
          <w:b w:val="0"/>
          <w:i w:val="0"/>
          <w:iCs w:val="0"/>
          <w:sz w:val="22"/>
          <w:szCs w:val="22"/>
        </w:rPr>
        <w:t xml:space="preserve"> </w:t>
      </w:r>
      <w:r w:rsidRPr="009241A2">
        <w:rPr>
          <w:b w:val="0"/>
          <w:i w:val="0"/>
          <w:iCs w:val="0"/>
          <w:sz w:val="22"/>
          <w:szCs w:val="22"/>
        </w:rPr>
        <w:t xml:space="preserve">Irresignada com tal entendimento, a </w:t>
      </w:r>
      <w:r w:rsidR="008F0BDC">
        <w:rPr>
          <w:b w:val="0"/>
          <w:i w:val="0"/>
          <w:iCs w:val="0"/>
          <w:sz w:val="22"/>
          <w:szCs w:val="22"/>
        </w:rPr>
        <w:t>contratada</w:t>
      </w:r>
      <w:r w:rsidRPr="009241A2">
        <w:rPr>
          <w:b w:val="0"/>
          <w:i w:val="0"/>
          <w:iCs w:val="0"/>
          <w:sz w:val="22"/>
          <w:szCs w:val="22"/>
        </w:rPr>
        <w:t xml:space="preserve"> interpôs recurso junto </w:t>
      </w:r>
      <w:r w:rsidR="008F0BDC">
        <w:rPr>
          <w:b w:val="0"/>
          <w:i w:val="0"/>
          <w:iCs w:val="0"/>
          <w:sz w:val="22"/>
          <w:szCs w:val="22"/>
        </w:rPr>
        <w:t>à</w:t>
      </w:r>
      <w:r w:rsidRPr="009241A2">
        <w:rPr>
          <w:b w:val="0"/>
          <w:i w:val="0"/>
          <w:iCs w:val="0"/>
          <w:sz w:val="22"/>
          <w:szCs w:val="22"/>
        </w:rPr>
        <w:t xml:space="preserve"> CBTU</w:t>
      </w:r>
      <w:r w:rsidR="00147845">
        <w:rPr>
          <w:b w:val="0"/>
          <w:i w:val="0"/>
          <w:iCs w:val="0"/>
          <w:sz w:val="22"/>
          <w:szCs w:val="22"/>
        </w:rPr>
        <w:t xml:space="preserve">, </w:t>
      </w:r>
      <w:r w:rsidR="0059095B">
        <w:rPr>
          <w:b w:val="0"/>
          <w:i w:val="0"/>
          <w:iCs w:val="0"/>
          <w:sz w:val="22"/>
          <w:szCs w:val="22"/>
        </w:rPr>
        <w:t>oportunidade em que</w:t>
      </w:r>
      <w:r w:rsidR="00147845">
        <w:rPr>
          <w:b w:val="0"/>
          <w:i w:val="0"/>
          <w:iCs w:val="0"/>
          <w:sz w:val="22"/>
          <w:szCs w:val="22"/>
        </w:rPr>
        <w:t xml:space="preserve"> foi solicitado novo parecer da</w:t>
      </w:r>
      <w:r w:rsidRPr="009241A2">
        <w:rPr>
          <w:b w:val="0"/>
          <w:i w:val="0"/>
          <w:iCs w:val="0"/>
          <w:sz w:val="22"/>
          <w:szCs w:val="22"/>
        </w:rPr>
        <w:t xml:space="preserve"> Conjur/MC</w:t>
      </w:r>
      <w:r w:rsidR="0059095B">
        <w:rPr>
          <w:b w:val="0"/>
          <w:i w:val="0"/>
          <w:iCs w:val="0"/>
          <w:sz w:val="22"/>
          <w:szCs w:val="22"/>
        </w:rPr>
        <w:t>. O</w:t>
      </w:r>
      <w:r w:rsidR="00147845">
        <w:rPr>
          <w:b w:val="0"/>
          <w:i w:val="0"/>
          <w:iCs w:val="0"/>
          <w:sz w:val="22"/>
          <w:szCs w:val="22"/>
        </w:rPr>
        <w:t xml:space="preserve"> relator</w:t>
      </w:r>
      <w:r w:rsidR="0059095B">
        <w:rPr>
          <w:b w:val="0"/>
          <w:i w:val="0"/>
          <w:iCs w:val="0"/>
          <w:sz w:val="22"/>
          <w:szCs w:val="22"/>
        </w:rPr>
        <w:t xml:space="preserve"> ressaltou que este último parecer</w:t>
      </w:r>
      <w:r w:rsidR="00147845">
        <w:rPr>
          <w:b w:val="0"/>
          <w:i w:val="0"/>
          <w:iCs w:val="0"/>
          <w:sz w:val="22"/>
          <w:szCs w:val="22"/>
        </w:rPr>
        <w:t xml:space="preserve"> deixou </w:t>
      </w:r>
      <w:r w:rsidR="0059095B">
        <w:rPr>
          <w:b w:val="0"/>
          <w:i w:val="0"/>
          <w:iCs w:val="0"/>
          <w:sz w:val="22"/>
          <w:szCs w:val="22"/>
        </w:rPr>
        <w:t>bem evidenciado</w:t>
      </w:r>
      <w:r w:rsidRPr="009241A2">
        <w:rPr>
          <w:b w:val="0"/>
          <w:i w:val="0"/>
          <w:iCs w:val="0"/>
          <w:sz w:val="22"/>
          <w:szCs w:val="22"/>
        </w:rPr>
        <w:t xml:space="preserve">, em relação aos negócios jurídicos, </w:t>
      </w:r>
      <w:r w:rsidR="00A07B7F">
        <w:rPr>
          <w:b w:val="0"/>
          <w:i w:val="0"/>
          <w:iCs w:val="0"/>
          <w:sz w:val="22"/>
          <w:szCs w:val="22"/>
        </w:rPr>
        <w:t xml:space="preserve">a existência </w:t>
      </w:r>
      <w:r w:rsidR="00147845">
        <w:rPr>
          <w:b w:val="0"/>
          <w:i w:val="0"/>
          <w:iCs w:val="0"/>
          <w:sz w:val="22"/>
          <w:szCs w:val="22"/>
        </w:rPr>
        <w:t xml:space="preserve">de </w:t>
      </w:r>
      <w:r w:rsidRPr="009241A2">
        <w:rPr>
          <w:b w:val="0"/>
          <w:i w:val="0"/>
          <w:iCs w:val="0"/>
          <w:sz w:val="22"/>
          <w:szCs w:val="22"/>
        </w:rPr>
        <w:t>três planos: o da existência, o da validade e o da eficácia.</w:t>
      </w:r>
      <w:r w:rsidR="00A81F78">
        <w:rPr>
          <w:b w:val="0"/>
          <w:i w:val="0"/>
          <w:iCs w:val="0"/>
          <w:sz w:val="22"/>
          <w:szCs w:val="22"/>
        </w:rPr>
        <w:t xml:space="preserve"> </w:t>
      </w:r>
      <w:r w:rsidR="00A07B7F">
        <w:rPr>
          <w:b w:val="0"/>
          <w:i w:val="0"/>
          <w:iCs w:val="0"/>
          <w:sz w:val="22"/>
          <w:szCs w:val="22"/>
        </w:rPr>
        <w:t>Em resumo,</w:t>
      </w:r>
      <w:r w:rsidR="00A81F78">
        <w:rPr>
          <w:b w:val="0"/>
          <w:i w:val="0"/>
          <w:iCs w:val="0"/>
          <w:sz w:val="22"/>
          <w:szCs w:val="22"/>
        </w:rPr>
        <w:t xml:space="preserve"> </w:t>
      </w:r>
      <w:r w:rsidRPr="009241A2">
        <w:rPr>
          <w:b w:val="0"/>
          <w:iCs w:val="0"/>
          <w:sz w:val="22"/>
          <w:szCs w:val="22"/>
        </w:rPr>
        <w:t>“a vigência se refere ao plano da existência do ato, enquanto a validade decorre de sua conformação ao direito e a eficácia consubstancia a aptidão para a produção de</w:t>
      </w:r>
      <w:r w:rsidR="00E37C1C">
        <w:rPr>
          <w:b w:val="0"/>
          <w:iCs w:val="0"/>
          <w:sz w:val="22"/>
          <w:szCs w:val="22"/>
        </w:rPr>
        <w:t xml:space="preserve"> e</w:t>
      </w:r>
      <w:r w:rsidRPr="009241A2">
        <w:rPr>
          <w:b w:val="0"/>
          <w:iCs w:val="0"/>
          <w:sz w:val="22"/>
          <w:szCs w:val="22"/>
        </w:rPr>
        <w:t xml:space="preserve">feitos jurídicos válidos, não havendo necessariamente vinculação entre esta e aquelas. Exemplificativamente, um contrato com cláusula de condição suspensiva subordinando determinado efeito, desde que constituído de acordo com as normas jurídicas aplicáveis à espécie, é existente, válido e ineficaz em relação </w:t>
      </w:r>
      <w:r w:rsidR="00DB4D6E">
        <w:rPr>
          <w:b w:val="0"/>
          <w:iCs w:val="0"/>
          <w:sz w:val="22"/>
          <w:szCs w:val="22"/>
        </w:rPr>
        <w:t>à</w:t>
      </w:r>
      <w:r w:rsidRPr="009241A2">
        <w:rPr>
          <w:b w:val="0"/>
          <w:iCs w:val="0"/>
          <w:sz w:val="22"/>
          <w:szCs w:val="22"/>
        </w:rPr>
        <w:t>quele efeito até que ocorra o implemento da condição.”</w:t>
      </w:r>
      <w:r w:rsidR="00A81F78">
        <w:rPr>
          <w:b w:val="0"/>
          <w:i w:val="0"/>
          <w:iCs w:val="0"/>
          <w:sz w:val="22"/>
          <w:szCs w:val="22"/>
        </w:rPr>
        <w:t>. De</w:t>
      </w:r>
      <w:r w:rsidRPr="009241A2">
        <w:rPr>
          <w:b w:val="0"/>
          <w:i w:val="0"/>
          <w:iCs w:val="0"/>
          <w:sz w:val="22"/>
          <w:szCs w:val="22"/>
        </w:rPr>
        <w:t xml:space="preserve">ssa maneira, </w:t>
      </w:r>
      <w:r w:rsidR="00A07B7F">
        <w:rPr>
          <w:b w:val="0"/>
          <w:i w:val="0"/>
          <w:iCs w:val="0"/>
          <w:sz w:val="22"/>
          <w:szCs w:val="22"/>
        </w:rPr>
        <w:t xml:space="preserve">o relator </w:t>
      </w:r>
      <w:r w:rsidR="00A81F78">
        <w:rPr>
          <w:b w:val="0"/>
          <w:i w:val="0"/>
          <w:iCs w:val="0"/>
          <w:sz w:val="22"/>
          <w:szCs w:val="22"/>
        </w:rPr>
        <w:t>concluiu</w:t>
      </w:r>
      <w:r w:rsidRPr="009241A2">
        <w:rPr>
          <w:b w:val="0"/>
          <w:i w:val="0"/>
          <w:iCs w:val="0"/>
          <w:sz w:val="22"/>
          <w:szCs w:val="22"/>
        </w:rPr>
        <w:t xml:space="preserve"> que a suspensão contratual levada a efeito pela CBTU</w:t>
      </w:r>
      <w:r w:rsidR="00A07B7F">
        <w:rPr>
          <w:b w:val="0"/>
          <w:i w:val="0"/>
          <w:iCs w:val="0"/>
          <w:sz w:val="22"/>
          <w:szCs w:val="22"/>
        </w:rPr>
        <w:t>,</w:t>
      </w:r>
      <w:r w:rsidRPr="009241A2">
        <w:rPr>
          <w:b w:val="0"/>
          <w:i w:val="0"/>
          <w:iCs w:val="0"/>
          <w:sz w:val="22"/>
          <w:szCs w:val="22"/>
        </w:rPr>
        <w:t xml:space="preserve"> em 2003</w:t>
      </w:r>
      <w:r w:rsidR="00A07B7F">
        <w:rPr>
          <w:b w:val="0"/>
          <w:i w:val="0"/>
          <w:iCs w:val="0"/>
          <w:sz w:val="22"/>
          <w:szCs w:val="22"/>
        </w:rPr>
        <w:t>,</w:t>
      </w:r>
      <w:r w:rsidRPr="009241A2">
        <w:rPr>
          <w:b w:val="0"/>
          <w:i w:val="0"/>
          <w:iCs w:val="0"/>
          <w:sz w:val="22"/>
          <w:szCs w:val="22"/>
        </w:rPr>
        <w:t xml:space="preserve"> atingiu o plano da eficácia do Contrato n.</w:t>
      </w:r>
      <w:r w:rsidR="00A81F78">
        <w:rPr>
          <w:b w:val="0"/>
          <w:i w:val="0"/>
          <w:iCs w:val="0"/>
          <w:sz w:val="22"/>
          <w:szCs w:val="22"/>
        </w:rPr>
        <w:t>º</w:t>
      </w:r>
      <w:r w:rsidRPr="009241A2">
        <w:rPr>
          <w:b w:val="0"/>
          <w:i w:val="0"/>
          <w:iCs w:val="0"/>
          <w:sz w:val="22"/>
          <w:szCs w:val="22"/>
        </w:rPr>
        <w:t xml:space="preserve"> 031-88/DT, impossibilitando a produção de efeitos jurídicos, </w:t>
      </w:r>
      <w:r w:rsidR="00A81F78" w:rsidRPr="00A81F78">
        <w:rPr>
          <w:b w:val="0"/>
          <w:iCs w:val="0"/>
          <w:sz w:val="22"/>
          <w:szCs w:val="22"/>
        </w:rPr>
        <w:t>“</w:t>
      </w:r>
      <w:r w:rsidRPr="00A81F78">
        <w:rPr>
          <w:b w:val="0"/>
          <w:iCs w:val="0"/>
          <w:sz w:val="22"/>
          <w:szCs w:val="22"/>
        </w:rPr>
        <w:t xml:space="preserve">não alterando, contudo, </w:t>
      </w:r>
      <w:r w:rsidRPr="00A81F78">
        <w:rPr>
          <w:iCs w:val="0"/>
          <w:sz w:val="22"/>
          <w:szCs w:val="22"/>
        </w:rPr>
        <w:t>per se</w:t>
      </w:r>
      <w:r w:rsidRPr="00A81F78">
        <w:rPr>
          <w:b w:val="0"/>
          <w:iCs w:val="0"/>
          <w:sz w:val="22"/>
          <w:szCs w:val="22"/>
        </w:rPr>
        <w:t>, a vigência contratual, intimamente ligada à existência do ajuste</w:t>
      </w:r>
      <w:r w:rsidR="00A81F78" w:rsidRPr="00A81F78">
        <w:rPr>
          <w:b w:val="0"/>
          <w:iCs w:val="0"/>
          <w:sz w:val="22"/>
          <w:szCs w:val="22"/>
        </w:rPr>
        <w:t>”</w:t>
      </w:r>
      <w:r w:rsidRPr="009241A2">
        <w:rPr>
          <w:b w:val="0"/>
          <w:i w:val="0"/>
          <w:iCs w:val="0"/>
          <w:sz w:val="22"/>
          <w:szCs w:val="22"/>
        </w:rPr>
        <w:t>.</w:t>
      </w:r>
      <w:r w:rsidR="00A81F78">
        <w:rPr>
          <w:b w:val="0"/>
          <w:i w:val="0"/>
          <w:iCs w:val="0"/>
          <w:sz w:val="22"/>
          <w:szCs w:val="22"/>
        </w:rPr>
        <w:t xml:space="preserve"> </w:t>
      </w:r>
      <w:r w:rsidR="002B113E">
        <w:rPr>
          <w:b w:val="0"/>
          <w:i w:val="0"/>
          <w:iCs w:val="0"/>
          <w:sz w:val="22"/>
          <w:szCs w:val="22"/>
        </w:rPr>
        <w:t>Para o relator</w:t>
      </w:r>
      <w:r w:rsidRPr="009241A2">
        <w:rPr>
          <w:b w:val="0"/>
          <w:i w:val="0"/>
          <w:iCs w:val="0"/>
          <w:sz w:val="22"/>
          <w:szCs w:val="22"/>
        </w:rPr>
        <w:t>, a decisão da CBTU teve</w:t>
      </w:r>
      <w:r w:rsidR="002B113E">
        <w:rPr>
          <w:b w:val="0"/>
          <w:i w:val="0"/>
          <w:iCs w:val="0"/>
          <w:sz w:val="22"/>
          <w:szCs w:val="22"/>
        </w:rPr>
        <w:t xml:space="preserve">, em verdade, </w:t>
      </w:r>
      <w:r w:rsidRPr="009241A2">
        <w:rPr>
          <w:b w:val="0"/>
          <w:i w:val="0"/>
          <w:iCs w:val="0"/>
          <w:sz w:val="22"/>
          <w:szCs w:val="22"/>
        </w:rPr>
        <w:t xml:space="preserve">caráter meramente declaratório, </w:t>
      </w:r>
      <w:r w:rsidR="00A81F78">
        <w:rPr>
          <w:b w:val="0"/>
          <w:i w:val="0"/>
          <w:iCs w:val="0"/>
          <w:sz w:val="22"/>
          <w:szCs w:val="22"/>
        </w:rPr>
        <w:t>uma vez</w:t>
      </w:r>
      <w:r w:rsidRPr="009241A2">
        <w:rPr>
          <w:b w:val="0"/>
          <w:i w:val="0"/>
          <w:iCs w:val="0"/>
          <w:sz w:val="22"/>
          <w:szCs w:val="22"/>
        </w:rPr>
        <w:t xml:space="preserve"> que, de fato, não ocasionou a extinção da avença, mas apenas reconheceu a sua ocorrência</w:t>
      </w:r>
      <w:r w:rsidR="00A81F78">
        <w:rPr>
          <w:b w:val="0"/>
          <w:i w:val="0"/>
          <w:iCs w:val="0"/>
          <w:sz w:val="22"/>
          <w:szCs w:val="22"/>
        </w:rPr>
        <w:t>, a qual</w:t>
      </w:r>
      <w:r w:rsidRPr="009241A2">
        <w:rPr>
          <w:b w:val="0"/>
          <w:i w:val="0"/>
          <w:iCs w:val="0"/>
          <w:sz w:val="22"/>
          <w:szCs w:val="22"/>
        </w:rPr>
        <w:t xml:space="preserve"> se deu em função do término de sua vigência. </w:t>
      </w:r>
      <w:r w:rsidR="0085330E">
        <w:rPr>
          <w:b w:val="0"/>
          <w:i w:val="0"/>
          <w:iCs w:val="0"/>
          <w:sz w:val="22"/>
          <w:szCs w:val="22"/>
        </w:rPr>
        <w:t xml:space="preserve">Com base nos fundamentos apresentados pelo relator, </w:t>
      </w:r>
      <w:r w:rsidR="0059095B">
        <w:rPr>
          <w:b w:val="0"/>
          <w:i w:val="0"/>
          <w:iCs w:val="0"/>
          <w:sz w:val="22"/>
          <w:szCs w:val="22"/>
        </w:rPr>
        <w:t>o</w:t>
      </w:r>
      <w:r w:rsidR="0085330E">
        <w:rPr>
          <w:b w:val="0"/>
          <w:i w:val="0"/>
          <w:iCs w:val="0"/>
          <w:sz w:val="22"/>
          <w:szCs w:val="22"/>
        </w:rPr>
        <w:t xml:space="preserve"> Plenário decidiu informar a</w:t>
      </w:r>
      <w:r w:rsidR="00A07B7F">
        <w:rPr>
          <w:b w:val="0"/>
          <w:i w:val="0"/>
          <w:iCs w:val="0"/>
          <w:sz w:val="22"/>
          <w:szCs w:val="22"/>
        </w:rPr>
        <w:t>o</w:t>
      </w:r>
      <w:r w:rsidRPr="009241A2">
        <w:rPr>
          <w:b w:val="0"/>
          <w:i w:val="0"/>
          <w:iCs w:val="0"/>
          <w:sz w:val="22"/>
          <w:szCs w:val="22"/>
        </w:rPr>
        <w:t xml:space="preserve"> Senado Federal que a </w:t>
      </w:r>
      <w:r w:rsidR="0085330E">
        <w:rPr>
          <w:b w:val="0"/>
          <w:i w:val="0"/>
          <w:iCs w:val="0"/>
          <w:sz w:val="22"/>
          <w:szCs w:val="22"/>
        </w:rPr>
        <w:t xml:space="preserve">decisão da CBTU de considerar extinto </w:t>
      </w:r>
      <w:r w:rsidRPr="009241A2">
        <w:rPr>
          <w:b w:val="0"/>
          <w:i w:val="0"/>
          <w:iCs w:val="0"/>
          <w:sz w:val="22"/>
          <w:szCs w:val="22"/>
        </w:rPr>
        <w:t>o Contrato n.</w:t>
      </w:r>
      <w:r w:rsidR="00A81F78">
        <w:rPr>
          <w:b w:val="0"/>
          <w:i w:val="0"/>
          <w:iCs w:val="0"/>
          <w:sz w:val="22"/>
          <w:szCs w:val="22"/>
        </w:rPr>
        <w:t>º</w:t>
      </w:r>
      <w:r w:rsidRPr="009241A2">
        <w:rPr>
          <w:b w:val="0"/>
          <w:i w:val="0"/>
          <w:iCs w:val="0"/>
          <w:sz w:val="22"/>
          <w:szCs w:val="22"/>
        </w:rPr>
        <w:t xml:space="preserve"> 031-88/DT não contrariou </w:t>
      </w:r>
      <w:r w:rsidR="006C07ED" w:rsidRPr="009241A2">
        <w:rPr>
          <w:b w:val="0"/>
          <w:i w:val="0"/>
          <w:iCs w:val="0"/>
          <w:sz w:val="22"/>
          <w:szCs w:val="22"/>
        </w:rPr>
        <w:t>a Lei n.</w:t>
      </w:r>
      <w:r w:rsidR="006C07ED">
        <w:rPr>
          <w:b w:val="0"/>
          <w:i w:val="0"/>
          <w:iCs w:val="0"/>
          <w:sz w:val="22"/>
          <w:szCs w:val="22"/>
        </w:rPr>
        <w:t>º</w:t>
      </w:r>
      <w:r w:rsidR="006C07ED" w:rsidRPr="009241A2">
        <w:rPr>
          <w:b w:val="0"/>
          <w:i w:val="0"/>
          <w:iCs w:val="0"/>
          <w:sz w:val="22"/>
          <w:szCs w:val="22"/>
        </w:rPr>
        <w:t xml:space="preserve"> 8.666/93 ou qualquer outro normativo legal relacionado à matéria</w:t>
      </w:r>
      <w:r w:rsidR="006C07ED">
        <w:rPr>
          <w:b w:val="0"/>
          <w:i w:val="0"/>
          <w:iCs w:val="0"/>
          <w:sz w:val="22"/>
          <w:szCs w:val="22"/>
        </w:rPr>
        <w:t xml:space="preserve">. </w:t>
      </w:r>
      <w:r w:rsidRPr="006C07ED">
        <w:rPr>
          <w:sz w:val="22"/>
          <w:szCs w:val="22"/>
        </w:rPr>
        <w:t>Acórdão n.º 2406/2010-Plenário, TC-013.725/2010-6, rel. Min-Subst. Marcos Bemquerer Costa, 15.09.2010</w:t>
      </w:r>
      <w:r w:rsidRPr="00337E16">
        <w:rPr>
          <w:sz w:val="22"/>
          <w:szCs w:val="22"/>
        </w:rPr>
        <w:t>.</w:t>
      </w:r>
    </w:p>
    <w:p w:rsidR="009241A2" w:rsidRPr="00337E16" w:rsidRDefault="009241A2" w:rsidP="00DD1816">
      <w:pPr>
        <w:pStyle w:val="indice"/>
        <w:tabs>
          <w:tab w:val="left" w:pos="567"/>
        </w:tabs>
        <w:spacing w:before="60" w:line="240" w:lineRule="auto"/>
      </w:pPr>
    </w:p>
    <w:p w:rsidR="009241A2" w:rsidRPr="009241A2" w:rsidRDefault="009241A2" w:rsidP="00DD1816">
      <w:pPr>
        <w:pStyle w:val="indice"/>
        <w:spacing w:before="60" w:line="240" w:lineRule="auto"/>
        <w:rPr>
          <w:b/>
        </w:rPr>
      </w:pPr>
      <w:r w:rsidRPr="009241A2">
        <w:rPr>
          <w:b/>
        </w:rPr>
        <w:t>Irregularidades contratuais: 2 - A cessão de direitos, com a consequente sub-rogação da contratada, contraria a Lei n.º 8.666/93</w:t>
      </w:r>
    </w:p>
    <w:p w:rsidR="000C5991" w:rsidRPr="00337E16" w:rsidRDefault="00785590" w:rsidP="00785590">
      <w:pPr>
        <w:pStyle w:val="tita"/>
        <w:spacing w:before="0" w:after="0" w:line="240" w:lineRule="auto"/>
        <w:jc w:val="both"/>
        <w:rPr>
          <w:sz w:val="22"/>
          <w:szCs w:val="22"/>
        </w:rPr>
      </w:pPr>
      <w:r>
        <w:rPr>
          <w:b w:val="0"/>
          <w:i w:val="0"/>
          <w:iCs w:val="0"/>
          <w:sz w:val="22"/>
          <w:szCs w:val="22"/>
        </w:rPr>
        <w:t xml:space="preserve">Ainda com relação ao </w:t>
      </w:r>
      <w:r w:rsidRPr="009241A2">
        <w:rPr>
          <w:b w:val="0"/>
          <w:i w:val="0"/>
          <w:iCs w:val="0"/>
          <w:sz w:val="22"/>
          <w:szCs w:val="22"/>
        </w:rPr>
        <w:t>Contrato n.</w:t>
      </w:r>
      <w:r>
        <w:rPr>
          <w:b w:val="0"/>
          <w:i w:val="0"/>
          <w:iCs w:val="0"/>
          <w:sz w:val="22"/>
          <w:szCs w:val="22"/>
        </w:rPr>
        <w:t>º</w:t>
      </w:r>
      <w:r w:rsidRPr="009241A2">
        <w:rPr>
          <w:b w:val="0"/>
          <w:i w:val="0"/>
          <w:iCs w:val="0"/>
          <w:sz w:val="22"/>
          <w:szCs w:val="22"/>
        </w:rPr>
        <w:t xml:space="preserve"> 031-88/DT</w:t>
      </w:r>
      <w:r>
        <w:rPr>
          <w:b w:val="0"/>
          <w:i w:val="0"/>
          <w:iCs w:val="0"/>
          <w:sz w:val="22"/>
          <w:szCs w:val="22"/>
        </w:rPr>
        <w:t>, celebrado pela</w:t>
      </w:r>
      <w:r w:rsidRPr="009241A2">
        <w:rPr>
          <w:b w:val="0"/>
          <w:i w:val="0"/>
          <w:iCs w:val="0"/>
          <w:sz w:val="22"/>
          <w:szCs w:val="22"/>
        </w:rPr>
        <w:t xml:space="preserve"> Companhia Brasileira de Trens Urbanos </w:t>
      </w:r>
      <w:r>
        <w:rPr>
          <w:b w:val="0"/>
          <w:i w:val="0"/>
          <w:iCs w:val="0"/>
          <w:sz w:val="22"/>
          <w:szCs w:val="22"/>
        </w:rPr>
        <w:t>(</w:t>
      </w:r>
      <w:r w:rsidRPr="009241A2">
        <w:rPr>
          <w:b w:val="0"/>
          <w:i w:val="0"/>
          <w:iCs w:val="0"/>
          <w:sz w:val="22"/>
          <w:szCs w:val="22"/>
        </w:rPr>
        <w:t>CBTU</w:t>
      </w:r>
      <w:r>
        <w:rPr>
          <w:b w:val="0"/>
          <w:i w:val="0"/>
          <w:iCs w:val="0"/>
          <w:sz w:val="22"/>
          <w:szCs w:val="22"/>
        </w:rPr>
        <w:t>)</w:t>
      </w:r>
      <w:r w:rsidR="00767698">
        <w:rPr>
          <w:b w:val="0"/>
          <w:i w:val="0"/>
          <w:iCs w:val="0"/>
          <w:sz w:val="22"/>
          <w:szCs w:val="22"/>
        </w:rPr>
        <w:t xml:space="preserve"> com vistas à</w:t>
      </w:r>
      <w:r>
        <w:rPr>
          <w:b w:val="0"/>
          <w:i w:val="0"/>
          <w:iCs w:val="0"/>
          <w:sz w:val="22"/>
          <w:szCs w:val="22"/>
        </w:rPr>
        <w:t xml:space="preserve"> modernização de trens elétricos, foi identificado que, por </w:t>
      </w:r>
      <w:r w:rsidR="00DD1816" w:rsidRPr="00DD1816">
        <w:rPr>
          <w:b w:val="0"/>
          <w:i w:val="0"/>
          <w:iCs w:val="0"/>
          <w:sz w:val="22"/>
          <w:szCs w:val="22"/>
        </w:rPr>
        <w:t>meio do 6º T</w:t>
      </w:r>
      <w:r>
        <w:rPr>
          <w:b w:val="0"/>
          <w:i w:val="0"/>
          <w:iCs w:val="0"/>
          <w:sz w:val="22"/>
          <w:szCs w:val="22"/>
        </w:rPr>
        <w:t xml:space="preserve">ermo </w:t>
      </w:r>
      <w:r w:rsidR="00DD1816" w:rsidRPr="00DD1816">
        <w:rPr>
          <w:b w:val="0"/>
          <w:i w:val="0"/>
          <w:iCs w:val="0"/>
          <w:sz w:val="22"/>
          <w:szCs w:val="22"/>
        </w:rPr>
        <w:t>A</w:t>
      </w:r>
      <w:r>
        <w:rPr>
          <w:b w:val="0"/>
          <w:i w:val="0"/>
          <w:iCs w:val="0"/>
          <w:sz w:val="22"/>
          <w:szCs w:val="22"/>
        </w:rPr>
        <w:t>ditivo</w:t>
      </w:r>
      <w:r w:rsidR="00DD1816" w:rsidRPr="00DD1816">
        <w:rPr>
          <w:b w:val="0"/>
          <w:i w:val="0"/>
          <w:iCs w:val="0"/>
          <w:sz w:val="22"/>
          <w:szCs w:val="22"/>
        </w:rPr>
        <w:t xml:space="preserve">, a </w:t>
      </w:r>
      <w:r w:rsidR="00767698">
        <w:rPr>
          <w:b w:val="0"/>
          <w:i w:val="0"/>
          <w:iCs w:val="0"/>
          <w:sz w:val="22"/>
          <w:szCs w:val="22"/>
        </w:rPr>
        <w:t>contratante</w:t>
      </w:r>
      <w:r w:rsidR="00DD1816" w:rsidRPr="00DD1816">
        <w:rPr>
          <w:b w:val="0"/>
          <w:i w:val="0"/>
          <w:iCs w:val="0"/>
          <w:sz w:val="22"/>
          <w:szCs w:val="22"/>
        </w:rPr>
        <w:t xml:space="preserve">, atendendo ao pedido da Cobrasma S.A., formalizou a cessão dos direitos e obrigações desta empresa para a Trans Sistemas de Transportes S.A. </w:t>
      </w:r>
      <w:r>
        <w:rPr>
          <w:b w:val="0"/>
          <w:i w:val="0"/>
          <w:iCs w:val="0"/>
          <w:sz w:val="22"/>
          <w:szCs w:val="22"/>
        </w:rPr>
        <w:t>(</w:t>
      </w:r>
      <w:r w:rsidR="00DD1816" w:rsidRPr="00DD1816">
        <w:rPr>
          <w:b w:val="0"/>
          <w:i w:val="0"/>
          <w:iCs w:val="0"/>
          <w:sz w:val="22"/>
          <w:szCs w:val="22"/>
        </w:rPr>
        <w:t>T’Trans</w:t>
      </w:r>
      <w:r>
        <w:rPr>
          <w:b w:val="0"/>
          <w:i w:val="0"/>
          <w:iCs w:val="0"/>
          <w:sz w:val="22"/>
          <w:szCs w:val="22"/>
        </w:rPr>
        <w:t>)</w:t>
      </w:r>
      <w:r w:rsidR="00DD1816" w:rsidRPr="00DD1816">
        <w:rPr>
          <w:b w:val="0"/>
          <w:i w:val="0"/>
          <w:iCs w:val="0"/>
          <w:sz w:val="22"/>
          <w:szCs w:val="22"/>
        </w:rPr>
        <w:t xml:space="preserve">. </w:t>
      </w:r>
      <w:r w:rsidR="00767698">
        <w:rPr>
          <w:b w:val="0"/>
          <w:i w:val="0"/>
          <w:iCs w:val="0"/>
          <w:sz w:val="22"/>
          <w:szCs w:val="22"/>
        </w:rPr>
        <w:t>Para</w:t>
      </w:r>
      <w:r>
        <w:rPr>
          <w:b w:val="0"/>
          <w:i w:val="0"/>
          <w:iCs w:val="0"/>
          <w:sz w:val="22"/>
          <w:szCs w:val="22"/>
        </w:rPr>
        <w:t xml:space="preserve"> o relator, a </w:t>
      </w:r>
      <w:r w:rsidR="00DD1816" w:rsidRPr="00DD1816">
        <w:rPr>
          <w:b w:val="0"/>
          <w:i w:val="0"/>
          <w:iCs w:val="0"/>
          <w:sz w:val="22"/>
          <w:szCs w:val="22"/>
        </w:rPr>
        <w:t>cessão de direitos ocorrida no âmbito do Contrato n.</w:t>
      </w:r>
      <w:r>
        <w:rPr>
          <w:b w:val="0"/>
          <w:i w:val="0"/>
          <w:iCs w:val="0"/>
          <w:sz w:val="22"/>
          <w:szCs w:val="22"/>
        </w:rPr>
        <w:t>º</w:t>
      </w:r>
      <w:r w:rsidR="00DD1816" w:rsidRPr="00DD1816">
        <w:rPr>
          <w:b w:val="0"/>
          <w:i w:val="0"/>
          <w:iCs w:val="0"/>
          <w:sz w:val="22"/>
          <w:szCs w:val="22"/>
        </w:rPr>
        <w:t xml:space="preserve"> 031-88/DT, com a consequente sub-rogação da Cobrasma pela T’Trans, </w:t>
      </w:r>
      <w:r>
        <w:rPr>
          <w:b w:val="0"/>
          <w:i w:val="0"/>
          <w:iCs w:val="0"/>
          <w:sz w:val="22"/>
          <w:szCs w:val="22"/>
        </w:rPr>
        <w:t xml:space="preserve">contraria </w:t>
      </w:r>
      <w:r w:rsidRPr="00DD1816">
        <w:rPr>
          <w:b w:val="0"/>
          <w:i w:val="0"/>
          <w:iCs w:val="0"/>
          <w:sz w:val="22"/>
          <w:szCs w:val="22"/>
        </w:rPr>
        <w:t>a Lei n.</w:t>
      </w:r>
      <w:r>
        <w:rPr>
          <w:b w:val="0"/>
          <w:i w:val="0"/>
          <w:iCs w:val="0"/>
          <w:sz w:val="22"/>
          <w:szCs w:val="22"/>
        </w:rPr>
        <w:t>º</w:t>
      </w:r>
      <w:r w:rsidRPr="00DD1816">
        <w:rPr>
          <w:b w:val="0"/>
          <w:i w:val="0"/>
          <w:iCs w:val="0"/>
          <w:sz w:val="22"/>
          <w:szCs w:val="22"/>
        </w:rPr>
        <w:t xml:space="preserve"> 8.666/93</w:t>
      </w:r>
      <w:r>
        <w:rPr>
          <w:b w:val="0"/>
          <w:i w:val="0"/>
          <w:iCs w:val="0"/>
          <w:sz w:val="22"/>
          <w:szCs w:val="22"/>
        </w:rPr>
        <w:t xml:space="preserve">, </w:t>
      </w:r>
      <w:r w:rsidR="00DD1816" w:rsidRPr="00DD1816">
        <w:rPr>
          <w:b w:val="0"/>
          <w:i w:val="0"/>
          <w:iCs w:val="0"/>
          <w:sz w:val="22"/>
          <w:szCs w:val="22"/>
        </w:rPr>
        <w:t xml:space="preserve">nos termos da jurisprudência </w:t>
      </w:r>
      <w:r>
        <w:rPr>
          <w:b w:val="0"/>
          <w:i w:val="0"/>
          <w:iCs w:val="0"/>
          <w:sz w:val="22"/>
          <w:szCs w:val="22"/>
        </w:rPr>
        <w:t>do TCU</w:t>
      </w:r>
      <w:r w:rsidR="00DD1816" w:rsidRPr="00DD1816">
        <w:rPr>
          <w:b w:val="0"/>
          <w:i w:val="0"/>
          <w:iCs w:val="0"/>
          <w:sz w:val="22"/>
          <w:szCs w:val="22"/>
        </w:rPr>
        <w:t>. A Consultoria Jurídica da CBTU foi favorável ao pleito da Cobrasma S.A.</w:t>
      </w:r>
      <w:r w:rsidR="00767698">
        <w:rPr>
          <w:b w:val="0"/>
          <w:i w:val="0"/>
          <w:iCs w:val="0"/>
          <w:sz w:val="22"/>
          <w:szCs w:val="22"/>
        </w:rPr>
        <w:t>,</w:t>
      </w:r>
      <w:r w:rsidR="00DD1816" w:rsidRPr="00DD1816">
        <w:rPr>
          <w:b w:val="0"/>
          <w:i w:val="0"/>
          <w:iCs w:val="0"/>
          <w:sz w:val="22"/>
          <w:szCs w:val="22"/>
        </w:rPr>
        <w:t xml:space="preserve"> sob o fundamento, em síntese, de que o art. 68, VI, do Decreto-Lei n.</w:t>
      </w:r>
      <w:r>
        <w:rPr>
          <w:b w:val="0"/>
          <w:i w:val="0"/>
          <w:iCs w:val="0"/>
          <w:sz w:val="22"/>
          <w:szCs w:val="22"/>
        </w:rPr>
        <w:t>º</w:t>
      </w:r>
      <w:r w:rsidR="00DD1816" w:rsidRPr="00DD1816">
        <w:rPr>
          <w:b w:val="0"/>
          <w:i w:val="0"/>
          <w:iCs w:val="0"/>
          <w:sz w:val="22"/>
          <w:szCs w:val="22"/>
        </w:rPr>
        <w:t xml:space="preserve"> 2.300/86</w:t>
      </w:r>
      <w:r>
        <w:rPr>
          <w:b w:val="0"/>
          <w:i w:val="0"/>
          <w:iCs w:val="0"/>
          <w:sz w:val="22"/>
          <w:szCs w:val="22"/>
        </w:rPr>
        <w:t xml:space="preserve">, a seguir </w:t>
      </w:r>
      <w:r w:rsidR="00DD1816" w:rsidRPr="00DD1816">
        <w:rPr>
          <w:b w:val="0"/>
          <w:i w:val="0"/>
          <w:iCs w:val="0"/>
          <w:sz w:val="22"/>
          <w:szCs w:val="22"/>
        </w:rPr>
        <w:t xml:space="preserve">transcrito, possibilitava a citada transferência contratual: </w:t>
      </w:r>
      <w:r w:rsidR="00DD1816" w:rsidRPr="00DD1816">
        <w:rPr>
          <w:b w:val="0"/>
          <w:iCs w:val="0"/>
          <w:sz w:val="22"/>
          <w:szCs w:val="22"/>
        </w:rPr>
        <w:t>“Art. 68. Constituem motivo para rescisão do contrato: (...)</w:t>
      </w:r>
      <w:r>
        <w:rPr>
          <w:b w:val="0"/>
          <w:iCs w:val="0"/>
          <w:sz w:val="22"/>
          <w:szCs w:val="22"/>
        </w:rPr>
        <w:t xml:space="preserve"> </w:t>
      </w:r>
      <w:r w:rsidR="00DD1816" w:rsidRPr="00DD1816">
        <w:rPr>
          <w:b w:val="0"/>
          <w:iCs w:val="0"/>
          <w:sz w:val="22"/>
          <w:szCs w:val="22"/>
        </w:rPr>
        <w:t>VI - a subcontratação total ou parcial do seu objeto, a associação do contratado com outrem, a cessão ou transferência, total ou parcial, exceto se admitida no edital e no contrato ou obtida prévia autorização escrita da Administração;”</w:t>
      </w:r>
      <w:r>
        <w:rPr>
          <w:b w:val="0"/>
          <w:i w:val="0"/>
          <w:iCs w:val="0"/>
          <w:sz w:val="22"/>
          <w:szCs w:val="22"/>
        </w:rPr>
        <w:t xml:space="preserve">. Segundo o relator, o aludido </w:t>
      </w:r>
      <w:r w:rsidR="00DD1816" w:rsidRPr="00DD1816">
        <w:rPr>
          <w:b w:val="0"/>
          <w:i w:val="0"/>
          <w:iCs w:val="0"/>
          <w:sz w:val="22"/>
          <w:szCs w:val="22"/>
        </w:rPr>
        <w:t>dispositivo não dá ensejo a que determinada empresa contratada</w:t>
      </w:r>
      <w:r w:rsidR="00767698">
        <w:rPr>
          <w:b w:val="0"/>
          <w:i w:val="0"/>
          <w:iCs w:val="0"/>
          <w:sz w:val="22"/>
          <w:szCs w:val="22"/>
        </w:rPr>
        <w:t xml:space="preserve"> –</w:t>
      </w:r>
      <w:r w:rsidR="00DD1816" w:rsidRPr="00DD1816">
        <w:rPr>
          <w:b w:val="0"/>
          <w:i w:val="0"/>
          <w:iCs w:val="0"/>
          <w:sz w:val="22"/>
          <w:szCs w:val="22"/>
        </w:rPr>
        <w:t xml:space="preserve"> pela via da licitação</w:t>
      </w:r>
      <w:r w:rsidR="00767698">
        <w:rPr>
          <w:b w:val="0"/>
          <w:i w:val="0"/>
          <w:iCs w:val="0"/>
          <w:sz w:val="22"/>
          <w:szCs w:val="22"/>
        </w:rPr>
        <w:t xml:space="preserve"> – </w:t>
      </w:r>
      <w:r w:rsidR="00DD1816" w:rsidRPr="00DD1816">
        <w:rPr>
          <w:b w:val="0"/>
          <w:i w:val="0"/>
          <w:iCs w:val="0"/>
          <w:sz w:val="22"/>
          <w:szCs w:val="22"/>
        </w:rPr>
        <w:t xml:space="preserve">seja substituída por outra que não logrou vencer o certame, uma vez que </w:t>
      </w:r>
      <w:r w:rsidRPr="00785590">
        <w:rPr>
          <w:b w:val="0"/>
          <w:iCs w:val="0"/>
          <w:sz w:val="22"/>
          <w:szCs w:val="22"/>
        </w:rPr>
        <w:t>“</w:t>
      </w:r>
      <w:r w:rsidR="00DD1816" w:rsidRPr="00785590">
        <w:rPr>
          <w:b w:val="0"/>
          <w:iCs w:val="0"/>
          <w:sz w:val="22"/>
          <w:szCs w:val="22"/>
        </w:rPr>
        <w:t>tal manobra implica, em resumo, burla ao dever de licitar, insculpido no art. 37, inciso XXI, da Constituição Federal</w:t>
      </w:r>
      <w:r w:rsidRPr="00785590">
        <w:rPr>
          <w:b w:val="0"/>
          <w:iCs w:val="0"/>
          <w:sz w:val="22"/>
          <w:szCs w:val="22"/>
        </w:rPr>
        <w:t>”</w:t>
      </w:r>
      <w:r w:rsidR="00DD1816" w:rsidRPr="00DD1816">
        <w:rPr>
          <w:b w:val="0"/>
          <w:i w:val="0"/>
          <w:iCs w:val="0"/>
          <w:sz w:val="22"/>
          <w:szCs w:val="22"/>
        </w:rPr>
        <w:t xml:space="preserve">. Não por outro motivo, </w:t>
      </w:r>
      <w:r>
        <w:rPr>
          <w:b w:val="0"/>
          <w:i w:val="0"/>
          <w:iCs w:val="0"/>
          <w:sz w:val="22"/>
          <w:szCs w:val="22"/>
        </w:rPr>
        <w:t>ressaltou o relator, o TCU</w:t>
      </w:r>
      <w:r w:rsidR="00DD1816" w:rsidRPr="00DD1816">
        <w:rPr>
          <w:b w:val="0"/>
          <w:i w:val="0"/>
          <w:iCs w:val="0"/>
          <w:sz w:val="22"/>
          <w:szCs w:val="22"/>
        </w:rPr>
        <w:t xml:space="preserve"> já se posicionou no sentido de que, mesmo na vigência do Decreto-Lei n.</w:t>
      </w:r>
      <w:r>
        <w:rPr>
          <w:b w:val="0"/>
          <w:i w:val="0"/>
          <w:iCs w:val="0"/>
          <w:sz w:val="22"/>
          <w:szCs w:val="22"/>
        </w:rPr>
        <w:t>º</w:t>
      </w:r>
      <w:r w:rsidR="00DD1816" w:rsidRPr="00DD1816">
        <w:rPr>
          <w:b w:val="0"/>
          <w:i w:val="0"/>
          <w:iCs w:val="0"/>
          <w:sz w:val="22"/>
          <w:szCs w:val="22"/>
        </w:rPr>
        <w:t xml:space="preserve"> 2.300/86, a cessão total do contrato administrativo era indevida e ilegal.</w:t>
      </w:r>
      <w:r w:rsidR="00931568">
        <w:rPr>
          <w:b w:val="0"/>
          <w:i w:val="0"/>
          <w:iCs w:val="0"/>
          <w:sz w:val="22"/>
          <w:szCs w:val="22"/>
        </w:rPr>
        <w:t xml:space="preserve"> </w:t>
      </w:r>
      <w:r w:rsidR="00C21060">
        <w:rPr>
          <w:b w:val="0"/>
          <w:i w:val="0"/>
          <w:iCs w:val="0"/>
          <w:sz w:val="22"/>
          <w:szCs w:val="22"/>
        </w:rPr>
        <w:t xml:space="preserve">No </w:t>
      </w:r>
      <w:r w:rsidR="00D85ED0">
        <w:rPr>
          <w:b w:val="0"/>
          <w:i w:val="0"/>
          <w:iCs w:val="0"/>
          <w:sz w:val="22"/>
          <w:szCs w:val="22"/>
        </w:rPr>
        <w:t>caso concreto</w:t>
      </w:r>
      <w:r w:rsidR="00C21060">
        <w:rPr>
          <w:b w:val="0"/>
          <w:i w:val="0"/>
          <w:iCs w:val="0"/>
          <w:sz w:val="22"/>
          <w:szCs w:val="22"/>
        </w:rPr>
        <w:t>, o</w:t>
      </w:r>
      <w:r w:rsidR="00931568">
        <w:rPr>
          <w:b w:val="0"/>
          <w:i w:val="0"/>
          <w:iCs w:val="0"/>
          <w:sz w:val="22"/>
          <w:szCs w:val="22"/>
        </w:rPr>
        <w:t xml:space="preserve"> relator </w:t>
      </w:r>
      <w:r w:rsidR="00DD1816" w:rsidRPr="00DD1816">
        <w:rPr>
          <w:b w:val="0"/>
          <w:i w:val="0"/>
          <w:iCs w:val="0"/>
          <w:sz w:val="22"/>
          <w:szCs w:val="22"/>
        </w:rPr>
        <w:t>deixo</w:t>
      </w:r>
      <w:r w:rsidR="00931568">
        <w:rPr>
          <w:b w:val="0"/>
          <w:i w:val="0"/>
          <w:iCs w:val="0"/>
          <w:sz w:val="22"/>
          <w:szCs w:val="22"/>
        </w:rPr>
        <w:t>u</w:t>
      </w:r>
      <w:r w:rsidR="00DD1816" w:rsidRPr="00DD1816">
        <w:rPr>
          <w:b w:val="0"/>
          <w:i w:val="0"/>
          <w:iCs w:val="0"/>
          <w:sz w:val="22"/>
          <w:szCs w:val="22"/>
        </w:rPr>
        <w:t xml:space="preserve"> de propor medidas adicionais no sentido de apurar a responsabilidade pela irregularidade, tendo em vista que o fato ocorreu em época pretérita (ano de 2000) àquela em que o TCU firmou entendimento pela </w:t>
      </w:r>
      <w:r w:rsidR="00D85ED0" w:rsidRPr="00D85ED0">
        <w:rPr>
          <w:b w:val="0"/>
          <w:iCs w:val="0"/>
          <w:sz w:val="22"/>
          <w:szCs w:val="22"/>
        </w:rPr>
        <w:t>“</w:t>
      </w:r>
      <w:r w:rsidR="00DD1816" w:rsidRPr="00D85ED0">
        <w:rPr>
          <w:b w:val="0"/>
          <w:iCs w:val="0"/>
          <w:sz w:val="22"/>
          <w:szCs w:val="22"/>
        </w:rPr>
        <w:t>impossibilidade da transferência contratual via cessão contratual</w:t>
      </w:r>
      <w:r w:rsidR="00D85ED0" w:rsidRPr="00D85ED0">
        <w:rPr>
          <w:b w:val="0"/>
          <w:iCs w:val="0"/>
          <w:sz w:val="22"/>
          <w:szCs w:val="22"/>
        </w:rPr>
        <w:t>”</w:t>
      </w:r>
      <w:r w:rsidR="00DD1816" w:rsidRPr="00DD1816">
        <w:rPr>
          <w:b w:val="0"/>
          <w:i w:val="0"/>
          <w:iCs w:val="0"/>
          <w:sz w:val="22"/>
          <w:szCs w:val="22"/>
        </w:rPr>
        <w:t xml:space="preserve"> (ano de 2002).</w:t>
      </w:r>
      <w:r>
        <w:rPr>
          <w:b w:val="0"/>
          <w:i w:val="0"/>
          <w:iCs w:val="0"/>
          <w:sz w:val="22"/>
          <w:szCs w:val="22"/>
        </w:rPr>
        <w:t xml:space="preserve"> </w:t>
      </w:r>
      <w:r w:rsidR="00931568">
        <w:rPr>
          <w:b w:val="0"/>
          <w:i w:val="0"/>
          <w:iCs w:val="0"/>
          <w:sz w:val="22"/>
          <w:szCs w:val="22"/>
        </w:rPr>
        <w:t xml:space="preserve">O Plenário acolheu a manifestação do relator. </w:t>
      </w:r>
      <w:r>
        <w:rPr>
          <w:b w:val="0"/>
          <w:i w:val="0"/>
          <w:iCs w:val="0"/>
          <w:sz w:val="22"/>
          <w:szCs w:val="22"/>
        </w:rPr>
        <w:t>Precedente</w:t>
      </w:r>
      <w:r w:rsidR="00931568">
        <w:rPr>
          <w:b w:val="0"/>
          <w:i w:val="0"/>
          <w:iCs w:val="0"/>
          <w:sz w:val="22"/>
          <w:szCs w:val="22"/>
        </w:rPr>
        <w:t>s</w:t>
      </w:r>
      <w:r>
        <w:rPr>
          <w:b w:val="0"/>
          <w:i w:val="0"/>
          <w:iCs w:val="0"/>
          <w:sz w:val="22"/>
          <w:szCs w:val="22"/>
        </w:rPr>
        <w:t xml:space="preserve"> citado</w:t>
      </w:r>
      <w:r w:rsidR="00931568">
        <w:rPr>
          <w:b w:val="0"/>
          <w:i w:val="0"/>
          <w:iCs w:val="0"/>
          <w:sz w:val="22"/>
          <w:szCs w:val="22"/>
        </w:rPr>
        <w:t>s</w:t>
      </w:r>
      <w:r>
        <w:rPr>
          <w:b w:val="0"/>
          <w:i w:val="0"/>
          <w:iCs w:val="0"/>
          <w:sz w:val="22"/>
          <w:szCs w:val="22"/>
        </w:rPr>
        <w:t xml:space="preserve">: </w:t>
      </w:r>
      <w:r w:rsidRPr="00DD1816">
        <w:rPr>
          <w:b w:val="0"/>
          <w:i w:val="0"/>
          <w:iCs w:val="0"/>
          <w:sz w:val="22"/>
          <w:szCs w:val="22"/>
        </w:rPr>
        <w:t>Decis</w:t>
      </w:r>
      <w:r w:rsidR="00931568">
        <w:rPr>
          <w:b w:val="0"/>
          <w:i w:val="0"/>
          <w:iCs w:val="0"/>
          <w:sz w:val="22"/>
          <w:szCs w:val="22"/>
        </w:rPr>
        <w:t>ões</w:t>
      </w:r>
      <w:r w:rsidRPr="00DD1816">
        <w:rPr>
          <w:b w:val="0"/>
          <w:i w:val="0"/>
          <w:iCs w:val="0"/>
          <w:sz w:val="22"/>
          <w:szCs w:val="22"/>
        </w:rPr>
        <w:t xml:space="preserve"> n.</w:t>
      </w:r>
      <w:r w:rsidR="00931568" w:rsidRPr="00931568">
        <w:rPr>
          <w:b w:val="0"/>
          <w:i w:val="0"/>
          <w:iCs w:val="0"/>
          <w:sz w:val="22"/>
          <w:szCs w:val="22"/>
          <w:vertAlign w:val="superscript"/>
        </w:rPr>
        <w:t>os</w:t>
      </w:r>
      <w:r w:rsidRPr="00DD1816">
        <w:rPr>
          <w:b w:val="0"/>
          <w:i w:val="0"/>
          <w:iCs w:val="0"/>
          <w:sz w:val="22"/>
          <w:szCs w:val="22"/>
        </w:rPr>
        <w:t xml:space="preserve"> 420/2002</w:t>
      </w:r>
      <w:r w:rsidR="00931568">
        <w:rPr>
          <w:b w:val="0"/>
          <w:i w:val="0"/>
          <w:iCs w:val="0"/>
          <w:sz w:val="22"/>
          <w:szCs w:val="22"/>
        </w:rPr>
        <w:t xml:space="preserve"> e </w:t>
      </w:r>
      <w:r w:rsidR="00931568" w:rsidRPr="00DD1816">
        <w:rPr>
          <w:b w:val="0"/>
          <w:i w:val="0"/>
          <w:iCs w:val="0"/>
          <w:sz w:val="22"/>
          <w:szCs w:val="22"/>
        </w:rPr>
        <w:t>119/2000</w:t>
      </w:r>
      <w:r w:rsidR="00931568">
        <w:rPr>
          <w:b w:val="0"/>
          <w:i w:val="0"/>
          <w:iCs w:val="0"/>
          <w:sz w:val="22"/>
          <w:szCs w:val="22"/>
        </w:rPr>
        <w:t>, ambas do</w:t>
      </w:r>
      <w:r w:rsidR="00931568" w:rsidRPr="00DD1816">
        <w:rPr>
          <w:b w:val="0"/>
          <w:i w:val="0"/>
          <w:iCs w:val="0"/>
          <w:sz w:val="22"/>
          <w:szCs w:val="22"/>
        </w:rPr>
        <w:t xml:space="preserve"> </w:t>
      </w:r>
      <w:r w:rsidRPr="00DD1816">
        <w:rPr>
          <w:b w:val="0"/>
          <w:i w:val="0"/>
          <w:iCs w:val="0"/>
          <w:sz w:val="22"/>
          <w:szCs w:val="22"/>
        </w:rPr>
        <w:t>Plenário</w:t>
      </w:r>
      <w:r w:rsidR="00931568">
        <w:rPr>
          <w:b w:val="0"/>
          <w:i w:val="0"/>
          <w:iCs w:val="0"/>
          <w:sz w:val="22"/>
          <w:szCs w:val="22"/>
        </w:rPr>
        <w:t xml:space="preserve">; </w:t>
      </w:r>
      <w:r w:rsidR="00931568" w:rsidRPr="00DD1816">
        <w:rPr>
          <w:b w:val="0"/>
          <w:i w:val="0"/>
          <w:iCs w:val="0"/>
          <w:sz w:val="22"/>
          <w:szCs w:val="22"/>
        </w:rPr>
        <w:t>Decis</w:t>
      </w:r>
      <w:r w:rsidR="00931568">
        <w:rPr>
          <w:b w:val="0"/>
          <w:i w:val="0"/>
          <w:iCs w:val="0"/>
          <w:sz w:val="22"/>
          <w:szCs w:val="22"/>
        </w:rPr>
        <w:t>ão</w:t>
      </w:r>
      <w:r w:rsidR="00931568" w:rsidRPr="00DD1816">
        <w:rPr>
          <w:b w:val="0"/>
          <w:i w:val="0"/>
          <w:iCs w:val="0"/>
          <w:sz w:val="22"/>
          <w:szCs w:val="22"/>
        </w:rPr>
        <w:t xml:space="preserve"> n.</w:t>
      </w:r>
      <w:r w:rsidR="00931568">
        <w:rPr>
          <w:b w:val="0"/>
          <w:i w:val="0"/>
          <w:iCs w:val="0"/>
          <w:sz w:val="22"/>
          <w:szCs w:val="22"/>
        </w:rPr>
        <w:t>º</w:t>
      </w:r>
      <w:r w:rsidR="00931568" w:rsidRPr="00DD1816">
        <w:rPr>
          <w:b w:val="0"/>
          <w:i w:val="0"/>
          <w:iCs w:val="0"/>
          <w:sz w:val="22"/>
          <w:szCs w:val="22"/>
        </w:rPr>
        <w:t xml:space="preserve"> 129/2002</w:t>
      </w:r>
      <w:r w:rsidR="00931568">
        <w:rPr>
          <w:b w:val="0"/>
          <w:i w:val="0"/>
          <w:iCs w:val="0"/>
          <w:sz w:val="22"/>
          <w:szCs w:val="22"/>
        </w:rPr>
        <w:t>-1ª</w:t>
      </w:r>
      <w:r w:rsidR="00931568" w:rsidRPr="00DD1816">
        <w:rPr>
          <w:b w:val="0"/>
          <w:i w:val="0"/>
          <w:iCs w:val="0"/>
          <w:sz w:val="22"/>
          <w:szCs w:val="22"/>
        </w:rPr>
        <w:t xml:space="preserve"> Câmara</w:t>
      </w:r>
      <w:r w:rsidR="00931568">
        <w:rPr>
          <w:b w:val="0"/>
          <w:i w:val="0"/>
          <w:iCs w:val="0"/>
          <w:sz w:val="22"/>
          <w:szCs w:val="22"/>
        </w:rPr>
        <w:t xml:space="preserve">. </w:t>
      </w:r>
      <w:r w:rsidR="000C5991" w:rsidRPr="00785590">
        <w:rPr>
          <w:sz w:val="22"/>
          <w:szCs w:val="22"/>
        </w:rPr>
        <w:t>Acórdão n.º 2406/2010-Plenário, TC-013.725/2010-6, rel. Min-Subst. Marcos Bemquerer Costa, 15.09.2010</w:t>
      </w:r>
      <w:r w:rsidR="000C5991" w:rsidRPr="00337E16">
        <w:rPr>
          <w:sz w:val="22"/>
          <w:szCs w:val="22"/>
        </w:rPr>
        <w:t>.</w:t>
      </w:r>
    </w:p>
    <w:p w:rsidR="0055716D" w:rsidRDefault="0055716D" w:rsidP="0055716D">
      <w:pPr>
        <w:pStyle w:val="enter-3pt"/>
        <w:spacing w:line="240" w:lineRule="auto"/>
        <w:rPr>
          <w:sz w:val="22"/>
          <w:szCs w:val="22"/>
        </w:rPr>
      </w:pPr>
    </w:p>
    <w:p w:rsidR="009615CB" w:rsidRDefault="009615CB" w:rsidP="0055716D">
      <w:pPr>
        <w:pStyle w:val="enter-3pt"/>
        <w:spacing w:line="240" w:lineRule="auto"/>
        <w:rPr>
          <w:sz w:val="22"/>
          <w:szCs w:val="22"/>
        </w:rPr>
      </w:pPr>
    </w:p>
    <w:p w:rsidR="0064398B" w:rsidRPr="00337E16" w:rsidRDefault="0064398B" w:rsidP="0055716D">
      <w:pPr>
        <w:pStyle w:val="enter-3pt"/>
        <w:spacing w:line="240" w:lineRule="auto"/>
        <w:rPr>
          <w:sz w:val="22"/>
          <w:szCs w:val="22"/>
        </w:rPr>
      </w:pPr>
    </w:p>
    <w:p w:rsidR="0055716D" w:rsidRPr="00337E16" w:rsidRDefault="0055716D" w:rsidP="0055716D">
      <w:pPr>
        <w:pBdr>
          <w:top w:val="threeDEmboss" w:sz="24" w:space="0" w:color="auto"/>
        </w:pBdr>
        <w:tabs>
          <w:tab w:val="left" w:pos="284"/>
        </w:tabs>
        <w:spacing w:after="0"/>
        <w:ind w:left="0"/>
        <w:jc w:val="center"/>
        <w:rPr>
          <w:rFonts w:ascii="Cambria" w:hAnsi="Cambria"/>
          <w:b/>
          <w:bCs/>
          <w:smallCaps/>
          <w:sz w:val="22"/>
          <w:szCs w:val="22"/>
        </w:rPr>
      </w:pPr>
      <w:r>
        <w:rPr>
          <w:rFonts w:ascii="Cambria" w:hAnsi="Cambria"/>
          <w:b/>
          <w:bCs/>
          <w:smallCaps/>
          <w:sz w:val="22"/>
          <w:szCs w:val="22"/>
        </w:rPr>
        <w:t>PRIMEIRA</w:t>
      </w:r>
      <w:r w:rsidRPr="00337E16">
        <w:rPr>
          <w:rFonts w:ascii="Cambria" w:hAnsi="Cambria"/>
          <w:b/>
          <w:bCs/>
          <w:smallCaps/>
          <w:sz w:val="22"/>
          <w:szCs w:val="22"/>
        </w:rPr>
        <w:t xml:space="preserve"> CÂMARA</w:t>
      </w:r>
    </w:p>
    <w:p w:rsidR="0055716D" w:rsidRPr="00337E16" w:rsidRDefault="0055716D" w:rsidP="0055716D">
      <w:pPr>
        <w:pStyle w:val="Pargrafo"/>
        <w:jc w:val="both"/>
        <w:rPr>
          <w:b/>
          <w:sz w:val="22"/>
          <w:szCs w:val="22"/>
        </w:rPr>
      </w:pPr>
    </w:p>
    <w:p w:rsidR="0055716D" w:rsidRPr="00970068" w:rsidRDefault="00970068" w:rsidP="0055716D">
      <w:pPr>
        <w:pStyle w:val="Pargrafo"/>
        <w:jc w:val="both"/>
        <w:rPr>
          <w:b/>
          <w:sz w:val="22"/>
          <w:szCs w:val="22"/>
        </w:rPr>
      </w:pPr>
      <w:r w:rsidRPr="00970068">
        <w:rPr>
          <w:b/>
          <w:sz w:val="22"/>
          <w:szCs w:val="22"/>
        </w:rPr>
        <w:t>Pregão: uso indevido da denominação “projeto básico” em substituição a “termo de referência”</w:t>
      </w:r>
    </w:p>
    <w:p w:rsidR="0055716D" w:rsidRPr="00337E16" w:rsidRDefault="005D59FB" w:rsidP="00003A4F">
      <w:pPr>
        <w:pStyle w:val="tita"/>
        <w:spacing w:before="0" w:after="0" w:line="240" w:lineRule="auto"/>
        <w:jc w:val="both"/>
        <w:rPr>
          <w:sz w:val="22"/>
          <w:szCs w:val="22"/>
        </w:rPr>
      </w:pPr>
      <w:r w:rsidRPr="00970068">
        <w:rPr>
          <w:b w:val="0"/>
          <w:i w:val="0"/>
          <w:iCs w:val="0"/>
          <w:sz w:val="22"/>
          <w:szCs w:val="22"/>
        </w:rPr>
        <w:t xml:space="preserve">Por meio </w:t>
      </w:r>
      <w:r>
        <w:rPr>
          <w:b w:val="0"/>
          <w:i w:val="0"/>
          <w:iCs w:val="0"/>
          <w:sz w:val="22"/>
          <w:szCs w:val="22"/>
        </w:rPr>
        <w:t xml:space="preserve">do </w:t>
      </w:r>
      <w:r w:rsidRPr="00970068">
        <w:rPr>
          <w:b w:val="0"/>
          <w:i w:val="0"/>
          <w:iCs w:val="0"/>
          <w:sz w:val="22"/>
          <w:szCs w:val="22"/>
        </w:rPr>
        <w:t>Acórdão n</w:t>
      </w:r>
      <w:r>
        <w:rPr>
          <w:b w:val="0"/>
          <w:i w:val="0"/>
          <w:iCs w:val="0"/>
          <w:sz w:val="22"/>
          <w:szCs w:val="22"/>
        </w:rPr>
        <w:t>.</w:t>
      </w:r>
      <w:r w:rsidRPr="00970068">
        <w:rPr>
          <w:b w:val="0"/>
          <w:i w:val="0"/>
          <w:iCs w:val="0"/>
          <w:sz w:val="22"/>
          <w:szCs w:val="22"/>
        </w:rPr>
        <w:t>º</w:t>
      </w:r>
      <w:r>
        <w:rPr>
          <w:b w:val="0"/>
          <w:i w:val="0"/>
          <w:iCs w:val="0"/>
          <w:sz w:val="22"/>
          <w:szCs w:val="22"/>
        </w:rPr>
        <w:t xml:space="preserve"> </w:t>
      </w:r>
      <w:r w:rsidRPr="00970068">
        <w:rPr>
          <w:b w:val="0"/>
          <w:i w:val="0"/>
          <w:iCs w:val="0"/>
          <w:sz w:val="22"/>
          <w:szCs w:val="22"/>
        </w:rPr>
        <w:t>1.063/2010-1ª</w:t>
      </w:r>
      <w:r>
        <w:rPr>
          <w:b w:val="0"/>
          <w:i w:val="0"/>
          <w:iCs w:val="0"/>
          <w:sz w:val="22"/>
          <w:szCs w:val="22"/>
        </w:rPr>
        <w:t xml:space="preserve"> </w:t>
      </w:r>
      <w:r w:rsidRPr="00970068">
        <w:rPr>
          <w:b w:val="0"/>
          <w:i w:val="0"/>
          <w:iCs w:val="0"/>
          <w:sz w:val="22"/>
          <w:szCs w:val="22"/>
        </w:rPr>
        <w:t xml:space="preserve">Câmara, </w:t>
      </w:r>
      <w:r w:rsidR="00236288">
        <w:rPr>
          <w:b w:val="0"/>
          <w:i w:val="0"/>
          <w:iCs w:val="0"/>
          <w:sz w:val="22"/>
          <w:szCs w:val="22"/>
        </w:rPr>
        <w:t>prolatado em processo de</w:t>
      </w:r>
      <w:r w:rsidRPr="00970068">
        <w:rPr>
          <w:b w:val="0"/>
          <w:i w:val="0"/>
          <w:iCs w:val="0"/>
          <w:sz w:val="22"/>
          <w:szCs w:val="22"/>
        </w:rPr>
        <w:t xml:space="preserve"> representação </w:t>
      </w:r>
      <w:r w:rsidR="00236288">
        <w:rPr>
          <w:b w:val="0"/>
          <w:i w:val="0"/>
          <w:iCs w:val="0"/>
          <w:sz w:val="22"/>
          <w:szCs w:val="22"/>
        </w:rPr>
        <w:t>contra</w:t>
      </w:r>
      <w:r w:rsidRPr="00970068">
        <w:rPr>
          <w:b w:val="0"/>
          <w:i w:val="0"/>
          <w:iCs w:val="0"/>
          <w:sz w:val="22"/>
          <w:szCs w:val="22"/>
        </w:rPr>
        <w:t xml:space="preserve"> </w:t>
      </w:r>
      <w:r>
        <w:rPr>
          <w:b w:val="0"/>
          <w:i w:val="0"/>
          <w:iCs w:val="0"/>
          <w:sz w:val="22"/>
          <w:szCs w:val="22"/>
        </w:rPr>
        <w:t xml:space="preserve">possíveis </w:t>
      </w:r>
      <w:r w:rsidR="00236288">
        <w:rPr>
          <w:b w:val="0"/>
          <w:i w:val="0"/>
          <w:iCs w:val="0"/>
          <w:sz w:val="22"/>
          <w:szCs w:val="22"/>
        </w:rPr>
        <w:t>irregularidades</w:t>
      </w:r>
      <w:r w:rsidRPr="00970068">
        <w:rPr>
          <w:b w:val="0"/>
          <w:i w:val="0"/>
          <w:iCs w:val="0"/>
          <w:sz w:val="22"/>
          <w:szCs w:val="22"/>
        </w:rPr>
        <w:t xml:space="preserve"> </w:t>
      </w:r>
      <w:r>
        <w:rPr>
          <w:b w:val="0"/>
          <w:i w:val="0"/>
          <w:iCs w:val="0"/>
          <w:sz w:val="22"/>
          <w:szCs w:val="22"/>
        </w:rPr>
        <w:t>no âmbito</w:t>
      </w:r>
      <w:r w:rsidRPr="00970068">
        <w:rPr>
          <w:b w:val="0"/>
          <w:i w:val="0"/>
          <w:iCs w:val="0"/>
          <w:sz w:val="22"/>
          <w:szCs w:val="22"/>
        </w:rPr>
        <w:t xml:space="preserve"> do Pregão Eletrônico n</w:t>
      </w:r>
      <w:r>
        <w:rPr>
          <w:b w:val="0"/>
          <w:i w:val="0"/>
          <w:iCs w:val="0"/>
          <w:sz w:val="22"/>
          <w:szCs w:val="22"/>
        </w:rPr>
        <w:t>.</w:t>
      </w:r>
      <w:r w:rsidRPr="00970068">
        <w:rPr>
          <w:b w:val="0"/>
          <w:i w:val="0"/>
          <w:iCs w:val="0"/>
          <w:sz w:val="22"/>
          <w:szCs w:val="22"/>
        </w:rPr>
        <w:t>º</w:t>
      </w:r>
      <w:r>
        <w:rPr>
          <w:b w:val="0"/>
          <w:i w:val="0"/>
          <w:iCs w:val="0"/>
          <w:sz w:val="22"/>
          <w:szCs w:val="22"/>
        </w:rPr>
        <w:t xml:space="preserve"> </w:t>
      </w:r>
      <w:r w:rsidRPr="00970068">
        <w:rPr>
          <w:b w:val="0"/>
          <w:i w:val="0"/>
          <w:iCs w:val="0"/>
          <w:sz w:val="22"/>
          <w:szCs w:val="22"/>
        </w:rPr>
        <w:t>460/2009, o Tribunal recomendou à Amazonas Distribuidora de Energia S.A. que, na fase preparatória da licitação na modalidade pregão eletrônico, elabore termo de referência, conforme previsto no art.</w:t>
      </w:r>
      <w:r>
        <w:rPr>
          <w:b w:val="0"/>
          <w:i w:val="0"/>
          <w:iCs w:val="0"/>
          <w:sz w:val="22"/>
          <w:szCs w:val="22"/>
        </w:rPr>
        <w:t xml:space="preserve"> </w:t>
      </w:r>
      <w:r w:rsidRPr="00970068">
        <w:rPr>
          <w:b w:val="0"/>
          <w:i w:val="0"/>
          <w:iCs w:val="0"/>
          <w:sz w:val="22"/>
          <w:szCs w:val="22"/>
        </w:rPr>
        <w:t>9º, inciso</w:t>
      </w:r>
      <w:r>
        <w:rPr>
          <w:b w:val="0"/>
          <w:i w:val="0"/>
          <w:iCs w:val="0"/>
          <w:sz w:val="22"/>
          <w:szCs w:val="22"/>
        </w:rPr>
        <w:t xml:space="preserve"> </w:t>
      </w:r>
      <w:r w:rsidRPr="00970068">
        <w:rPr>
          <w:b w:val="0"/>
          <w:i w:val="0"/>
          <w:iCs w:val="0"/>
          <w:sz w:val="22"/>
          <w:szCs w:val="22"/>
        </w:rPr>
        <w:t>I, do Decreto n</w:t>
      </w:r>
      <w:r>
        <w:rPr>
          <w:b w:val="0"/>
          <w:i w:val="0"/>
          <w:iCs w:val="0"/>
          <w:sz w:val="22"/>
          <w:szCs w:val="22"/>
        </w:rPr>
        <w:t>.</w:t>
      </w:r>
      <w:r w:rsidRPr="00970068">
        <w:rPr>
          <w:b w:val="0"/>
          <w:i w:val="0"/>
          <w:iCs w:val="0"/>
          <w:sz w:val="22"/>
          <w:szCs w:val="22"/>
        </w:rPr>
        <w:t>º</w:t>
      </w:r>
      <w:r>
        <w:rPr>
          <w:b w:val="0"/>
          <w:i w:val="0"/>
          <w:iCs w:val="0"/>
          <w:sz w:val="22"/>
          <w:szCs w:val="22"/>
        </w:rPr>
        <w:t xml:space="preserve"> </w:t>
      </w:r>
      <w:r w:rsidRPr="00970068">
        <w:rPr>
          <w:b w:val="0"/>
          <w:i w:val="0"/>
          <w:iCs w:val="0"/>
          <w:sz w:val="22"/>
          <w:szCs w:val="22"/>
        </w:rPr>
        <w:t>5.450/2005.</w:t>
      </w:r>
      <w:r>
        <w:rPr>
          <w:b w:val="0"/>
          <w:i w:val="0"/>
          <w:iCs w:val="0"/>
          <w:sz w:val="22"/>
          <w:szCs w:val="22"/>
        </w:rPr>
        <w:t xml:space="preserve"> </w:t>
      </w:r>
      <w:r w:rsidRPr="00970068">
        <w:rPr>
          <w:b w:val="0"/>
          <w:i w:val="0"/>
          <w:iCs w:val="0"/>
          <w:sz w:val="22"/>
          <w:szCs w:val="22"/>
        </w:rPr>
        <w:t xml:space="preserve">Tal recomendação decorreu da constatação da ocorrência de impropriedade formal, caracterizada </w:t>
      </w:r>
      <w:r w:rsidR="00003A4F">
        <w:rPr>
          <w:b w:val="0"/>
          <w:i w:val="0"/>
          <w:iCs w:val="0"/>
          <w:sz w:val="22"/>
          <w:szCs w:val="22"/>
        </w:rPr>
        <w:t xml:space="preserve">pelo </w:t>
      </w:r>
      <w:r w:rsidR="00003A4F" w:rsidRPr="00970068">
        <w:rPr>
          <w:b w:val="0"/>
          <w:i w:val="0"/>
          <w:iCs w:val="0"/>
          <w:sz w:val="22"/>
          <w:szCs w:val="22"/>
        </w:rPr>
        <w:t xml:space="preserve">uso indevido da denominação </w:t>
      </w:r>
      <w:r w:rsidR="00236288">
        <w:rPr>
          <w:b w:val="0"/>
          <w:i w:val="0"/>
          <w:iCs w:val="0"/>
          <w:sz w:val="22"/>
          <w:szCs w:val="22"/>
        </w:rPr>
        <w:t>‘</w:t>
      </w:r>
      <w:r w:rsidR="00003A4F" w:rsidRPr="00970068">
        <w:rPr>
          <w:b w:val="0"/>
          <w:i w:val="0"/>
          <w:iCs w:val="0"/>
          <w:sz w:val="22"/>
          <w:szCs w:val="22"/>
        </w:rPr>
        <w:t>projeto básico</w:t>
      </w:r>
      <w:r w:rsidR="00236288">
        <w:rPr>
          <w:b w:val="0"/>
          <w:i w:val="0"/>
          <w:iCs w:val="0"/>
          <w:sz w:val="22"/>
          <w:szCs w:val="22"/>
        </w:rPr>
        <w:t>’</w:t>
      </w:r>
      <w:r w:rsidR="00003A4F" w:rsidRPr="00970068">
        <w:rPr>
          <w:b w:val="0"/>
          <w:i w:val="0"/>
          <w:iCs w:val="0"/>
          <w:sz w:val="22"/>
          <w:szCs w:val="22"/>
        </w:rPr>
        <w:t xml:space="preserve"> em substituição a </w:t>
      </w:r>
      <w:r w:rsidR="00236288">
        <w:rPr>
          <w:b w:val="0"/>
          <w:i w:val="0"/>
          <w:iCs w:val="0"/>
          <w:sz w:val="22"/>
          <w:szCs w:val="22"/>
        </w:rPr>
        <w:t>‘</w:t>
      </w:r>
      <w:r w:rsidR="00003A4F" w:rsidRPr="00970068">
        <w:rPr>
          <w:b w:val="0"/>
          <w:i w:val="0"/>
          <w:iCs w:val="0"/>
          <w:sz w:val="22"/>
          <w:szCs w:val="22"/>
        </w:rPr>
        <w:t>termo de referência</w:t>
      </w:r>
      <w:r w:rsidR="00236288">
        <w:rPr>
          <w:b w:val="0"/>
          <w:i w:val="0"/>
          <w:iCs w:val="0"/>
          <w:sz w:val="22"/>
          <w:szCs w:val="22"/>
        </w:rPr>
        <w:t>’</w:t>
      </w:r>
      <w:r w:rsidR="00003A4F" w:rsidRPr="00970068">
        <w:rPr>
          <w:b w:val="0"/>
          <w:i w:val="0"/>
          <w:iCs w:val="0"/>
          <w:sz w:val="22"/>
          <w:szCs w:val="22"/>
        </w:rPr>
        <w:t xml:space="preserve">, </w:t>
      </w:r>
      <w:r w:rsidR="00236288">
        <w:rPr>
          <w:b w:val="0"/>
          <w:i w:val="0"/>
          <w:iCs w:val="0"/>
          <w:sz w:val="22"/>
          <w:szCs w:val="22"/>
        </w:rPr>
        <w:t>sendo</w:t>
      </w:r>
      <w:r w:rsidR="00003A4F" w:rsidRPr="00970068">
        <w:rPr>
          <w:b w:val="0"/>
          <w:i w:val="0"/>
          <w:iCs w:val="0"/>
          <w:sz w:val="22"/>
          <w:szCs w:val="22"/>
        </w:rPr>
        <w:t xml:space="preserve"> esta a nomenclatura empregada pelo decreto regulamentador do pregão</w:t>
      </w:r>
      <w:r w:rsidRPr="00970068">
        <w:rPr>
          <w:b w:val="0"/>
          <w:i w:val="0"/>
          <w:iCs w:val="0"/>
          <w:sz w:val="22"/>
          <w:szCs w:val="22"/>
        </w:rPr>
        <w:t>.</w:t>
      </w:r>
      <w:r>
        <w:rPr>
          <w:b w:val="0"/>
          <w:i w:val="0"/>
          <w:iCs w:val="0"/>
          <w:sz w:val="22"/>
          <w:szCs w:val="22"/>
        </w:rPr>
        <w:t xml:space="preserve"> </w:t>
      </w:r>
      <w:r w:rsidR="00003A4F">
        <w:rPr>
          <w:b w:val="0"/>
          <w:i w:val="0"/>
          <w:iCs w:val="0"/>
          <w:sz w:val="22"/>
          <w:szCs w:val="22"/>
        </w:rPr>
        <w:t xml:space="preserve">Alegando haver obscuridade e omissão no referido </w:t>
      </w:r>
      <w:r w:rsidR="00003A4F" w:rsidRPr="00003A4F">
        <w:rPr>
          <w:i w:val="0"/>
          <w:iCs w:val="0"/>
          <w:sz w:val="22"/>
          <w:szCs w:val="22"/>
        </w:rPr>
        <w:t>decisum</w:t>
      </w:r>
      <w:r>
        <w:rPr>
          <w:b w:val="0"/>
          <w:i w:val="0"/>
          <w:iCs w:val="0"/>
          <w:sz w:val="22"/>
          <w:szCs w:val="22"/>
        </w:rPr>
        <w:t>, a entidade opôs</w:t>
      </w:r>
      <w:r w:rsidR="00003A4F">
        <w:rPr>
          <w:b w:val="0"/>
          <w:i w:val="0"/>
          <w:iCs w:val="0"/>
          <w:sz w:val="22"/>
          <w:szCs w:val="22"/>
        </w:rPr>
        <w:t xml:space="preserve"> </w:t>
      </w:r>
      <w:r w:rsidR="00970068" w:rsidRPr="00970068">
        <w:rPr>
          <w:b w:val="0"/>
          <w:i w:val="0"/>
          <w:iCs w:val="0"/>
          <w:sz w:val="22"/>
          <w:szCs w:val="22"/>
        </w:rPr>
        <w:t>embargos de declaração</w:t>
      </w:r>
      <w:r w:rsidR="00003A4F">
        <w:rPr>
          <w:b w:val="0"/>
          <w:i w:val="0"/>
          <w:iCs w:val="0"/>
          <w:sz w:val="22"/>
          <w:szCs w:val="22"/>
        </w:rPr>
        <w:t xml:space="preserve">. Em seu voto, o relator </w:t>
      </w:r>
      <w:r w:rsidR="00FB5F33">
        <w:rPr>
          <w:b w:val="0"/>
          <w:i w:val="0"/>
          <w:iCs w:val="0"/>
          <w:sz w:val="22"/>
          <w:szCs w:val="22"/>
        </w:rPr>
        <w:t xml:space="preserve">do recurso </w:t>
      </w:r>
      <w:r w:rsidR="00003A4F">
        <w:rPr>
          <w:b w:val="0"/>
          <w:i w:val="0"/>
          <w:iCs w:val="0"/>
          <w:sz w:val="22"/>
          <w:szCs w:val="22"/>
        </w:rPr>
        <w:t>observou que, em</w:t>
      </w:r>
      <w:r w:rsidR="00970068" w:rsidRPr="00970068">
        <w:rPr>
          <w:b w:val="0"/>
          <w:i w:val="0"/>
          <w:iCs w:val="0"/>
          <w:sz w:val="22"/>
          <w:szCs w:val="22"/>
        </w:rPr>
        <w:t>bora constasse do projeto básico anexado ao edital do Pregão Eletrônico n</w:t>
      </w:r>
      <w:r w:rsidR="00003A4F">
        <w:rPr>
          <w:b w:val="0"/>
          <w:i w:val="0"/>
          <w:iCs w:val="0"/>
          <w:sz w:val="22"/>
          <w:szCs w:val="22"/>
        </w:rPr>
        <w:t>.</w:t>
      </w:r>
      <w:r w:rsidR="00970068" w:rsidRPr="00970068">
        <w:rPr>
          <w:b w:val="0"/>
          <w:i w:val="0"/>
          <w:iCs w:val="0"/>
          <w:sz w:val="22"/>
          <w:szCs w:val="22"/>
        </w:rPr>
        <w:t>º</w:t>
      </w:r>
      <w:r w:rsidR="00003A4F">
        <w:rPr>
          <w:b w:val="0"/>
          <w:i w:val="0"/>
          <w:iCs w:val="0"/>
          <w:sz w:val="22"/>
          <w:szCs w:val="22"/>
        </w:rPr>
        <w:t xml:space="preserve"> </w:t>
      </w:r>
      <w:r w:rsidR="00970068" w:rsidRPr="00970068">
        <w:rPr>
          <w:b w:val="0"/>
          <w:i w:val="0"/>
          <w:iCs w:val="0"/>
          <w:sz w:val="22"/>
          <w:szCs w:val="22"/>
        </w:rPr>
        <w:t>460/2009 os elementos que deve</w:t>
      </w:r>
      <w:r w:rsidR="00BF73F3">
        <w:rPr>
          <w:b w:val="0"/>
          <w:i w:val="0"/>
          <w:iCs w:val="0"/>
          <w:sz w:val="22"/>
          <w:szCs w:val="22"/>
        </w:rPr>
        <w:t>ria</w:t>
      </w:r>
      <w:r w:rsidR="00970068" w:rsidRPr="00970068">
        <w:rPr>
          <w:b w:val="0"/>
          <w:i w:val="0"/>
          <w:iCs w:val="0"/>
          <w:sz w:val="22"/>
          <w:szCs w:val="22"/>
        </w:rPr>
        <w:t xml:space="preserve">m integrar o termo de referência, </w:t>
      </w:r>
      <w:r w:rsidR="00BF73F3">
        <w:rPr>
          <w:b w:val="0"/>
          <w:i w:val="0"/>
          <w:iCs w:val="0"/>
          <w:sz w:val="22"/>
          <w:szCs w:val="22"/>
        </w:rPr>
        <w:t>merecia, sim, prosperar</w:t>
      </w:r>
      <w:r w:rsidR="00970068" w:rsidRPr="00970068">
        <w:rPr>
          <w:b w:val="0"/>
          <w:i w:val="0"/>
          <w:iCs w:val="0"/>
          <w:sz w:val="22"/>
          <w:szCs w:val="22"/>
        </w:rPr>
        <w:t xml:space="preserve"> a recomendação sugerida pela unidade técnica na instrução da representação em foco, uma vez que a Administração deve utilizar os </w:t>
      </w:r>
      <w:r w:rsidR="00BF73F3" w:rsidRPr="00BF73F3">
        <w:rPr>
          <w:b w:val="0"/>
          <w:iCs w:val="0"/>
          <w:sz w:val="22"/>
          <w:szCs w:val="22"/>
        </w:rPr>
        <w:t>“</w:t>
      </w:r>
      <w:r w:rsidR="00970068" w:rsidRPr="00BF73F3">
        <w:rPr>
          <w:b w:val="0"/>
          <w:iCs w:val="0"/>
          <w:sz w:val="22"/>
          <w:szCs w:val="22"/>
        </w:rPr>
        <w:t>termos peculiares à modalidade de licitação que estiver processando</w:t>
      </w:r>
      <w:r w:rsidR="00BF73F3" w:rsidRPr="00BF73F3">
        <w:rPr>
          <w:b w:val="0"/>
          <w:iCs w:val="0"/>
          <w:sz w:val="22"/>
          <w:szCs w:val="22"/>
        </w:rPr>
        <w:t>”</w:t>
      </w:r>
      <w:r w:rsidR="00970068" w:rsidRPr="00970068">
        <w:rPr>
          <w:b w:val="0"/>
          <w:i w:val="0"/>
          <w:iCs w:val="0"/>
          <w:sz w:val="22"/>
          <w:szCs w:val="22"/>
        </w:rPr>
        <w:t>.</w:t>
      </w:r>
      <w:r w:rsidR="00003A4F">
        <w:rPr>
          <w:b w:val="0"/>
          <w:i w:val="0"/>
          <w:iCs w:val="0"/>
          <w:sz w:val="22"/>
          <w:szCs w:val="22"/>
        </w:rPr>
        <w:t xml:space="preserve"> </w:t>
      </w:r>
      <w:r w:rsidR="00D85ED0">
        <w:rPr>
          <w:b w:val="0"/>
          <w:i w:val="0"/>
          <w:iCs w:val="0"/>
          <w:sz w:val="22"/>
          <w:szCs w:val="22"/>
        </w:rPr>
        <w:t xml:space="preserve">Acolhendo o voto do </w:t>
      </w:r>
      <w:r w:rsidR="00003A4F">
        <w:rPr>
          <w:b w:val="0"/>
          <w:i w:val="0"/>
          <w:iCs w:val="0"/>
          <w:sz w:val="22"/>
          <w:szCs w:val="22"/>
        </w:rPr>
        <w:t>relator</w:t>
      </w:r>
      <w:r w:rsidR="00D85ED0">
        <w:rPr>
          <w:b w:val="0"/>
          <w:i w:val="0"/>
          <w:iCs w:val="0"/>
          <w:sz w:val="22"/>
          <w:szCs w:val="22"/>
        </w:rPr>
        <w:t>,</w:t>
      </w:r>
      <w:r w:rsidR="00003A4F">
        <w:rPr>
          <w:b w:val="0"/>
          <w:i w:val="0"/>
          <w:iCs w:val="0"/>
          <w:sz w:val="22"/>
          <w:szCs w:val="22"/>
        </w:rPr>
        <w:t xml:space="preserve"> a Primeira Câmara decidiu </w:t>
      </w:r>
      <w:r w:rsidR="00970068" w:rsidRPr="00970068">
        <w:rPr>
          <w:b w:val="0"/>
          <w:i w:val="0"/>
          <w:iCs w:val="0"/>
          <w:sz w:val="22"/>
          <w:szCs w:val="22"/>
        </w:rPr>
        <w:t>negar provimento</w:t>
      </w:r>
      <w:r w:rsidR="00BF73F3">
        <w:rPr>
          <w:b w:val="0"/>
          <w:i w:val="0"/>
          <w:iCs w:val="0"/>
          <w:sz w:val="22"/>
          <w:szCs w:val="22"/>
        </w:rPr>
        <w:t xml:space="preserve"> aos embargos</w:t>
      </w:r>
      <w:r w:rsidR="00970068" w:rsidRPr="00970068">
        <w:rPr>
          <w:b w:val="0"/>
          <w:i w:val="0"/>
          <w:iCs w:val="0"/>
          <w:sz w:val="22"/>
          <w:szCs w:val="22"/>
        </w:rPr>
        <w:t>, mantendo</w:t>
      </w:r>
      <w:r w:rsidR="00BF73F3">
        <w:rPr>
          <w:b w:val="0"/>
          <w:i w:val="0"/>
          <w:iCs w:val="0"/>
          <w:sz w:val="22"/>
          <w:szCs w:val="22"/>
        </w:rPr>
        <w:t>,</w:t>
      </w:r>
      <w:r w:rsidR="00970068" w:rsidRPr="00970068">
        <w:rPr>
          <w:b w:val="0"/>
          <w:i w:val="0"/>
          <w:iCs w:val="0"/>
          <w:sz w:val="22"/>
          <w:szCs w:val="22"/>
        </w:rPr>
        <w:t xml:space="preserve"> em seus exatos termos</w:t>
      </w:r>
      <w:r w:rsidR="00BF73F3">
        <w:rPr>
          <w:b w:val="0"/>
          <w:i w:val="0"/>
          <w:iCs w:val="0"/>
          <w:sz w:val="22"/>
          <w:szCs w:val="22"/>
        </w:rPr>
        <w:t>,</w:t>
      </w:r>
      <w:r w:rsidR="00970068" w:rsidRPr="00970068">
        <w:rPr>
          <w:b w:val="0"/>
          <w:i w:val="0"/>
          <w:iCs w:val="0"/>
          <w:sz w:val="22"/>
          <w:szCs w:val="22"/>
        </w:rPr>
        <w:t xml:space="preserve"> o acórdão recorrido</w:t>
      </w:r>
      <w:r w:rsidR="00003A4F">
        <w:rPr>
          <w:b w:val="0"/>
          <w:i w:val="0"/>
          <w:iCs w:val="0"/>
          <w:sz w:val="22"/>
          <w:szCs w:val="22"/>
        </w:rPr>
        <w:t xml:space="preserve">. </w:t>
      </w:r>
      <w:r w:rsidR="0055716D" w:rsidRPr="00003A4F">
        <w:rPr>
          <w:sz w:val="22"/>
          <w:szCs w:val="22"/>
        </w:rPr>
        <w:t xml:space="preserve">Acórdão n.º </w:t>
      </w:r>
      <w:r w:rsidR="001B4473" w:rsidRPr="00003A4F">
        <w:rPr>
          <w:sz w:val="22"/>
          <w:szCs w:val="22"/>
        </w:rPr>
        <w:t>5865</w:t>
      </w:r>
      <w:r w:rsidR="0055716D" w:rsidRPr="00003A4F">
        <w:rPr>
          <w:sz w:val="22"/>
          <w:szCs w:val="22"/>
        </w:rPr>
        <w:t>/2010-</w:t>
      </w:r>
      <w:r w:rsidR="00D700E5" w:rsidRPr="00003A4F">
        <w:rPr>
          <w:sz w:val="22"/>
          <w:szCs w:val="22"/>
        </w:rPr>
        <w:t>1</w:t>
      </w:r>
      <w:r w:rsidR="0055716D" w:rsidRPr="00003A4F">
        <w:rPr>
          <w:sz w:val="22"/>
          <w:szCs w:val="22"/>
        </w:rPr>
        <w:t>ª Câmara, TC-0</w:t>
      </w:r>
      <w:r w:rsidR="001B4473" w:rsidRPr="00003A4F">
        <w:rPr>
          <w:sz w:val="22"/>
          <w:szCs w:val="22"/>
        </w:rPr>
        <w:t>03</w:t>
      </w:r>
      <w:r w:rsidR="0055716D" w:rsidRPr="00003A4F">
        <w:rPr>
          <w:sz w:val="22"/>
          <w:szCs w:val="22"/>
        </w:rPr>
        <w:t>.</w:t>
      </w:r>
      <w:r w:rsidR="001B4473" w:rsidRPr="00003A4F">
        <w:rPr>
          <w:sz w:val="22"/>
          <w:szCs w:val="22"/>
        </w:rPr>
        <w:t>406</w:t>
      </w:r>
      <w:r w:rsidR="0055716D" w:rsidRPr="00003A4F">
        <w:rPr>
          <w:sz w:val="22"/>
          <w:szCs w:val="22"/>
        </w:rPr>
        <w:t>/20</w:t>
      </w:r>
      <w:r w:rsidR="001B4473" w:rsidRPr="00003A4F">
        <w:rPr>
          <w:sz w:val="22"/>
          <w:szCs w:val="22"/>
        </w:rPr>
        <w:t>10</w:t>
      </w:r>
      <w:r w:rsidR="0055716D" w:rsidRPr="00003A4F">
        <w:rPr>
          <w:sz w:val="22"/>
          <w:szCs w:val="22"/>
        </w:rPr>
        <w:t>-</w:t>
      </w:r>
      <w:r w:rsidR="001B4473" w:rsidRPr="00003A4F">
        <w:rPr>
          <w:sz w:val="22"/>
          <w:szCs w:val="22"/>
        </w:rPr>
        <w:t>5</w:t>
      </w:r>
      <w:r w:rsidR="0055716D" w:rsidRPr="00003A4F">
        <w:rPr>
          <w:sz w:val="22"/>
          <w:szCs w:val="22"/>
        </w:rPr>
        <w:t xml:space="preserve">, rel. Min. </w:t>
      </w:r>
      <w:r w:rsidR="001B4473" w:rsidRPr="00003A4F">
        <w:rPr>
          <w:sz w:val="22"/>
          <w:szCs w:val="22"/>
        </w:rPr>
        <w:t>José Múcio Monteiro</w:t>
      </w:r>
      <w:r w:rsidR="0055716D" w:rsidRPr="00003A4F">
        <w:rPr>
          <w:sz w:val="22"/>
          <w:szCs w:val="22"/>
        </w:rPr>
        <w:t>, 1</w:t>
      </w:r>
      <w:r w:rsidR="001B4473" w:rsidRPr="00003A4F">
        <w:rPr>
          <w:sz w:val="22"/>
          <w:szCs w:val="22"/>
        </w:rPr>
        <w:t>4</w:t>
      </w:r>
      <w:r w:rsidR="0055716D" w:rsidRPr="00003A4F">
        <w:rPr>
          <w:sz w:val="22"/>
          <w:szCs w:val="22"/>
        </w:rPr>
        <w:t>.0</w:t>
      </w:r>
      <w:r w:rsidR="001B4473" w:rsidRPr="00003A4F">
        <w:rPr>
          <w:sz w:val="22"/>
          <w:szCs w:val="22"/>
        </w:rPr>
        <w:t>9</w:t>
      </w:r>
      <w:r w:rsidR="0055716D" w:rsidRPr="00003A4F">
        <w:rPr>
          <w:sz w:val="22"/>
          <w:szCs w:val="22"/>
        </w:rPr>
        <w:t>.2010</w:t>
      </w:r>
      <w:r w:rsidR="0055716D" w:rsidRPr="00337E16">
        <w:rPr>
          <w:sz w:val="22"/>
          <w:szCs w:val="22"/>
        </w:rPr>
        <w:t>.</w:t>
      </w:r>
    </w:p>
    <w:p w:rsidR="00BA5A4A" w:rsidRDefault="00BA5A4A" w:rsidP="00BC5737">
      <w:pPr>
        <w:pStyle w:val="enter-3pt"/>
        <w:spacing w:line="240" w:lineRule="auto"/>
        <w:rPr>
          <w:sz w:val="22"/>
          <w:szCs w:val="22"/>
        </w:rPr>
      </w:pPr>
    </w:p>
    <w:p w:rsidR="00BA5A4A" w:rsidRDefault="00BA5A4A" w:rsidP="00BC5737">
      <w:pPr>
        <w:pStyle w:val="enter-3pt"/>
        <w:spacing w:line="240" w:lineRule="auto"/>
        <w:rPr>
          <w:sz w:val="22"/>
          <w:szCs w:val="22"/>
        </w:rPr>
      </w:pPr>
    </w:p>
    <w:p w:rsidR="00BA5A4A" w:rsidRDefault="00BA5A4A" w:rsidP="00BC5737">
      <w:pPr>
        <w:pStyle w:val="enter-3pt"/>
        <w:spacing w:line="240" w:lineRule="auto"/>
        <w:rPr>
          <w:sz w:val="22"/>
          <w:szCs w:val="22"/>
        </w:rPr>
      </w:pPr>
    </w:p>
    <w:p w:rsidR="00BA5A4A" w:rsidRPr="00337E16" w:rsidRDefault="00BA5A4A" w:rsidP="00BC5737">
      <w:pPr>
        <w:pStyle w:val="enter-3pt"/>
        <w:spacing w:line="240" w:lineRule="auto"/>
        <w:rPr>
          <w:sz w:val="22"/>
          <w:szCs w:val="22"/>
        </w:rPr>
      </w:pPr>
    </w:p>
    <w:p w:rsidR="008A2417" w:rsidRPr="00337E16" w:rsidRDefault="008A2417" w:rsidP="008A2417">
      <w:pPr>
        <w:pBdr>
          <w:top w:val="threeDEmboss" w:sz="24" w:space="0" w:color="auto"/>
        </w:pBdr>
        <w:tabs>
          <w:tab w:val="left" w:pos="284"/>
        </w:tabs>
        <w:spacing w:after="0"/>
        <w:ind w:left="0"/>
        <w:jc w:val="center"/>
        <w:rPr>
          <w:rFonts w:ascii="Cambria" w:hAnsi="Cambria"/>
          <w:b/>
          <w:bCs/>
          <w:smallCaps/>
          <w:sz w:val="22"/>
          <w:szCs w:val="22"/>
        </w:rPr>
      </w:pPr>
      <w:r>
        <w:rPr>
          <w:rFonts w:ascii="Cambria" w:hAnsi="Cambria"/>
          <w:b/>
          <w:bCs/>
          <w:smallCaps/>
          <w:sz w:val="22"/>
          <w:szCs w:val="22"/>
        </w:rPr>
        <w:t>SEGUNDA</w:t>
      </w:r>
      <w:r w:rsidRPr="00337E16">
        <w:rPr>
          <w:rFonts w:ascii="Cambria" w:hAnsi="Cambria"/>
          <w:b/>
          <w:bCs/>
          <w:smallCaps/>
          <w:sz w:val="22"/>
          <w:szCs w:val="22"/>
        </w:rPr>
        <w:t xml:space="preserve"> CÂMARA</w:t>
      </w:r>
    </w:p>
    <w:p w:rsidR="008A2417" w:rsidRPr="00337E16" w:rsidRDefault="008A2417" w:rsidP="008A2417">
      <w:pPr>
        <w:pStyle w:val="Pargrafo"/>
        <w:jc w:val="both"/>
        <w:rPr>
          <w:b/>
          <w:sz w:val="22"/>
          <w:szCs w:val="22"/>
        </w:rPr>
      </w:pPr>
    </w:p>
    <w:p w:rsidR="001B4473" w:rsidRPr="001B4473" w:rsidRDefault="001B4473" w:rsidP="001B4473">
      <w:pPr>
        <w:pStyle w:val="enter-3pt"/>
        <w:spacing w:before="60" w:line="240" w:lineRule="auto"/>
        <w:rPr>
          <w:b/>
          <w:sz w:val="22"/>
          <w:szCs w:val="22"/>
        </w:rPr>
      </w:pPr>
      <w:r w:rsidRPr="001B4473">
        <w:rPr>
          <w:b/>
          <w:sz w:val="22"/>
          <w:szCs w:val="22"/>
        </w:rPr>
        <w:t>Contratação de serviços advocatícios por inexigibilidade de licitação: 1 - Serviços contínuos X serviços de natureza singular</w:t>
      </w:r>
    </w:p>
    <w:p w:rsidR="001B4473" w:rsidRPr="00337E16" w:rsidRDefault="001B5EC0" w:rsidP="00BE5F03">
      <w:pPr>
        <w:pStyle w:val="tita"/>
        <w:spacing w:before="0" w:after="0" w:line="240" w:lineRule="auto"/>
        <w:jc w:val="both"/>
        <w:rPr>
          <w:sz w:val="22"/>
          <w:szCs w:val="22"/>
        </w:rPr>
      </w:pPr>
      <w:r>
        <w:rPr>
          <w:b w:val="0"/>
          <w:i w:val="0"/>
          <w:iCs w:val="0"/>
          <w:sz w:val="22"/>
          <w:szCs w:val="22"/>
        </w:rPr>
        <w:t>R</w:t>
      </w:r>
      <w:r w:rsidR="001B4473" w:rsidRPr="001B4473">
        <w:rPr>
          <w:b w:val="0"/>
          <w:i w:val="0"/>
          <w:iCs w:val="0"/>
          <w:sz w:val="22"/>
          <w:szCs w:val="22"/>
        </w:rPr>
        <w:t xml:space="preserve">epresentação formulada </w:t>
      </w:r>
      <w:r>
        <w:rPr>
          <w:b w:val="0"/>
          <w:i w:val="0"/>
          <w:iCs w:val="0"/>
          <w:sz w:val="22"/>
          <w:szCs w:val="22"/>
        </w:rPr>
        <w:t>ao TCU apontou</w:t>
      </w:r>
      <w:r w:rsidR="001B4473" w:rsidRPr="001B4473">
        <w:rPr>
          <w:b w:val="0"/>
          <w:i w:val="0"/>
          <w:iCs w:val="0"/>
          <w:sz w:val="22"/>
          <w:szCs w:val="22"/>
        </w:rPr>
        <w:t xml:space="preserve"> possíveis irregularidades </w:t>
      </w:r>
      <w:r w:rsidR="008F537E">
        <w:rPr>
          <w:b w:val="0"/>
          <w:i w:val="0"/>
          <w:iCs w:val="0"/>
          <w:sz w:val="22"/>
          <w:szCs w:val="22"/>
        </w:rPr>
        <w:t>perpetradas</w:t>
      </w:r>
      <w:r w:rsidR="001B4473" w:rsidRPr="001B4473">
        <w:rPr>
          <w:b w:val="0"/>
          <w:i w:val="0"/>
          <w:iCs w:val="0"/>
          <w:sz w:val="22"/>
          <w:szCs w:val="22"/>
        </w:rPr>
        <w:t xml:space="preserve"> pela administração do Conselho Federal de Engenharia, Arquitetura e Agronomia </w:t>
      </w:r>
      <w:r>
        <w:rPr>
          <w:b w:val="0"/>
          <w:i w:val="0"/>
          <w:iCs w:val="0"/>
          <w:sz w:val="22"/>
          <w:szCs w:val="22"/>
        </w:rPr>
        <w:t>(</w:t>
      </w:r>
      <w:r w:rsidR="001B4473" w:rsidRPr="001B4473">
        <w:rPr>
          <w:b w:val="0"/>
          <w:i w:val="0"/>
          <w:iCs w:val="0"/>
          <w:sz w:val="22"/>
          <w:szCs w:val="22"/>
        </w:rPr>
        <w:t>Confea</w:t>
      </w:r>
      <w:r>
        <w:rPr>
          <w:b w:val="0"/>
          <w:i w:val="0"/>
          <w:iCs w:val="0"/>
          <w:sz w:val="22"/>
          <w:szCs w:val="22"/>
        </w:rPr>
        <w:t>)</w:t>
      </w:r>
      <w:r w:rsidR="008F537E">
        <w:rPr>
          <w:b w:val="0"/>
          <w:i w:val="0"/>
          <w:iCs w:val="0"/>
          <w:sz w:val="22"/>
          <w:szCs w:val="22"/>
        </w:rPr>
        <w:t>. Mereceu destaque a</w:t>
      </w:r>
      <w:r w:rsidR="001B4473" w:rsidRPr="001B4473">
        <w:rPr>
          <w:b w:val="0"/>
          <w:i w:val="0"/>
          <w:iCs w:val="0"/>
          <w:sz w:val="22"/>
          <w:szCs w:val="22"/>
        </w:rPr>
        <w:t xml:space="preserve"> contratação de escritório de advocacia mediante inexigibilidade de licitação, com </w:t>
      </w:r>
      <w:r w:rsidR="008F537E">
        <w:rPr>
          <w:b w:val="0"/>
          <w:i w:val="0"/>
          <w:iCs w:val="0"/>
          <w:sz w:val="22"/>
          <w:szCs w:val="22"/>
        </w:rPr>
        <w:t>fundamento</w:t>
      </w:r>
      <w:r w:rsidR="001B4473" w:rsidRPr="001B4473">
        <w:rPr>
          <w:b w:val="0"/>
          <w:i w:val="0"/>
          <w:iCs w:val="0"/>
          <w:sz w:val="22"/>
          <w:szCs w:val="22"/>
        </w:rPr>
        <w:t xml:space="preserve"> no art. 25, II, da Lei n</w:t>
      </w:r>
      <w:r>
        <w:rPr>
          <w:b w:val="0"/>
          <w:i w:val="0"/>
          <w:iCs w:val="0"/>
          <w:sz w:val="22"/>
          <w:szCs w:val="22"/>
        </w:rPr>
        <w:t>.</w:t>
      </w:r>
      <w:r w:rsidR="001B4473" w:rsidRPr="001B4473">
        <w:rPr>
          <w:b w:val="0"/>
          <w:i w:val="0"/>
          <w:iCs w:val="0"/>
          <w:sz w:val="22"/>
          <w:szCs w:val="22"/>
        </w:rPr>
        <w:t>º 8.666</w:t>
      </w:r>
      <w:r>
        <w:rPr>
          <w:b w:val="0"/>
          <w:i w:val="0"/>
          <w:iCs w:val="0"/>
          <w:sz w:val="22"/>
          <w:szCs w:val="22"/>
        </w:rPr>
        <w:t>/</w:t>
      </w:r>
      <w:r w:rsidR="001B4473" w:rsidRPr="001B4473">
        <w:rPr>
          <w:b w:val="0"/>
          <w:i w:val="0"/>
          <w:iCs w:val="0"/>
          <w:sz w:val="22"/>
          <w:szCs w:val="22"/>
        </w:rPr>
        <w:t xml:space="preserve">93, </w:t>
      </w:r>
      <w:r w:rsidR="008F537E">
        <w:rPr>
          <w:b w:val="0"/>
          <w:i w:val="0"/>
          <w:iCs w:val="0"/>
          <w:sz w:val="22"/>
          <w:szCs w:val="22"/>
        </w:rPr>
        <w:t>visando</w:t>
      </w:r>
      <w:r w:rsidR="001B4473" w:rsidRPr="001B4473">
        <w:rPr>
          <w:b w:val="0"/>
          <w:i w:val="0"/>
          <w:iCs w:val="0"/>
          <w:sz w:val="22"/>
          <w:szCs w:val="22"/>
        </w:rPr>
        <w:t xml:space="preserve"> à prestação de serviços de consultoria e assessoramento relacionados aos pleitos eleitorais de todo o sistema Confea.</w:t>
      </w:r>
      <w:r>
        <w:rPr>
          <w:b w:val="0"/>
          <w:i w:val="0"/>
          <w:iCs w:val="0"/>
          <w:sz w:val="22"/>
          <w:szCs w:val="22"/>
        </w:rPr>
        <w:t xml:space="preserve"> </w:t>
      </w:r>
      <w:r w:rsidR="001B4473" w:rsidRPr="001B4473">
        <w:rPr>
          <w:b w:val="0"/>
          <w:i w:val="0"/>
          <w:iCs w:val="0"/>
          <w:sz w:val="22"/>
          <w:szCs w:val="22"/>
        </w:rPr>
        <w:t xml:space="preserve">Conquanto os responsáveis tenham demonstrado satisfatoriamente, em suas razões de justificativa, a notória especialização do escritório de advocacia contratado, </w:t>
      </w:r>
      <w:r>
        <w:rPr>
          <w:b w:val="0"/>
          <w:i w:val="0"/>
          <w:iCs w:val="0"/>
          <w:sz w:val="22"/>
          <w:szCs w:val="22"/>
        </w:rPr>
        <w:t xml:space="preserve">o relator </w:t>
      </w:r>
      <w:r w:rsidR="008F537E">
        <w:rPr>
          <w:b w:val="0"/>
          <w:i w:val="0"/>
          <w:iCs w:val="0"/>
          <w:sz w:val="22"/>
          <w:szCs w:val="22"/>
        </w:rPr>
        <w:t>considerou</w:t>
      </w:r>
      <w:r w:rsidR="001B4473" w:rsidRPr="001B4473">
        <w:rPr>
          <w:b w:val="0"/>
          <w:i w:val="0"/>
          <w:iCs w:val="0"/>
          <w:sz w:val="22"/>
          <w:szCs w:val="22"/>
        </w:rPr>
        <w:t xml:space="preserve"> que a defesa apresentada não logrou êxito em demonstrar a singularidade do objeto da avença.</w:t>
      </w:r>
      <w:r w:rsidR="00BE5F03">
        <w:rPr>
          <w:b w:val="0"/>
          <w:i w:val="0"/>
          <w:iCs w:val="0"/>
          <w:sz w:val="22"/>
          <w:szCs w:val="22"/>
        </w:rPr>
        <w:t xml:space="preserve"> Julgou, ainda, </w:t>
      </w:r>
      <w:r w:rsidR="008F537E">
        <w:rPr>
          <w:b w:val="0"/>
          <w:i w:val="0"/>
          <w:iCs w:val="0"/>
          <w:sz w:val="22"/>
          <w:szCs w:val="22"/>
        </w:rPr>
        <w:t>oportuno</w:t>
      </w:r>
      <w:r w:rsidR="00BE5F03">
        <w:rPr>
          <w:b w:val="0"/>
          <w:i w:val="0"/>
          <w:iCs w:val="0"/>
          <w:sz w:val="22"/>
          <w:szCs w:val="22"/>
        </w:rPr>
        <w:t xml:space="preserve"> </w:t>
      </w:r>
      <w:r w:rsidR="001B4473" w:rsidRPr="001B4473">
        <w:rPr>
          <w:b w:val="0"/>
          <w:i w:val="0"/>
          <w:iCs w:val="0"/>
          <w:sz w:val="22"/>
          <w:szCs w:val="22"/>
        </w:rPr>
        <w:t xml:space="preserve">destacar os </w:t>
      </w:r>
      <w:r w:rsidR="00BE5F03">
        <w:rPr>
          <w:b w:val="0"/>
          <w:i w:val="0"/>
          <w:iCs w:val="0"/>
          <w:sz w:val="22"/>
          <w:szCs w:val="22"/>
        </w:rPr>
        <w:t xml:space="preserve">seguintes </w:t>
      </w:r>
      <w:r w:rsidR="001B4473" w:rsidRPr="001B4473">
        <w:rPr>
          <w:b w:val="0"/>
          <w:i w:val="0"/>
          <w:iCs w:val="0"/>
          <w:sz w:val="22"/>
          <w:szCs w:val="22"/>
        </w:rPr>
        <w:t xml:space="preserve">pontos da análise da </w:t>
      </w:r>
      <w:r w:rsidR="00BE5F03">
        <w:rPr>
          <w:b w:val="0"/>
          <w:i w:val="0"/>
          <w:iCs w:val="0"/>
          <w:sz w:val="22"/>
          <w:szCs w:val="22"/>
        </w:rPr>
        <w:t>unidade técnica</w:t>
      </w:r>
      <w:r w:rsidR="001B4473" w:rsidRPr="001B4473">
        <w:rPr>
          <w:b w:val="0"/>
          <w:i w:val="0"/>
          <w:iCs w:val="0"/>
          <w:sz w:val="22"/>
          <w:szCs w:val="22"/>
        </w:rPr>
        <w:t>:</w:t>
      </w:r>
      <w:r w:rsidR="00BE5F03">
        <w:rPr>
          <w:b w:val="0"/>
          <w:i w:val="0"/>
          <w:iCs w:val="0"/>
          <w:sz w:val="22"/>
          <w:szCs w:val="22"/>
        </w:rPr>
        <w:t xml:space="preserve"> 1º) </w:t>
      </w:r>
      <w:r w:rsidR="001B4473" w:rsidRPr="001B4473">
        <w:rPr>
          <w:b w:val="0"/>
          <w:i w:val="0"/>
          <w:iCs w:val="0"/>
          <w:sz w:val="22"/>
          <w:szCs w:val="22"/>
        </w:rPr>
        <w:t xml:space="preserve">mediante o Acórdão </w:t>
      </w:r>
      <w:r w:rsidR="00BE5F03">
        <w:rPr>
          <w:b w:val="0"/>
          <w:i w:val="0"/>
          <w:iCs w:val="0"/>
          <w:sz w:val="22"/>
          <w:szCs w:val="22"/>
        </w:rPr>
        <w:t xml:space="preserve">n.º </w:t>
      </w:r>
      <w:r w:rsidR="001B4473" w:rsidRPr="001B4473">
        <w:rPr>
          <w:b w:val="0"/>
          <w:i w:val="0"/>
          <w:iCs w:val="0"/>
          <w:sz w:val="22"/>
          <w:szCs w:val="22"/>
        </w:rPr>
        <w:t xml:space="preserve">63/2007-Plenário, </w:t>
      </w:r>
      <w:r w:rsidR="00BE5F03">
        <w:rPr>
          <w:b w:val="0"/>
          <w:i w:val="0"/>
          <w:iCs w:val="0"/>
          <w:sz w:val="22"/>
          <w:szCs w:val="22"/>
        </w:rPr>
        <w:t>o TCU</w:t>
      </w:r>
      <w:r w:rsidR="001B4473" w:rsidRPr="001B4473">
        <w:rPr>
          <w:b w:val="0"/>
          <w:i w:val="0"/>
          <w:iCs w:val="0"/>
          <w:sz w:val="22"/>
          <w:szCs w:val="22"/>
        </w:rPr>
        <w:t xml:space="preserve"> já havia endereçado determinações ao Confea no sentido de que se abstivesse de celebrar contratos dessa natureza sem o devido procedimento licitatório;</w:t>
      </w:r>
      <w:r w:rsidR="00BE5F03">
        <w:rPr>
          <w:b w:val="0"/>
          <w:i w:val="0"/>
          <w:iCs w:val="0"/>
          <w:sz w:val="22"/>
          <w:szCs w:val="22"/>
        </w:rPr>
        <w:t xml:space="preserve"> 2º) </w:t>
      </w:r>
      <w:r w:rsidR="001B4473" w:rsidRPr="001B4473">
        <w:rPr>
          <w:b w:val="0"/>
          <w:i w:val="0"/>
          <w:iCs w:val="0"/>
          <w:sz w:val="22"/>
          <w:szCs w:val="22"/>
        </w:rPr>
        <w:t>a despeito da determinação proferida no referido aresto, o Confea firmou novo contrato, em 31/12/2008, mediante inexigibilidade de licitação, com o mesmo escritório de advocacia que já se encontrava prestando serviços à entidade;</w:t>
      </w:r>
      <w:r w:rsidR="00BE5F03">
        <w:rPr>
          <w:b w:val="0"/>
          <w:i w:val="0"/>
          <w:iCs w:val="0"/>
          <w:sz w:val="22"/>
          <w:szCs w:val="22"/>
        </w:rPr>
        <w:t xml:space="preserve"> 3º) </w:t>
      </w:r>
      <w:r w:rsidR="001B4473" w:rsidRPr="001B4473">
        <w:rPr>
          <w:b w:val="0"/>
          <w:i w:val="0"/>
          <w:iCs w:val="0"/>
          <w:sz w:val="22"/>
          <w:szCs w:val="22"/>
        </w:rPr>
        <w:t>embora se refiram a matéria eleitoral, os serviços de advocacia contratados pelo Confea envolvem um grande número de atividades, fato que corrobora a ausência de singularidade do objeto da avença;</w:t>
      </w:r>
      <w:r w:rsidR="00BE5F03">
        <w:rPr>
          <w:b w:val="0"/>
          <w:i w:val="0"/>
          <w:iCs w:val="0"/>
          <w:sz w:val="22"/>
          <w:szCs w:val="22"/>
        </w:rPr>
        <w:t xml:space="preserve"> 4º) </w:t>
      </w:r>
      <w:r w:rsidR="001B4473" w:rsidRPr="001B4473">
        <w:rPr>
          <w:b w:val="0"/>
          <w:i w:val="0"/>
          <w:iCs w:val="0"/>
          <w:sz w:val="22"/>
          <w:szCs w:val="22"/>
        </w:rPr>
        <w:t>os serviços de advocacia em tela vêm sendo prestados pela mesma contratada há 15 anos, sempre mediante inexigibilidade de licitação;</w:t>
      </w:r>
      <w:r w:rsidR="00BE5F03">
        <w:rPr>
          <w:b w:val="0"/>
          <w:i w:val="0"/>
          <w:iCs w:val="0"/>
          <w:sz w:val="22"/>
          <w:szCs w:val="22"/>
        </w:rPr>
        <w:t xml:space="preserve"> e 5º) </w:t>
      </w:r>
      <w:r w:rsidR="001B4473" w:rsidRPr="001B4473">
        <w:rPr>
          <w:b w:val="0"/>
          <w:i w:val="0"/>
          <w:iCs w:val="0"/>
          <w:sz w:val="22"/>
          <w:szCs w:val="22"/>
        </w:rPr>
        <w:t xml:space="preserve">os pleitos eleitorais do Confea são realizados anualmente, demonstrando tratar-se de atividade rotineira inerente ao funcionamento da entidade, </w:t>
      </w:r>
      <w:r w:rsidR="00BE5F03" w:rsidRPr="00BE5F03">
        <w:rPr>
          <w:b w:val="0"/>
          <w:iCs w:val="0"/>
          <w:sz w:val="22"/>
          <w:szCs w:val="22"/>
        </w:rPr>
        <w:t>“</w:t>
      </w:r>
      <w:r w:rsidR="001B4473" w:rsidRPr="00BE5F03">
        <w:rPr>
          <w:b w:val="0"/>
          <w:iCs w:val="0"/>
          <w:sz w:val="22"/>
          <w:szCs w:val="22"/>
        </w:rPr>
        <w:t>o que desabona, também, a tese de singularidade do objeto</w:t>
      </w:r>
      <w:r w:rsidR="00BE5F03" w:rsidRPr="00BE5F03">
        <w:rPr>
          <w:b w:val="0"/>
          <w:iCs w:val="0"/>
          <w:sz w:val="22"/>
          <w:szCs w:val="22"/>
        </w:rPr>
        <w:t>”</w:t>
      </w:r>
      <w:r w:rsidR="001B4473" w:rsidRPr="001B4473">
        <w:rPr>
          <w:b w:val="0"/>
          <w:i w:val="0"/>
          <w:iCs w:val="0"/>
          <w:sz w:val="22"/>
          <w:szCs w:val="22"/>
        </w:rPr>
        <w:t>.</w:t>
      </w:r>
      <w:r w:rsidR="00BE5F03">
        <w:rPr>
          <w:b w:val="0"/>
          <w:i w:val="0"/>
          <w:iCs w:val="0"/>
          <w:sz w:val="22"/>
          <w:szCs w:val="22"/>
        </w:rPr>
        <w:t xml:space="preserve"> Ao final, o relator propôs e a Segunda Câmara decidiu aplicar multa aos responsáveis. </w:t>
      </w:r>
      <w:r w:rsidR="001B4473" w:rsidRPr="00BE5F03">
        <w:rPr>
          <w:sz w:val="22"/>
          <w:szCs w:val="22"/>
        </w:rPr>
        <w:t>Acórdão n.º 5318/2010-2ª Câmara, TC-030.816/2007-2, rel. Min-Subst. André Luís de Carvalho, 14.09.2010</w:t>
      </w:r>
      <w:r w:rsidR="001B4473" w:rsidRPr="00337E16">
        <w:rPr>
          <w:sz w:val="22"/>
          <w:szCs w:val="22"/>
        </w:rPr>
        <w:t>.</w:t>
      </w:r>
    </w:p>
    <w:p w:rsidR="001B4473" w:rsidRPr="00337E16" w:rsidRDefault="001B4473" w:rsidP="001B4473">
      <w:pPr>
        <w:pStyle w:val="indice"/>
        <w:tabs>
          <w:tab w:val="left" w:pos="567"/>
        </w:tabs>
        <w:spacing w:before="60" w:line="240" w:lineRule="auto"/>
      </w:pPr>
    </w:p>
    <w:p w:rsidR="001B4473" w:rsidRPr="008F537E" w:rsidRDefault="001B4473" w:rsidP="001B4473">
      <w:pPr>
        <w:pStyle w:val="enter-3pt"/>
        <w:spacing w:before="60" w:line="240" w:lineRule="auto"/>
        <w:rPr>
          <w:b/>
          <w:sz w:val="22"/>
          <w:szCs w:val="22"/>
        </w:rPr>
      </w:pPr>
      <w:r w:rsidRPr="008F537E">
        <w:rPr>
          <w:b/>
          <w:sz w:val="22"/>
          <w:szCs w:val="22"/>
        </w:rPr>
        <w:t xml:space="preserve">Contratação de serviços advocatícios por inexigibilidade de licitação: 2 - </w:t>
      </w:r>
      <w:r w:rsidR="008F537E" w:rsidRPr="008F537E">
        <w:rPr>
          <w:b/>
          <w:sz w:val="22"/>
          <w:szCs w:val="22"/>
        </w:rPr>
        <w:t>Responsabilidade, perante o TCU, do parecerista jurídico e daqueles que decidem com base em parecer no qual se defende tese flagrantemente ilegal</w:t>
      </w:r>
    </w:p>
    <w:p w:rsidR="001F2B1A" w:rsidRPr="00337E16" w:rsidRDefault="001F2B1A" w:rsidP="00913CA9">
      <w:pPr>
        <w:pStyle w:val="tita"/>
        <w:spacing w:before="0" w:after="0" w:line="240" w:lineRule="auto"/>
        <w:jc w:val="both"/>
        <w:rPr>
          <w:sz w:val="22"/>
          <w:szCs w:val="22"/>
        </w:rPr>
      </w:pPr>
      <w:r w:rsidRPr="001F2B1A">
        <w:rPr>
          <w:b w:val="0"/>
          <w:i w:val="0"/>
          <w:iCs w:val="0"/>
          <w:sz w:val="22"/>
          <w:szCs w:val="22"/>
        </w:rPr>
        <w:t xml:space="preserve">No que se refere à identificação das responsabilidades dos gestores do </w:t>
      </w:r>
      <w:r w:rsidR="00702A49" w:rsidRPr="001B4473">
        <w:rPr>
          <w:b w:val="0"/>
          <w:i w:val="0"/>
          <w:iCs w:val="0"/>
          <w:sz w:val="22"/>
          <w:szCs w:val="22"/>
        </w:rPr>
        <w:t>Conselho Federal de Engenharia, Arquitetura e Agronomia</w:t>
      </w:r>
      <w:r w:rsidR="00702A49" w:rsidRPr="001F2B1A">
        <w:rPr>
          <w:b w:val="0"/>
          <w:i w:val="0"/>
          <w:iCs w:val="0"/>
          <w:sz w:val="22"/>
          <w:szCs w:val="22"/>
        </w:rPr>
        <w:t xml:space="preserve"> </w:t>
      </w:r>
      <w:r w:rsidR="00702A49">
        <w:rPr>
          <w:b w:val="0"/>
          <w:i w:val="0"/>
          <w:iCs w:val="0"/>
          <w:sz w:val="22"/>
          <w:szCs w:val="22"/>
        </w:rPr>
        <w:t>(</w:t>
      </w:r>
      <w:r w:rsidRPr="001F2B1A">
        <w:rPr>
          <w:b w:val="0"/>
          <w:i w:val="0"/>
          <w:iCs w:val="0"/>
          <w:sz w:val="22"/>
          <w:szCs w:val="22"/>
        </w:rPr>
        <w:t>Confea</w:t>
      </w:r>
      <w:r w:rsidR="00702A49">
        <w:rPr>
          <w:b w:val="0"/>
          <w:i w:val="0"/>
          <w:iCs w:val="0"/>
          <w:sz w:val="22"/>
          <w:szCs w:val="22"/>
        </w:rPr>
        <w:t>)</w:t>
      </w:r>
      <w:r w:rsidRPr="001F2B1A">
        <w:rPr>
          <w:b w:val="0"/>
          <w:i w:val="0"/>
          <w:iCs w:val="0"/>
          <w:sz w:val="22"/>
          <w:szCs w:val="22"/>
        </w:rPr>
        <w:t xml:space="preserve"> </w:t>
      </w:r>
      <w:r w:rsidR="008F537E">
        <w:rPr>
          <w:b w:val="0"/>
          <w:i w:val="0"/>
          <w:iCs w:val="0"/>
          <w:sz w:val="22"/>
          <w:szCs w:val="22"/>
        </w:rPr>
        <w:t>acerca da</w:t>
      </w:r>
      <w:r w:rsidRPr="001F2B1A">
        <w:rPr>
          <w:b w:val="0"/>
          <w:i w:val="0"/>
          <w:iCs w:val="0"/>
          <w:sz w:val="22"/>
          <w:szCs w:val="22"/>
        </w:rPr>
        <w:t xml:space="preserve"> </w:t>
      </w:r>
      <w:r w:rsidR="00CA60DA" w:rsidRPr="001B4473">
        <w:rPr>
          <w:b w:val="0"/>
          <w:i w:val="0"/>
          <w:iCs w:val="0"/>
          <w:sz w:val="22"/>
          <w:szCs w:val="22"/>
        </w:rPr>
        <w:t xml:space="preserve">contratação supostamente irregular de escritório de advocacia, mediante inexigibilidade de licitação, com </w:t>
      </w:r>
      <w:r w:rsidR="008F537E">
        <w:rPr>
          <w:b w:val="0"/>
          <w:i w:val="0"/>
          <w:iCs w:val="0"/>
          <w:sz w:val="22"/>
          <w:szCs w:val="22"/>
        </w:rPr>
        <w:t>fundamento</w:t>
      </w:r>
      <w:r w:rsidR="00CA60DA" w:rsidRPr="001B4473">
        <w:rPr>
          <w:b w:val="0"/>
          <w:i w:val="0"/>
          <w:iCs w:val="0"/>
          <w:sz w:val="22"/>
          <w:szCs w:val="22"/>
        </w:rPr>
        <w:t xml:space="preserve"> no art. 25, II, da Lei n</w:t>
      </w:r>
      <w:r w:rsidR="00CA60DA">
        <w:rPr>
          <w:b w:val="0"/>
          <w:i w:val="0"/>
          <w:iCs w:val="0"/>
          <w:sz w:val="22"/>
          <w:szCs w:val="22"/>
        </w:rPr>
        <w:t>.</w:t>
      </w:r>
      <w:r w:rsidR="00CA60DA" w:rsidRPr="001B4473">
        <w:rPr>
          <w:b w:val="0"/>
          <w:i w:val="0"/>
          <w:iCs w:val="0"/>
          <w:sz w:val="22"/>
          <w:szCs w:val="22"/>
        </w:rPr>
        <w:t>º 8.666</w:t>
      </w:r>
      <w:r w:rsidR="00CA60DA">
        <w:rPr>
          <w:b w:val="0"/>
          <w:i w:val="0"/>
          <w:iCs w:val="0"/>
          <w:sz w:val="22"/>
          <w:szCs w:val="22"/>
        </w:rPr>
        <w:t>/</w:t>
      </w:r>
      <w:r w:rsidR="00CA60DA" w:rsidRPr="001B4473">
        <w:rPr>
          <w:b w:val="0"/>
          <w:i w:val="0"/>
          <w:iCs w:val="0"/>
          <w:sz w:val="22"/>
          <w:szCs w:val="22"/>
        </w:rPr>
        <w:t xml:space="preserve">93, </w:t>
      </w:r>
      <w:r w:rsidR="008F537E">
        <w:rPr>
          <w:b w:val="0"/>
          <w:i w:val="0"/>
          <w:iCs w:val="0"/>
          <w:sz w:val="22"/>
          <w:szCs w:val="22"/>
        </w:rPr>
        <w:t>visando</w:t>
      </w:r>
      <w:r w:rsidR="00CA60DA" w:rsidRPr="001B4473">
        <w:rPr>
          <w:b w:val="0"/>
          <w:i w:val="0"/>
          <w:iCs w:val="0"/>
          <w:sz w:val="22"/>
          <w:szCs w:val="22"/>
        </w:rPr>
        <w:t xml:space="preserve"> à prestação de serviços de consultoria e assessoramento relacionados aos pleitos eleitorais de todo o sistema Confea</w:t>
      </w:r>
      <w:r w:rsidR="00CA60DA">
        <w:rPr>
          <w:b w:val="0"/>
          <w:i w:val="0"/>
          <w:iCs w:val="0"/>
          <w:sz w:val="22"/>
          <w:szCs w:val="22"/>
        </w:rPr>
        <w:t>, o relator assinalou</w:t>
      </w:r>
      <w:r w:rsidRPr="001F2B1A">
        <w:rPr>
          <w:b w:val="0"/>
          <w:i w:val="0"/>
          <w:iCs w:val="0"/>
          <w:sz w:val="22"/>
          <w:szCs w:val="22"/>
        </w:rPr>
        <w:t xml:space="preserve"> que os gestores ouvidos em audiência atuaram decisivamente na consumação do ato inquinado, </w:t>
      </w:r>
      <w:r w:rsidR="00CA60DA">
        <w:rPr>
          <w:b w:val="0"/>
          <w:i w:val="0"/>
          <w:iCs w:val="0"/>
          <w:sz w:val="22"/>
          <w:szCs w:val="22"/>
        </w:rPr>
        <w:t xml:space="preserve">uma </w:t>
      </w:r>
      <w:r w:rsidRPr="001F2B1A">
        <w:rPr>
          <w:b w:val="0"/>
          <w:i w:val="0"/>
          <w:iCs w:val="0"/>
          <w:sz w:val="22"/>
          <w:szCs w:val="22"/>
        </w:rPr>
        <w:t>vez que, na condição de membros do Conselho Diretor</w:t>
      </w:r>
      <w:r w:rsidR="00920585">
        <w:rPr>
          <w:b w:val="0"/>
          <w:i w:val="0"/>
          <w:iCs w:val="0"/>
          <w:sz w:val="22"/>
          <w:szCs w:val="22"/>
        </w:rPr>
        <w:t>, do Plenário</w:t>
      </w:r>
      <w:r w:rsidRPr="001F2B1A">
        <w:rPr>
          <w:b w:val="0"/>
          <w:i w:val="0"/>
          <w:iCs w:val="0"/>
          <w:sz w:val="22"/>
          <w:szCs w:val="22"/>
        </w:rPr>
        <w:t xml:space="preserve"> (Conselho Eleitoral Federal – CEF), ou de pareceristas jurídicos, manifestaram-se</w:t>
      </w:r>
      <w:r w:rsidR="00920585">
        <w:rPr>
          <w:b w:val="0"/>
          <w:i w:val="0"/>
          <w:iCs w:val="0"/>
          <w:sz w:val="22"/>
          <w:szCs w:val="22"/>
        </w:rPr>
        <w:t>,</w:t>
      </w:r>
      <w:r w:rsidRPr="001F2B1A">
        <w:rPr>
          <w:b w:val="0"/>
          <w:i w:val="0"/>
          <w:iCs w:val="0"/>
          <w:sz w:val="22"/>
          <w:szCs w:val="22"/>
        </w:rPr>
        <w:t xml:space="preserve"> de maneira inequívoca</w:t>
      </w:r>
      <w:r w:rsidR="00920585">
        <w:rPr>
          <w:b w:val="0"/>
          <w:i w:val="0"/>
          <w:iCs w:val="0"/>
          <w:sz w:val="22"/>
          <w:szCs w:val="22"/>
        </w:rPr>
        <w:t>,</w:t>
      </w:r>
      <w:r w:rsidRPr="001F2B1A">
        <w:rPr>
          <w:b w:val="0"/>
          <w:i w:val="0"/>
          <w:iCs w:val="0"/>
          <w:sz w:val="22"/>
          <w:szCs w:val="22"/>
        </w:rPr>
        <w:t xml:space="preserve"> em favor da contratação irregular.</w:t>
      </w:r>
      <w:r w:rsidR="00CE357F">
        <w:rPr>
          <w:b w:val="0"/>
          <w:i w:val="0"/>
          <w:iCs w:val="0"/>
          <w:sz w:val="22"/>
          <w:szCs w:val="22"/>
        </w:rPr>
        <w:t xml:space="preserve"> O relator </w:t>
      </w:r>
      <w:r w:rsidRPr="001F2B1A">
        <w:rPr>
          <w:b w:val="0"/>
          <w:i w:val="0"/>
          <w:iCs w:val="0"/>
          <w:sz w:val="22"/>
          <w:szCs w:val="22"/>
        </w:rPr>
        <w:t>esclarece</w:t>
      </w:r>
      <w:r w:rsidR="00CE357F">
        <w:rPr>
          <w:b w:val="0"/>
          <w:i w:val="0"/>
          <w:iCs w:val="0"/>
          <w:sz w:val="22"/>
          <w:szCs w:val="22"/>
        </w:rPr>
        <w:t>u</w:t>
      </w:r>
      <w:r w:rsidRPr="001F2B1A">
        <w:rPr>
          <w:b w:val="0"/>
          <w:i w:val="0"/>
          <w:iCs w:val="0"/>
          <w:sz w:val="22"/>
          <w:szCs w:val="22"/>
        </w:rPr>
        <w:t xml:space="preserve"> que, desde o início das tratativas no âmbito da administração do Confea, a Procuradoria Jurídica da entidade alertou os membros do CEF da existência do Acórdão </w:t>
      </w:r>
      <w:r w:rsidR="00CE357F">
        <w:rPr>
          <w:b w:val="0"/>
          <w:i w:val="0"/>
          <w:iCs w:val="0"/>
          <w:sz w:val="22"/>
          <w:szCs w:val="22"/>
        </w:rPr>
        <w:t xml:space="preserve">n.º </w:t>
      </w:r>
      <w:r w:rsidRPr="001F2B1A">
        <w:rPr>
          <w:b w:val="0"/>
          <w:i w:val="0"/>
          <w:iCs w:val="0"/>
          <w:sz w:val="22"/>
          <w:szCs w:val="22"/>
        </w:rPr>
        <w:t xml:space="preserve">63/2007-Plenário, o qual impedia a prorrogação do contrato examinado </w:t>
      </w:r>
      <w:r w:rsidR="00CE357F">
        <w:rPr>
          <w:b w:val="0"/>
          <w:i w:val="0"/>
          <w:iCs w:val="0"/>
          <w:sz w:val="22"/>
          <w:szCs w:val="22"/>
        </w:rPr>
        <w:t>nos</w:t>
      </w:r>
      <w:r w:rsidRPr="001F2B1A">
        <w:rPr>
          <w:b w:val="0"/>
          <w:i w:val="0"/>
          <w:iCs w:val="0"/>
          <w:sz w:val="22"/>
          <w:szCs w:val="22"/>
        </w:rPr>
        <w:t xml:space="preserve"> autos</w:t>
      </w:r>
      <w:r w:rsidR="00CE357F">
        <w:rPr>
          <w:b w:val="0"/>
          <w:i w:val="0"/>
          <w:iCs w:val="0"/>
          <w:sz w:val="22"/>
          <w:szCs w:val="22"/>
        </w:rPr>
        <w:t xml:space="preserve">. O relator observou que, </w:t>
      </w:r>
      <w:r w:rsidRPr="001F2B1A">
        <w:rPr>
          <w:b w:val="0"/>
          <w:i w:val="0"/>
          <w:iCs w:val="0"/>
          <w:sz w:val="22"/>
          <w:szCs w:val="22"/>
        </w:rPr>
        <w:t xml:space="preserve">mesmo diante de expressa determinação </w:t>
      </w:r>
      <w:r w:rsidR="00CE357F">
        <w:rPr>
          <w:b w:val="0"/>
          <w:i w:val="0"/>
          <w:iCs w:val="0"/>
          <w:sz w:val="22"/>
          <w:szCs w:val="22"/>
        </w:rPr>
        <w:t>do TCU</w:t>
      </w:r>
      <w:r w:rsidRPr="001F2B1A">
        <w:rPr>
          <w:b w:val="0"/>
          <w:i w:val="0"/>
          <w:iCs w:val="0"/>
          <w:sz w:val="22"/>
          <w:szCs w:val="22"/>
        </w:rPr>
        <w:t xml:space="preserve"> em desfavor da contratação por inexigibilidade de escritório de advocacia naquelas condições, o parecerista jurídico se manifestou em prol dessa possibilidade, tendo solicitado ao CEF, inclusive, a indicação do profissional a ser contratado.</w:t>
      </w:r>
      <w:r w:rsidR="00D7604F">
        <w:rPr>
          <w:b w:val="0"/>
          <w:i w:val="0"/>
          <w:iCs w:val="0"/>
          <w:sz w:val="22"/>
          <w:szCs w:val="22"/>
        </w:rPr>
        <w:t xml:space="preserve"> </w:t>
      </w:r>
      <w:r w:rsidRPr="001F2B1A">
        <w:rPr>
          <w:b w:val="0"/>
          <w:i w:val="0"/>
          <w:iCs w:val="0"/>
          <w:sz w:val="22"/>
          <w:szCs w:val="22"/>
        </w:rPr>
        <w:t>Observo</w:t>
      </w:r>
      <w:r w:rsidR="00185162">
        <w:rPr>
          <w:b w:val="0"/>
          <w:i w:val="0"/>
          <w:iCs w:val="0"/>
          <w:sz w:val="22"/>
          <w:szCs w:val="22"/>
        </w:rPr>
        <w:t>u também</w:t>
      </w:r>
      <w:r w:rsidRPr="001F2B1A">
        <w:rPr>
          <w:b w:val="0"/>
          <w:i w:val="0"/>
          <w:iCs w:val="0"/>
          <w:sz w:val="22"/>
          <w:szCs w:val="22"/>
        </w:rPr>
        <w:t xml:space="preserve"> que, ao fundamentar seu posicionamento, o parecerista jurídico construiu argumentação contraditória</w:t>
      </w:r>
      <w:r w:rsidR="00913CA9">
        <w:rPr>
          <w:b w:val="0"/>
          <w:i w:val="0"/>
          <w:iCs w:val="0"/>
          <w:sz w:val="22"/>
          <w:szCs w:val="22"/>
        </w:rPr>
        <w:t xml:space="preserve">, </w:t>
      </w:r>
      <w:r w:rsidR="00920585">
        <w:rPr>
          <w:b w:val="0"/>
          <w:i w:val="0"/>
          <w:iCs w:val="0"/>
          <w:sz w:val="22"/>
          <w:szCs w:val="22"/>
        </w:rPr>
        <w:t>isso porque</w:t>
      </w:r>
      <w:r w:rsidR="00913CA9">
        <w:rPr>
          <w:b w:val="0"/>
          <w:i w:val="0"/>
          <w:iCs w:val="0"/>
          <w:sz w:val="22"/>
          <w:szCs w:val="22"/>
        </w:rPr>
        <w:t>,</w:t>
      </w:r>
      <w:r w:rsidRPr="001F2B1A">
        <w:rPr>
          <w:b w:val="0"/>
          <w:i w:val="0"/>
          <w:iCs w:val="0"/>
          <w:sz w:val="22"/>
          <w:szCs w:val="22"/>
        </w:rPr>
        <w:t xml:space="preserve"> embora tenha afirmado ser impossível a prorrogação do contrato existente, dada a ausência dos requisitos para </w:t>
      </w:r>
      <w:r w:rsidR="00920585">
        <w:rPr>
          <w:b w:val="0"/>
          <w:i w:val="0"/>
          <w:iCs w:val="0"/>
          <w:sz w:val="22"/>
          <w:szCs w:val="22"/>
        </w:rPr>
        <w:t xml:space="preserve">a </w:t>
      </w:r>
      <w:r w:rsidRPr="001F2B1A">
        <w:rPr>
          <w:b w:val="0"/>
          <w:i w:val="0"/>
          <w:iCs w:val="0"/>
          <w:sz w:val="22"/>
          <w:szCs w:val="22"/>
        </w:rPr>
        <w:t xml:space="preserve">contratação por inexigibilidade, no </w:t>
      </w:r>
      <w:r w:rsidR="00920585">
        <w:rPr>
          <w:b w:val="0"/>
          <w:i w:val="0"/>
          <w:iCs w:val="0"/>
          <w:sz w:val="22"/>
          <w:szCs w:val="22"/>
        </w:rPr>
        <w:t>mesmo parecer</w:t>
      </w:r>
      <w:r w:rsidRPr="001F2B1A">
        <w:rPr>
          <w:b w:val="0"/>
          <w:i w:val="0"/>
          <w:iCs w:val="0"/>
          <w:sz w:val="22"/>
          <w:szCs w:val="22"/>
        </w:rPr>
        <w:t xml:space="preserve"> declar</w:t>
      </w:r>
      <w:r w:rsidR="00920585">
        <w:rPr>
          <w:b w:val="0"/>
          <w:i w:val="0"/>
          <w:iCs w:val="0"/>
          <w:sz w:val="22"/>
          <w:szCs w:val="22"/>
        </w:rPr>
        <w:t>ou</w:t>
      </w:r>
      <w:r w:rsidRPr="001F2B1A">
        <w:rPr>
          <w:b w:val="0"/>
          <w:i w:val="0"/>
          <w:iCs w:val="0"/>
          <w:sz w:val="22"/>
          <w:szCs w:val="22"/>
        </w:rPr>
        <w:t xml:space="preserve"> ser possível a celebração de novo contrato por igual fundamento, desde que preenchidos os mesmos requisitos jurídicos que </w:t>
      </w:r>
      <w:r w:rsidR="00913CA9">
        <w:rPr>
          <w:b w:val="0"/>
          <w:i w:val="0"/>
          <w:iCs w:val="0"/>
          <w:sz w:val="22"/>
          <w:szCs w:val="22"/>
        </w:rPr>
        <w:t>o TCU</w:t>
      </w:r>
      <w:r w:rsidRPr="001F2B1A">
        <w:rPr>
          <w:b w:val="0"/>
          <w:i w:val="0"/>
          <w:iCs w:val="0"/>
          <w:sz w:val="22"/>
          <w:szCs w:val="22"/>
        </w:rPr>
        <w:t xml:space="preserve"> já havia entendido inexistentes na contratação original.</w:t>
      </w:r>
      <w:r w:rsidR="00913CA9">
        <w:rPr>
          <w:b w:val="0"/>
          <w:i w:val="0"/>
          <w:iCs w:val="0"/>
          <w:sz w:val="22"/>
          <w:szCs w:val="22"/>
        </w:rPr>
        <w:t xml:space="preserve"> </w:t>
      </w:r>
      <w:r w:rsidRPr="001F2B1A">
        <w:rPr>
          <w:b w:val="0"/>
          <w:i w:val="0"/>
          <w:iCs w:val="0"/>
          <w:sz w:val="22"/>
          <w:szCs w:val="22"/>
        </w:rPr>
        <w:t xml:space="preserve">Diante dessa manifestação, o </w:t>
      </w:r>
      <w:r w:rsidR="00920585">
        <w:rPr>
          <w:b w:val="0"/>
          <w:i w:val="0"/>
          <w:iCs w:val="0"/>
          <w:sz w:val="22"/>
          <w:szCs w:val="22"/>
        </w:rPr>
        <w:t>CEF</w:t>
      </w:r>
      <w:r w:rsidRPr="001F2B1A">
        <w:rPr>
          <w:b w:val="0"/>
          <w:i w:val="0"/>
          <w:iCs w:val="0"/>
          <w:sz w:val="22"/>
          <w:szCs w:val="22"/>
        </w:rPr>
        <w:t>, mediante deliberação unânime, indicou à Procuradoria Jurídica o nome do mesmo escritório de advocacia que já se encontrava prestando serviços ao Confea. E, em face da indicação d</w:t>
      </w:r>
      <w:r w:rsidR="00920585">
        <w:rPr>
          <w:b w:val="0"/>
          <w:i w:val="0"/>
          <w:iCs w:val="0"/>
          <w:sz w:val="22"/>
          <w:szCs w:val="22"/>
        </w:rPr>
        <w:t>o</w:t>
      </w:r>
      <w:r w:rsidRPr="001F2B1A">
        <w:rPr>
          <w:b w:val="0"/>
          <w:i w:val="0"/>
          <w:iCs w:val="0"/>
          <w:sz w:val="22"/>
          <w:szCs w:val="22"/>
        </w:rPr>
        <w:t xml:space="preserve"> CEF, a Procuradoria Jurídica emitiu novo parecer favorável à contratação.</w:t>
      </w:r>
      <w:r w:rsidR="00913CA9">
        <w:rPr>
          <w:b w:val="0"/>
          <w:i w:val="0"/>
          <w:iCs w:val="0"/>
          <w:sz w:val="22"/>
          <w:szCs w:val="22"/>
        </w:rPr>
        <w:t xml:space="preserve"> </w:t>
      </w:r>
      <w:r w:rsidRPr="001F2B1A">
        <w:rPr>
          <w:b w:val="0"/>
          <w:i w:val="0"/>
          <w:iCs w:val="0"/>
          <w:sz w:val="22"/>
          <w:szCs w:val="22"/>
        </w:rPr>
        <w:t>A partir da atuação da Procuradoria Jurídica e do CEF, o Conselho Diretor do Confea aprovou a contratação do escritório de advocacia indicado, culminando na celebração do referido instrumento.</w:t>
      </w:r>
      <w:r w:rsidR="00913CA9">
        <w:rPr>
          <w:b w:val="0"/>
          <w:i w:val="0"/>
          <w:iCs w:val="0"/>
          <w:sz w:val="22"/>
          <w:szCs w:val="22"/>
        </w:rPr>
        <w:t xml:space="preserve"> </w:t>
      </w:r>
      <w:r w:rsidR="00702A49">
        <w:rPr>
          <w:b w:val="0"/>
          <w:i w:val="0"/>
          <w:iCs w:val="0"/>
          <w:sz w:val="22"/>
          <w:szCs w:val="22"/>
        </w:rPr>
        <w:t>O</w:t>
      </w:r>
      <w:r w:rsidR="00913CA9">
        <w:rPr>
          <w:b w:val="0"/>
          <w:i w:val="0"/>
          <w:iCs w:val="0"/>
          <w:sz w:val="22"/>
          <w:szCs w:val="22"/>
        </w:rPr>
        <w:t xml:space="preserve"> relator </w:t>
      </w:r>
      <w:r w:rsidRPr="001F2B1A">
        <w:rPr>
          <w:b w:val="0"/>
          <w:i w:val="0"/>
          <w:iCs w:val="0"/>
          <w:sz w:val="22"/>
          <w:szCs w:val="22"/>
        </w:rPr>
        <w:t>entend</w:t>
      </w:r>
      <w:r w:rsidR="00913CA9">
        <w:rPr>
          <w:b w:val="0"/>
          <w:i w:val="0"/>
          <w:iCs w:val="0"/>
          <w:sz w:val="22"/>
          <w:szCs w:val="22"/>
        </w:rPr>
        <w:t>eu</w:t>
      </w:r>
      <w:r w:rsidRPr="001F2B1A">
        <w:rPr>
          <w:b w:val="0"/>
          <w:i w:val="0"/>
          <w:iCs w:val="0"/>
          <w:sz w:val="22"/>
          <w:szCs w:val="22"/>
        </w:rPr>
        <w:t xml:space="preserve"> que todo o procedimento que levou à contratação do escritório de advocacia em comento</w:t>
      </w:r>
      <w:r w:rsidR="00920585">
        <w:rPr>
          <w:b w:val="0"/>
          <w:i w:val="0"/>
          <w:iCs w:val="0"/>
          <w:sz w:val="22"/>
          <w:szCs w:val="22"/>
        </w:rPr>
        <w:t>,</w:t>
      </w:r>
      <w:r w:rsidRPr="001F2B1A">
        <w:rPr>
          <w:b w:val="0"/>
          <w:i w:val="0"/>
          <w:iCs w:val="0"/>
          <w:sz w:val="22"/>
          <w:szCs w:val="22"/>
        </w:rPr>
        <w:t xml:space="preserve"> por inexigibilidade</w:t>
      </w:r>
      <w:r w:rsidR="00920585">
        <w:rPr>
          <w:b w:val="0"/>
          <w:i w:val="0"/>
          <w:iCs w:val="0"/>
          <w:sz w:val="22"/>
          <w:szCs w:val="22"/>
        </w:rPr>
        <w:t>,</w:t>
      </w:r>
      <w:r w:rsidRPr="001F2B1A">
        <w:rPr>
          <w:b w:val="0"/>
          <w:i w:val="0"/>
          <w:iCs w:val="0"/>
          <w:sz w:val="22"/>
          <w:szCs w:val="22"/>
        </w:rPr>
        <w:t xml:space="preserve"> teve origem </w:t>
      </w:r>
      <w:r w:rsidR="00920585">
        <w:rPr>
          <w:b w:val="0"/>
          <w:i w:val="0"/>
          <w:iCs w:val="0"/>
          <w:sz w:val="22"/>
          <w:szCs w:val="22"/>
        </w:rPr>
        <w:t>em</w:t>
      </w:r>
      <w:r w:rsidRPr="001F2B1A">
        <w:rPr>
          <w:b w:val="0"/>
          <w:i w:val="0"/>
          <w:iCs w:val="0"/>
          <w:sz w:val="22"/>
          <w:szCs w:val="22"/>
        </w:rPr>
        <w:t xml:space="preserve"> erro grosseiro </w:t>
      </w:r>
      <w:r w:rsidR="00920585">
        <w:rPr>
          <w:b w:val="0"/>
          <w:i w:val="0"/>
          <w:iCs w:val="0"/>
          <w:sz w:val="22"/>
          <w:szCs w:val="22"/>
        </w:rPr>
        <w:t xml:space="preserve">praticado </w:t>
      </w:r>
      <w:r w:rsidRPr="001F2B1A">
        <w:rPr>
          <w:b w:val="0"/>
          <w:i w:val="0"/>
          <w:iCs w:val="0"/>
          <w:sz w:val="22"/>
          <w:szCs w:val="22"/>
        </w:rPr>
        <w:t xml:space="preserve">no âmbito da administração do Confea, com indícios de prática de ato doloso ou de má-fé, dado que, mesmo citando a deliberação </w:t>
      </w:r>
      <w:r w:rsidR="00913CA9">
        <w:rPr>
          <w:b w:val="0"/>
          <w:i w:val="0"/>
          <w:iCs w:val="0"/>
          <w:sz w:val="22"/>
          <w:szCs w:val="22"/>
        </w:rPr>
        <w:t>do TCU</w:t>
      </w:r>
      <w:r w:rsidRPr="001F2B1A">
        <w:rPr>
          <w:b w:val="0"/>
          <w:i w:val="0"/>
          <w:iCs w:val="0"/>
          <w:sz w:val="22"/>
          <w:szCs w:val="22"/>
        </w:rPr>
        <w:t xml:space="preserve"> que proibiu expressamente a prorrogação do referido contrato, os órgãos diretivos daquele conselho praticaram a irregularidade em apreço, concorrendo decisivamente para o descumprimento do aludido </w:t>
      </w:r>
      <w:r w:rsidRPr="001F2B1A">
        <w:rPr>
          <w:i w:val="0"/>
          <w:iCs w:val="0"/>
          <w:sz w:val="22"/>
          <w:szCs w:val="22"/>
        </w:rPr>
        <w:t>decisum</w:t>
      </w:r>
      <w:r w:rsidRPr="001F2B1A">
        <w:rPr>
          <w:b w:val="0"/>
          <w:i w:val="0"/>
          <w:iCs w:val="0"/>
          <w:sz w:val="22"/>
          <w:szCs w:val="22"/>
        </w:rPr>
        <w:t>, com base em tese absolutamente desprovida de fundamentação jurídica.</w:t>
      </w:r>
      <w:r w:rsidR="00913CA9">
        <w:rPr>
          <w:b w:val="0"/>
          <w:i w:val="0"/>
          <w:iCs w:val="0"/>
          <w:sz w:val="22"/>
          <w:szCs w:val="22"/>
        </w:rPr>
        <w:t xml:space="preserve"> </w:t>
      </w:r>
      <w:r w:rsidR="00702A49">
        <w:rPr>
          <w:b w:val="0"/>
          <w:i w:val="0"/>
          <w:iCs w:val="0"/>
          <w:sz w:val="22"/>
          <w:szCs w:val="22"/>
        </w:rPr>
        <w:t>Além da</w:t>
      </w:r>
      <w:r w:rsidRPr="001F2B1A">
        <w:rPr>
          <w:b w:val="0"/>
          <w:i w:val="0"/>
          <w:iCs w:val="0"/>
          <w:sz w:val="22"/>
          <w:szCs w:val="22"/>
        </w:rPr>
        <w:t xml:space="preserve"> aplicação </w:t>
      </w:r>
      <w:r w:rsidR="00913CA9">
        <w:rPr>
          <w:b w:val="0"/>
          <w:i w:val="0"/>
          <w:iCs w:val="0"/>
          <w:sz w:val="22"/>
          <w:szCs w:val="22"/>
        </w:rPr>
        <w:t xml:space="preserve">de multa </w:t>
      </w:r>
      <w:r w:rsidRPr="001F2B1A">
        <w:rPr>
          <w:b w:val="0"/>
          <w:i w:val="0"/>
          <w:iCs w:val="0"/>
          <w:sz w:val="22"/>
          <w:szCs w:val="22"/>
        </w:rPr>
        <w:t xml:space="preserve">aos responsáveis, </w:t>
      </w:r>
      <w:r w:rsidR="00702A49">
        <w:rPr>
          <w:b w:val="0"/>
          <w:i w:val="0"/>
          <w:iCs w:val="0"/>
          <w:sz w:val="22"/>
          <w:szCs w:val="22"/>
        </w:rPr>
        <w:t>o relator julgou</w:t>
      </w:r>
      <w:r w:rsidR="00702A49" w:rsidRPr="001F2B1A">
        <w:rPr>
          <w:b w:val="0"/>
          <w:i w:val="0"/>
          <w:iCs w:val="0"/>
          <w:sz w:val="22"/>
          <w:szCs w:val="22"/>
        </w:rPr>
        <w:t xml:space="preserve"> </w:t>
      </w:r>
      <w:r w:rsidR="00702A49">
        <w:rPr>
          <w:b w:val="0"/>
          <w:i w:val="0"/>
          <w:iCs w:val="0"/>
          <w:sz w:val="22"/>
          <w:szCs w:val="22"/>
        </w:rPr>
        <w:t>oportuno</w:t>
      </w:r>
      <w:r w:rsidR="00702A49" w:rsidRPr="001F2B1A">
        <w:rPr>
          <w:b w:val="0"/>
          <w:i w:val="0"/>
          <w:iCs w:val="0"/>
          <w:sz w:val="22"/>
          <w:szCs w:val="22"/>
        </w:rPr>
        <w:t xml:space="preserve"> o envio de </w:t>
      </w:r>
      <w:r w:rsidR="00702A49" w:rsidRPr="00913CA9">
        <w:rPr>
          <w:b w:val="0"/>
          <w:iCs w:val="0"/>
          <w:sz w:val="22"/>
          <w:szCs w:val="22"/>
        </w:rPr>
        <w:t>“cópia da deliberação a ser proferida”</w:t>
      </w:r>
      <w:r w:rsidR="00702A49" w:rsidRPr="001F2B1A">
        <w:rPr>
          <w:b w:val="0"/>
          <w:i w:val="0"/>
          <w:iCs w:val="0"/>
          <w:sz w:val="22"/>
          <w:szCs w:val="22"/>
        </w:rPr>
        <w:t xml:space="preserve"> à Procuradoria da República no Distrito Federal, com vistas ao ajuizamento das ações cabíveis</w:t>
      </w:r>
      <w:r w:rsidR="00175504">
        <w:rPr>
          <w:b w:val="0"/>
          <w:i w:val="0"/>
          <w:iCs w:val="0"/>
          <w:sz w:val="22"/>
          <w:szCs w:val="22"/>
        </w:rPr>
        <w:t>, tendo em vista que</w:t>
      </w:r>
      <w:r w:rsidRPr="001F2B1A">
        <w:rPr>
          <w:b w:val="0"/>
          <w:i w:val="0"/>
          <w:iCs w:val="0"/>
          <w:sz w:val="22"/>
          <w:szCs w:val="22"/>
        </w:rPr>
        <w:t xml:space="preserve"> as irregularidades apuradas constituem indícios de crime, a teor do disposto no art. 89 da Lei n</w:t>
      </w:r>
      <w:r w:rsidR="00913CA9">
        <w:rPr>
          <w:b w:val="0"/>
          <w:i w:val="0"/>
          <w:iCs w:val="0"/>
          <w:sz w:val="22"/>
          <w:szCs w:val="22"/>
        </w:rPr>
        <w:t>.</w:t>
      </w:r>
      <w:r w:rsidRPr="001F2B1A">
        <w:rPr>
          <w:b w:val="0"/>
          <w:i w:val="0"/>
          <w:iCs w:val="0"/>
          <w:sz w:val="22"/>
          <w:szCs w:val="22"/>
        </w:rPr>
        <w:t>º 8.666</w:t>
      </w:r>
      <w:r w:rsidR="00913CA9">
        <w:rPr>
          <w:b w:val="0"/>
          <w:i w:val="0"/>
          <w:iCs w:val="0"/>
          <w:sz w:val="22"/>
          <w:szCs w:val="22"/>
        </w:rPr>
        <w:t>/</w:t>
      </w:r>
      <w:r w:rsidRPr="001F2B1A">
        <w:rPr>
          <w:b w:val="0"/>
          <w:i w:val="0"/>
          <w:iCs w:val="0"/>
          <w:sz w:val="22"/>
          <w:szCs w:val="22"/>
        </w:rPr>
        <w:t>93.</w:t>
      </w:r>
      <w:r w:rsidR="00913CA9">
        <w:rPr>
          <w:b w:val="0"/>
          <w:i w:val="0"/>
          <w:iCs w:val="0"/>
          <w:sz w:val="22"/>
          <w:szCs w:val="22"/>
        </w:rPr>
        <w:t xml:space="preserve"> A </w:t>
      </w:r>
      <w:r w:rsidR="00F30B10">
        <w:rPr>
          <w:b w:val="0"/>
          <w:i w:val="0"/>
          <w:iCs w:val="0"/>
          <w:sz w:val="22"/>
          <w:szCs w:val="22"/>
        </w:rPr>
        <w:t>Segunda</w:t>
      </w:r>
      <w:r w:rsidR="00913CA9">
        <w:rPr>
          <w:b w:val="0"/>
          <w:i w:val="0"/>
          <w:iCs w:val="0"/>
          <w:sz w:val="22"/>
          <w:szCs w:val="22"/>
        </w:rPr>
        <w:t xml:space="preserve"> Câmara acolheu a proposição do relator. </w:t>
      </w:r>
      <w:r w:rsidRPr="00913CA9">
        <w:rPr>
          <w:sz w:val="22"/>
          <w:szCs w:val="22"/>
        </w:rPr>
        <w:t>Acórdão n.º 5318/2010-2ª Câmara, TC-030.816/2007-2, rel. Min-Subst. André Luís de Carvalho, 14.09.2010</w:t>
      </w:r>
      <w:r w:rsidRPr="00337E16">
        <w:rPr>
          <w:sz w:val="22"/>
          <w:szCs w:val="22"/>
        </w:rPr>
        <w:t>.</w:t>
      </w:r>
    </w:p>
    <w:p w:rsidR="00785CF8" w:rsidRPr="00337E16" w:rsidRDefault="00785CF8" w:rsidP="00337E16">
      <w:pPr>
        <w:pStyle w:val="enter-3pt"/>
        <w:spacing w:line="240" w:lineRule="auto"/>
        <w:jc w:val="center"/>
        <w:rPr>
          <w:b/>
          <w:sz w:val="22"/>
          <w:szCs w:val="22"/>
          <w:bdr w:val="single" w:sz="4" w:space="0" w:color="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41"/>
      </w:tblGrid>
      <w:tr w:rsidR="00D2041E" w:rsidRPr="00337E16" w:rsidTr="00F03AB9">
        <w:trPr>
          <w:trHeight w:val="779"/>
          <w:jc w:val="center"/>
        </w:trPr>
        <w:tc>
          <w:tcPr>
            <w:tcW w:w="0" w:type="auto"/>
            <w:vAlign w:val="center"/>
          </w:tcPr>
          <w:p w:rsidR="00F27170" w:rsidRPr="00337E16" w:rsidRDefault="005E5FF1" w:rsidP="00337E16">
            <w:pPr>
              <w:pStyle w:val="enter-3pt"/>
              <w:spacing w:line="240" w:lineRule="auto"/>
              <w:jc w:val="center"/>
              <w:rPr>
                <w:b/>
                <w:i/>
                <w:sz w:val="18"/>
                <w:szCs w:val="18"/>
              </w:rPr>
            </w:pPr>
            <w:r w:rsidRPr="00337E16">
              <w:rPr>
                <w:b/>
                <w:i/>
                <w:sz w:val="18"/>
                <w:szCs w:val="18"/>
              </w:rPr>
              <w:t>R</w:t>
            </w:r>
            <w:r w:rsidR="00F27170" w:rsidRPr="00337E16">
              <w:rPr>
                <w:b/>
                <w:i/>
                <w:sz w:val="18"/>
                <w:szCs w:val="18"/>
              </w:rPr>
              <w:t>esponsáve</w:t>
            </w:r>
            <w:r w:rsidRPr="00337E16">
              <w:rPr>
                <w:b/>
                <w:i/>
                <w:sz w:val="18"/>
                <w:szCs w:val="18"/>
              </w:rPr>
              <w:t>is</w:t>
            </w:r>
            <w:r w:rsidR="00F27170" w:rsidRPr="00337E16">
              <w:rPr>
                <w:b/>
                <w:i/>
                <w:sz w:val="18"/>
                <w:szCs w:val="18"/>
              </w:rPr>
              <w:t xml:space="preserve"> pelo Informativo:</w:t>
            </w:r>
          </w:p>
          <w:p w:rsidR="00F27170" w:rsidRPr="00337E16" w:rsidRDefault="00713DE5" w:rsidP="00337E16">
            <w:pPr>
              <w:pStyle w:val="enter-3pt"/>
              <w:spacing w:line="240" w:lineRule="auto"/>
              <w:jc w:val="center"/>
              <w:rPr>
                <w:i/>
                <w:sz w:val="18"/>
                <w:szCs w:val="18"/>
              </w:rPr>
            </w:pPr>
            <w:r w:rsidRPr="00337E16">
              <w:rPr>
                <w:b/>
                <w:i/>
                <w:sz w:val="18"/>
                <w:szCs w:val="18"/>
              </w:rPr>
              <w:t>Elaboração:</w:t>
            </w:r>
            <w:r w:rsidRPr="00337E16">
              <w:rPr>
                <w:i/>
                <w:sz w:val="18"/>
                <w:szCs w:val="18"/>
              </w:rPr>
              <w:t xml:space="preserve"> </w:t>
            </w:r>
            <w:r w:rsidR="00F27170" w:rsidRPr="00337E16">
              <w:rPr>
                <w:i/>
                <w:sz w:val="18"/>
                <w:szCs w:val="18"/>
              </w:rPr>
              <w:t>Luiz Felipe Bezerra Almeida Simões</w:t>
            </w:r>
            <w:r w:rsidRPr="00337E16">
              <w:rPr>
                <w:i/>
                <w:sz w:val="18"/>
                <w:szCs w:val="18"/>
              </w:rPr>
              <w:t>, Assessor da Secretaria das Sessões</w:t>
            </w:r>
          </w:p>
          <w:p w:rsidR="005E5FF1" w:rsidRPr="00337E16" w:rsidRDefault="00A30683" w:rsidP="00337E16">
            <w:pPr>
              <w:pStyle w:val="enter-3pt"/>
              <w:spacing w:line="240" w:lineRule="auto"/>
              <w:jc w:val="center"/>
              <w:rPr>
                <w:i/>
                <w:sz w:val="18"/>
                <w:szCs w:val="18"/>
              </w:rPr>
            </w:pPr>
            <w:r>
              <w:rPr>
                <w:b/>
                <w:i/>
                <w:sz w:val="18"/>
                <w:szCs w:val="18"/>
              </w:rPr>
              <w:t>Revisão</w:t>
            </w:r>
            <w:r w:rsidR="00713DE5" w:rsidRPr="00337E16">
              <w:rPr>
                <w:b/>
                <w:i/>
                <w:sz w:val="18"/>
                <w:szCs w:val="18"/>
              </w:rPr>
              <w:t>:</w:t>
            </w:r>
            <w:r w:rsidR="00713DE5" w:rsidRPr="00337E16">
              <w:rPr>
                <w:i/>
                <w:sz w:val="18"/>
                <w:szCs w:val="18"/>
              </w:rPr>
              <w:t xml:space="preserve"> </w:t>
            </w:r>
            <w:r w:rsidR="005E5FF1" w:rsidRPr="00337E16">
              <w:rPr>
                <w:i/>
                <w:sz w:val="18"/>
                <w:szCs w:val="18"/>
              </w:rPr>
              <w:t>Odilon Cavallari de Oliveira</w:t>
            </w:r>
            <w:r w:rsidR="00713DE5" w:rsidRPr="00337E16">
              <w:rPr>
                <w:i/>
                <w:sz w:val="18"/>
                <w:szCs w:val="18"/>
              </w:rPr>
              <w:t>, Secretário das Sessões</w:t>
            </w:r>
          </w:p>
          <w:p w:rsidR="00D2041E" w:rsidRPr="00337E16" w:rsidRDefault="00D2041E" w:rsidP="00337E16">
            <w:pPr>
              <w:pStyle w:val="enter-3pt"/>
              <w:spacing w:line="240" w:lineRule="auto"/>
              <w:jc w:val="center"/>
              <w:rPr>
                <w:b/>
                <w:i/>
                <w:sz w:val="22"/>
                <w:szCs w:val="22"/>
              </w:rPr>
            </w:pPr>
            <w:r w:rsidRPr="00337E16">
              <w:rPr>
                <w:b/>
                <w:i/>
                <w:sz w:val="18"/>
                <w:szCs w:val="18"/>
              </w:rPr>
              <w:t xml:space="preserve">Contato: </w:t>
            </w:r>
            <w:hyperlink r:id="rId9" w:history="1">
              <w:r w:rsidRPr="00337E16">
                <w:rPr>
                  <w:rStyle w:val="Hyperlink"/>
                  <w:b/>
                  <w:i/>
                  <w:color w:val="auto"/>
                  <w:sz w:val="18"/>
                  <w:szCs w:val="18"/>
                </w:rPr>
                <w:t>infojuris@tcu.gov.br</w:t>
              </w:r>
            </w:hyperlink>
          </w:p>
        </w:tc>
      </w:tr>
    </w:tbl>
    <w:p w:rsidR="00D2041E" w:rsidRPr="00337E16" w:rsidRDefault="00D2041E" w:rsidP="00337E16">
      <w:pPr>
        <w:pStyle w:val="enter-3pt"/>
        <w:spacing w:line="240" w:lineRule="auto"/>
        <w:jc w:val="center"/>
        <w:rPr>
          <w:b/>
          <w:sz w:val="22"/>
          <w:szCs w:val="22"/>
        </w:rPr>
      </w:pPr>
    </w:p>
    <w:sectPr w:rsidR="00D2041E" w:rsidRPr="00337E16" w:rsidSect="00337E16">
      <w:headerReference w:type="default" r:id="rId10"/>
      <w:footerReference w:type="default" r:id="rId11"/>
      <w:pgSz w:w="11906" w:h="16838" w:code="9"/>
      <w:pgMar w:top="1134" w:right="851" w:bottom="851" w:left="1418"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725" w:rsidRDefault="00344725" w:rsidP="008B0547">
      <w:pPr>
        <w:spacing w:after="0"/>
      </w:pPr>
      <w:r>
        <w:separator/>
      </w:r>
    </w:p>
  </w:endnote>
  <w:endnote w:type="continuationSeparator" w:id="0">
    <w:p w:rsidR="00344725" w:rsidRDefault="00344725"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547" w:rsidRPr="00C906CD" w:rsidRDefault="00C906CD" w:rsidP="004E357A">
    <w:pPr>
      <w:pStyle w:val="Rodap"/>
      <w:jc w:val="right"/>
      <w:rPr>
        <w:sz w:val="20"/>
        <w:szCs w:val="20"/>
      </w:rPr>
    </w:pPr>
    <w:r w:rsidRPr="00C906CD">
      <w:rPr>
        <w:sz w:val="20"/>
        <w:szCs w:val="20"/>
      </w:rPr>
      <w:fldChar w:fldCharType="begin"/>
    </w:r>
    <w:r w:rsidRPr="00C906CD">
      <w:rPr>
        <w:sz w:val="20"/>
        <w:szCs w:val="20"/>
      </w:rPr>
      <w:instrText xml:space="preserve"> PAGE   \* MERGEFORMAT </w:instrText>
    </w:r>
    <w:r w:rsidRPr="00C906CD">
      <w:rPr>
        <w:sz w:val="20"/>
        <w:szCs w:val="20"/>
      </w:rPr>
      <w:fldChar w:fldCharType="separate"/>
    </w:r>
    <w:r w:rsidR="002F366B">
      <w:rPr>
        <w:noProof/>
        <w:sz w:val="20"/>
        <w:szCs w:val="20"/>
      </w:rPr>
      <w:t>1</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725" w:rsidRDefault="00344725" w:rsidP="008B0547">
      <w:pPr>
        <w:spacing w:after="0"/>
      </w:pPr>
      <w:r>
        <w:separator/>
      </w:r>
    </w:p>
  </w:footnote>
  <w:footnote w:type="continuationSeparator" w:id="0">
    <w:p w:rsidR="00344725" w:rsidRDefault="00344725"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547" w:rsidRDefault="00422F64" w:rsidP="00080148">
    <w:pPr>
      <w:spacing w:after="0"/>
      <w:rPr>
        <w:rFonts w:ascii="Arial" w:hAnsi="Arial" w:cs="Arial"/>
        <w:b/>
      </w:rPr>
    </w:pPr>
    <w:r>
      <w:rPr>
        <w:rFonts w:ascii="Arial" w:hAnsi="Arial" w:cs="Arial"/>
        <w:b/>
        <w:noProof/>
        <w:lang w:eastAsia="pt-BR"/>
      </w:rPr>
      <w:drawing>
        <wp:anchor distT="0" distB="0" distL="114300" distR="114300" simplePos="0" relativeHeight="251657216" behindDoc="0" locked="0" layoutInCell="1" allowOverlap="1">
          <wp:simplePos x="0" y="0"/>
          <wp:positionH relativeFrom="column">
            <wp:posOffset>-37465</wp:posOffset>
          </wp:positionH>
          <wp:positionV relativeFrom="paragraph">
            <wp:posOffset>-71120</wp:posOffset>
          </wp:positionV>
          <wp:extent cx="551815" cy="436880"/>
          <wp:effectExtent l="0" t="0" r="635" b="1270"/>
          <wp:wrapNone/>
          <wp:docPr id="2" name="Imagem 1" descr="LogoT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8B0547">
      <w:rPr>
        <w:rFonts w:ascii="Arial" w:hAnsi="Arial" w:cs="Arial"/>
        <w:b/>
      </w:rPr>
      <w:t>TRIBUNAL DE CONTAS DA UNIÃO</w:t>
    </w:r>
  </w:p>
  <w:p w:rsidR="008B0547" w:rsidRPr="00515E7B" w:rsidRDefault="00422F64" w:rsidP="00080148">
    <w:pPr>
      <w:spacing w:after="0"/>
      <w:rPr>
        <w:rFonts w:ascii="Arial" w:hAnsi="Arial" w:cs="Arial"/>
        <w:b/>
      </w:rPr>
    </w:pPr>
    <w:r w:rsidRPr="00515E7B">
      <w:rPr>
        <w:rFonts w:ascii="Arial" w:hAnsi="Arial" w:cs="Arial"/>
        <w:noProof/>
        <w:lang w:eastAsia="pt-BR"/>
      </w:rPr>
      <mc:AlternateContent>
        <mc:Choice Requires="wps">
          <w:drawing>
            <wp:anchor distT="0" distB="0" distL="114300" distR="114300" simplePos="0" relativeHeight="251658240" behindDoc="0" locked="0" layoutInCell="1" allowOverlap="1">
              <wp:simplePos x="0" y="0"/>
              <wp:positionH relativeFrom="margin">
                <wp:posOffset>37465</wp:posOffset>
              </wp:positionH>
              <wp:positionV relativeFrom="paragraph">
                <wp:posOffset>243840</wp:posOffset>
              </wp:positionV>
              <wp:extent cx="6120130" cy="0"/>
              <wp:effectExtent l="8890" t="5715" r="5080"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A6F73"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5pt,19.2pt" to="484.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R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">
              <w10:wrap anchorx="margin"/>
            </v:line>
          </w:pict>
        </mc:Fallback>
      </mc:AlternateContent>
    </w:r>
    <w:r w:rsidR="00515E7B" w:rsidRPr="00515E7B">
      <w:rPr>
        <w:rFonts w:ascii="Arial" w:hAnsi="Arial" w:cs="Arial"/>
        <w:noProof/>
        <w:lang w:eastAsia="pt-BR"/>
      </w:rPr>
      <w:t>Info</w:t>
    </w:r>
    <w:r w:rsidR="006F4DE0">
      <w:rPr>
        <w:rFonts w:ascii="Arial" w:hAnsi="Arial" w:cs="Arial"/>
        <w:noProof/>
        <w:lang w:eastAsia="pt-BR"/>
      </w:rPr>
      <w:t>rmativo</w:t>
    </w:r>
    <w:r w:rsidR="00515E7B">
      <w:rPr>
        <w:rFonts w:ascii="Arial" w:hAnsi="Arial" w:cs="Arial"/>
        <w:noProof/>
        <w:lang w:eastAsia="pt-BR"/>
      </w:rPr>
      <w:t xml:space="preserve"> </w:t>
    </w:r>
    <w:r w:rsidR="002810D9">
      <w:rPr>
        <w:rFonts w:ascii="Arial" w:hAnsi="Arial" w:cs="Arial"/>
        <w:noProof/>
        <w:lang w:eastAsia="pt-BR"/>
      </w:rPr>
      <w:t>de Jurisprudência sobre</w:t>
    </w:r>
    <w:r w:rsidR="00515E7B">
      <w:rPr>
        <w:rFonts w:ascii="Arial" w:hAnsi="Arial" w:cs="Arial"/>
        <w:noProof/>
        <w:lang w:eastAsia="pt-BR"/>
      </w:rPr>
      <w:t xml:space="preserve"> </w:t>
    </w:r>
    <w:r w:rsidR="002810D9">
      <w:rPr>
        <w:rFonts w:ascii="Arial" w:hAnsi="Arial" w:cs="Arial"/>
        <w:noProof/>
        <w:lang w:eastAsia="pt-BR"/>
      </w:rPr>
      <w:t>L</w:t>
    </w:r>
    <w:r w:rsidR="00515E7B" w:rsidRPr="00515E7B">
      <w:rPr>
        <w:rFonts w:ascii="Arial" w:hAnsi="Arial" w:cs="Arial"/>
        <w:noProof/>
        <w:lang w:eastAsia="pt-BR"/>
      </w:rPr>
      <w:t xml:space="preserve">icitações e </w:t>
    </w:r>
    <w:r w:rsidR="002810D9">
      <w:rPr>
        <w:rFonts w:ascii="Arial" w:hAnsi="Arial" w:cs="Arial"/>
        <w:noProof/>
        <w:lang w:eastAsia="pt-BR"/>
      </w:rPr>
      <w:t>C</w:t>
    </w:r>
    <w:r w:rsidR="00515E7B" w:rsidRPr="00515E7B">
      <w:rPr>
        <w:rFonts w:ascii="Arial" w:hAnsi="Arial" w:cs="Arial"/>
        <w:noProof/>
        <w:lang w:eastAsia="pt-BR"/>
      </w:rPr>
      <w:t>ontratos</w:t>
    </w:r>
    <w:r w:rsidR="00FF7C62">
      <w:rPr>
        <w:rFonts w:ascii="Arial" w:hAnsi="Arial" w:cs="Arial"/>
        <w:noProof/>
        <w:lang w:eastAsia="pt-BR"/>
      </w:rPr>
      <w:t xml:space="preserve"> nº </w:t>
    </w:r>
    <w:r w:rsidR="00835DB6">
      <w:rPr>
        <w:rFonts w:ascii="Arial" w:hAnsi="Arial" w:cs="Arial"/>
        <w:noProof/>
        <w:lang w:eastAsia="pt-BR"/>
      </w:rPr>
      <w:t>3</w:t>
    </w:r>
    <w:r w:rsidR="00B03D35">
      <w:rPr>
        <w:rFonts w:ascii="Arial" w:hAnsi="Arial" w:cs="Arial"/>
        <w:noProof/>
        <w:lang w:eastAsia="pt-BR"/>
      </w:rPr>
      <w:t>4</w:t>
    </w:r>
  </w:p>
  <w:p w:rsidR="008B0547" w:rsidRDefault="008B054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1BB1"/>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11202DB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85F349C"/>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1A66630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214212D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39C54D4"/>
    <w:multiLevelType w:val="hybridMultilevel"/>
    <w:tmpl w:val="EFBED870"/>
    <w:lvl w:ilvl="0" w:tplc="04160017">
      <w:start w:val="1"/>
      <w:numFmt w:val="lowerLetter"/>
      <w:lvlText w:val="%1)"/>
      <w:lvlJc w:val="left"/>
      <w:pPr>
        <w:ind w:left="1500" w:hanging="360"/>
      </w:pPr>
      <w:rPr>
        <w:rFonts w:cs="Times New Roman" w:hint="default"/>
        <w:b/>
        <w:color w:val="auto"/>
      </w:rPr>
    </w:lvl>
    <w:lvl w:ilvl="1" w:tplc="04160019" w:tentative="1">
      <w:start w:val="1"/>
      <w:numFmt w:val="lowerLetter"/>
      <w:lvlText w:val="%2."/>
      <w:lvlJc w:val="left"/>
      <w:pPr>
        <w:ind w:left="2220" w:hanging="360"/>
      </w:pPr>
      <w:rPr>
        <w:rFonts w:cs="Times New Roman"/>
      </w:rPr>
    </w:lvl>
    <w:lvl w:ilvl="2" w:tplc="0416001B" w:tentative="1">
      <w:start w:val="1"/>
      <w:numFmt w:val="lowerRoman"/>
      <w:lvlText w:val="%3."/>
      <w:lvlJc w:val="right"/>
      <w:pPr>
        <w:ind w:left="2940" w:hanging="180"/>
      </w:pPr>
      <w:rPr>
        <w:rFonts w:cs="Times New Roman"/>
      </w:rPr>
    </w:lvl>
    <w:lvl w:ilvl="3" w:tplc="0416000F" w:tentative="1">
      <w:start w:val="1"/>
      <w:numFmt w:val="decimal"/>
      <w:lvlText w:val="%4."/>
      <w:lvlJc w:val="left"/>
      <w:pPr>
        <w:ind w:left="3660" w:hanging="360"/>
      </w:pPr>
      <w:rPr>
        <w:rFonts w:cs="Times New Roman"/>
      </w:rPr>
    </w:lvl>
    <w:lvl w:ilvl="4" w:tplc="04160019" w:tentative="1">
      <w:start w:val="1"/>
      <w:numFmt w:val="lowerLetter"/>
      <w:lvlText w:val="%5."/>
      <w:lvlJc w:val="left"/>
      <w:pPr>
        <w:ind w:left="4380" w:hanging="360"/>
      </w:pPr>
      <w:rPr>
        <w:rFonts w:cs="Times New Roman"/>
      </w:rPr>
    </w:lvl>
    <w:lvl w:ilvl="5" w:tplc="0416001B" w:tentative="1">
      <w:start w:val="1"/>
      <w:numFmt w:val="lowerRoman"/>
      <w:lvlText w:val="%6."/>
      <w:lvlJc w:val="right"/>
      <w:pPr>
        <w:ind w:left="5100" w:hanging="180"/>
      </w:pPr>
      <w:rPr>
        <w:rFonts w:cs="Times New Roman"/>
      </w:rPr>
    </w:lvl>
    <w:lvl w:ilvl="6" w:tplc="0416000F" w:tentative="1">
      <w:start w:val="1"/>
      <w:numFmt w:val="decimal"/>
      <w:lvlText w:val="%7."/>
      <w:lvlJc w:val="left"/>
      <w:pPr>
        <w:ind w:left="5820" w:hanging="360"/>
      </w:pPr>
      <w:rPr>
        <w:rFonts w:cs="Times New Roman"/>
      </w:rPr>
    </w:lvl>
    <w:lvl w:ilvl="7" w:tplc="04160019" w:tentative="1">
      <w:start w:val="1"/>
      <w:numFmt w:val="lowerLetter"/>
      <w:lvlText w:val="%8."/>
      <w:lvlJc w:val="left"/>
      <w:pPr>
        <w:ind w:left="6540" w:hanging="360"/>
      </w:pPr>
      <w:rPr>
        <w:rFonts w:cs="Times New Roman"/>
      </w:rPr>
    </w:lvl>
    <w:lvl w:ilvl="8" w:tplc="0416001B" w:tentative="1">
      <w:start w:val="1"/>
      <w:numFmt w:val="lowerRoman"/>
      <w:lvlText w:val="%9."/>
      <w:lvlJc w:val="right"/>
      <w:pPr>
        <w:ind w:left="7260" w:hanging="180"/>
      </w:pPr>
      <w:rPr>
        <w:rFonts w:cs="Times New Roman"/>
      </w:rPr>
    </w:lvl>
  </w:abstractNum>
  <w:abstractNum w:abstractNumId="7">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8">
    <w:nsid w:val="39384A0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3B0318E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425027A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4C576ABE"/>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561A6E6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5CFC6DC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671316A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6E4770F8"/>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7E7641F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2"/>
  </w:num>
  <w:num w:numId="2">
    <w:abstractNumId w:val="10"/>
  </w:num>
  <w:num w:numId="3">
    <w:abstractNumId w:val="4"/>
  </w:num>
  <w:num w:numId="4">
    <w:abstractNumId w:val="0"/>
  </w:num>
  <w:num w:numId="5">
    <w:abstractNumId w:val="5"/>
  </w:num>
  <w:num w:numId="6">
    <w:abstractNumId w:val="9"/>
  </w:num>
  <w:num w:numId="7">
    <w:abstractNumId w:val="15"/>
  </w:num>
  <w:num w:numId="8">
    <w:abstractNumId w:val="13"/>
  </w:num>
  <w:num w:numId="9">
    <w:abstractNumId w:val="11"/>
  </w:num>
  <w:num w:numId="10">
    <w:abstractNumId w:val="3"/>
  </w:num>
  <w:num w:numId="11">
    <w:abstractNumId w:val="16"/>
  </w:num>
  <w:num w:numId="12">
    <w:abstractNumId w:val="2"/>
  </w:num>
  <w:num w:numId="13">
    <w:abstractNumId w:val="8"/>
  </w:num>
  <w:num w:numId="14">
    <w:abstractNumId w:val="14"/>
  </w:num>
  <w:num w:numId="15">
    <w:abstractNumId w:val="7"/>
  </w:num>
  <w:num w:numId="16">
    <w:abstractNumId w:val="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605"/>
    <w:rsid w:val="0000094F"/>
    <w:rsid w:val="00003A4F"/>
    <w:rsid w:val="00003CEA"/>
    <w:rsid w:val="00004614"/>
    <w:rsid w:val="00005435"/>
    <w:rsid w:val="00005E1E"/>
    <w:rsid w:val="00012468"/>
    <w:rsid w:val="0001636D"/>
    <w:rsid w:val="00023D72"/>
    <w:rsid w:val="000271FA"/>
    <w:rsid w:val="00027541"/>
    <w:rsid w:val="000302D3"/>
    <w:rsid w:val="00032198"/>
    <w:rsid w:val="00041450"/>
    <w:rsid w:val="00043920"/>
    <w:rsid w:val="0004660A"/>
    <w:rsid w:val="00052B15"/>
    <w:rsid w:val="00054432"/>
    <w:rsid w:val="000562CD"/>
    <w:rsid w:val="00056D51"/>
    <w:rsid w:val="0006028E"/>
    <w:rsid w:val="00061C2E"/>
    <w:rsid w:val="00065E95"/>
    <w:rsid w:val="00074586"/>
    <w:rsid w:val="00080148"/>
    <w:rsid w:val="00084727"/>
    <w:rsid w:val="0009133A"/>
    <w:rsid w:val="00092C2E"/>
    <w:rsid w:val="000A2C56"/>
    <w:rsid w:val="000B0ECB"/>
    <w:rsid w:val="000B0FEA"/>
    <w:rsid w:val="000B2AFA"/>
    <w:rsid w:val="000C5991"/>
    <w:rsid w:val="000D1FD7"/>
    <w:rsid w:val="000D6418"/>
    <w:rsid w:val="000D7DB6"/>
    <w:rsid w:val="000D7DED"/>
    <w:rsid w:val="000E3B31"/>
    <w:rsid w:val="000F188D"/>
    <w:rsid w:val="000F6D85"/>
    <w:rsid w:val="000F7CEE"/>
    <w:rsid w:val="001104BA"/>
    <w:rsid w:val="00112676"/>
    <w:rsid w:val="0011373A"/>
    <w:rsid w:val="00114511"/>
    <w:rsid w:val="00126026"/>
    <w:rsid w:val="00133EA9"/>
    <w:rsid w:val="00141D7A"/>
    <w:rsid w:val="001420D1"/>
    <w:rsid w:val="001444A2"/>
    <w:rsid w:val="00147845"/>
    <w:rsid w:val="00151F92"/>
    <w:rsid w:val="0015258E"/>
    <w:rsid w:val="00152ECC"/>
    <w:rsid w:val="001532E4"/>
    <w:rsid w:val="00156A48"/>
    <w:rsid w:val="00156D7F"/>
    <w:rsid w:val="00157AFE"/>
    <w:rsid w:val="00157C0F"/>
    <w:rsid w:val="001744E7"/>
    <w:rsid w:val="00175504"/>
    <w:rsid w:val="00176375"/>
    <w:rsid w:val="001771B9"/>
    <w:rsid w:val="00185162"/>
    <w:rsid w:val="0018723E"/>
    <w:rsid w:val="001A330B"/>
    <w:rsid w:val="001A60A2"/>
    <w:rsid w:val="001A6DFB"/>
    <w:rsid w:val="001B3E8E"/>
    <w:rsid w:val="001B405E"/>
    <w:rsid w:val="001B4473"/>
    <w:rsid w:val="001B4F90"/>
    <w:rsid w:val="001B5EC0"/>
    <w:rsid w:val="001B6A33"/>
    <w:rsid w:val="001C0575"/>
    <w:rsid w:val="001C32E1"/>
    <w:rsid w:val="001C437E"/>
    <w:rsid w:val="001D03C7"/>
    <w:rsid w:val="001D1478"/>
    <w:rsid w:val="001D74CE"/>
    <w:rsid w:val="001E0BF1"/>
    <w:rsid w:val="001E1E28"/>
    <w:rsid w:val="001E2620"/>
    <w:rsid w:val="001E4147"/>
    <w:rsid w:val="001E7C3D"/>
    <w:rsid w:val="001F00DF"/>
    <w:rsid w:val="001F2B1A"/>
    <w:rsid w:val="001F697C"/>
    <w:rsid w:val="002002CE"/>
    <w:rsid w:val="0020066F"/>
    <w:rsid w:val="00203A6F"/>
    <w:rsid w:val="00211816"/>
    <w:rsid w:val="00226D9D"/>
    <w:rsid w:val="00232158"/>
    <w:rsid w:val="002328F9"/>
    <w:rsid w:val="00233CE3"/>
    <w:rsid w:val="00236288"/>
    <w:rsid w:val="00240975"/>
    <w:rsid w:val="0024268E"/>
    <w:rsid w:val="0024593F"/>
    <w:rsid w:val="002476B6"/>
    <w:rsid w:val="00254590"/>
    <w:rsid w:val="0026362E"/>
    <w:rsid w:val="002649A7"/>
    <w:rsid w:val="002663B7"/>
    <w:rsid w:val="00271D81"/>
    <w:rsid w:val="00273E72"/>
    <w:rsid w:val="0027638D"/>
    <w:rsid w:val="00276DC0"/>
    <w:rsid w:val="002810D9"/>
    <w:rsid w:val="00281830"/>
    <w:rsid w:val="002837FC"/>
    <w:rsid w:val="0029043B"/>
    <w:rsid w:val="00290A06"/>
    <w:rsid w:val="0029211E"/>
    <w:rsid w:val="0029450E"/>
    <w:rsid w:val="002A190F"/>
    <w:rsid w:val="002A3B3F"/>
    <w:rsid w:val="002B113E"/>
    <w:rsid w:val="002B71BA"/>
    <w:rsid w:val="002C7B61"/>
    <w:rsid w:val="002C7B6D"/>
    <w:rsid w:val="002D35F5"/>
    <w:rsid w:val="002D47FE"/>
    <w:rsid w:val="002D739A"/>
    <w:rsid w:val="002D76AB"/>
    <w:rsid w:val="002E361C"/>
    <w:rsid w:val="002E3943"/>
    <w:rsid w:val="002E4254"/>
    <w:rsid w:val="002F366B"/>
    <w:rsid w:val="002F5F3B"/>
    <w:rsid w:val="002F693C"/>
    <w:rsid w:val="003020F4"/>
    <w:rsid w:val="00304A73"/>
    <w:rsid w:val="003069F9"/>
    <w:rsid w:val="00310208"/>
    <w:rsid w:val="0031058F"/>
    <w:rsid w:val="0031089E"/>
    <w:rsid w:val="00310D69"/>
    <w:rsid w:val="003147B7"/>
    <w:rsid w:val="00317E59"/>
    <w:rsid w:val="00322AE7"/>
    <w:rsid w:val="003275E4"/>
    <w:rsid w:val="00337E16"/>
    <w:rsid w:val="00340E66"/>
    <w:rsid w:val="00340F10"/>
    <w:rsid w:val="00344725"/>
    <w:rsid w:val="0034486B"/>
    <w:rsid w:val="00344D92"/>
    <w:rsid w:val="003455A2"/>
    <w:rsid w:val="00350E87"/>
    <w:rsid w:val="00353B7C"/>
    <w:rsid w:val="0035438E"/>
    <w:rsid w:val="00355828"/>
    <w:rsid w:val="00357CBE"/>
    <w:rsid w:val="00361661"/>
    <w:rsid w:val="003824E4"/>
    <w:rsid w:val="00385DAB"/>
    <w:rsid w:val="0038696B"/>
    <w:rsid w:val="00392509"/>
    <w:rsid w:val="003943E5"/>
    <w:rsid w:val="00396237"/>
    <w:rsid w:val="00397D8E"/>
    <w:rsid w:val="003A06F9"/>
    <w:rsid w:val="003A2222"/>
    <w:rsid w:val="003A5479"/>
    <w:rsid w:val="003A5C1B"/>
    <w:rsid w:val="003A7C7F"/>
    <w:rsid w:val="003B0304"/>
    <w:rsid w:val="003B043F"/>
    <w:rsid w:val="003B2E10"/>
    <w:rsid w:val="003B33CE"/>
    <w:rsid w:val="003B343D"/>
    <w:rsid w:val="003B56D7"/>
    <w:rsid w:val="003C1B4F"/>
    <w:rsid w:val="003C2288"/>
    <w:rsid w:val="003C6DEB"/>
    <w:rsid w:val="003C7A5C"/>
    <w:rsid w:val="003D73BD"/>
    <w:rsid w:val="003D7CCE"/>
    <w:rsid w:val="003E1B68"/>
    <w:rsid w:val="003E65D7"/>
    <w:rsid w:val="003F413A"/>
    <w:rsid w:val="003F48C2"/>
    <w:rsid w:val="003F54FB"/>
    <w:rsid w:val="003F6D1F"/>
    <w:rsid w:val="004169D8"/>
    <w:rsid w:val="004201AF"/>
    <w:rsid w:val="00422F64"/>
    <w:rsid w:val="00425FF9"/>
    <w:rsid w:val="00427B3B"/>
    <w:rsid w:val="00427EBF"/>
    <w:rsid w:val="004362AB"/>
    <w:rsid w:val="004415FB"/>
    <w:rsid w:val="00441CE3"/>
    <w:rsid w:val="0044434A"/>
    <w:rsid w:val="00445E76"/>
    <w:rsid w:val="00452C60"/>
    <w:rsid w:val="0046384E"/>
    <w:rsid w:val="0046706B"/>
    <w:rsid w:val="00471284"/>
    <w:rsid w:val="00473696"/>
    <w:rsid w:val="0047491E"/>
    <w:rsid w:val="004837C6"/>
    <w:rsid w:val="00483998"/>
    <w:rsid w:val="00484E4C"/>
    <w:rsid w:val="00491438"/>
    <w:rsid w:val="00492E3F"/>
    <w:rsid w:val="00493F5C"/>
    <w:rsid w:val="004A171B"/>
    <w:rsid w:val="004A3B81"/>
    <w:rsid w:val="004B1DC3"/>
    <w:rsid w:val="004C780C"/>
    <w:rsid w:val="004D708E"/>
    <w:rsid w:val="004E357A"/>
    <w:rsid w:val="004E65EB"/>
    <w:rsid w:val="004F7174"/>
    <w:rsid w:val="0050355D"/>
    <w:rsid w:val="005055B5"/>
    <w:rsid w:val="00511BBF"/>
    <w:rsid w:val="00515E7B"/>
    <w:rsid w:val="005217F8"/>
    <w:rsid w:val="0052267A"/>
    <w:rsid w:val="00531143"/>
    <w:rsid w:val="00536332"/>
    <w:rsid w:val="00540934"/>
    <w:rsid w:val="00543EB8"/>
    <w:rsid w:val="00554A33"/>
    <w:rsid w:val="0055716D"/>
    <w:rsid w:val="00557953"/>
    <w:rsid w:val="00560E55"/>
    <w:rsid w:val="0056301A"/>
    <w:rsid w:val="005640E1"/>
    <w:rsid w:val="00564EA1"/>
    <w:rsid w:val="0056534C"/>
    <w:rsid w:val="00567CEE"/>
    <w:rsid w:val="005713F4"/>
    <w:rsid w:val="00571A52"/>
    <w:rsid w:val="00571E64"/>
    <w:rsid w:val="00580F26"/>
    <w:rsid w:val="0058427E"/>
    <w:rsid w:val="00590907"/>
    <w:rsid w:val="0059095B"/>
    <w:rsid w:val="00597532"/>
    <w:rsid w:val="005A72F2"/>
    <w:rsid w:val="005B2194"/>
    <w:rsid w:val="005B2BC3"/>
    <w:rsid w:val="005B4CFA"/>
    <w:rsid w:val="005C1A79"/>
    <w:rsid w:val="005C6784"/>
    <w:rsid w:val="005D0BB1"/>
    <w:rsid w:val="005D59FB"/>
    <w:rsid w:val="005E269C"/>
    <w:rsid w:val="005E3586"/>
    <w:rsid w:val="005E4DEE"/>
    <w:rsid w:val="005E5012"/>
    <w:rsid w:val="005E5FF1"/>
    <w:rsid w:val="005F01CE"/>
    <w:rsid w:val="005F3706"/>
    <w:rsid w:val="005F70B6"/>
    <w:rsid w:val="00604DBE"/>
    <w:rsid w:val="006063E1"/>
    <w:rsid w:val="006065E4"/>
    <w:rsid w:val="00612045"/>
    <w:rsid w:val="006134F0"/>
    <w:rsid w:val="00613AC9"/>
    <w:rsid w:val="00620E86"/>
    <w:rsid w:val="006219DD"/>
    <w:rsid w:val="00632ACC"/>
    <w:rsid w:val="006364DE"/>
    <w:rsid w:val="00642E3A"/>
    <w:rsid w:val="0064398B"/>
    <w:rsid w:val="00650463"/>
    <w:rsid w:val="00651660"/>
    <w:rsid w:val="00652171"/>
    <w:rsid w:val="00653635"/>
    <w:rsid w:val="00670FEA"/>
    <w:rsid w:val="0067353C"/>
    <w:rsid w:val="00675F57"/>
    <w:rsid w:val="00676163"/>
    <w:rsid w:val="0067781D"/>
    <w:rsid w:val="00677C22"/>
    <w:rsid w:val="006808CC"/>
    <w:rsid w:val="00685899"/>
    <w:rsid w:val="00692D30"/>
    <w:rsid w:val="00697477"/>
    <w:rsid w:val="006A037E"/>
    <w:rsid w:val="006A7796"/>
    <w:rsid w:val="006B0495"/>
    <w:rsid w:val="006B0DCB"/>
    <w:rsid w:val="006B2408"/>
    <w:rsid w:val="006B3AF9"/>
    <w:rsid w:val="006B414C"/>
    <w:rsid w:val="006B4B0F"/>
    <w:rsid w:val="006C07ED"/>
    <w:rsid w:val="006F4DE0"/>
    <w:rsid w:val="006F7332"/>
    <w:rsid w:val="00702574"/>
    <w:rsid w:val="00702A49"/>
    <w:rsid w:val="0070385B"/>
    <w:rsid w:val="0070494F"/>
    <w:rsid w:val="00705758"/>
    <w:rsid w:val="0070717A"/>
    <w:rsid w:val="00713DE5"/>
    <w:rsid w:val="007174DA"/>
    <w:rsid w:val="00720910"/>
    <w:rsid w:val="00720F29"/>
    <w:rsid w:val="007224C2"/>
    <w:rsid w:val="00737FEC"/>
    <w:rsid w:val="00756AA0"/>
    <w:rsid w:val="00757CE6"/>
    <w:rsid w:val="00760B81"/>
    <w:rsid w:val="007671B6"/>
    <w:rsid w:val="007671DA"/>
    <w:rsid w:val="00767698"/>
    <w:rsid w:val="007719A8"/>
    <w:rsid w:val="00774593"/>
    <w:rsid w:val="00777599"/>
    <w:rsid w:val="00785590"/>
    <w:rsid w:val="00785CF8"/>
    <w:rsid w:val="00796CC0"/>
    <w:rsid w:val="007A1A35"/>
    <w:rsid w:val="007A5922"/>
    <w:rsid w:val="007B0EF7"/>
    <w:rsid w:val="007B259B"/>
    <w:rsid w:val="007B5018"/>
    <w:rsid w:val="007C27F1"/>
    <w:rsid w:val="007C670D"/>
    <w:rsid w:val="007D0ED0"/>
    <w:rsid w:val="007D4A4A"/>
    <w:rsid w:val="007E0E05"/>
    <w:rsid w:val="007E1DD3"/>
    <w:rsid w:val="007E209F"/>
    <w:rsid w:val="007E4655"/>
    <w:rsid w:val="007E55E0"/>
    <w:rsid w:val="007E5C50"/>
    <w:rsid w:val="007F22A5"/>
    <w:rsid w:val="00803498"/>
    <w:rsid w:val="00810CC2"/>
    <w:rsid w:val="0081324B"/>
    <w:rsid w:val="0081416A"/>
    <w:rsid w:val="00816193"/>
    <w:rsid w:val="008165E4"/>
    <w:rsid w:val="00825155"/>
    <w:rsid w:val="00825EB9"/>
    <w:rsid w:val="008277B5"/>
    <w:rsid w:val="008303E2"/>
    <w:rsid w:val="008341F8"/>
    <w:rsid w:val="008359F3"/>
    <w:rsid w:val="00835DB6"/>
    <w:rsid w:val="00836AC2"/>
    <w:rsid w:val="00843BD2"/>
    <w:rsid w:val="00844C5B"/>
    <w:rsid w:val="008501A4"/>
    <w:rsid w:val="008505A1"/>
    <w:rsid w:val="00850817"/>
    <w:rsid w:val="0085330E"/>
    <w:rsid w:val="0086124E"/>
    <w:rsid w:val="008652C9"/>
    <w:rsid w:val="00866992"/>
    <w:rsid w:val="00875991"/>
    <w:rsid w:val="00877FDD"/>
    <w:rsid w:val="00880FED"/>
    <w:rsid w:val="008841C8"/>
    <w:rsid w:val="00892BB8"/>
    <w:rsid w:val="00893014"/>
    <w:rsid w:val="00896755"/>
    <w:rsid w:val="008A2417"/>
    <w:rsid w:val="008A5D49"/>
    <w:rsid w:val="008A751E"/>
    <w:rsid w:val="008B0547"/>
    <w:rsid w:val="008B11A3"/>
    <w:rsid w:val="008B1FE5"/>
    <w:rsid w:val="008B434A"/>
    <w:rsid w:val="008B7B55"/>
    <w:rsid w:val="008C3A5B"/>
    <w:rsid w:val="008D6F5D"/>
    <w:rsid w:val="008E003A"/>
    <w:rsid w:val="008E15E3"/>
    <w:rsid w:val="008E4C62"/>
    <w:rsid w:val="008E727E"/>
    <w:rsid w:val="008F0BDC"/>
    <w:rsid w:val="008F2902"/>
    <w:rsid w:val="008F537E"/>
    <w:rsid w:val="008F660B"/>
    <w:rsid w:val="009005CE"/>
    <w:rsid w:val="00901376"/>
    <w:rsid w:val="009021A4"/>
    <w:rsid w:val="00913CA9"/>
    <w:rsid w:val="0091511B"/>
    <w:rsid w:val="00920585"/>
    <w:rsid w:val="00922B34"/>
    <w:rsid w:val="009239AA"/>
    <w:rsid w:val="009241A2"/>
    <w:rsid w:val="009245B5"/>
    <w:rsid w:val="00931568"/>
    <w:rsid w:val="0093795C"/>
    <w:rsid w:val="009444E6"/>
    <w:rsid w:val="0094474B"/>
    <w:rsid w:val="00944A8E"/>
    <w:rsid w:val="009455E6"/>
    <w:rsid w:val="00956BA7"/>
    <w:rsid w:val="00956FD8"/>
    <w:rsid w:val="009575F7"/>
    <w:rsid w:val="0096021A"/>
    <w:rsid w:val="00960F73"/>
    <w:rsid w:val="009615CB"/>
    <w:rsid w:val="00970068"/>
    <w:rsid w:val="00971139"/>
    <w:rsid w:val="0097401F"/>
    <w:rsid w:val="00981FA0"/>
    <w:rsid w:val="00984366"/>
    <w:rsid w:val="00984E80"/>
    <w:rsid w:val="0098690F"/>
    <w:rsid w:val="00987EE5"/>
    <w:rsid w:val="00997C8A"/>
    <w:rsid w:val="009A1339"/>
    <w:rsid w:val="009A3006"/>
    <w:rsid w:val="009A3994"/>
    <w:rsid w:val="009B62AF"/>
    <w:rsid w:val="009C088E"/>
    <w:rsid w:val="009D1B99"/>
    <w:rsid w:val="009D5445"/>
    <w:rsid w:val="009D565F"/>
    <w:rsid w:val="009D65B9"/>
    <w:rsid w:val="009E04DC"/>
    <w:rsid w:val="009E0FB3"/>
    <w:rsid w:val="009E5105"/>
    <w:rsid w:val="00A00926"/>
    <w:rsid w:val="00A0244C"/>
    <w:rsid w:val="00A033FF"/>
    <w:rsid w:val="00A07B7F"/>
    <w:rsid w:val="00A1329C"/>
    <w:rsid w:val="00A14E25"/>
    <w:rsid w:val="00A16A60"/>
    <w:rsid w:val="00A17A3D"/>
    <w:rsid w:val="00A2062A"/>
    <w:rsid w:val="00A21E19"/>
    <w:rsid w:val="00A23EF5"/>
    <w:rsid w:val="00A30683"/>
    <w:rsid w:val="00A3115F"/>
    <w:rsid w:val="00A33030"/>
    <w:rsid w:val="00A378A2"/>
    <w:rsid w:val="00A60F52"/>
    <w:rsid w:val="00A63B4C"/>
    <w:rsid w:val="00A664E7"/>
    <w:rsid w:val="00A66E7F"/>
    <w:rsid w:val="00A75C52"/>
    <w:rsid w:val="00A767B2"/>
    <w:rsid w:val="00A81F78"/>
    <w:rsid w:val="00A82B9E"/>
    <w:rsid w:val="00A84186"/>
    <w:rsid w:val="00A85B14"/>
    <w:rsid w:val="00A9704A"/>
    <w:rsid w:val="00A97AD0"/>
    <w:rsid w:val="00AA1377"/>
    <w:rsid w:val="00AA1F64"/>
    <w:rsid w:val="00AA49AF"/>
    <w:rsid w:val="00AA57CE"/>
    <w:rsid w:val="00AA6931"/>
    <w:rsid w:val="00AA7540"/>
    <w:rsid w:val="00AB3E74"/>
    <w:rsid w:val="00AC0BAE"/>
    <w:rsid w:val="00AC126F"/>
    <w:rsid w:val="00AE1128"/>
    <w:rsid w:val="00AE1AB0"/>
    <w:rsid w:val="00AE1BB8"/>
    <w:rsid w:val="00AE2609"/>
    <w:rsid w:val="00AE439A"/>
    <w:rsid w:val="00AF0370"/>
    <w:rsid w:val="00AF09C7"/>
    <w:rsid w:val="00B02A3C"/>
    <w:rsid w:val="00B03D35"/>
    <w:rsid w:val="00B05065"/>
    <w:rsid w:val="00B05194"/>
    <w:rsid w:val="00B159DD"/>
    <w:rsid w:val="00B17303"/>
    <w:rsid w:val="00B25143"/>
    <w:rsid w:val="00B2585D"/>
    <w:rsid w:val="00B27359"/>
    <w:rsid w:val="00B347F1"/>
    <w:rsid w:val="00B3502B"/>
    <w:rsid w:val="00B35C3E"/>
    <w:rsid w:val="00B36473"/>
    <w:rsid w:val="00B41407"/>
    <w:rsid w:val="00B43457"/>
    <w:rsid w:val="00B44029"/>
    <w:rsid w:val="00B47943"/>
    <w:rsid w:val="00B50446"/>
    <w:rsid w:val="00B530FD"/>
    <w:rsid w:val="00B5639B"/>
    <w:rsid w:val="00B60C3E"/>
    <w:rsid w:val="00B64775"/>
    <w:rsid w:val="00B67B4F"/>
    <w:rsid w:val="00B76B2C"/>
    <w:rsid w:val="00B81718"/>
    <w:rsid w:val="00B86AF6"/>
    <w:rsid w:val="00B86E2A"/>
    <w:rsid w:val="00B870FE"/>
    <w:rsid w:val="00B948E1"/>
    <w:rsid w:val="00B96EA4"/>
    <w:rsid w:val="00B97A3E"/>
    <w:rsid w:val="00BA2FFD"/>
    <w:rsid w:val="00BA5A4A"/>
    <w:rsid w:val="00BB37AF"/>
    <w:rsid w:val="00BB4C08"/>
    <w:rsid w:val="00BC5737"/>
    <w:rsid w:val="00BD3C68"/>
    <w:rsid w:val="00BD421D"/>
    <w:rsid w:val="00BE4614"/>
    <w:rsid w:val="00BE4E6F"/>
    <w:rsid w:val="00BE529D"/>
    <w:rsid w:val="00BE5F03"/>
    <w:rsid w:val="00BE6637"/>
    <w:rsid w:val="00BF10E8"/>
    <w:rsid w:val="00BF3158"/>
    <w:rsid w:val="00BF73F3"/>
    <w:rsid w:val="00C03A04"/>
    <w:rsid w:val="00C046F7"/>
    <w:rsid w:val="00C10C0B"/>
    <w:rsid w:val="00C1776A"/>
    <w:rsid w:val="00C21060"/>
    <w:rsid w:val="00C22519"/>
    <w:rsid w:val="00C2305C"/>
    <w:rsid w:val="00C233D0"/>
    <w:rsid w:val="00C24162"/>
    <w:rsid w:val="00C2509D"/>
    <w:rsid w:val="00C34ABD"/>
    <w:rsid w:val="00C35F43"/>
    <w:rsid w:val="00C44BDC"/>
    <w:rsid w:val="00C45BFB"/>
    <w:rsid w:val="00C54B14"/>
    <w:rsid w:val="00C6352A"/>
    <w:rsid w:val="00C65B2D"/>
    <w:rsid w:val="00C65C5D"/>
    <w:rsid w:val="00C711E5"/>
    <w:rsid w:val="00C83AEE"/>
    <w:rsid w:val="00C85AC7"/>
    <w:rsid w:val="00C906CD"/>
    <w:rsid w:val="00CA60DA"/>
    <w:rsid w:val="00CA6716"/>
    <w:rsid w:val="00CB63D5"/>
    <w:rsid w:val="00CC42D4"/>
    <w:rsid w:val="00CC784E"/>
    <w:rsid w:val="00CD2536"/>
    <w:rsid w:val="00CD3B61"/>
    <w:rsid w:val="00CD7AA9"/>
    <w:rsid w:val="00CE357F"/>
    <w:rsid w:val="00CE3758"/>
    <w:rsid w:val="00CF10E4"/>
    <w:rsid w:val="00CF230D"/>
    <w:rsid w:val="00CF53E2"/>
    <w:rsid w:val="00CF5489"/>
    <w:rsid w:val="00CF7615"/>
    <w:rsid w:val="00D003F8"/>
    <w:rsid w:val="00D10769"/>
    <w:rsid w:val="00D116C7"/>
    <w:rsid w:val="00D13AC5"/>
    <w:rsid w:val="00D14E5F"/>
    <w:rsid w:val="00D2041E"/>
    <w:rsid w:val="00D341C9"/>
    <w:rsid w:val="00D3447D"/>
    <w:rsid w:val="00D3488B"/>
    <w:rsid w:val="00D361DE"/>
    <w:rsid w:val="00D46C4C"/>
    <w:rsid w:val="00D51F18"/>
    <w:rsid w:val="00D564BB"/>
    <w:rsid w:val="00D565FA"/>
    <w:rsid w:val="00D568ED"/>
    <w:rsid w:val="00D6014E"/>
    <w:rsid w:val="00D630E7"/>
    <w:rsid w:val="00D700E5"/>
    <w:rsid w:val="00D7604F"/>
    <w:rsid w:val="00D76186"/>
    <w:rsid w:val="00D85ED0"/>
    <w:rsid w:val="00D86DD4"/>
    <w:rsid w:val="00D92529"/>
    <w:rsid w:val="00DA5AAB"/>
    <w:rsid w:val="00DA6858"/>
    <w:rsid w:val="00DB1CD7"/>
    <w:rsid w:val="00DB4717"/>
    <w:rsid w:val="00DB4D6E"/>
    <w:rsid w:val="00DC584E"/>
    <w:rsid w:val="00DC6F31"/>
    <w:rsid w:val="00DD1816"/>
    <w:rsid w:val="00DD6D82"/>
    <w:rsid w:val="00DE045E"/>
    <w:rsid w:val="00DE23D6"/>
    <w:rsid w:val="00DE2CB6"/>
    <w:rsid w:val="00DE2DDE"/>
    <w:rsid w:val="00DE5414"/>
    <w:rsid w:val="00DF0C37"/>
    <w:rsid w:val="00DF2506"/>
    <w:rsid w:val="00DF301A"/>
    <w:rsid w:val="00DF3469"/>
    <w:rsid w:val="00DF3BE2"/>
    <w:rsid w:val="00DF4E2C"/>
    <w:rsid w:val="00DF7504"/>
    <w:rsid w:val="00DF75EC"/>
    <w:rsid w:val="00E079C6"/>
    <w:rsid w:val="00E146CF"/>
    <w:rsid w:val="00E2040C"/>
    <w:rsid w:val="00E23C05"/>
    <w:rsid w:val="00E247E2"/>
    <w:rsid w:val="00E304EB"/>
    <w:rsid w:val="00E329D0"/>
    <w:rsid w:val="00E33746"/>
    <w:rsid w:val="00E362FC"/>
    <w:rsid w:val="00E36B53"/>
    <w:rsid w:val="00E37585"/>
    <w:rsid w:val="00E37C1C"/>
    <w:rsid w:val="00E469D5"/>
    <w:rsid w:val="00E46CD5"/>
    <w:rsid w:val="00E500D9"/>
    <w:rsid w:val="00E51AB5"/>
    <w:rsid w:val="00E52345"/>
    <w:rsid w:val="00E52763"/>
    <w:rsid w:val="00E563AE"/>
    <w:rsid w:val="00E578DB"/>
    <w:rsid w:val="00E662CD"/>
    <w:rsid w:val="00E73271"/>
    <w:rsid w:val="00E7355C"/>
    <w:rsid w:val="00E74214"/>
    <w:rsid w:val="00E74D52"/>
    <w:rsid w:val="00E75855"/>
    <w:rsid w:val="00E86566"/>
    <w:rsid w:val="00E875F5"/>
    <w:rsid w:val="00E92527"/>
    <w:rsid w:val="00E97045"/>
    <w:rsid w:val="00E979C8"/>
    <w:rsid w:val="00EA270C"/>
    <w:rsid w:val="00EA5CF4"/>
    <w:rsid w:val="00EB09B9"/>
    <w:rsid w:val="00EB7CB1"/>
    <w:rsid w:val="00EC1C35"/>
    <w:rsid w:val="00ED0557"/>
    <w:rsid w:val="00ED34D4"/>
    <w:rsid w:val="00EE30EE"/>
    <w:rsid w:val="00EE6DE6"/>
    <w:rsid w:val="00EF057C"/>
    <w:rsid w:val="00EF1D14"/>
    <w:rsid w:val="00F01B31"/>
    <w:rsid w:val="00F03AB9"/>
    <w:rsid w:val="00F056AC"/>
    <w:rsid w:val="00F06479"/>
    <w:rsid w:val="00F076C5"/>
    <w:rsid w:val="00F120D9"/>
    <w:rsid w:val="00F124BE"/>
    <w:rsid w:val="00F27170"/>
    <w:rsid w:val="00F30016"/>
    <w:rsid w:val="00F30B10"/>
    <w:rsid w:val="00F31C75"/>
    <w:rsid w:val="00F341CC"/>
    <w:rsid w:val="00F36FF7"/>
    <w:rsid w:val="00F40CAB"/>
    <w:rsid w:val="00F47C5C"/>
    <w:rsid w:val="00F54856"/>
    <w:rsid w:val="00F64F51"/>
    <w:rsid w:val="00F73FFB"/>
    <w:rsid w:val="00F765E8"/>
    <w:rsid w:val="00F77EDC"/>
    <w:rsid w:val="00F86D88"/>
    <w:rsid w:val="00F87FA7"/>
    <w:rsid w:val="00F9473C"/>
    <w:rsid w:val="00FA40A3"/>
    <w:rsid w:val="00FB3BA6"/>
    <w:rsid w:val="00FB4D65"/>
    <w:rsid w:val="00FB5954"/>
    <w:rsid w:val="00FB5F33"/>
    <w:rsid w:val="00FC0CDF"/>
    <w:rsid w:val="00FC183A"/>
    <w:rsid w:val="00FC3D1C"/>
    <w:rsid w:val="00FD08A7"/>
    <w:rsid w:val="00FD2E55"/>
    <w:rsid w:val="00FD2FA9"/>
    <w:rsid w:val="00FE05F6"/>
    <w:rsid w:val="00FF025A"/>
    <w:rsid w:val="00FF088B"/>
    <w:rsid w:val="00FF10AF"/>
    <w:rsid w:val="00FF334E"/>
    <w:rsid w:val="00FF772A"/>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7A7EFADF-EACA-44EF-82A8-A20A48799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A35"/>
    <w:pPr>
      <w:spacing w:after="120"/>
      <w:ind w:left="1134"/>
      <w:jc w:val="both"/>
    </w:pPr>
    <w:rPr>
      <w:sz w:val="24"/>
      <w:szCs w:val="24"/>
      <w:lang w:eastAsia="en-US"/>
    </w:rPr>
  </w:style>
  <w:style w:type="paragraph" w:styleId="Ttulo2">
    <w:name w:val="heading 2"/>
    <w:basedOn w:val="Normal"/>
    <w:next w:val="Normal"/>
    <w:link w:val="Ttulo2Char"/>
    <w:qFormat/>
    <w:rsid w:val="00AE1AB0"/>
    <w:pPr>
      <w:keepNext/>
      <w:spacing w:after="0"/>
      <w:ind w:left="708" w:firstLine="708"/>
      <w:jc w:val="center"/>
      <w:outlineLvl w:val="1"/>
    </w:pPr>
    <w:rPr>
      <w:rFonts w:eastAsia="Times New Roman"/>
      <w:szCs w:val="20"/>
      <w:lang w:eastAsia="pt-BR"/>
    </w:rPr>
  </w:style>
  <w:style w:type="paragraph" w:styleId="Ttulo6">
    <w:name w:val="heading 6"/>
    <w:basedOn w:val="Normal"/>
    <w:next w:val="Normal"/>
    <w:link w:val="Ttulo6Char"/>
    <w:uiPriority w:val="9"/>
    <w:semiHidden/>
    <w:unhideWhenUsed/>
    <w:qFormat/>
    <w:rsid w:val="00E75855"/>
    <w:pPr>
      <w:spacing w:before="240" w:after="60"/>
      <w:outlineLvl w:val="5"/>
    </w:pPr>
    <w:rPr>
      <w:rFonts w:ascii="Calibri" w:eastAsia="Times New Roman" w:hAnsi="Calibri"/>
      <w:b/>
      <w:bCs/>
      <w:sz w:val="22"/>
      <w:szCs w:val="22"/>
    </w:rPr>
  </w:style>
  <w:style w:type="paragraph" w:styleId="Ttulo8">
    <w:name w:val="heading 8"/>
    <w:basedOn w:val="Normal"/>
    <w:next w:val="Normal"/>
    <w:link w:val="Ttulo8Char"/>
    <w:uiPriority w:val="9"/>
    <w:unhideWhenUsed/>
    <w:qFormat/>
    <w:rsid w:val="00515E7B"/>
    <w:pPr>
      <w:spacing w:before="240" w:after="60"/>
      <w:outlineLvl w:val="7"/>
    </w:pPr>
    <w:rPr>
      <w:rFonts w:ascii="Calibri" w:eastAsia="Times New Roman" w:hAnsi="Calibri"/>
      <w:i/>
      <w:iCs/>
    </w:rPr>
  </w:style>
  <w:style w:type="paragraph" w:styleId="Ttulo9">
    <w:name w:val="heading 9"/>
    <w:basedOn w:val="Normal"/>
    <w:next w:val="Normal"/>
    <w:link w:val="Ttulo9Char"/>
    <w:uiPriority w:val="9"/>
    <w:semiHidden/>
    <w:unhideWhenUsed/>
    <w:qFormat/>
    <w:rsid w:val="00515E7B"/>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semiHidden/>
    <w:unhideWhenUsed/>
    <w:rsid w:val="008B0547"/>
    <w:pPr>
      <w:tabs>
        <w:tab w:val="center" w:pos="4252"/>
        <w:tab w:val="right" w:pos="8504"/>
      </w:tabs>
      <w:spacing w:after="0"/>
    </w:pPr>
  </w:style>
  <w:style w:type="character" w:customStyle="1" w:styleId="RodapChar">
    <w:name w:val="Rodapé Char"/>
    <w:basedOn w:val="Fontepargpadro"/>
    <w:link w:val="Rodap"/>
    <w:uiPriority w:val="99"/>
    <w:semiHidden/>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basedOn w:val="Fontepargpadro"/>
    <w:link w:val="Ttulo2"/>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eastAsia="pt-BR"/>
    </w:rPr>
  </w:style>
  <w:style w:type="character" w:customStyle="1" w:styleId="RecuodecorpodetextoChar">
    <w:name w:val="Recuo de corpo de texto Char"/>
    <w:basedOn w:val="Fontepargpadro"/>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00605"/>
    <w:rPr>
      <w:rFonts w:ascii="Tahoma" w:hAnsi="Tahoma" w:cs="Tahoma"/>
      <w:sz w:val="16"/>
      <w:szCs w:val="16"/>
      <w:lang w:eastAsia="en-US"/>
    </w:rPr>
  </w:style>
  <w:style w:type="character" w:customStyle="1" w:styleId="Ttulo6Char">
    <w:name w:val="Título 6 Char"/>
    <w:basedOn w:val="Fontepargpadro"/>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iPriority w:val="99"/>
    <w:semiHidden/>
    <w:unhideWhenUsed/>
    <w:rsid w:val="00E75855"/>
  </w:style>
  <w:style w:type="character" w:customStyle="1" w:styleId="CorpodetextoChar">
    <w:name w:val="Corpo de texto Char"/>
    <w:basedOn w:val="Fontepargpadro"/>
    <w:link w:val="Corpodetexto"/>
    <w:uiPriority w:val="99"/>
    <w:semiHidden/>
    <w:rsid w:val="00E75855"/>
    <w:rPr>
      <w:sz w:val="24"/>
      <w:szCs w:val="24"/>
      <w:lang w:eastAsia="en-US"/>
    </w:rPr>
  </w:style>
  <w:style w:type="paragraph" w:styleId="Corpodetexto2">
    <w:name w:val="Body Text 2"/>
    <w:basedOn w:val="Normal"/>
    <w:link w:val="Corpodetexto2Char"/>
    <w:uiPriority w:val="99"/>
    <w:semiHidden/>
    <w:unhideWhenUsed/>
    <w:rsid w:val="00E75855"/>
    <w:pPr>
      <w:spacing w:line="480" w:lineRule="auto"/>
    </w:pPr>
  </w:style>
  <w:style w:type="character" w:customStyle="1" w:styleId="Corpodetexto2Char">
    <w:name w:val="Corpo de texto 2 Char"/>
    <w:basedOn w:val="Fontepargpadro"/>
    <w:link w:val="Corpodetexto2"/>
    <w:uiPriority w:val="99"/>
    <w:semiHidden/>
    <w:rsid w:val="00E75855"/>
    <w:rPr>
      <w:sz w:val="24"/>
      <w:szCs w:val="24"/>
      <w:lang w:eastAsia="en-US"/>
    </w:rPr>
  </w:style>
  <w:style w:type="character" w:styleId="Hyperlink">
    <w:name w:val="Hyperlink"/>
    <w:basedOn w:val="Fontepargpadro"/>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basedOn w:val="Fontepargpadro"/>
    <w:uiPriority w:val="22"/>
    <w:qFormat/>
    <w:rsid w:val="00E75855"/>
    <w:rPr>
      <w:b/>
      <w:bCs/>
    </w:rPr>
  </w:style>
  <w:style w:type="character" w:customStyle="1" w:styleId="Ttulo8Char">
    <w:name w:val="Título 8 Char"/>
    <w:basedOn w:val="Fontepargpadro"/>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basedOn w:val="Fontepargpadro"/>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5"/>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16"/>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uiPriority w:val="99"/>
    <w:semiHidden/>
    <w:rsid w:val="0086124E"/>
    <w:rPr>
      <w:rFonts w:ascii="Courier New" w:eastAsia="Times New Roman" w:hAnsi="Courier New"/>
    </w:rPr>
  </w:style>
  <w:style w:type="paragraph" w:customStyle="1" w:styleId="TCU-RelVoto-1">
    <w:name w:val="TCU - Rel/Voto - 1º §"/>
    <w:basedOn w:val="Normal"/>
    <w:uiPriority w:val="99"/>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rsid w:val="00AA49AF"/>
    <w:pPr>
      <w:spacing w:after="0"/>
      <w:ind w:left="2835"/>
    </w:pPr>
    <w:rPr>
      <w:rFonts w:eastAsia="Times New Roman"/>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gov.br/licita&#231;&#245;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juris@tcu.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8799F-84DD-44F3-ABF0-9B118007A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3862</Words>
  <Characters>20860</Characters>
  <Application>Microsoft Office Word</Application>
  <DocSecurity>4</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24673</CharactersWithSpaces>
  <SharedDoc>false</SharedDoc>
  <HLinks>
    <vt:vector size="12" baseType="variant">
      <vt:variant>
        <vt:i4>7602203</vt:i4>
      </vt:variant>
      <vt:variant>
        <vt:i4>3</vt:i4>
      </vt:variant>
      <vt:variant>
        <vt:i4>0</vt:i4>
      </vt:variant>
      <vt:variant>
        <vt:i4>5</vt:i4>
      </vt:variant>
      <vt:variant>
        <vt:lpwstr>mailto:infojuris@tcu.gov.br</vt:lpwstr>
      </vt:variant>
      <vt:variant>
        <vt:lpwstr/>
      </vt:variant>
      <vt:variant>
        <vt:i4>11403515</vt:i4>
      </vt:variant>
      <vt:variant>
        <vt:i4>0</vt:i4>
      </vt:variant>
      <vt:variant>
        <vt:i4>0</vt:i4>
      </vt:variant>
      <vt:variant>
        <vt:i4>5</vt:i4>
      </vt:variant>
      <vt:variant>
        <vt:lpwstr>http://www.ac.gov.br/licitações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Porto</dc:creator>
  <cp:keywords/>
  <dc:description/>
  <cp:lastModifiedBy>LUIZ FELYPE TABOSA PORTO</cp:lastModifiedBy>
  <cp:revision>2</cp:revision>
  <cp:lastPrinted>2010-05-26T15:17:00Z</cp:lastPrinted>
  <dcterms:created xsi:type="dcterms:W3CDTF">2015-05-07T12:33:00Z</dcterms:created>
  <dcterms:modified xsi:type="dcterms:W3CDTF">2015-05-07T12:33:00Z</dcterms:modified>
</cp:coreProperties>
</file>