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337E16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835DB6">
        <w:rPr>
          <w:rFonts w:ascii="Times New Roman" w:hAnsi="Times New Roman"/>
          <w:b/>
          <w:i w:val="0"/>
          <w:sz w:val="22"/>
          <w:szCs w:val="22"/>
        </w:rPr>
        <w:t>7</w:t>
      </w:r>
      <w:r w:rsidR="00F01B31" w:rsidRPr="00337E16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9157E">
        <w:rPr>
          <w:rFonts w:ascii="Times New Roman" w:hAnsi="Times New Roman"/>
          <w:b/>
          <w:i w:val="0"/>
          <w:sz w:val="22"/>
          <w:szCs w:val="22"/>
        </w:rPr>
        <w:t xml:space="preserve">de setembro (não houve) </w:t>
      </w:r>
      <w:r w:rsidR="00F01B31" w:rsidRPr="00337E16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835DB6">
        <w:rPr>
          <w:rFonts w:ascii="Times New Roman" w:hAnsi="Times New Roman"/>
          <w:b/>
          <w:i w:val="0"/>
          <w:sz w:val="22"/>
          <w:szCs w:val="22"/>
        </w:rPr>
        <w:t>8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E9157E">
        <w:rPr>
          <w:rFonts w:ascii="Times New Roman" w:hAnsi="Times New Roman"/>
          <w:b/>
          <w:i w:val="0"/>
          <w:sz w:val="22"/>
          <w:szCs w:val="22"/>
        </w:rPr>
        <w:t>setembro</w:t>
      </w:r>
      <w:r w:rsidRPr="00337E16">
        <w:rPr>
          <w:rFonts w:ascii="Times New Roman" w:hAnsi="Times New Roman"/>
          <w:b/>
          <w:i w:val="0"/>
          <w:sz w:val="22"/>
          <w:szCs w:val="22"/>
        </w:rPr>
        <w:t xml:space="preserve"> de 2010</w:t>
      </w:r>
    </w:p>
    <w:p w:rsidR="002D35F5" w:rsidRPr="00337E16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37E1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data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acima indicada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337E16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337E16" w:rsidRDefault="002D35F5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337E16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337E16" w:rsidRDefault="009444E6" w:rsidP="00337E16">
      <w:pPr>
        <w:pStyle w:val="tita"/>
        <w:spacing w:before="45" w:after="0" w:line="240" w:lineRule="auto"/>
        <w:jc w:val="both"/>
        <w:rPr>
          <w:i w:val="0"/>
          <w:iCs w:val="0"/>
          <w:sz w:val="22"/>
          <w:szCs w:val="22"/>
        </w:rPr>
      </w:pPr>
      <w:r w:rsidRPr="00337E16">
        <w:rPr>
          <w:i w:val="0"/>
          <w:iCs w:val="0"/>
          <w:sz w:val="22"/>
          <w:szCs w:val="22"/>
        </w:rPr>
        <w:t>Plenário</w:t>
      </w:r>
    </w:p>
    <w:p w:rsidR="00EB7CB1" w:rsidRDefault="00E9157E" w:rsidP="0058427E">
      <w:pPr>
        <w:pStyle w:val="indice"/>
        <w:spacing w:before="60" w:line="240" w:lineRule="auto"/>
      </w:pPr>
      <w:r>
        <w:t>Pregão para serviços comuns de engenharia.</w:t>
      </w:r>
    </w:p>
    <w:p w:rsidR="00E9157E" w:rsidRDefault="007576E2" w:rsidP="0058427E">
      <w:pPr>
        <w:pStyle w:val="indice"/>
        <w:spacing w:before="60" w:line="240" w:lineRule="auto"/>
      </w:pPr>
      <w:r>
        <w:t>Aceitação de itens da proposta de preços da licitante com valores acima do orçado pela Administração.</w:t>
      </w:r>
    </w:p>
    <w:p w:rsidR="00E9157E" w:rsidRPr="00651A77" w:rsidRDefault="00651A77" w:rsidP="0058427E">
      <w:pPr>
        <w:pStyle w:val="indice"/>
        <w:spacing w:before="60" w:line="240" w:lineRule="auto"/>
      </w:pPr>
      <w:r w:rsidRPr="00651A77">
        <w:t>Licitação de empreendimentos que envolvem</w:t>
      </w:r>
      <w:r w:rsidR="00D35826">
        <w:t>, cumulativamente,</w:t>
      </w:r>
      <w:r w:rsidRPr="00651A77">
        <w:t xml:space="preserve"> a prestação de serviços de engenharia e o fornecimento de equipamentos</w:t>
      </w:r>
      <w:r w:rsidR="007C7D54" w:rsidRPr="00651A77">
        <w:t>:</w:t>
      </w:r>
    </w:p>
    <w:p w:rsidR="00EB7CB1" w:rsidRPr="00337E16" w:rsidRDefault="00EB7CB1" w:rsidP="0058427E">
      <w:pPr>
        <w:pStyle w:val="indice"/>
        <w:tabs>
          <w:tab w:val="left" w:pos="567"/>
        </w:tabs>
        <w:spacing w:before="60" w:line="240" w:lineRule="auto"/>
      </w:pPr>
      <w:r w:rsidRPr="00337E16">
        <w:tab/>
        <w:t xml:space="preserve">1 </w:t>
      </w:r>
      <w:r w:rsidR="00E247E2">
        <w:t>-</w:t>
      </w:r>
      <w:r w:rsidRPr="00337E16">
        <w:t xml:space="preserve"> </w:t>
      </w:r>
      <w:r w:rsidR="007C7D54">
        <w:t>Utilização</w:t>
      </w:r>
      <w:r w:rsidR="00E247E2">
        <w:t xml:space="preserve"> </w:t>
      </w:r>
      <w:r w:rsidR="007C7D54">
        <w:t>de BDI diferenciado para a aquisição de equipamentos</w:t>
      </w:r>
      <w:r w:rsidRPr="00337E16">
        <w:t>;</w:t>
      </w:r>
    </w:p>
    <w:p w:rsidR="00DA6858" w:rsidRPr="00F83759" w:rsidRDefault="00DA6858" w:rsidP="0058427E">
      <w:pPr>
        <w:pStyle w:val="indice"/>
        <w:tabs>
          <w:tab w:val="left" w:pos="567"/>
        </w:tabs>
        <w:spacing w:before="60" w:line="240" w:lineRule="auto"/>
      </w:pPr>
      <w:r w:rsidRPr="00F83759">
        <w:tab/>
      </w:r>
      <w:r w:rsidR="00176375" w:rsidRPr="00F83759">
        <w:t>2</w:t>
      </w:r>
      <w:r w:rsidRPr="00F83759">
        <w:t xml:space="preserve"> </w:t>
      </w:r>
      <w:r w:rsidR="00E247E2" w:rsidRPr="00F83759">
        <w:t>-</w:t>
      </w:r>
      <w:r w:rsidRPr="00F83759">
        <w:t xml:space="preserve"> </w:t>
      </w:r>
      <w:r w:rsidR="00F83759">
        <w:rPr>
          <w:iCs/>
        </w:rPr>
        <w:t>A</w:t>
      </w:r>
      <w:r w:rsidR="00F83759" w:rsidRPr="00F83759">
        <w:rPr>
          <w:iCs/>
        </w:rPr>
        <w:t xml:space="preserve"> aplicação de BDI diferenciado somente a itens de fornecimento de equipamentos por terceiros não implica</w:t>
      </w:r>
      <w:r w:rsidR="0077058A">
        <w:rPr>
          <w:iCs/>
        </w:rPr>
        <w:t>,</w:t>
      </w:r>
      <w:r w:rsidR="00F83759" w:rsidRPr="00F83759">
        <w:rPr>
          <w:iCs/>
        </w:rPr>
        <w:t xml:space="preserve"> necessariamente</w:t>
      </w:r>
      <w:r w:rsidR="0077058A">
        <w:rPr>
          <w:iCs/>
        </w:rPr>
        <w:t>,</w:t>
      </w:r>
      <w:r w:rsidR="00F83759" w:rsidRPr="00F83759">
        <w:rPr>
          <w:iCs/>
        </w:rPr>
        <w:t xml:space="preserve"> o desequilíbrio econômico-financeiro da avença em desfavor da contratada</w:t>
      </w:r>
      <w:r w:rsidRPr="00F83759">
        <w:t>.</w:t>
      </w:r>
    </w:p>
    <w:p w:rsidR="00460DAF" w:rsidRPr="00337E16" w:rsidRDefault="00460DAF" w:rsidP="00460DAF">
      <w:pPr>
        <w:pStyle w:val="indice"/>
        <w:spacing w:before="60" w:line="240" w:lineRule="auto"/>
      </w:pPr>
      <w:r>
        <w:t>Cessão de uso onerosa:</w:t>
      </w:r>
    </w:p>
    <w:p w:rsidR="00460DAF" w:rsidRPr="00337E16" w:rsidRDefault="00460DAF" w:rsidP="00460DAF">
      <w:pPr>
        <w:pStyle w:val="indice"/>
        <w:tabs>
          <w:tab w:val="left" w:pos="567"/>
        </w:tabs>
        <w:spacing w:before="60" w:line="240" w:lineRule="auto"/>
      </w:pPr>
      <w:r w:rsidRPr="00337E16">
        <w:tab/>
        <w:t xml:space="preserve">1 </w:t>
      </w:r>
      <w:r>
        <w:t>-</w:t>
      </w:r>
      <w:r w:rsidRPr="00337E16">
        <w:t xml:space="preserve"> </w:t>
      </w:r>
      <w:r>
        <w:t>Divisão da contraprestação pela cessão de uso em duas parcelas, uma a título de cessão de uso e outra a título de “apoio institucional”</w:t>
      </w:r>
      <w:r w:rsidRPr="00337E16">
        <w:t>;</w:t>
      </w:r>
    </w:p>
    <w:p w:rsidR="00460DAF" w:rsidRDefault="00460DAF" w:rsidP="00460DAF">
      <w:pPr>
        <w:pStyle w:val="indice"/>
        <w:tabs>
          <w:tab w:val="left" w:pos="567"/>
        </w:tabs>
        <w:spacing w:before="60" w:line="240" w:lineRule="auto"/>
      </w:pPr>
      <w:r>
        <w:tab/>
        <w:t>2 - Adoção d</w:t>
      </w:r>
      <w:r w:rsidR="00484046">
        <w:t>a taxa Selic como critério de reajuste de preços</w:t>
      </w:r>
      <w:r>
        <w:t>.</w:t>
      </w:r>
    </w:p>
    <w:p w:rsidR="003C6DEB" w:rsidRPr="00337E16" w:rsidRDefault="003C6DEB" w:rsidP="00337E16">
      <w:pPr>
        <w:pStyle w:val="indice"/>
        <w:spacing w:line="240" w:lineRule="auto"/>
      </w:pPr>
    </w:p>
    <w:p w:rsidR="003C6DEB" w:rsidRPr="00337E16" w:rsidRDefault="003C6DEB" w:rsidP="00337E16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Default="003C6DEB" w:rsidP="00337E16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9E5105" w:rsidRPr="009E5105" w:rsidRDefault="00E9157E" w:rsidP="009E5105">
      <w:pPr>
        <w:pStyle w:val="indice"/>
        <w:spacing w:before="60" w:line="240" w:lineRule="auto"/>
        <w:rPr>
          <w:b/>
        </w:rPr>
      </w:pPr>
      <w:r>
        <w:rPr>
          <w:b/>
        </w:rPr>
        <w:t>Pregão para serviços comuns de engenharia</w:t>
      </w:r>
    </w:p>
    <w:p w:rsidR="00E9157E" w:rsidRPr="00337E16" w:rsidRDefault="003413A9" w:rsidP="00E9157E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707485" w:rsidRPr="00E9157E">
        <w:rPr>
          <w:sz w:val="22"/>
          <w:szCs w:val="22"/>
        </w:rPr>
        <w:t xml:space="preserve">epresentação formulada </w:t>
      </w:r>
      <w:r>
        <w:rPr>
          <w:sz w:val="22"/>
          <w:szCs w:val="22"/>
        </w:rPr>
        <w:t>ao TCU apontou</w:t>
      </w:r>
      <w:r w:rsidR="00707485" w:rsidRPr="00E9157E">
        <w:rPr>
          <w:sz w:val="22"/>
          <w:szCs w:val="22"/>
        </w:rPr>
        <w:t xml:space="preserve"> </w:t>
      </w:r>
      <w:r>
        <w:rPr>
          <w:sz w:val="22"/>
          <w:szCs w:val="22"/>
        </w:rPr>
        <w:t>possíveis irregularidades no</w:t>
      </w:r>
      <w:r w:rsidR="00707485" w:rsidRPr="00E9157E">
        <w:rPr>
          <w:sz w:val="22"/>
          <w:szCs w:val="22"/>
        </w:rPr>
        <w:t xml:space="preserve"> edital </w:t>
      </w:r>
      <w:r>
        <w:rPr>
          <w:sz w:val="22"/>
          <w:szCs w:val="22"/>
        </w:rPr>
        <w:t>da</w:t>
      </w:r>
      <w:r w:rsidR="00707485" w:rsidRPr="00E9157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707485" w:rsidRPr="00E9157E">
        <w:rPr>
          <w:sz w:val="22"/>
          <w:szCs w:val="22"/>
        </w:rPr>
        <w:t>oncorrência n</w:t>
      </w:r>
      <w:r>
        <w:rPr>
          <w:sz w:val="22"/>
          <w:szCs w:val="22"/>
        </w:rPr>
        <w:t>.</w:t>
      </w:r>
      <w:r w:rsidR="00707485" w:rsidRPr="00E9157E">
        <w:rPr>
          <w:sz w:val="22"/>
          <w:szCs w:val="22"/>
        </w:rPr>
        <w:t>º 8/2010</w:t>
      </w:r>
      <w:r>
        <w:rPr>
          <w:sz w:val="22"/>
          <w:szCs w:val="22"/>
        </w:rPr>
        <w:t xml:space="preserve">, </w:t>
      </w:r>
      <w:r w:rsidR="0077058A">
        <w:rPr>
          <w:sz w:val="22"/>
          <w:szCs w:val="22"/>
        </w:rPr>
        <w:t>realizada</w:t>
      </w:r>
      <w:r>
        <w:rPr>
          <w:sz w:val="22"/>
          <w:szCs w:val="22"/>
        </w:rPr>
        <w:t xml:space="preserve"> pela</w:t>
      </w:r>
      <w:r w:rsidR="00707485" w:rsidRPr="00E9157E">
        <w:rPr>
          <w:sz w:val="22"/>
          <w:szCs w:val="22"/>
        </w:rPr>
        <w:t xml:space="preserve"> Companhia Docas do Estado de São Paulo S/A (Codesp), </w:t>
      </w:r>
      <w:r>
        <w:rPr>
          <w:sz w:val="22"/>
          <w:szCs w:val="22"/>
        </w:rPr>
        <w:t>destinada</w:t>
      </w:r>
      <w:r w:rsidR="00707485" w:rsidRPr="00E9157E">
        <w:rPr>
          <w:sz w:val="22"/>
          <w:szCs w:val="22"/>
        </w:rPr>
        <w:t xml:space="preserve"> à contratação de empresa para prestação de serviços de manutenção do sistema de distribuição de energia elétrica nas áreas comuns do porto de Santos.</w:t>
      </w:r>
      <w:r>
        <w:rPr>
          <w:sz w:val="22"/>
          <w:szCs w:val="22"/>
        </w:rPr>
        <w:t xml:space="preserve"> Segundo a unidade técnica, </w:t>
      </w:r>
      <w:r w:rsidR="00707485" w:rsidRPr="00FA27F8">
        <w:rPr>
          <w:sz w:val="22"/>
          <w:szCs w:val="22"/>
        </w:rPr>
        <w:t xml:space="preserve">ainda que não </w:t>
      </w:r>
      <w:r w:rsidR="0077058A">
        <w:rPr>
          <w:sz w:val="22"/>
          <w:szCs w:val="22"/>
        </w:rPr>
        <w:t>assinalado</w:t>
      </w:r>
      <w:r w:rsidR="00707485" w:rsidRPr="00FA27F8">
        <w:rPr>
          <w:sz w:val="22"/>
          <w:szCs w:val="22"/>
        </w:rPr>
        <w:t xml:space="preserve"> pela representante,</w:t>
      </w:r>
      <w:r w:rsidR="00707485" w:rsidRPr="00E9157E">
        <w:rPr>
          <w:i/>
          <w:sz w:val="22"/>
          <w:szCs w:val="22"/>
        </w:rPr>
        <w:t xml:space="preserve"> </w:t>
      </w:r>
      <w:r w:rsidR="00FA27F8">
        <w:rPr>
          <w:i/>
          <w:sz w:val="22"/>
          <w:szCs w:val="22"/>
        </w:rPr>
        <w:t>“</w:t>
      </w:r>
      <w:r w:rsidR="00707485" w:rsidRPr="00E9157E">
        <w:rPr>
          <w:i/>
          <w:sz w:val="22"/>
          <w:szCs w:val="22"/>
        </w:rPr>
        <w:t>o problema central do presente processo consiste no fato de que a licitação ora analisada foi realizada sob a modalidade concorrência, quando, por se tratar de aquisição de serviço comum, deveria ter sido</w:t>
      </w:r>
      <w:r>
        <w:rPr>
          <w:i/>
          <w:sz w:val="22"/>
          <w:szCs w:val="22"/>
        </w:rPr>
        <w:t xml:space="preserve"> utilizada a modalidade pregão.”</w:t>
      </w:r>
      <w:r>
        <w:rPr>
          <w:sz w:val="22"/>
          <w:szCs w:val="22"/>
        </w:rPr>
        <w:t xml:space="preserve">. </w:t>
      </w:r>
      <w:r w:rsidR="0077058A">
        <w:rPr>
          <w:sz w:val="22"/>
          <w:szCs w:val="22"/>
        </w:rPr>
        <w:t>Para</w:t>
      </w:r>
      <w:r w:rsidR="00E24B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unidade </w:t>
      </w:r>
      <w:r w:rsidR="00E24B7C">
        <w:rPr>
          <w:sz w:val="22"/>
          <w:szCs w:val="22"/>
        </w:rPr>
        <w:t>instrutiva,</w:t>
      </w:r>
      <w:r>
        <w:rPr>
          <w:sz w:val="22"/>
          <w:szCs w:val="22"/>
        </w:rPr>
        <w:t xml:space="preserve"> </w:t>
      </w:r>
      <w:r w:rsidR="00FA27F8" w:rsidRPr="00446632">
        <w:rPr>
          <w:sz w:val="22"/>
          <w:szCs w:val="22"/>
        </w:rPr>
        <w:t>os serviços objeto da licitação</w:t>
      </w:r>
      <w:r w:rsidR="00FA27F8">
        <w:rPr>
          <w:sz w:val="22"/>
          <w:szCs w:val="22"/>
        </w:rPr>
        <w:t xml:space="preserve">, por mais </w:t>
      </w:r>
      <w:r w:rsidR="00707485" w:rsidRPr="00FA27F8">
        <w:rPr>
          <w:sz w:val="22"/>
          <w:szCs w:val="22"/>
        </w:rPr>
        <w:t xml:space="preserve">especializados que sejam, </w:t>
      </w:r>
      <w:r w:rsidR="00FA27F8">
        <w:rPr>
          <w:i/>
          <w:sz w:val="22"/>
          <w:szCs w:val="22"/>
        </w:rPr>
        <w:t>“</w:t>
      </w:r>
      <w:r w:rsidR="00707485" w:rsidRPr="00E9157E">
        <w:rPr>
          <w:i/>
          <w:sz w:val="22"/>
          <w:szCs w:val="22"/>
        </w:rPr>
        <w:t>referem-se a simples instalação e manutenção de equipamentos e de rede de distribuição de energia elétrica</w:t>
      </w:r>
      <w:r w:rsidR="00FA27F8">
        <w:rPr>
          <w:i/>
          <w:sz w:val="22"/>
          <w:szCs w:val="22"/>
        </w:rPr>
        <w:t>”</w:t>
      </w:r>
      <w:r w:rsidR="00FA27F8">
        <w:rPr>
          <w:sz w:val="22"/>
          <w:szCs w:val="22"/>
        </w:rPr>
        <w:t xml:space="preserve">, </w:t>
      </w:r>
      <w:r w:rsidR="00707485" w:rsidRPr="00FA27F8">
        <w:rPr>
          <w:sz w:val="22"/>
          <w:szCs w:val="22"/>
        </w:rPr>
        <w:t>serviços</w:t>
      </w:r>
      <w:r w:rsidR="005E0D25">
        <w:rPr>
          <w:sz w:val="22"/>
          <w:szCs w:val="22"/>
        </w:rPr>
        <w:t xml:space="preserve"> prestados</w:t>
      </w:r>
      <w:r w:rsidR="00707485" w:rsidRPr="00FA27F8">
        <w:rPr>
          <w:sz w:val="22"/>
          <w:szCs w:val="22"/>
        </w:rPr>
        <w:t>, em princípio, por diversas empresas e</w:t>
      </w:r>
      <w:r w:rsidR="00707485" w:rsidRPr="00E9157E">
        <w:rPr>
          <w:i/>
          <w:sz w:val="22"/>
          <w:szCs w:val="22"/>
        </w:rPr>
        <w:t xml:space="preserve"> </w:t>
      </w:r>
      <w:r w:rsidR="00FA27F8">
        <w:rPr>
          <w:i/>
          <w:sz w:val="22"/>
          <w:szCs w:val="22"/>
        </w:rPr>
        <w:t>“</w:t>
      </w:r>
      <w:r w:rsidR="00707485" w:rsidRPr="00E9157E">
        <w:rPr>
          <w:i/>
          <w:sz w:val="22"/>
          <w:szCs w:val="22"/>
        </w:rPr>
        <w:t>comparáveis entre si</w:t>
      </w:r>
      <w:r w:rsidR="00FA27F8">
        <w:rPr>
          <w:i/>
          <w:sz w:val="22"/>
          <w:szCs w:val="22"/>
        </w:rPr>
        <w:t>”</w:t>
      </w:r>
      <w:r w:rsidR="00707485" w:rsidRPr="00FA27F8">
        <w:rPr>
          <w:sz w:val="22"/>
          <w:szCs w:val="22"/>
        </w:rPr>
        <w:t xml:space="preserve">. Não se trata do </w:t>
      </w:r>
      <w:r w:rsidR="00FA27F8">
        <w:rPr>
          <w:i/>
          <w:sz w:val="22"/>
          <w:szCs w:val="22"/>
        </w:rPr>
        <w:t>“</w:t>
      </w:r>
      <w:r w:rsidR="00707485" w:rsidRPr="00E9157E">
        <w:rPr>
          <w:i/>
          <w:sz w:val="22"/>
          <w:szCs w:val="22"/>
        </w:rPr>
        <w:t>fornecimento de equipamentos desenvolvidos por encomenda nem consta do escopo da licitação o desenvolvimento de soluções para problemas específicos. Trata-se, enfim, de serviços padronizáveis e normalmente disponíveis no mercado de equipamentos, instalaç</w:t>
      </w:r>
      <w:r w:rsidR="00994829">
        <w:rPr>
          <w:i/>
          <w:sz w:val="22"/>
          <w:szCs w:val="22"/>
        </w:rPr>
        <w:t>ões e materiais eletromecânicos.</w:t>
      </w:r>
      <w:r w:rsidR="00446632">
        <w:rPr>
          <w:i/>
          <w:sz w:val="22"/>
          <w:szCs w:val="22"/>
        </w:rPr>
        <w:t>”</w:t>
      </w:r>
      <w:r w:rsidR="00446632">
        <w:rPr>
          <w:sz w:val="22"/>
          <w:szCs w:val="22"/>
        </w:rPr>
        <w:t xml:space="preserve">. </w:t>
      </w:r>
      <w:r w:rsidR="00994829">
        <w:rPr>
          <w:sz w:val="22"/>
          <w:szCs w:val="22"/>
        </w:rPr>
        <w:t>Ao concordar com a unidade técnica, o</w:t>
      </w:r>
      <w:r w:rsidR="00E24B7C">
        <w:rPr>
          <w:sz w:val="22"/>
          <w:szCs w:val="22"/>
        </w:rPr>
        <w:t xml:space="preserve"> relator</w:t>
      </w:r>
      <w:r w:rsidR="00994829">
        <w:rPr>
          <w:sz w:val="22"/>
          <w:szCs w:val="22"/>
        </w:rPr>
        <w:t xml:space="preserve"> </w:t>
      </w:r>
      <w:r w:rsidR="0077058A">
        <w:rPr>
          <w:sz w:val="22"/>
          <w:szCs w:val="22"/>
        </w:rPr>
        <w:t>concluiu</w:t>
      </w:r>
      <w:r w:rsidR="00994829">
        <w:rPr>
          <w:sz w:val="22"/>
          <w:szCs w:val="22"/>
        </w:rPr>
        <w:t xml:space="preserve"> que</w:t>
      </w:r>
      <w:r w:rsidR="00707485" w:rsidRPr="00E9157E">
        <w:rPr>
          <w:sz w:val="22"/>
          <w:szCs w:val="22"/>
        </w:rPr>
        <w:t xml:space="preserve">, de acordo com a pacífica jurisprudência </w:t>
      </w:r>
      <w:r w:rsidR="00E24B7C">
        <w:rPr>
          <w:sz w:val="22"/>
          <w:szCs w:val="22"/>
        </w:rPr>
        <w:t>do</w:t>
      </w:r>
      <w:r w:rsidR="00707485" w:rsidRPr="00E9157E">
        <w:rPr>
          <w:sz w:val="22"/>
          <w:szCs w:val="22"/>
        </w:rPr>
        <w:t xml:space="preserve"> Tribunal, </w:t>
      </w:r>
      <w:r w:rsidR="00E24B7C" w:rsidRPr="00E24B7C">
        <w:rPr>
          <w:i/>
          <w:sz w:val="22"/>
          <w:szCs w:val="22"/>
        </w:rPr>
        <w:t>“</w:t>
      </w:r>
      <w:r w:rsidR="00707485" w:rsidRPr="00E24B7C">
        <w:rPr>
          <w:i/>
          <w:sz w:val="22"/>
          <w:szCs w:val="22"/>
        </w:rPr>
        <w:t>a entidade deveria ter utilizado a modalidade pregão, preferencialmente em sua forma eletrônica, para realizar a aludida contratação</w:t>
      </w:r>
      <w:r w:rsidR="00E24B7C" w:rsidRPr="00E24B7C">
        <w:rPr>
          <w:i/>
          <w:sz w:val="22"/>
          <w:szCs w:val="22"/>
        </w:rPr>
        <w:t>”</w:t>
      </w:r>
      <w:r w:rsidR="00707485" w:rsidRPr="00E9157E">
        <w:rPr>
          <w:sz w:val="22"/>
          <w:szCs w:val="22"/>
        </w:rPr>
        <w:t>.</w:t>
      </w:r>
      <w:r w:rsidR="00E24B7C">
        <w:rPr>
          <w:sz w:val="22"/>
          <w:szCs w:val="22"/>
        </w:rPr>
        <w:t xml:space="preserve"> </w:t>
      </w:r>
      <w:r w:rsidR="0077058A">
        <w:rPr>
          <w:sz w:val="22"/>
          <w:szCs w:val="22"/>
        </w:rPr>
        <w:t>Nos termos d</w:t>
      </w:r>
      <w:r w:rsidR="00E24B7C">
        <w:rPr>
          <w:sz w:val="22"/>
          <w:szCs w:val="22"/>
        </w:rPr>
        <w:t xml:space="preserve">o voto do relator, o Plenário decidiu </w:t>
      </w:r>
      <w:r w:rsidR="00707485" w:rsidRPr="00E9157E">
        <w:rPr>
          <w:sz w:val="22"/>
          <w:szCs w:val="22"/>
        </w:rPr>
        <w:t xml:space="preserve">determinar à </w:t>
      </w:r>
      <w:r w:rsidR="00994829">
        <w:rPr>
          <w:sz w:val="22"/>
          <w:szCs w:val="22"/>
        </w:rPr>
        <w:t>Codesp</w:t>
      </w:r>
      <w:r w:rsidR="00707485" w:rsidRPr="00E9157E">
        <w:rPr>
          <w:sz w:val="22"/>
          <w:szCs w:val="22"/>
        </w:rPr>
        <w:t xml:space="preserve"> que</w:t>
      </w:r>
      <w:r w:rsidR="00E24B7C">
        <w:rPr>
          <w:sz w:val="22"/>
          <w:szCs w:val="22"/>
        </w:rPr>
        <w:t xml:space="preserve"> </w:t>
      </w:r>
      <w:r w:rsidR="00707485" w:rsidRPr="00E9157E">
        <w:rPr>
          <w:sz w:val="22"/>
          <w:szCs w:val="22"/>
        </w:rPr>
        <w:t xml:space="preserve">utilize, como regra, a modalidade pregão, preferencialmente em sua forma eletrônica, para aquisição de bens e serviços comuns, inclusive os de engenharia, </w:t>
      </w:r>
      <w:r w:rsidR="00994829" w:rsidRPr="00994829">
        <w:rPr>
          <w:i/>
          <w:sz w:val="22"/>
          <w:szCs w:val="22"/>
        </w:rPr>
        <w:t>“</w:t>
      </w:r>
      <w:r w:rsidR="00707485" w:rsidRPr="00994829">
        <w:rPr>
          <w:i/>
          <w:sz w:val="22"/>
          <w:szCs w:val="22"/>
        </w:rPr>
        <w:t xml:space="preserve">que só poderá ser preterido quando comprovada e justificadamente for inviável </w:t>
      </w:r>
      <w:r w:rsidR="00994829" w:rsidRPr="00994829">
        <w:rPr>
          <w:i/>
          <w:sz w:val="22"/>
          <w:szCs w:val="22"/>
        </w:rPr>
        <w:t xml:space="preserve">a </w:t>
      </w:r>
      <w:r w:rsidR="00707485" w:rsidRPr="00994829">
        <w:rPr>
          <w:i/>
          <w:sz w:val="22"/>
          <w:szCs w:val="22"/>
        </w:rPr>
        <w:t>sua utilização</w:t>
      </w:r>
      <w:r w:rsidR="00994829" w:rsidRPr="00994829">
        <w:rPr>
          <w:i/>
          <w:sz w:val="22"/>
          <w:szCs w:val="22"/>
        </w:rPr>
        <w:t>”</w:t>
      </w:r>
      <w:r w:rsidR="00E24B7C">
        <w:rPr>
          <w:sz w:val="22"/>
          <w:szCs w:val="22"/>
        </w:rPr>
        <w:t xml:space="preserve">. </w:t>
      </w:r>
      <w:r w:rsidR="00994829">
        <w:rPr>
          <w:sz w:val="22"/>
          <w:szCs w:val="22"/>
        </w:rPr>
        <w:t>Deliberou</w:t>
      </w:r>
      <w:r w:rsidR="00E24B7C">
        <w:rPr>
          <w:sz w:val="22"/>
          <w:szCs w:val="22"/>
        </w:rPr>
        <w:t xml:space="preserve"> também o Pleno </w:t>
      </w:r>
      <w:r w:rsidR="00994829">
        <w:rPr>
          <w:sz w:val="22"/>
          <w:szCs w:val="22"/>
        </w:rPr>
        <w:t xml:space="preserve">no sentido de </w:t>
      </w:r>
      <w:r w:rsidR="00E24B7C">
        <w:rPr>
          <w:sz w:val="22"/>
          <w:szCs w:val="22"/>
        </w:rPr>
        <w:t xml:space="preserve">expedir determinação à Codesp </w:t>
      </w:r>
      <w:r w:rsidR="00994829">
        <w:rPr>
          <w:sz w:val="22"/>
          <w:szCs w:val="22"/>
        </w:rPr>
        <w:t>para</w:t>
      </w:r>
      <w:r w:rsidR="00E24B7C">
        <w:rPr>
          <w:sz w:val="22"/>
          <w:szCs w:val="22"/>
        </w:rPr>
        <w:t xml:space="preserve"> que</w:t>
      </w:r>
      <w:r w:rsidR="0077058A">
        <w:rPr>
          <w:sz w:val="22"/>
          <w:szCs w:val="22"/>
        </w:rPr>
        <w:t xml:space="preserve"> se abstenha,</w:t>
      </w:r>
      <w:r w:rsidR="00707485" w:rsidRPr="00E9157E">
        <w:rPr>
          <w:sz w:val="22"/>
          <w:szCs w:val="22"/>
        </w:rPr>
        <w:t xml:space="preserve"> </w:t>
      </w:r>
      <w:r w:rsidR="00041B03" w:rsidRPr="00041B03">
        <w:rPr>
          <w:i/>
          <w:sz w:val="22"/>
          <w:szCs w:val="22"/>
        </w:rPr>
        <w:t>“</w:t>
      </w:r>
      <w:r w:rsidR="00707485" w:rsidRPr="00041B03">
        <w:rPr>
          <w:i/>
          <w:sz w:val="22"/>
          <w:szCs w:val="22"/>
        </w:rPr>
        <w:t>quando vencido o prazo de 12 meses, de prorrogar o contrato oriundo da Concorrência n</w:t>
      </w:r>
      <w:r w:rsidR="0077058A">
        <w:rPr>
          <w:i/>
          <w:sz w:val="22"/>
          <w:szCs w:val="22"/>
        </w:rPr>
        <w:t>.</w:t>
      </w:r>
      <w:r w:rsidR="00707485" w:rsidRPr="00041B03">
        <w:rPr>
          <w:i/>
          <w:sz w:val="22"/>
          <w:szCs w:val="22"/>
        </w:rPr>
        <w:t>º 8/2010, salvo pelo prazo máximo de 12 meses</w:t>
      </w:r>
      <w:r w:rsidR="00994829">
        <w:rPr>
          <w:i/>
          <w:sz w:val="22"/>
          <w:szCs w:val="22"/>
        </w:rPr>
        <w:t>,</w:t>
      </w:r>
      <w:r w:rsidR="00707485" w:rsidRPr="00041B03">
        <w:rPr>
          <w:i/>
          <w:sz w:val="22"/>
          <w:szCs w:val="22"/>
        </w:rPr>
        <w:t xml:space="preserve"> visando à realização de novo procedimento licitatório, na modalidade pregão, preferencialmente na forma eletrônica, caso julgue oportuno e conveniente realizar a contratação dos serviços de manutenção do sistema de distribuição de energia nas áreas comuns do porto de Santos</w:t>
      </w:r>
      <w:r w:rsidR="00041B03" w:rsidRPr="00041B03">
        <w:rPr>
          <w:i/>
          <w:sz w:val="22"/>
          <w:szCs w:val="22"/>
        </w:rPr>
        <w:t>”</w:t>
      </w:r>
      <w:r w:rsidR="00707485" w:rsidRPr="00E9157E">
        <w:rPr>
          <w:sz w:val="22"/>
          <w:szCs w:val="22"/>
        </w:rPr>
        <w:t>.</w:t>
      </w:r>
      <w:r w:rsidR="00041B03">
        <w:rPr>
          <w:sz w:val="22"/>
          <w:szCs w:val="22"/>
        </w:rPr>
        <w:t xml:space="preserve"> </w:t>
      </w:r>
      <w:r w:rsidR="00E24B7C">
        <w:rPr>
          <w:sz w:val="22"/>
          <w:szCs w:val="22"/>
        </w:rPr>
        <w:t xml:space="preserve">Precedentes citados: </w:t>
      </w:r>
      <w:r w:rsidR="00994829">
        <w:rPr>
          <w:sz w:val="22"/>
          <w:szCs w:val="22"/>
        </w:rPr>
        <w:t>Acórdãos n.</w:t>
      </w:r>
      <w:r w:rsidR="00994829" w:rsidRPr="00994829">
        <w:rPr>
          <w:sz w:val="22"/>
          <w:szCs w:val="22"/>
          <w:vertAlign w:val="superscript"/>
        </w:rPr>
        <w:t>os</w:t>
      </w:r>
      <w:r w:rsidR="00994829" w:rsidRPr="00E9157E">
        <w:rPr>
          <w:sz w:val="22"/>
          <w:szCs w:val="22"/>
        </w:rPr>
        <w:t xml:space="preserve"> 463/2008</w:t>
      </w:r>
      <w:r w:rsidR="00994829">
        <w:rPr>
          <w:sz w:val="22"/>
          <w:szCs w:val="22"/>
        </w:rPr>
        <w:t xml:space="preserve"> e </w:t>
      </w:r>
      <w:r w:rsidR="00994829" w:rsidRPr="00E9157E">
        <w:rPr>
          <w:sz w:val="22"/>
          <w:szCs w:val="22"/>
        </w:rPr>
        <w:t>2.901/2007</w:t>
      </w:r>
      <w:r w:rsidR="00994829">
        <w:rPr>
          <w:sz w:val="22"/>
          <w:szCs w:val="22"/>
        </w:rPr>
        <w:t xml:space="preserve">, ambos da </w:t>
      </w:r>
      <w:r w:rsidR="00994829" w:rsidRPr="00E9157E">
        <w:rPr>
          <w:sz w:val="22"/>
          <w:szCs w:val="22"/>
        </w:rPr>
        <w:t>1ª Câmara</w:t>
      </w:r>
      <w:r w:rsidR="00994829">
        <w:rPr>
          <w:sz w:val="22"/>
          <w:szCs w:val="22"/>
        </w:rPr>
        <w:t>;</w:t>
      </w:r>
      <w:r w:rsidR="00994829" w:rsidRPr="00E9157E">
        <w:rPr>
          <w:sz w:val="22"/>
          <w:szCs w:val="22"/>
        </w:rPr>
        <w:t xml:space="preserve"> </w:t>
      </w:r>
      <w:r w:rsidR="00E24B7C" w:rsidRPr="00E9157E">
        <w:rPr>
          <w:sz w:val="22"/>
          <w:szCs w:val="22"/>
        </w:rPr>
        <w:t xml:space="preserve">Acórdãos </w:t>
      </w:r>
      <w:r w:rsidR="00041B03">
        <w:rPr>
          <w:sz w:val="22"/>
          <w:szCs w:val="22"/>
        </w:rPr>
        <w:t>n.</w:t>
      </w:r>
      <w:r w:rsidR="00041B03" w:rsidRPr="00041B03">
        <w:rPr>
          <w:sz w:val="22"/>
          <w:szCs w:val="22"/>
          <w:vertAlign w:val="superscript"/>
        </w:rPr>
        <w:t>os</w:t>
      </w:r>
      <w:r w:rsidR="00041B03">
        <w:rPr>
          <w:sz w:val="22"/>
          <w:szCs w:val="22"/>
        </w:rPr>
        <w:t xml:space="preserve"> </w:t>
      </w:r>
      <w:r w:rsidR="00E24B7C" w:rsidRPr="00E9157E">
        <w:rPr>
          <w:sz w:val="22"/>
          <w:szCs w:val="22"/>
        </w:rPr>
        <w:t>2.807/2009</w:t>
      </w:r>
      <w:r w:rsidR="00994829">
        <w:rPr>
          <w:sz w:val="22"/>
          <w:szCs w:val="22"/>
        </w:rPr>
        <w:t xml:space="preserve">, </w:t>
      </w:r>
      <w:r w:rsidR="00E24B7C" w:rsidRPr="00E9157E">
        <w:rPr>
          <w:sz w:val="22"/>
          <w:szCs w:val="22"/>
        </w:rPr>
        <w:t>2.194/2009</w:t>
      </w:r>
      <w:r w:rsidR="00994829">
        <w:rPr>
          <w:sz w:val="22"/>
          <w:szCs w:val="22"/>
        </w:rPr>
        <w:t xml:space="preserve"> e </w:t>
      </w:r>
      <w:r w:rsidR="00994829" w:rsidRPr="00E9157E">
        <w:rPr>
          <w:sz w:val="22"/>
          <w:szCs w:val="22"/>
        </w:rPr>
        <w:t>631/2007</w:t>
      </w:r>
      <w:r w:rsidR="00994829">
        <w:rPr>
          <w:sz w:val="22"/>
          <w:szCs w:val="22"/>
        </w:rPr>
        <w:t xml:space="preserve">, todos da </w:t>
      </w:r>
      <w:r w:rsidR="00994829" w:rsidRPr="00E9157E">
        <w:rPr>
          <w:sz w:val="22"/>
          <w:szCs w:val="22"/>
        </w:rPr>
        <w:t>2ª Câmara</w:t>
      </w:r>
      <w:r w:rsidR="00994829">
        <w:rPr>
          <w:sz w:val="22"/>
          <w:szCs w:val="22"/>
        </w:rPr>
        <w:t>; Acórdãos n.</w:t>
      </w:r>
      <w:r w:rsidR="00994829" w:rsidRPr="00994829">
        <w:rPr>
          <w:sz w:val="22"/>
          <w:szCs w:val="22"/>
          <w:vertAlign w:val="superscript"/>
        </w:rPr>
        <w:t>os</w:t>
      </w:r>
      <w:r w:rsidR="00994829">
        <w:rPr>
          <w:sz w:val="22"/>
          <w:szCs w:val="22"/>
        </w:rPr>
        <w:t xml:space="preserve"> </w:t>
      </w:r>
      <w:r w:rsidR="00E24B7C" w:rsidRPr="00E9157E">
        <w:rPr>
          <w:sz w:val="22"/>
          <w:szCs w:val="22"/>
        </w:rPr>
        <w:t>2.664/2007</w:t>
      </w:r>
      <w:r w:rsidR="00994829">
        <w:rPr>
          <w:sz w:val="22"/>
          <w:szCs w:val="22"/>
        </w:rPr>
        <w:t xml:space="preserve"> e </w:t>
      </w:r>
      <w:r w:rsidR="00E24B7C" w:rsidRPr="00E9157E">
        <w:rPr>
          <w:sz w:val="22"/>
          <w:szCs w:val="22"/>
        </w:rPr>
        <w:t>988/2008</w:t>
      </w:r>
      <w:r w:rsidR="00994829">
        <w:rPr>
          <w:sz w:val="22"/>
          <w:szCs w:val="22"/>
        </w:rPr>
        <w:t xml:space="preserve">, ambos do </w:t>
      </w:r>
      <w:r w:rsidR="00E24B7C" w:rsidRPr="00E9157E">
        <w:rPr>
          <w:sz w:val="22"/>
          <w:szCs w:val="22"/>
        </w:rPr>
        <w:t>Plenário</w:t>
      </w:r>
      <w:r w:rsidR="00041B03">
        <w:rPr>
          <w:sz w:val="22"/>
          <w:szCs w:val="22"/>
        </w:rPr>
        <w:t xml:space="preserve">. </w:t>
      </w:r>
      <w:r w:rsidR="00E9157E" w:rsidRPr="00337E16">
        <w:rPr>
          <w:b/>
          <w:i/>
          <w:sz w:val="22"/>
          <w:szCs w:val="22"/>
        </w:rPr>
        <w:t xml:space="preserve">Acórdão n.º </w:t>
      </w:r>
      <w:r w:rsidR="00E9157E">
        <w:rPr>
          <w:b/>
          <w:i/>
          <w:sz w:val="22"/>
          <w:szCs w:val="22"/>
        </w:rPr>
        <w:t>2314</w:t>
      </w:r>
      <w:r w:rsidR="00E9157E" w:rsidRPr="00337E16">
        <w:rPr>
          <w:b/>
          <w:i/>
          <w:sz w:val="22"/>
          <w:szCs w:val="22"/>
        </w:rPr>
        <w:t>/2010</w:t>
      </w:r>
      <w:r w:rsidR="00E9157E">
        <w:rPr>
          <w:b/>
          <w:i/>
          <w:sz w:val="22"/>
          <w:szCs w:val="22"/>
        </w:rPr>
        <w:t>-Plenário</w:t>
      </w:r>
      <w:r w:rsidR="00E9157E" w:rsidRPr="00337E16">
        <w:rPr>
          <w:b/>
          <w:i/>
          <w:sz w:val="22"/>
          <w:szCs w:val="22"/>
        </w:rPr>
        <w:t>, TC-0</w:t>
      </w:r>
      <w:r w:rsidR="00E9157E">
        <w:rPr>
          <w:b/>
          <w:i/>
          <w:sz w:val="22"/>
          <w:szCs w:val="22"/>
        </w:rPr>
        <w:t>16</w:t>
      </w:r>
      <w:r w:rsidR="00E9157E" w:rsidRPr="00337E16">
        <w:rPr>
          <w:b/>
          <w:i/>
          <w:sz w:val="22"/>
          <w:szCs w:val="22"/>
        </w:rPr>
        <w:t>.</w:t>
      </w:r>
      <w:r w:rsidR="00E9157E">
        <w:rPr>
          <w:b/>
          <w:i/>
          <w:sz w:val="22"/>
          <w:szCs w:val="22"/>
        </w:rPr>
        <w:t>340</w:t>
      </w:r>
      <w:r w:rsidR="00E9157E" w:rsidRPr="00337E16">
        <w:rPr>
          <w:b/>
          <w:i/>
          <w:sz w:val="22"/>
          <w:szCs w:val="22"/>
        </w:rPr>
        <w:t>/20</w:t>
      </w:r>
      <w:r w:rsidR="00E9157E">
        <w:rPr>
          <w:b/>
          <w:i/>
          <w:sz w:val="22"/>
          <w:szCs w:val="22"/>
        </w:rPr>
        <w:t>10</w:t>
      </w:r>
      <w:r w:rsidR="00E9157E" w:rsidRPr="00337E16">
        <w:rPr>
          <w:b/>
          <w:i/>
          <w:sz w:val="22"/>
          <w:szCs w:val="22"/>
        </w:rPr>
        <w:t>-</w:t>
      </w:r>
      <w:r w:rsidR="00E9157E">
        <w:rPr>
          <w:b/>
          <w:i/>
          <w:sz w:val="22"/>
          <w:szCs w:val="22"/>
        </w:rPr>
        <w:t>8</w:t>
      </w:r>
      <w:r w:rsidR="00E9157E" w:rsidRPr="00337E16">
        <w:rPr>
          <w:b/>
          <w:i/>
          <w:sz w:val="22"/>
          <w:szCs w:val="22"/>
        </w:rPr>
        <w:t>, rel. Min</w:t>
      </w:r>
      <w:r w:rsidR="00E9157E">
        <w:rPr>
          <w:b/>
          <w:i/>
          <w:sz w:val="22"/>
          <w:szCs w:val="22"/>
        </w:rPr>
        <w:t>. Raimundo Carreiro</w:t>
      </w:r>
      <w:r w:rsidR="00E9157E" w:rsidRPr="00337E16">
        <w:rPr>
          <w:b/>
          <w:i/>
          <w:sz w:val="22"/>
          <w:szCs w:val="22"/>
        </w:rPr>
        <w:t xml:space="preserve">, </w:t>
      </w:r>
      <w:r w:rsidR="00E9157E">
        <w:rPr>
          <w:b/>
          <w:i/>
          <w:sz w:val="22"/>
          <w:szCs w:val="22"/>
        </w:rPr>
        <w:t>08</w:t>
      </w:r>
      <w:r w:rsidR="00E9157E" w:rsidRPr="00337E16">
        <w:rPr>
          <w:b/>
          <w:i/>
          <w:sz w:val="22"/>
          <w:szCs w:val="22"/>
        </w:rPr>
        <w:t>.0</w:t>
      </w:r>
      <w:r w:rsidR="00E9157E">
        <w:rPr>
          <w:b/>
          <w:i/>
          <w:sz w:val="22"/>
          <w:szCs w:val="22"/>
        </w:rPr>
        <w:t>9</w:t>
      </w:r>
      <w:r w:rsidR="00E9157E" w:rsidRPr="00337E16">
        <w:rPr>
          <w:b/>
          <w:i/>
          <w:sz w:val="22"/>
          <w:szCs w:val="22"/>
        </w:rPr>
        <w:t>.2010</w:t>
      </w:r>
      <w:r w:rsidR="00E9157E" w:rsidRPr="00337E16">
        <w:rPr>
          <w:sz w:val="22"/>
          <w:szCs w:val="22"/>
        </w:rPr>
        <w:t>.</w:t>
      </w:r>
    </w:p>
    <w:p w:rsidR="00707485" w:rsidRDefault="00707485" w:rsidP="007671B6">
      <w:pPr>
        <w:pStyle w:val="Pargrafo"/>
        <w:jc w:val="both"/>
        <w:rPr>
          <w:sz w:val="22"/>
          <w:szCs w:val="22"/>
        </w:rPr>
      </w:pPr>
    </w:p>
    <w:p w:rsidR="00707485" w:rsidRPr="007576E2" w:rsidRDefault="007576E2" w:rsidP="007671B6">
      <w:pPr>
        <w:pStyle w:val="Pargrafo"/>
        <w:jc w:val="both"/>
        <w:rPr>
          <w:b/>
          <w:sz w:val="22"/>
          <w:szCs w:val="22"/>
        </w:rPr>
      </w:pPr>
      <w:r w:rsidRPr="007576E2">
        <w:rPr>
          <w:b/>
          <w:sz w:val="22"/>
          <w:szCs w:val="22"/>
        </w:rPr>
        <w:t>Aceitação de itens da proposta de preços da licitante com valores acima do orçado pela Administração</w:t>
      </w:r>
    </w:p>
    <w:p w:rsidR="00707485" w:rsidRDefault="00041B03" w:rsidP="007671B6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707485" w:rsidRPr="007576E2">
        <w:rPr>
          <w:sz w:val="22"/>
          <w:szCs w:val="22"/>
        </w:rPr>
        <w:t xml:space="preserve">evantamento de auditoria </w:t>
      </w:r>
      <w:r w:rsidR="00B36487">
        <w:rPr>
          <w:sz w:val="22"/>
          <w:szCs w:val="22"/>
        </w:rPr>
        <w:t xml:space="preserve">realizado pelo TCU </w:t>
      </w:r>
      <w:r w:rsidR="00707485" w:rsidRPr="007576E2">
        <w:rPr>
          <w:sz w:val="22"/>
          <w:szCs w:val="22"/>
        </w:rPr>
        <w:t>nas obras do Perímetro de Irrigação Jacaré – Curituba</w:t>
      </w:r>
      <w:r>
        <w:rPr>
          <w:sz w:val="22"/>
          <w:szCs w:val="22"/>
        </w:rPr>
        <w:t>,</w:t>
      </w:r>
      <w:r w:rsidR="00707485" w:rsidRPr="007576E2">
        <w:rPr>
          <w:sz w:val="22"/>
          <w:szCs w:val="22"/>
        </w:rPr>
        <w:t xml:space="preserve"> no Estado de Sergipe, a cargo da Companhia de Desenvolvimento do Vale do Rio São Francisco e Parnaíba </w:t>
      </w:r>
      <w:r w:rsidR="00C97E85">
        <w:rPr>
          <w:sz w:val="22"/>
          <w:szCs w:val="22"/>
        </w:rPr>
        <w:t>(</w:t>
      </w:r>
      <w:r w:rsidR="00707485" w:rsidRPr="007576E2">
        <w:rPr>
          <w:sz w:val="22"/>
          <w:szCs w:val="22"/>
        </w:rPr>
        <w:t>Codevasf</w:t>
      </w:r>
      <w:r w:rsidR="00C97E85">
        <w:rPr>
          <w:sz w:val="22"/>
          <w:szCs w:val="22"/>
        </w:rPr>
        <w:t>)</w:t>
      </w:r>
      <w:r w:rsidR="00707485" w:rsidRPr="007576E2">
        <w:rPr>
          <w:sz w:val="22"/>
          <w:szCs w:val="22"/>
        </w:rPr>
        <w:t>, identificou diversas</w:t>
      </w:r>
      <w:r w:rsidR="00C97E85">
        <w:rPr>
          <w:sz w:val="22"/>
          <w:szCs w:val="22"/>
        </w:rPr>
        <w:t xml:space="preserve"> irregularidades no empreendimento, entre elas</w:t>
      </w:r>
      <w:r>
        <w:rPr>
          <w:sz w:val="22"/>
          <w:szCs w:val="22"/>
        </w:rPr>
        <w:t xml:space="preserve"> </w:t>
      </w:r>
      <w:r w:rsidR="00707485" w:rsidRPr="007576E2">
        <w:rPr>
          <w:sz w:val="22"/>
          <w:szCs w:val="22"/>
        </w:rPr>
        <w:t xml:space="preserve">a </w:t>
      </w:r>
      <w:r w:rsidRPr="00041B03">
        <w:rPr>
          <w:i/>
          <w:sz w:val="22"/>
          <w:szCs w:val="22"/>
        </w:rPr>
        <w:t>“</w:t>
      </w:r>
      <w:r w:rsidR="00707485" w:rsidRPr="00041B03">
        <w:rPr>
          <w:i/>
          <w:sz w:val="22"/>
          <w:szCs w:val="22"/>
        </w:rPr>
        <w:t>aceitação/homologação de alguns itens da proposta de preços da Netafim Brasil - Sistemas e Equipamentos de Irrigação Ltda. (Contrato nº 0.12.09.0018-00) com valores acima do orçado pela Codevasf, sem que tenha sido feita uma análise criteriosa da justificativa contida no Relatório Técnico Circunstanciado apresentado pela licitante para fins de sua aprovação</w:t>
      </w:r>
      <w:r w:rsidR="00C97E85">
        <w:rPr>
          <w:i/>
          <w:sz w:val="22"/>
          <w:szCs w:val="22"/>
        </w:rPr>
        <w:t>.</w:t>
      </w:r>
      <w:r w:rsidRPr="00041B03"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. </w:t>
      </w:r>
      <w:r w:rsidR="00C97E85">
        <w:rPr>
          <w:sz w:val="22"/>
          <w:szCs w:val="22"/>
        </w:rPr>
        <w:t>Por</w:t>
      </w:r>
      <w:r w:rsidR="00BB370B" w:rsidRPr="007576E2">
        <w:rPr>
          <w:sz w:val="22"/>
          <w:szCs w:val="22"/>
        </w:rPr>
        <w:t xml:space="preserve"> ocasião </w:t>
      </w:r>
      <w:r w:rsidR="00853B55">
        <w:rPr>
          <w:sz w:val="22"/>
          <w:szCs w:val="22"/>
        </w:rPr>
        <w:t>do certame</w:t>
      </w:r>
      <w:r w:rsidR="00BB370B" w:rsidRPr="007576E2">
        <w:rPr>
          <w:sz w:val="22"/>
          <w:szCs w:val="22"/>
        </w:rPr>
        <w:t xml:space="preserve">, a </w:t>
      </w:r>
      <w:r w:rsidR="00C97E85">
        <w:rPr>
          <w:sz w:val="22"/>
          <w:szCs w:val="22"/>
        </w:rPr>
        <w:t>licitante</w:t>
      </w:r>
      <w:r w:rsidR="00BB370B" w:rsidRPr="007576E2">
        <w:rPr>
          <w:sz w:val="22"/>
          <w:szCs w:val="22"/>
        </w:rPr>
        <w:t xml:space="preserve"> alegou que as diferenças em determinados preços unitários de sua proposta foram motivadas pelo aumento verificado em algumas matérias-primas e equipamentos, no período entre </w:t>
      </w:r>
      <w:r w:rsidR="00B36487">
        <w:rPr>
          <w:sz w:val="22"/>
          <w:szCs w:val="22"/>
        </w:rPr>
        <w:t xml:space="preserve">a </w:t>
      </w:r>
      <w:r w:rsidR="00BB370B" w:rsidRPr="007576E2">
        <w:rPr>
          <w:sz w:val="22"/>
          <w:szCs w:val="22"/>
        </w:rPr>
        <w:t xml:space="preserve">data-base do orçamento da Codevasf e </w:t>
      </w:r>
      <w:r w:rsidR="00B36487">
        <w:rPr>
          <w:sz w:val="22"/>
          <w:szCs w:val="22"/>
        </w:rPr>
        <w:t xml:space="preserve">o </w:t>
      </w:r>
      <w:r w:rsidR="00BB370B" w:rsidRPr="007576E2">
        <w:rPr>
          <w:sz w:val="22"/>
          <w:szCs w:val="22"/>
        </w:rPr>
        <w:t xml:space="preserve">mês de recebimento das propostas, argumento acolhido pela </w:t>
      </w:r>
      <w:r w:rsidR="00C97E85">
        <w:rPr>
          <w:sz w:val="22"/>
          <w:szCs w:val="22"/>
        </w:rPr>
        <w:t>c</w:t>
      </w:r>
      <w:r w:rsidR="00BB370B" w:rsidRPr="007576E2">
        <w:rPr>
          <w:sz w:val="22"/>
          <w:szCs w:val="22"/>
        </w:rPr>
        <w:t xml:space="preserve">omissão julgadora. </w:t>
      </w:r>
      <w:r w:rsidR="005947E4">
        <w:rPr>
          <w:sz w:val="22"/>
          <w:szCs w:val="22"/>
        </w:rPr>
        <w:t>A</w:t>
      </w:r>
      <w:r w:rsidR="00BB370B" w:rsidRPr="007576E2">
        <w:rPr>
          <w:sz w:val="22"/>
          <w:szCs w:val="22"/>
        </w:rPr>
        <w:t xml:space="preserve"> equipe de auditoria considerou equivocada a conclusão da comissão quanto à adequação da proposta da licitante ao orçamen</w:t>
      </w:r>
      <w:r w:rsidR="00B60023">
        <w:rPr>
          <w:sz w:val="22"/>
          <w:szCs w:val="22"/>
        </w:rPr>
        <w:t>to-base da Codevasf, carecendo</w:t>
      </w:r>
      <w:r w:rsidR="00BB370B" w:rsidRPr="007576E2">
        <w:rPr>
          <w:sz w:val="22"/>
          <w:szCs w:val="22"/>
        </w:rPr>
        <w:t xml:space="preserve"> de </w:t>
      </w:r>
      <w:r w:rsidR="00A32B87" w:rsidRPr="00A32B87">
        <w:rPr>
          <w:i/>
          <w:sz w:val="22"/>
          <w:szCs w:val="22"/>
        </w:rPr>
        <w:t>“</w:t>
      </w:r>
      <w:r w:rsidR="00BB370B" w:rsidRPr="00A32B87">
        <w:rPr>
          <w:i/>
          <w:sz w:val="22"/>
          <w:szCs w:val="22"/>
        </w:rPr>
        <w:t>fundamentação matemática a comparação então efetuada</w:t>
      </w:r>
      <w:r w:rsidR="00A32B87" w:rsidRPr="00A32B87">
        <w:rPr>
          <w:i/>
          <w:sz w:val="22"/>
          <w:szCs w:val="22"/>
        </w:rPr>
        <w:t>”</w:t>
      </w:r>
      <w:r w:rsidR="00BB370B" w:rsidRPr="007576E2">
        <w:rPr>
          <w:sz w:val="22"/>
          <w:szCs w:val="22"/>
        </w:rPr>
        <w:t xml:space="preserve">, já que </w:t>
      </w:r>
      <w:r w:rsidR="00853B55">
        <w:rPr>
          <w:sz w:val="22"/>
          <w:szCs w:val="22"/>
        </w:rPr>
        <w:t xml:space="preserve">se </w:t>
      </w:r>
      <w:r w:rsidR="00BB370B" w:rsidRPr="007576E2">
        <w:rPr>
          <w:sz w:val="22"/>
          <w:szCs w:val="22"/>
        </w:rPr>
        <w:t xml:space="preserve">teria pautado em datas-bases diversas. </w:t>
      </w:r>
      <w:r w:rsidR="00853B55">
        <w:rPr>
          <w:sz w:val="22"/>
          <w:szCs w:val="22"/>
        </w:rPr>
        <w:t xml:space="preserve">Divergindo da </w:t>
      </w:r>
      <w:r w:rsidR="00B60023">
        <w:rPr>
          <w:sz w:val="22"/>
          <w:szCs w:val="22"/>
        </w:rPr>
        <w:t>equipe</w:t>
      </w:r>
      <w:r w:rsidR="00BB370B" w:rsidRPr="007576E2">
        <w:rPr>
          <w:sz w:val="22"/>
          <w:szCs w:val="22"/>
        </w:rPr>
        <w:t xml:space="preserve">, </w:t>
      </w:r>
      <w:r w:rsidR="00BB370B">
        <w:rPr>
          <w:sz w:val="22"/>
          <w:szCs w:val="22"/>
        </w:rPr>
        <w:t>o relator entendeu</w:t>
      </w:r>
      <w:r w:rsidR="00853B55">
        <w:rPr>
          <w:sz w:val="22"/>
          <w:szCs w:val="22"/>
        </w:rPr>
        <w:t xml:space="preserve"> </w:t>
      </w:r>
      <w:r w:rsidR="00BB370B" w:rsidRPr="007576E2">
        <w:rPr>
          <w:sz w:val="22"/>
          <w:szCs w:val="22"/>
        </w:rPr>
        <w:t>que</w:t>
      </w:r>
      <w:r w:rsidR="00853B55">
        <w:rPr>
          <w:sz w:val="22"/>
          <w:szCs w:val="22"/>
        </w:rPr>
        <w:t>, e</w:t>
      </w:r>
      <w:r w:rsidR="00BB370B" w:rsidRPr="007576E2">
        <w:rPr>
          <w:sz w:val="22"/>
          <w:szCs w:val="22"/>
        </w:rPr>
        <w:t xml:space="preserve">mbora não </w:t>
      </w:r>
      <w:r w:rsidR="00BB370B">
        <w:rPr>
          <w:sz w:val="22"/>
          <w:szCs w:val="22"/>
        </w:rPr>
        <w:t>houvesse</w:t>
      </w:r>
      <w:r w:rsidR="00BB370B" w:rsidRPr="007576E2">
        <w:rPr>
          <w:sz w:val="22"/>
          <w:szCs w:val="22"/>
        </w:rPr>
        <w:t xml:space="preserve"> uma explanação sobre cada item questionado, isso não permit</w:t>
      </w:r>
      <w:r w:rsidR="00BB370B">
        <w:rPr>
          <w:sz w:val="22"/>
          <w:szCs w:val="22"/>
        </w:rPr>
        <w:t>iria</w:t>
      </w:r>
      <w:r w:rsidR="00BB370B" w:rsidRPr="007576E2">
        <w:rPr>
          <w:sz w:val="22"/>
          <w:szCs w:val="22"/>
        </w:rPr>
        <w:t xml:space="preserve"> afirmar que a comissão não lev</w:t>
      </w:r>
      <w:r w:rsidR="005947E4">
        <w:rPr>
          <w:sz w:val="22"/>
          <w:szCs w:val="22"/>
        </w:rPr>
        <w:t>ara</w:t>
      </w:r>
      <w:r w:rsidR="00BB370B" w:rsidRPr="007576E2">
        <w:rPr>
          <w:sz w:val="22"/>
          <w:szCs w:val="22"/>
        </w:rPr>
        <w:t xml:space="preserve"> em consideração</w:t>
      </w:r>
      <w:r w:rsidR="00853B55">
        <w:rPr>
          <w:sz w:val="22"/>
          <w:szCs w:val="22"/>
        </w:rPr>
        <w:t>,</w:t>
      </w:r>
      <w:r w:rsidR="00BB370B" w:rsidRPr="007576E2">
        <w:rPr>
          <w:sz w:val="22"/>
          <w:szCs w:val="22"/>
        </w:rPr>
        <w:t xml:space="preserve"> em sua decisão</w:t>
      </w:r>
      <w:r w:rsidR="00853B55">
        <w:rPr>
          <w:sz w:val="22"/>
          <w:szCs w:val="22"/>
        </w:rPr>
        <w:t>,</w:t>
      </w:r>
      <w:r w:rsidR="00BB370B" w:rsidRPr="007576E2">
        <w:rPr>
          <w:sz w:val="22"/>
          <w:szCs w:val="22"/>
        </w:rPr>
        <w:t xml:space="preserve"> as justificativas então apresentadas pela licitante acerca das diferenças apuradas</w:t>
      </w:r>
      <w:r w:rsidR="00B36487">
        <w:rPr>
          <w:sz w:val="22"/>
          <w:szCs w:val="22"/>
        </w:rPr>
        <w:t>. Ademais</w:t>
      </w:r>
      <w:r w:rsidR="00BB370B" w:rsidRPr="007576E2">
        <w:rPr>
          <w:sz w:val="22"/>
          <w:szCs w:val="22"/>
        </w:rPr>
        <w:t xml:space="preserve">, </w:t>
      </w:r>
      <w:r w:rsidR="00B36487">
        <w:rPr>
          <w:sz w:val="22"/>
          <w:szCs w:val="22"/>
        </w:rPr>
        <w:t>ressaltou</w:t>
      </w:r>
      <w:r w:rsidR="005947E4">
        <w:rPr>
          <w:sz w:val="22"/>
          <w:szCs w:val="22"/>
        </w:rPr>
        <w:t xml:space="preserve"> em seu voto </w:t>
      </w:r>
      <w:r w:rsidR="00BB370B" w:rsidRPr="00BB370B">
        <w:rPr>
          <w:i/>
          <w:sz w:val="22"/>
          <w:szCs w:val="22"/>
        </w:rPr>
        <w:t>“a baixa representatividade do somatório dos itens em discrepância em relação ao valor global da proposta, cujas diferenças apuradas, de até 1,9% em relação aos valores do orçamento-base, não poderiam ser considerad</w:t>
      </w:r>
      <w:r w:rsidR="00147FA3">
        <w:rPr>
          <w:i/>
          <w:sz w:val="22"/>
          <w:szCs w:val="22"/>
        </w:rPr>
        <w:t>a</w:t>
      </w:r>
      <w:r w:rsidR="00BB370B" w:rsidRPr="00BB370B">
        <w:rPr>
          <w:i/>
          <w:sz w:val="22"/>
          <w:szCs w:val="22"/>
        </w:rPr>
        <w:t>s exorbitantes”</w:t>
      </w:r>
      <w:r w:rsidR="00BB370B" w:rsidRPr="007576E2">
        <w:rPr>
          <w:sz w:val="22"/>
          <w:szCs w:val="22"/>
        </w:rPr>
        <w:t>.</w:t>
      </w:r>
      <w:r w:rsidR="00B60023">
        <w:rPr>
          <w:sz w:val="22"/>
          <w:szCs w:val="22"/>
        </w:rPr>
        <w:t xml:space="preserve"> </w:t>
      </w:r>
      <w:r w:rsidR="00B36487">
        <w:rPr>
          <w:sz w:val="22"/>
          <w:szCs w:val="22"/>
        </w:rPr>
        <w:t>Quanto</w:t>
      </w:r>
      <w:r w:rsidR="00BA0AC7" w:rsidRPr="007576E2">
        <w:rPr>
          <w:sz w:val="22"/>
          <w:szCs w:val="22"/>
        </w:rPr>
        <w:t xml:space="preserve"> à afirmação de que estaria equivocada a comparação efetuada pela comissão julgadora para atestar a adequação do preço ofertado pela Netafim Ltda., em razão de pautar-se em datas-bases distintas, </w:t>
      </w:r>
      <w:r w:rsidR="00BA0AC7">
        <w:rPr>
          <w:sz w:val="22"/>
          <w:szCs w:val="22"/>
        </w:rPr>
        <w:t>o relator concordou com</w:t>
      </w:r>
      <w:r w:rsidR="00BA0AC7" w:rsidRPr="007576E2">
        <w:rPr>
          <w:sz w:val="22"/>
          <w:szCs w:val="22"/>
        </w:rPr>
        <w:t xml:space="preserve"> o </w:t>
      </w:r>
      <w:r w:rsidR="00B60023">
        <w:rPr>
          <w:sz w:val="22"/>
          <w:szCs w:val="22"/>
        </w:rPr>
        <w:t>titular</w:t>
      </w:r>
      <w:r w:rsidR="00BA0AC7" w:rsidRPr="007576E2">
        <w:rPr>
          <w:sz w:val="22"/>
          <w:szCs w:val="22"/>
        </w:rPr>
        <w:t xml:space="preserve"> </w:t>
      </w:r>
      <w:r w:rsidR="00BA0AC7">
        <w:rPr>
          <w:sz w:val="22"/>
          <w:szCs w:val="22"/>
        </w:rPr>
        <w:t xml:space="preserve">da unidade técnica no sentido de </w:t>
      </w:r>
      <w:r w:rsidR="00BA0AC7" w:rsidRPr="007576E2">
        <w:rPr>
          <w:sz w:val="22"/>
          <w:szCs w:val="22"/>
        </w:rPr>
        <w:t>que</w:t>
      </w:r>
      <w:r w:rsidR="00BA0AC7">
        <w:rPr>
          <w:sz w:val="22"/>
          <w:szCs w:val="22"/>
        </w:rPr>
        <w:t xml:space="preserve"> </w:t>
      </w:r>
      <w:r w:rsidR="00BA0AC7" w:rsidRPr="008C41CA">
        <w:rPr>
          <w:i/>
          <w:sz w:val="22"/>
          <w:szCs w:val="22"/>
        </w:rPr>
        <w:t>“a falha foi corrigida com a adoção de uma mesma base de comparação”</w:t>
      </w:r>
      <w:r w:rsidR="005B3DA4">
        <w:rPr>
          <w:sz w:val="22"/>
          <w:szCs w:val="22"/>
        </w:rPr>
        <w:t xml:space="preserve">, </w:t>
      </w:r>
      <w:r w:rsidR="00B36487">
        <w:rPr>
          <w:sz w:val="22"/>
          <w:szCs w:val="22"/>
        </w:rPr>
        <w:t>isto é</w:t>
      </w:r>
      <w:r w:rsidR="005B3DA4">
        <w:rPr>
          <w:sz w:val="22"/>
          <w:szCs w:val="22"/>
        </w:rPr>
        <w:t xml:space="preserve">, a proposta de preços e o orçamento da Administração </w:t>
      </w:r>
      <w:r w:rsidR="00B36487">
        <w:rPr>
          <w:sz w:val="22"/>
          <w:szCs w:val="22"/>
        </w:rPr>
        <w:t>foram</w:t>
      </w:r>
      <w:r w:rsidR="005B3DA4">
        <w:rPr>
          <w:sz w:val="22"/>
          <w:szCs w:val="22"/>
        </w:rPr>
        <w:t xml:space="preserve"> levados à mesma data-base</w:t>
      </w:r>
      <w:r w:rsidR="00BA0AC7">
        <w:rPr>
          <w:sz w:val="22"/>
          <w:szCs w:val="22"/>
        </w:rPr>
        <w:t>.</w:t>
      </w:r>
      <w:r w:rsidR="00BA0AC7" w:rsidRPr="007576E2">
        <w:rPr>
          <w:sz w:val="22"/>
          <w:szCs w:val="22"/>
        </w:rPr>
        <w:t xml:space="preserve"> </w:t>
      </w:r>
      <w:r w:rsidR="008C41CA">
        <w:rPr>
          <w:sz w:val="22"/>
          <w:szCs w:val="22"/>
        </w:rPr>
        <w:t>Ao final, o</w:t>
      </w:r>
      <w:r w:rsidR="00BB370B">
        <w:rPr>
          <w:sz w:val="22"/>
          <w:szCs w:val="22"/>
        </w:rPr>
        <w:t xml:space="preserve"> relator </w:t>
      </w:r>
      <w:r w:rsidR="005947E4">
        <w:rPr>
          <w:sz w:val="22"/>
          <w:szCs w:val="22"/>
        </w:rPr>
        <w:t>votou pelo acolhimento d</w:t>
      </w:r>
      <w:r w:rsidR="00707485" w:rsidRPr="007576E2">
        <w:rPr>
          <w:sz w:val="22"/>
          <w:szCs w:val="22"/>
        </w:rPr>
        <w:t xml:space="preserve">as razões de justificativa </w:t>
      </w:r>
      <w:r w:rsidR="005947E4">
        <w:rPr>
          <w:sz w:val="22"/>
          <w:szCs w:val="22"/>
        </w:rPr>
        <w:t>dos</w:t>
      </w:r>
      <w:r w:rsidR="007559A4">
        <w:rPr>
          <w:sz w:val="22"/>
          <w:szCs w:val="22"/>
        </w:rPr>
        <w:t xml:space="preserve"> responsáveis</w:t>
      </w:r>
      <w:r w:rsidR="005947E4">
        <w:rPr>
          <w:sz w:val="22"/>
          <w:szCs w:val="22"/>
        </w:rPr>
        <w:t>, no que foi acompanhado pelos demais ministros</w:t>
      </w:r>
      <w:r w:rsidR="007559A4">
        <w:rPr>
          <w:sz w:val="22"/>
          <w:szCs w:val="22"/>
        </w:rPr>
        <w:t>.</w:t>
      </w:r>
      <w:r w:rsidR="007C7D54">
        <w:rPr>
          <w:sz w:val="22"/>
          <w:szCs w:val="22"/>
        </w:rPr>
        <w:t xml:space="preserve"> </w:t>
      </w:r>
      <w:r w:rsidR="007C7D54" w:rsidRPr="00337E16">
        <w:rPr>
          <w:b/>
          <w:i/>
          <w:sz w:val="22"/>
          <w:szCs w:val="22"/>
        </w:rPr>
        <w:t xml:space="preserve">Acórdão n.º </w:t>
      </w:r>
      <w:r w:rsidR="007C7D54">
        <w:rPr>
          <w:b/>
          <w:i/>
          <w:sz w:val="22"/>
          <w:szCs w:val="22"/>
        </w:rPr>
        <w:t>2292</w:t>
      </w:r>
      <w:r w:rsidR="007C7D54" w:rsidRPr="00337E16">
        <w:rPr>
          <w:b/>
          <w:i/>
          <w:sz w:val="22"/>
          <w:szCs w:val="22"/>
        </w:rPr>
        <w:t>/2010</w:t>
      </w:r>
      <w:r w:rsidR="007C7D54">
        <w:rPr>
          <w:b/>
          <w:i/>
          <w:sz w:val="22"/>
          <w:szCs w:val="22"/>
        </w:rPr>
        <w:t>-Plenário</w:t>
      </w:r>
      <w:r w:rsidR="007C7D54" w:rsidRPr="00337E16">
        <w:rPr>
          <w:b/>
          <w:i/>
          <w:sz w:val="22"/>
          <w:szCs w:val="22"/>
        </w:rPr>
        <w:t>, TC-0</w:t>
      </w:r>
      <w:r w:rsidR="007C7D54">
        <w:rPr>
          <w:b/>
          <w:i/>
          <w:sz w:val="22"/>
          <w:szCs w:val="22"/>
        </w:rPr>
        <w:t>12</w:t>
      </w:r>
      <w:r w:rsidR="007C7D54" w:rsidRPr="00337E16">
        <w:rPr>
          <w:b/>
          <w:i/>
          <w:sz w:val="22"/>
          <w:szCs w:val="22"/>
        </w:rPr>
        <w:t>.</w:t>
      </w:r>
      <w:r w:rsidR="007C7D54">
        <w:rPr>
          <w:b/>
          <w:i/>
          <w:sz w:val="22"/>
          <w:szCs w:val="22"/>
        </w:rPr>
        <w:t>106</w:t>
      </w:r>
      <w:r w:rsidR="007C7D54" w:rsidRPr="00337E16">
        <w:rPr>
          <w:b/>
          <w:i/>
          <w:sz w:val="22"/>
          <w:szCs w:val="22"/>
        </w:rPr>
        <w:t>/20</w:t>
      </w:r>
      <w:r w:rsidR="007C7D54">
        <w:rPr>
          <w:b/>
          <w:i/>
          <w:sz w:val="22"/>
          <w:szCs w:val="22"/>
        </w:rPr>
        <w:t>09</w:t>
      </w:r>
      <w:r w:rsidR="007C7D54" w:rsidRPr="00337E16">
        <w:rPr>
          <w:b/>
          <w:i/>
          <w:sz w:val="22"/>
          <w:szCs w:val="22"/>
        </w:rPr>
        <w:t>-</w:t>
      </w:r>
      <w:r w:rsidR="007C7D54">
        <w:rPr>
          <w:b/>
          <w:i/>
          <w:sz w:val="22"/>
          <w:szCs w:val="22"/>
        </w:rPr>
        <w:t>6</w:t>
      </w:r>
      <w:r w:rsidR="007C7D54" w:rsidRPr="00337E16">
        <w:rPr>
          <w:b/>
          <w:i/>
          <w:sz w:val="22"/>
          <w:szCs w:val="22"/>
        </w:rPr>
        <w:t>, rel. Min</w:t>
      </w:r>
      <w:r w:rsidR="007C7D54">
        <w:rPr>
          <w:b/>
          <w:i/>
          <w:sz w:val="22"/>
          <w:szCs w:val="22"/>
        </w:rPr>
        <w:t>. José Jorge</w:t>
      </w:r>
      <w:r w:rsidR="007C7D54" w:rsidRPr="00337E16">
        <w:rPr>
          <w:b/>
          <w:i/>
          <w:sz w:val="22"/>
          <w:szCs w:val="22"/>
        </w:rPr>
        <w:t xml:space="preserve">, </w:t>
      </w:r>
      <w:r w:rsidR="007C7D54">
        <w:rPr>
          <w:b/>
          <w:i/>
          <w:sz w:val="22"/>
          <w:szCs w:val="22"/>
        </w:rPr>
        <w:t>08</w:t>
      </w:r>
      <w:r w:rsidR="007C7D54" w:rsidRPr="00337E16">
        <w:rPr>
          <w:b/>
          <w:i/>
          <w:sz w:val="22"/>
          <w:szCs w:val="22"/>
        </w:rPr>
        <w:t>.0</w:t>
      </w:r>
      <w:r w:rsidR="007C7D54">
        <w:rPr>
          <w:b/>
          <w:i/>
          <w:sz w:val="22"/>
          <w:szCs w:val="22"/>
        </w:rPr>
        <w:t>9</w:t>
      </w:r>
      <w:r w:rsidR="007C7D54" w:rsidRPr="00337E16">
        <w:rPr>
          <w:b/>
          <w:i/>
          <w:sz w:val="22"/>
          <w:szCs w:val="22"/>
        </w:rPr>
        <w:t>.2010</w:t>
      </w:r>
      <w:r w:rsidR="007C7D54" w:rsidRPr="00337E16">
        <w:rPr>
          <w:sz w:val="22"/>
          <w:szCs w:val="22"/>
        </w:rPr>
        <w:t>.</w:t>
      </w:r>
    </w:p>
    <w:p w:rsidR="00707485" w:rsidRDefault="00707485" w:rsidP="007671B6">
      <w:pPr>
        <w:pStyle w:val="Pargrafo"/>
        <w:jc w:val="both"/>
        <w:rPr>
          <w:sz w:val="22"/>
          <w:szCs w:val="22"/>
        </w:rPr>
      </w:pPr>
    </w:p>
    <w:p w:rsidR="007C7D54" w:rsidRPr="00995136" w:rsidRDefault="00995136" w:rsidP="007C7D54">
      <w:pPr>
        <w:pStyle w:val="indice"/>
        <w:spacing w:before="60" w:line="240" w:lineRule="auto"/>
        <w:rPr>
          <w:b/>
        </w:rPr>
      </w:pPr>
      <w:r w:rsidRPr="00995136">
        <w:rPr>
          <w:b/>
        </w:rPr>
        <w:t>Licitação de empreendimentos que envolvem, cumulativamente, a prestação de serviços de engenharia e o fornecimento de equipamentos</w:t>
      </w:r>
      <w:r w:rsidR="007C7D54" w:rsidRPr="00995136">
        <w:rPr>
          <w:b/>
        </w:rPr>
        <w:t>: 1 - Utilização de BDI diferenciado para a aquisição de equipamentos</w:t>
      </w:r>
    </w:p>
    <w:p w:rsidR="007C7D54" w:rsidRDefault="000D01CB" w:rsidP="00A44CD0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Por meio de</w:t>
      </w:r>
      <w:r w:rsidR="00515BCB">
        <w:rPr>
          <w:color w:val="000000"/>
          <w:sz w:val="23"/>
          <w:szCs w:val="23"/>
        </w:rPr>
        <w:t xml:space="preserve"> </w:t>
      </w:r>
      <w:r w:rsidR="00515BCB">
        <w:rPr>
          <w:sz w:val="22"/>
          <w:szCs w:val="22"/>
        </w:rPr>
        <w:t>p</w:t>
      </w:r>
      <w:r w:rsidR="005C3DFF" w:rsidRPr="00494AFF">
        <w:rPr>
          <w:sz w:val="22"/>
          <w:szCs w:val="22"/>
        </w:rPr>
        <w:t xml:space="preserve">edido de </w:t>
      </w:r>
      <w:r w:rsidR="00515BCB">
        <w:rPr>
          <w:sz w:val="22"/>
          <w:szCs w:val="22"/>
        </w:rPr>
        <w:t>r</w:t>
      </w:r>
      <w:r w:rsidR="005C3DFF" w:rsidRPr="00494AFF">
        <w:rPr>
          <w:sz w:val="22"/>
          <w:szCs w:val="22"/>
        </w:rPr>
        <w:t>eexame</w:t>
      </w:r>
      <w:r>
        <w:rPr>
          <w:sz w:val="22"/>
          <w:szCs w:val="22"/>
        </w:rPr>
        <w:t xml:space="preserve">, </w:t>
      </w:r>
      <w:r w:rsidR="005C3DFF" w:rsidRPr="00494AFF">
        <w:rPr>
          <w:sz w:val="22"/>
          <w:szCs w:val="22"/>
        </w:rPr>
        <w:t xml:space="preserve">o Consórcio Odebrecht/Andrade Gutierrez </w:t>
      </w:r>
      <w:r>
        <w:rPr>
          <w:sz w:val="22"/>
          <w:szCs w:val="22"/>
        </w:rPr>
        <w:t xml:space="preserve">insurgiu-se </w:t>
      </w:r>
      <w:r w:rsidR="005C3DFF" w:rsidRPr="00494AFF">
        <w:rPr>
          <w:sz w:val="22"/>
          <w:szCs w:val="22"/>
        </w:rPr>
        <w:t>contra o</w:t>
      </w:r>
      <w:r w:rsidR="00693B98">
        <w:rPr>
          <w:sz w:val="22"/>
          <w:szCs w:val="22"/>
        </w:rPr>
        <w:t xml:space="preserve"> conteúdo do</w:t>
      </w:r>
      <w:r w:rsidR="005C3DFF" w:rsidRPr="00494AFF">
        <w:rPr>
          <w:sz w:val="22"/>
          <w:szCs w:val="22"/>
        </w:rPr>
        <w:t xml:space="preserve">s subitens 9.2.3 e 9.2.4 do Acórdão </w:t>
      </w:r>
      <w:r w:rsidR="00693B98">
        <w:rPr>
          <w:sz w:val="22"/>
          <w:szCs w:val="22"/>
        </w:rPr>
        <w:t xml:space="preserve">n.º </w:t>
      </w:r>
      <w:r w:rsidR="005C3DFF" w:rsidRPr="00494AFF">
        <w:rPr>
          <w:sz w:val="22"/>
          <w:szCs w:val="22"/>
        </w:rPr>
        <w:t>2.</w:t>
      </w:r>
      <w:r w:rsidR="00693B98">
        <w:rPr>
          <w:sz w:val="22"/>
          <w:szCs w:val="22"/>
        </w:rPr>
        <w:t>1</w:t>
      </w:r>
      <w:r w:rsidR="005C3DFF" w:rsidRPr="00494AFF">
        <w:rPr>
          <w:sz w:val="22"/>
          <w:szCs w:val="22"/>
        </w:rPr>
        <w:t>58/2008-Plenário</w:t>
      </w:r>
      <w:r w:rsidR="0044506E">
        <w:rPr>
          <w:sz w:val="22"/>
          <w:szCs w:val="22"/>
        </w:rPr>
        <w:t>,</w:t>
      </w:r>
      <w:r w:rsidR="007559A4">
        <w:rPr>
          <w:sz w:val="22"/>
          <w:szCs w:val="22"/>
        </w:rPr>
        <w:t xml:space="preserve"> prolatado </w:t>
      </w:r>
      <w:r w:rsidR="0044506E">
        <w:rPr>
          <w:sz w:val="22"/>
          <w:szCs w:val="22"/>
        </w:rPr>
        <w:t>quando da apreciação de</w:t>
      </w:r>
      <w:r w:rsidR="007559A4">
        <w:rPr>
          <w:sz w:val="22"/>
          <w:szCs w:val="22"/>
        </w:rPr>
        <w:t xml:space="preserve"> levantamento de auditoria </w:t>
      </w:r>
      <w:r w:rsidR="0044506E">
        <w:rPr>
          <w:sz w:val="22"/>
          <w:szCs w:val="22"/>
        </w:rPr>
        <w:t>n</w:t>
      </w:r>
      <w:r w:rsidR="007559A4" w:rsidRPr="00494AFF">
        <w:rPr>
          <w:color w:val="000000"/>
          <w:sz w:val="22"/>
          <w:szCs w:val="22"/>
        </w:rPr>
        <w:t>as obras de ampliação do Porto de Itaqui/MA</w:t>
      </w:r>
      <w:r w:rsidR="007559A4">
        <w:rPr>
          <w:color w:val="000000"/>
          <w:sz w:val="22"/>
          <w:szCs w:val="22"/>
        </w:rPr>
        <w:t xml:space="preserve">, contratadas pela </w:t>
      </w:r>
      <w:r w:rsidR="007559A4" w:rsidRPr="00494AFF">
        <w:rPr>
          <w:color w:val="000000"/>
          <w:sz w:val="22"/>
          <w:szCs w:val="22"/>
        </w:rPr>
        <w:t xml:space="preserve">Empresa Maranhense de Administração Portuária </w:t>
      </w:r>
      <w:r w:rsidR="0044506E">
        <w:rPr>
          <w:color w:val="000000"/>
          <w:sz w:val="22"/>
          <w:szCs w:val="22"/>
        </w:rPr>
        <w:t>(</w:t>
      </w:r>
      <w:r w:rsidR="007559A4" w:rsidRPr="00494AFF">
        <w:rPr>
          <w:color w:val="000000"/>
          <w:sz w:val="22"/>
          <w:szCs w:val="22"/>
        </w:rPr>
        <w:t>Emap</w:t>
      </w:r>
      <w:r w:rsidR="0044506E">
        <w:rPr>
          <w:color w:val="000000"/>
          <w:sz w:val="22"/>
          <w:szCs w:val="22"/>
        </w:rPr>
        <w:t>)</w:t>
      </w:r>
      <w:r w:rsidR="007559A4">
        <w:rPr>
          <w:color w:val="000000"/>
          <w:sz w:val="22"/>
          <w:szCs w:val="22"/>
        </w:rPr>
        <w:t xml:space="preserve"> com recursos federais transferidos mediante convênio</w:t>
      </w:r>
      <w:r w:rsidR="0044506E">
        <w:rPr>
          <w:color w:val="000000"/>
          <w:sz w:val="22"/>
          <w:szCs w:val="22"/>
        </w:rPr>
        <w:t xml:space="preserve">. Tratava-se, em </w:t>
      </w:r>
      <w:r w:rsidR="005C3DFF" w:rsidRPr="00494AFF">
        <w:rPr>
          <w:sz w:val="22"/>
          <w:szCs w:val="22"/>
        </w:rPr>
        <w:t>suma, de determinação no sentido de que a E</w:t>
      </w:r>
      <w:r w:rsidR="0044506E">
        <w:rPr>
          <w:sz w:val="22"/>
          <w:szCs w:val="22"/>
        </w:rPr>
        <w:t>map</w:t>
      </w:r>
      <w:r w:rsidR="005C3DFF" w:rsidRPr="00494AFF">
        <w:rPr>
          <w:sz w:val="22"/>
          <w:szCs w:val="22"/>
        </w:rPr>
        <w:t xml:space="preserve"> efetu</w:t>
      </w:r>
      <w:r w:rsidR="0044506E">
        <w:rPr>
          <w:sz w:val="22"/>
          <w:szCs w:val="22"/>
        </w:rPr>
        <w:t>asse</w:t>
      </w:r>
      <w:r w:rsidR="005C3DFF" w:rsidRPr="00494AFF">
        <w:rPr>
          <w:sz w:val="22"/>
          <w:szCs w:val="22"/>
        </w:rPr>
        <w:t xml:space="preserve"> repactuação do Contrato </w:t>
      </w:r>
      <w:r w:rsidR="0044506E">
        <w:rPr>
          <w:sz w:val="22"/>
          <w:szCs w:val="22"/>
        </w:rPr>
        <w:t xml:space="preserve">n.º </w:t>
      </w:r>
      <w:r w:rsidR="005C3DFF" w:rsidRPr="00494AFF">
        <w:rPr>
          <w:sz w:val="22"/>
          <w:szCs w:val="22"/>
        </w:rPr>
        <w:t>68/2006, prevendo BDI diferenciado para os equipamentos complementares do cais</w:t>
      </w:r>
      <w:r w:rsidR="0044506E">
        <w:rPr>
          <w:sz w:val="22"/>
          <w:szCs w:val="22"/>
        </w:rPr>
        <w:t>,</w:t>
      </w:r>
      <w:r w:rsidR="005C3DFF" w:rsidRPr="00494AFF">
        <w:rPr>
          <w:sz w:val="22"/>
          <w:szCs w:val="22"/>
        </w:rPr>
        <w:t xml:space="preserve"> </w:t>
      </w:r>
      <w:r w:rsidR="005C3DFF" w:rsidRPr="00494AFF">
        <w:rPr>
          <w:i/>
          <w:iCs/>
          <w:sz w:val="22"/>
          <w:szCs w:val="22"/>
        </w:rPr>
        <w:t xml:space="preserve">“de forma a adotar, exclusivamente para esses equipamentos, percentuais aceitáveis e compatíveis com o empreendimento, observando-se os parâmetros usualmente admitidos pela jurisprudência do TCU, a qual indica a aceitação de percentual máximo de 10% para a simples aquisição/intermediação perante terceiros </w:t>
      </w:r>
      <w:r w:rsidR="0044506E">
        <w:rPr>
          <w:i/>
          <w:iCs/>
          <w:sz w:val="22"/>
          <w:szCs w:val="22"/>
        </w:rPr>
        <w:t>[</w:t>
      </w:r>
      <w:r w:rsidR="005C3DFF" w:rsidRPr="00494AFF">
        <w:rPr>
          <w:i/>
          <w:iCs/>
          <w:sz w:val="22"/>
          <w:szCs w:val="22"/>
        </w:rPr>
        <w:t>...</w:t>
      </w:r>
      <w:r w:rsidR="0044506E">
        <w:rPr>
          <w:i/>
          <w:iCs/>
          <w:sz w:val="22"/>
          <w:szCs w:val="22"/>
        </w:rPr>
        <w:t>]</w:t>
      </w:r>
      <w:r w:rsidR="005C3DFF" w:rsidRPr="00494AFF">
        <w:rPr>
          <w:i/>
          <w:iCs/>
          <w:sz w:val="22"/>
          <w:szCs w:val="22"/>
        </w:rPr>
        <w:t>”.</w:t>
      </w:r>
      <w:r w:rsidR="00065CDC"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Pleiteava</w:t>
      </w:r>
      <w:r w:rsidR="00065CDC">
        <w:rPr>
          <w:sz w:val="22"/>
          <w:szCs w:val="22"/>
        </w:rPr>
        <w:t xml:space="preserve"> o </w:t>
      </w:r>
      <w:r w:rsidR="00065CDC" w:rsidRPr="00CB500C">
        <w:rPr>
          <w:sz w:val="22"/>
          <w:szCs w:val="22"/>
        </w:rPr>
        <w:t>consórcio</w:t>
      </w:r>
      <w:r>
        <w:rPr>
          <w:sz w:val="22"/>
          <w:szCs w:val="22"/>
        </w:rPr>
        <w:t xml:space="preserve"> recorrente</w:t>
      </w:r>
      <w:r w:rsidR="00275CD0">
        <w:rPr>
          <w:sz w:val="22"/>
          <w:szCs w:val="22"/>
        </w:rPr>
        <w:t>, em síntese,</w:t>
      </w:r>
      <w:r w:rsidR="00065CDC" w:rsidRPr="00CB500C">
        <w:rPr>
          <w:sz w:val="22"/>
          <w:szCs w:val="22"/>
        </w:rPr>
        <w:t xml:space="preserve"> que </w:t>
      </w:r>
      <w:r w:rsidR="00065CDC">
        <w:rPr>
          <w:sz w:val="22"/>
          <w:szCs w:val="22"/>
        </w:rPr>
        <w:t>o TCU</w:t>
      </w:r>
      <w:r w:rsidR="00065CDC" w:rsidRPr="00CB500C">
        <w:rPr>
          <w:sz w:val="22"/>
          <w:szCs w:val="22"/>
        </w:rPr>
        <w:t xml:space="preserve"> julg</w:t>
      </w:r>
      <w:r w:rsidR="00065CDC">
        <w:rPr>
          <w:sz w:val="22"/>
          <w:szCs w:val="22"/>
        </w:rPr>
        <w:t>asse</w:t>
      </w:r>
      <w:r w:rsidR="00065CDC" w:rsidRPr="00CB500C">
        <w:rPr>
          <w:sz w:val="22"/>
          <w:szCs w:val="22"/>
        </w:rPr>
        <w:t xml:space="preserve"> regular a incidência do BDI de 35,92% para </w:t>
      </w:r>
      <w:r w:rsidR="00275CD0">
        <w:rPr>
          <w:sz w:val="22"/>
          <w:szCs w:val="22"/>
        </w:rPr>
        <w:t xml:space="preserve">a </w:t>
      </w:r>
      <w:r w:rsidR="00065CDC" w:rsidRPr="00CB500C">
        <w:rPr>
          <w:sz w:val="22"/>
          <w:szCs w:val="22"/>
        </w:rPr>
        <w:t>aquisição de equipamentos</w:t>
      </w:r>
      <w:r>
        <w:rPr>
          <w:sz w:val="22"/>
          <w:szCs w:val="22"/>
        </w:rPr>
        <w:t xml:space="preserve">. </w:t>
      </w:r>
      <w:r w:rsidR="00275CD0">
        <w:rPr>
          <w:sz w:val="22"/>
          <w:szCs w:val="22"/>
        </w:rPr>
        <w:t>De acordo com</w:t>
      </w:r>
      <w:r>
        <w:rPr>
          <w:sz w:val="22"/>
          <w:szCs w:val="22"/>
        </w:rPr>
        <w:t xml:space="preserve"> o relator do recurso, </w:t>
      </w:r>
      <w:r w:rsidR="00693B98">
        <w:rPr>
          <w:sz w:val="22"/>
          <w:szCs w:val="22"/>
        </w:rPr>
        <w:t>a</w:t>
      </w:r>
      <w:r>
        <w:rPr>
          <w:sz w:val="22"/>
          <w:szCs w:val="22"/>
        </w:rPr>
        <w:t xml:space="preserve"> aquisição </w:t>
      </w:r>
      <w:r w:rsidR="00065CDC" w:rsidRPr="00CB500C">
        <w:rPr>
          <w:sz w:val="22"/>
          <w:szCs w:val="22"/>
        </w:rPr>
        <w:t>apresentaria grau de complexidade bem inferior à execução da obra em si e, portanto, um custo menor</w:t>
      </w:r>
      <w:r w:rsidR="00693B98">
        <w:rPr>
          <w:sz w:val="22"/>
          <w:szCs w:val="22"/>
        </w:rPr>
        <w:t>, haja vista que</w:t>
      </w:r>
      <w:r w:rsidR="00065CDC" w:rsidRPr="00CB500C">
        <w:rPr>
          <w:sz w:val="22"/>
          <w:szCs w:val="22"/>
        </w:rPr>
        <w:t xml:space="preserve"> </w:t>
      </w:r>
      <w:r w:rsidR="00065CDC" w:rsidRPr="006F1120">
        <w:rPr>
          <w:i/>
          <w:sz w:val="22"/>
          <w:szCs w:val="22"/>
        </w:rPr>
        <w:t>“essas operações são realizadas diretamente pelo departamento de compras e não produzem reflexos sobre a mobilização e desmobilização de equipamentos e pessoal, custos de administração central, despesas fiscais, entre outras constantes de BDI.”</w:t>
      </w:r>
      <w:r w:rsidR="00065CDC" w:rsidRPr="00CB500C">
        <w:rPr>
          <w:sz w:val="22"/>
          <w:szCs w:val="22"/>
        </w:rPr>
        <w:t xml:space="preserve">. </w:t>
      </w:r>
      <w:r w:rsidR="00065CDC">
        <w:rPr>
          <w:sz w:val="22"/>
          <w:szCs w:val="22"/>
        </w:rPr>
        <w:t xml:space="preserve">Justamente por esse </w:t>
      </w:r>
      <w:r w:rsidR="00065CDC" w:rsidRPr="00CB500C">
        <w:rPr>
          <w:sz w:val="22"/>
          <w:szCs w:val="22"/>
        </w:rPr>
        <w:t>motivo</w:t>
      </w:r>
      <w:r w:rsidR="00065CDC">
        <w:rPr>
          <w:sz w:val="22"/>
          <w:szCs w:val="22"/>
        </w:rPr>
        <w:t>, ressaltou o relator,</w:t>
      </w:r>
      <w:r w:rsidR="00065CDC" w:rsidRPr="00CB500C">
        <w:rPr>
          <w:sz w:val="22"/>
          <w:szCs w:val="22"/>
        </w:rPr>
        <w:t xml:space="preserve"> </w:t>
      </w:r>
      <w:r>
        <w:rPr>
          <w:sz w:val="22"/>
          <w:szCs w:val="22"/>
        </w:rPr>
        <w:t>tem</w:t>
      </w:r>
      <w:r w:rsidR="00065CDC" w:rsidRPr="00CB500C">
        <w:rPr>
          <w:sz w:val="22"/>
          <w:szCs w:val="22"/>
        </w:rPr>
        <w:t xml:space="preserve"> </w:t>
      </w:r>
      <w:r w:rsidR="00065CDC">
        <w:rPr>
          <w:sz w:val="22"/>
          <w:szCs w:val="22"/>
        </w:rPr>
        <w:t>o TCU</w:t>
      </w:r>
      <w:r w:rsidR="00065CDC" w:rsidRPr="00CB500C">
        <w:rPr>
          <w:sz w:val="22"/>
          <w:szCs w:val="22"/>
        </w:rPr>
        <w:t>, em diversos julgados, se manifestado no sentido de que empreendimentos que contemplem a execução de serviços de engenharia e, ainda, a aquisição de equipamentos devem, preferencialmente, ser licitados em separado. Todavia, essa alternativa</w:t>
      </w:r>
      <w:r w:rsidR="00065CDC">
        <w:rPr>
          <w:sz w:val="22"/>
          <w:szCs w:val="22"/>
        </w:rPr>
        <w:t xml:space="preserve"> seria</w:t>
      </w:r>
      <w:r w:rsidR="00065CDC" w:rsidRPr="00CB500C">
        <w:rPr>
          <w:sz w:val="22"/>
          <w:szCs w:val="22"/>
        </w:rPr>
        <w:t xml:space="preserve"> inviável </w:t>
      </w:r>
      <w:r w:rsidR="00F401D3">
        <w:rPr>
          <w:sz w:val="22"/>
          <w:szCs w:val="22"/>
        </w:rPr>
        <w:t xml:space="preserve">no caso concreto, </w:t>
      </w:r>
      <w:r w:rsidR="00065CDC" w:rsidRPr="00E05E34">
        <w:rPr>
          <w:i/>
          <w:sz w:val="22"/>
          <w:szCs w:val="22"/>
        </w:rPr>
        <w:t>“em razão do momento em que se encontra o empreendimento”</w:t>
      </w:r>
      <w:r w:rsidR="00065CDC" w:rsidRPr="00CB500C">
        <w:rPr>
          <w:sz w:val="22"/>
          <w:szCs w:val="22"/>
        </w:rPr>
        <w:t xml:space="preserve">. </w:t>
      </w:r>
      <w:r w:rsidR="00693B98">
        <w:rPr>
          <w:sz w:val="22"/>
          <w:szCs w:val="22"/>
        </w:rPr>
        <w:t>A</w:t>
      </w:r>
      <w:r w:rsidR="00065CDC" w:rsidRPr="00CB500C">
        <w:rPr>
          <w:sz w:val="22"/>
          <w:szCs w:val="22"/>
        </w:rPr>
        <w:t xml:space="preserve"> </w:t>
      </w:r>
      <w:r w:rsidR="003D1C93">
        <w:rPr>
          <w:sz w:val="22"/>
          <w:szCs w:val="22"/>
        </w:rPr>
        <w:t xml:space="preserve">outra </w:t>
      </w:r>
      <w:r w:rsidR="00065CDC" w:rsidRPr="00CB500C">
        <w:rPr>
          <w:sz w:val="22"/>
          <w:szCs w:val="22"/>
        </w:rPr>
        <w:t xml:space="preserve">opção </w:t>
      </w:r>
      <w:r w:rsidR="00065CDC">
        <w:rPr>
          <w:sz w:val="22"/>
          <w:szCs w:val="22"/>
        </w:rPr>
        <w:t>seria</w:t>
      </w:r>
      <w:r w:rsidR="00065CDC" w:rsidRPr="00CB500C">
        <w:rPr>
          <w:sz w:val="22"/>
          <w:szCs w:val="22"/>
        </w:rPr>
        <w:t xml:space="preserve"> a utilização de BDI diferenciado, no mesmo contrato, para a aquisição de equipamentos, cujas despesas indiretas incorridas são significativamente inferiores. Foi essa</w:t>
      </w:r>
      <w:r w:rsidR="00065CDC">
        <w:rPr>
          <w:sz w:val="22"/>
          <w:szCs w:val="22"/>
        </w:rPr>
        <w:t>, destacou o relator,</w:t>
      </w:r>
      <w:r w:rsidR="00065CDC" w:rsidRPr="00CB500C">
        <w:rPr>
          <w:sz w:val="22"/>
          <w:szCs w:val="22"/>
        </w:rPr>
        <w:t xml:space="preserve"> a solução adotada pelo </w:t>
      </w:r>
      <w:r w:rsidR="00275CD0">
        <w:rPr>
          <w:sz w:val="22"/>
          <w:szCs w:val="22"/>
        </w:rPr>
        <w:t>TCU</w:t>
      </w:r>
      <w:r w:rsidR="00065CDC" w:rsidRPr="00CB500C">
        <w:rPr>
          <w:sz w:val="22"/>
          <w:szCs w:val="22"/>
        </w:rPr>
        <w:t xml:space="preserve"> no presente caso</w:t>
      </w:r>
      <w:r w:rsidR="00693B98">
        <w:rPr>
          <w:sz w:val="22"/>
          <w:szCs w:val="22"/>
        </w:rPr>
        <w:t xml:space="preserve">, </w:t>
      </w:r>
      <w:r w:rsidR="00275CD0">
        <w:rPr>
          <w:sz w:val="22"/>
          <w:szCs w:val="22"/>
        </w:rPr>
        <w:t>ressaltando, ainda,</w:t>
      </w:r>
      <w:r w:rsidR="00693B98">
        <w:rPr>
          <w:sz w:val="22"/>
          <w:szCs w:val="22"/>
        </w:rPr>
        <w:t xml:space="preserve"> que o </w:t>
      </w:r>
      <w:r w:rsidR="00065CDC" w:rsidRPr="00CB500C">
        <w:rPr>
          <w:sz w:val="22"/>
          <w:szCs w:val="22"/>
        </w:rPr>
        <w:t>Tribunal, recentemente, pacificou sua jurisprudência</w:t>
      </w:r>
      <w:r w:rsidR="00275CD0">
        <w:rPr>
          <w:sz w:val="22"/>
          <w:szCs w:val="22"/>
        </w:rPr>
        <w:t xml:space="preserve"> sobre a matéria</w:t>
      </w:r>
      <w:r w:rsidR="00065CDC" w:rsidRPr="00CB500C">
        <w:rPr>
          <w:sz w:val="22"/>
          <w:szCs w:val="22"/>
        </w:rPr>
        <w:t xml:space="preserve">, </w:t>
      </w:r>
      <w:r w:rsidR="00275CD0">
        <w:rPr>
          <w:sz w:val="22"/>
          <w:szCs w:val="22"/>
        </w:rPr>
        <w:t xml:space="preserve">ao editar a </w:t>
      </w:r>
      <w:r w:rsidR="00065CDC" w:rsidRPr="00CB500C">
        <w:rPr>
          <w:sz w:val="22"/>
          <w:szCs w:val="22"/>
        </w:rPr>
        <w:t>Súmula/TCU n.º 253</w:t>
      </w:r>
      <w:r w:rsidR="00065CDC">
        <w:rPr>
          <w:sz w:val="22"/>
          <w:szCs w:val="22"/>
        </w:rPr>
        <w:t>.</w:t>
      </w:r>
      <w:r w:rsidR="00944A52">
        <w:rPr>
          <w:sz w:val="22"/>
          <w:szCs w:val="22"/>
        </w:rPr>
        <w:t xml:space="preserve"> </w:t>
      </w:r>
      <w:r w:rsidR="00693B98">
        <w:rPr>
          <w:sz w:val="22"/>
          <w:szCs w:val="22"/>
        </w:rPr>
        <w:t>Com base nos fundamentos apresentados pel</w:t>
      </w:r>
      <w:r w:rsidR="00065CDC">
        <w:rPr>
          <w:sz w:val="22"/>
          <w:szCs w:val="22"/>
        </w:rPr>
        <w:t xml:space="preserve">o relator, decidiu o Plenário negar provimento ao </w:t>
      </w:r>
      <w:r w:rsidR="00693B98">
        <w:rPr>
          <w:sz w:val="22"/>
          <w:szCs w:val="22"/>
        </w:rPr>
        <w:t>pedido de reexame</w:t>
      </w:r>
      <w:r w:rsidR="00065CDC">
        <w:rPr>
          <w:sz w:val="22"/>
          <w:szCs w:val="22"/>
        </w:rPr>
        <w:t>.</w:t>
      </w:r>
      <w:r w:rsidR="00693B98">
        <w:rPr>
          <w:sz w:val="22"/>
          <w:szCs w:val="22"/>
        </w:rPr>
        <w:t xml:space="preserve"> Precedente citado: </w:t>
      </w:r>
      <w:r w:rsidR="00693B98" w:rsidRPr="00CB500C">
        <w:rPr>
          <w:sz w:val="22"/>
          <w:szCs w:val="22"/>
        </w:rPr>
        <w:t xml:space="preserve">Acórdão </w:t>
      </w:r>
      <w:r w:rsidR="00693B98">
        <w:rPr>
          <w:sz w:val="22"/>
          <w:szCs w:val="22"/>
        </w:rPr>
        <w:t xml:space="preserve">n.º </w:t>
      </w:r>
      <w:r w:rsidR="00693B98" w:rsidRPr="00CB500C">
        <w:rPr>
          <w:sz w:val="22"/>
          <w:szCs w:val="22"/>
        </w:rPr>
        <w:t>1020/2007-Plenário</w:t>
      </w:r>
      <w:r w:rsidR="00693B98">
        <w:rPr>
          <w:sz w:val="22"/>
          <w:szCs w:val="22"/>
        </w:rPr>
        <w:t>.</w:t>
      </w:r>
      <w:r w:rsidR="00065CDC">
        <w:rPr>
          <w:sz w:val="22"/>
          <w:szCs w:val="22"/>
        </w:rPr>
        <w:t xml:space="preserve"> </w:t>
      </w:r>
      <w:r w:rsidR="00065CDC" w:rsidRPr="00337E16">
        <w:rPr>
          <w:b/>
          <w:i/>
          <w:sz w:val="22"/>
          <w:szCs w:val="22"/>
        </w:rPr>
        <w:t xml:space="preserve">Acórdão n.º </w:t>
      </w:r>
      <w:r w:rsidR="00065CDC">
        <w:rPr>
          <w:b/>
          <w:i/>
          <w:sz w:val="22"/>
          <w:szCs w:val="22"/>
        </w:rPr>
        <w:t>2293</w:t>
      </w:r>
      <w:r w:rsidR="00065CDC" w:rsidRPr="00337E16">
        <w:rPr>
          <w:b/>
          <w:i/>
          <w:sz w:val="22"/>
          <w:szCs w:val="22"/>
        </w:rPr>
        <w:t>/2010</w:t>
      </w:r>
      <w:r w:rsidR="00065CDC">
        <w:rPr>
          <w:b/>
          <w:i/>
          <w:sz w:val="22"/>
          <w:szCs w:val="22"/>
        </w:rPr>
        <w:t>-Plenário</w:t>
      </w:r>
      <w:r w:rsidR="00065CDC" w:rsidRPr="00337E16">
        <w:rPr>
          <w:b/>
          <w:i/>
          <w:sz w:val="22"/>
          <w:szCs w:val="22"/>
        </w:rPr>
        <w:t>, TC-0</w:t>
      </w:r>
      <w:r w:rsidR="00065CDC">
        <w:rPr>
          <w:b/>
          <w:i/>
          <w:sz w:val="22"/>
          <w:szCs w:val="22"/>
        </w:rPr>
        <w:t>14</w:t>
      </w:r>
      <w:r w:rsidR="00065CDC" w:rsidRPr="00337E16">
        <w:rPr>
          <w:b/>
          <w:i/>
          <w:sz w:val="22"/>
          <w:szCs w:val="22"/>
        </w:rPr>
        <w:t>.</w:t>
      </w:r>
      <w:r w:rsidR="00065CDC">
        <w:rPr>
          <w:b/>
          <w:i/>
          <w:sz w:val="22"/>
          <w:szCs w:val="22"/>
        </w:rPr>
        <w:t>936</w:t>
      </w:r>
      <w:r w:rsidR="00065CDC" w:rsidRPr="00337E16">
        <w:rPr>
          <w:b/>
          <w:i/>
          <w:sz w:val="22"/>
          <w:szCs w:val="22"/>
        </w:rPr>
        <w:t>/20</w:t>
      </w:r>
      <w:r w:rsidR="00065CDC">
        <w:rPr>
          <w:b/>
          <w:i/>
          <w:sz w:val="22"/>
          <w:szCs w:val="22"/>
        </w:rPr>
        <w:t>07</w:t>
      </w:r>
      <w:r w:rsidR="00065CDC" w:rsidRPr="00337E16">
        <w:rPr>
          <w:b/>
          <w:i/>
          <w:sz w:val="22"/>
          <w:szCs w:val="22"/>
        </w:rPr>
        <w:t>-</w:t>
      </w:r>
      <w:r w:rsidR="00065CDC">
        <w:rPr>
          <w:b/>
          <w:i/>
          <w:sz w:val="22"/>
          <w:szCs w:val="22"/>
        </w:rPr>
        <w:t>1</w:t>
      </w:r>
      <w:r w:rsidR="00065CDC" w:rsidRPr="00337E16">
        <w:rPr>
          <w:b/>
          <w:i/>
          <w:sz w:val="22"/>
          <w:szCs w:val="22"/>
        </w:rPr>
        <w:t>, rel. Min</w:t>
      </w:r>
      <w:r w:rsidR="00065CDC">
        <w:rPr>
          <w:b/>
          <w:i/>
          <w:sz w:val="22"/>
          <w:szCs w:val="22"/>
        </w:rPr>
        <w:t>. José Jorge</w:t>
      </w:r>
      <w:r w:rsidR="00065CDC" w:rsidRPr="00337E16">
        <w:rPr>
          <w:b/>
          <w:i/>
          <w:sz w:val="22"/>
          <w:szCs w:val="22"/>
        </w:rPr>
        <w:t xml:space="preserve">, </w:t>
      </w:r>
      <w:r w:rsidR="00065CDC">
        <w:rPr>
          <w:b/>
          <w:i/>
          <w:sz w:val="22"/>
          <w:szCs w:val="22"/>
        </w:rPr>
        <w:t>08</w:t>
      </w:r>
      <w:r w:rsidR="00065CDC" w:rsidRPr="00337E16">
        <w:rPr>
          <w:b/>
          <w:i/>
          <w:sz w:val="22"/>
          <w:szCs w:val="22"/>
        </w:rPr>
        <w:t>.0</w:t>
      </w:r>
      <w:r w:rsidR="00065CDC">
        <w:rPr>
          <w:b/>
          <w:i/>
          <w:sz w:val="22"/>
          <w:szCs w:val="22"/>
        </w:rPr>
        <w:t>9</w:t>
      </w:r>
      <w:r w:rsidR="00065CDC" w:rsidRPr="00337E16">
        <w:rPr>
          <w:b/>
          <w:i/>
          <w:sz w:val="22"/>
          <w:szCs w:val="22"/>
        </w:rPr>
        <w:t>.2010</w:t>
      </w:r>
      <w:r w:rsidR="00065CDC" w:rsidRPr="00337E16">
        <w:rPr>
          <w:sz w:val="22"/>
          <w:szCs w:val="22"/>
        </w:rPr>
        <w:t>.</w:t>
      </w:r>
    </w:p>
    <w:p w:rsidR="007C7D54" w:rsidRDefault="007C7D54" w:rsidP="00A44CD0">
      <w:pPr>
        <w:pStyle w:val="Pargrafo"/>
        <w:jc w:val="both"/>
        <w:rPr>
          <w:sz w:val="22"/>
          <w:szCs w:val="22"/>
        </w:rPr>
      </w:pPr>
    </w:p>
    <w:p w:rsidR="00065CDC" w:rsidRPr="00275CD0" w:rsidRDefault="00275CD0" w:rsidP="00065CDC">
      <w:pPr>
        <w:pStyle w:val="indice"/>
        <w:spacing w:before="60" w:line="240" w:lineRule="auto"/>
        <w:rPr>
          <w:b/>
        </w:rPr>
      </w:pPr>
      <w:r w:rsidRPr="00275CD0">
        <w:rPr>
          <w:b/>
        </w:rPr>
        <w:t>Licitação de empreendimentos que envolvem, cumulativamente, a prestação de serviços de engenharia e o fornecimento de equipamentos</w:t>
      </w:r>
      <w:r w:rsidR="00065CDC" w:rsidRPr="00275CD0">
        <w:rPr>
          <w:b/>
        </w:rPr>
        <w:t xml:space="preserve">: 2 - </w:t>
      </w:r>
      <w:r w:rsidR="00F83759" w:rsidRPr="00275CD0">
        <w:rPr>
          <w:b/>
          <w:iCs/>
        </w:rPr>
        <w:t>A aplicação de BDI diferenciado somente a itens de fornecimento de equipamentos por terceiros não implica</w:t>
      </w:r>
      <w:r w:rsidR="0077058A" w:rsidRPr="00275CD0">
        <w:rPr>
          <w:b/>
          <w:iCs/>
        </w:rPr>
        <w:t>,</w:t>
      </w:r>
      <w:r w:rsidR="00F83759" w:rsidRPr="00275CD0">
        <w:rPr>
          <w:b/>
          <w:iCs/>
        </w:rPr>
        <w:t xml:space="preserve"> necessariamente</w:t>
      </w:r>
      <w:r w:rsidR="0077058A" w:rsidRPr="00275CD0">
        <w:rPr>
          <w:b/>
          <w:iCs/>
        </w:rPr>
        <w:t>,</w:t>
      </w:r>
      <w:r w:rsidR="00F83759" w:rsidRPr="00275CD0">
        <w:rPr>
          <w:b/>
          <w:iCs/>
        </w:rPr>
        <w:t xml:space="preserve"> o desequilíbrio econômico-financeiro da avença em desfavor da contratada</w:t>
      </w:r>
    </w:p>
    <w:p w:rsidR="00707485" w:rsidRPr="00CB500C" w:rsidRDefault="00584CC5" w:rsidP="007C7D54">
      <w:pPr>
        <w:pStyle w:val="Pargrafo"/>
        <w:jc w:val="both"/>
        <w:rPr>
          <w:sz w:val="22"/>
          <w:szCs w:val="22"/>
        </w:rPr>
      </w:pPr>
      <w:r>
        <w:rPr>
          <w:sz w:val="22"/>
          <w:szCs w:val="22"/>
        </w:rPr>
        <w:t>Ainda no</w:t>
      </w:r>
      <w:r>
        <w:rPr>
          <w:color w:val="000000"/>
          <w:sz w:val="23"/>
          <w:szCs w:val="23"/>
        </w:rPr>
        <w:t xml:space="preserve"> </w:t>
      </w:r>
      <w:r>
        <w:rPr>
          <w:sz w:val="22"/>
          <w:szCs w:val="22"/>
        </w:rPr>
        <w:t>p</w:t>
      </w:r>
      <w:r w:rsidRPr="00494AFF">
        <w:rPr>
          <w:sz w:val="22"/>
          <w:szCs w:val="22"/>
        </w:rPr>
        <w:t xml:space="preserve">edido de </w:t>
      </w:r>
      <w:r>
        <w:rPr>
          <w:sz w:val="22"/>
          <w:szCs w:val="22"/>
        </w:rPr>
        <w:t>r</w:t>
      </w:r>
      <w:r w:rsidRPr="00494AFF">
        <w:rPr>
          <w:sz w:val="22"/>
          <w:szCs w:val="22"/>
        </w:rPr>
        <w:t>eexame</w:t>
      </w:r>
      <w:r>
        <w:rPr>
          <w:sz w:val="22"/>
          <w:szCs w:val="22"/>
        </w:rPr>
        <w:t xml:space="preserve"> interposto contra </w:t>
      </w:r>
      <w:r w:rsidRPr="00494AFF">
        <w:rPr>
          <w:sz w:val="22"/>
          <w:szCs w:val="22"/>
        </w:rPr>
        <w:t>o</w:t>
      </w:r>
      <w:r>
        <w:rPr>
          <w:sz w:val="22"/>
          <w:szCs w:val="22"/>
        </w:rPr>
        <w:t xml:space="preserve"> conteúdo do</w:t>
      </w:r>
      <w:r w:rsidRPr="00494AFF">
        <w:rPr>
          <w:sz w:val="22"/>
          <w:szCs w:val="22"/>
        </w:rPr>
        <w:t xml:space="preserve">s subitens 9.2.3 e 9.2.4 do Acórdão </w:t>
      </w:r>
      <w:r>
        <w:rPr>
          <w:sz w:val="22"/>
          <w:szCs w:val="22"/>
        </w:rPr>
        <w:t xml:space="preserve">n.º </w:t>
      </w:r>
      <w:r w:rsidRPr="00494AFF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494AFF">
        <w:rPr>
          <w:sz w:val="22"/>
          <w:szCs w:val="22"/>
        </w:rPr>
        <w:t>58/2008-Plenário</w:t>
      </w:r>
      <w:r>
        <w:rPr>
          <w:sz w:val="22"/>
          <w:szCs w:val="22"/>
        </w:rPr>
        <w:t xml:space="preserve">, </w:t>
      </w:r>
      <w:r w:rsidRPr="00494AFF">
        <w:rPr>
          <w:sz w:val="22"/>
          <w:szCs w:val="22"/>
        </w:rPr>
        <w:t xml:space="preserve">o Consórcio Odebrecht/Andrade Gutierrez </w:t>
      </w:r>
      <w:r>
        <w:rPr>
          <w:sz w:val="22"/>
          <w:szCs w:val="22"/>
        </w:rPr>
        <w:t>solicitou a</w:t>
      </w:r>
      <w:r w:rsidR="005C3DFF" w:rsidRPr="00CB500C">
        <w:rPr>
          <w:sz w:val="22"/>
          <w:szCs w:val="22"/>
        </w:rPr>
        <w:t xml:space="preserve">o Tribunal </w:t>
      </w:r>
      <w:r>
        <w:rPr>
          <w:sz w:val="22"/>
          <w:szCs w:val="22"/>
        </w:rPr>
        <w:t xml:space="preserve">que </w:t>
      </w:r>
      <w:r w:rsidR="005C3DFF" w:rsidRPr="00CB500C">
        <w:rPr>
          <w:sz w:val="22"/>
          <w:szCs w:val="22"/>
        </w:rPr>
        <w:t>determin</w:t>
      </w:r>
      <w:r w:rsidR="00A44CD0">
        <w:rPr>
          <w:sz w:val="22"/>
          <w:szCs w:val="22"/>
        </w:rPr>
        <w:t>asse</w:t>
      </w:r>
      <w:r w:rsidR="005C3DFF" w:rsidRPr="00CB500C">
        <w:rPr>
          <w:sz w:val="22"/>
          <w:szCs w:val="22"/>
        </w:rPr>
        <w:t xml:space="preserve"> o reequilíbrio econômico-financeiro do </w:t>
      </w:r>
      <w:r w:rsidRPr="00494AFF">
        <w:rPr>
          <w:sz w:val="22"/>
          <w:szCs w:val="22"/>
        </w:rPr>
        <w:t xml:space="preserve">Contrato </w:t>
      </w:r>
      <w:r>
        <w:rPr>
          <w:sz w:val="22"/>
          <w:szCs w:val="22"/>
        </w:rPr>
        <w:t xml:space="preserve">n.º </w:t>
      </w:r>
      <w:r w:rsidRPr="00494AFF">
        <w:rPr>
          <w:sz w:val="22"/>
          <w:szCs w:val="22"/>
        </w:rPr>
        <w:t>68/2006</w:t>
      </w:r>
      <w:r w:rsidR="005C3DFF" w:rsidRPr="00CB500C">
        <w:rPr>
          <w:sz w:val="22"/>
          <w:szCs w:val="22"/>
        </w:rPr>
        <w:t xml:space="preserve">, caso mantida a determinação de redução do BDI para 10%, prevista no subitem 9.2.3. </w:t>
      </w:r>
      <w:r>
        <w:rPr>
          <w:sz w:val="22"/>
          <w:szCs w:val="22"/>
        </w:rPr>
        <w:t>O</w:t>
      </w:r>
      <w:r w:rsidR="005C3DFF" w:rsidRPr="00CB500C">
        <w:rPr>
          <w:sz w:val="22"/>
          <w:szCs w:val="22"/>
        </w:rPr>
        <w:t xml:space="preserve"> consórcio</w:t>
      </w:r>
      <w:r w:rsidR="006F1120">
        <w:rPr>
          <w:sz w:val="22"/>
          <w:szCs w:val="22"/>
        </w:rPr>
        <w:t xml:space="preserve"> argumentou, em síntese, que o </w:t>
      </w:r>
      <w:r w:rsidR="005C3DFF" w:rsidRPr="00CB500C">
        <w:rPr>
          <w:sz w:val="22"/>
          <w:szCs w:val="22"/>
        </w:rPr>
        <w:t xml:space="preserve">edital previa a adoção de percentual único, sem qualquer previsão para a utilização de BDI diferenciado. </w:t>
      </w:r>
      <w:r w:rsidR="00E05E34">
        <w:rPr>
          <w:sz w:val="22"/>
          <w:szCs w:val="22"/>
        </w:rPr>
        <w:t xml:space="preserve">O recorrente </w:t>
      </w:r>
      <w:r w:rsidR="008913E4">
        <w:rPr>
          <w:sz w:val="22"/>
          <w:szCs w:val="22"/>
        </w:rPr>
        <w:t>ponderou</w:t>
      </w:r>
      <w:r w:rsidR="00306DD0">
        <w:rPr>
          <w:sz w:val="22"/>
          <w:szCs w:val="22"/>
        </w:rPr>
        <w:t>, ainda</w:t>
      </w:r>
      <w:r w:rsidR="005C3DFF" w:rsidRPr="00CB500C">
        <w:rPr>
          <w:sz w:val="22"/>
          <w:szCs w:val="22"/>
        </w:rPr>
        <w:t>, que os custos de aquisição de equipamentos, mesmo que inferiores, não pode</w:t>
      </w:r>
      <w:r w:rsidR="00E05E34">
        <w:rPr>
          <w:sz w:val="22"/>
          <w:szCs w:val="22"/>
        </w:rPr>
        <w:t>ria</w:t>
      </w:r>
      <w:r w:rsidR="005C3DFF" w:rsidRPr="00CB500C">
        <w:rPr>
          <w:sz w:val="22"/>
          <w:szCs w:val="22"/>
        </w:rPr>
        <w:t xml:space="preserve">m ser separados dos demais custos envolvidos na obra, pelo simples fato de que não o foram na época da elaboração dos cálculos para definição do BDI único. </w:t>
      </w:r>
      <w:r w:rsidR="00306DD0">
        <w:rPr>
          <w:sz w:val="22"/>
          <w:szCs w:val="22"/>
        </w:rPr>
        <w:t>Ao apreciar o recurso</w:t>
      </w:r>
      <w:r w:rsidR="005C3DFF" w:rsidRPr="00CB500C">
        <w:rPr>
          <w:sz w:val="22"/>
          <w:szCs w:val="22"/>
        </w:rPr>
        <w:t>,</w:t>
      </w:r>
      <w:r w:rsidR="00E05E34">
        <w:rPr>
          <w:sz w:val="22"/>
          <w:szCs w:val="22"/>
        </w:rPr>
        <w:t xml:space="preserve"> o relator fez alusão ao Acórdão n.º </w:t>
      </w:r>
      <w:r w:rsidR="005C3DFF" w:rsidRPr="00CB500C">
        <w:rPr>
          <w:sz w:val="22"/>
          <w:szCs w:val="22"/>
        </w:rPr>
        <w:t>1.368/2010</w:t>
      </w:r>
      <w:r w:rsidR="00E05E34">
        <w:rPr>
          <w:sz w:val="22"/>
          <w:szCs w:val="22"/>
        </w:rPr>
        <w:t>-</w:t>
      </w:r>
      <w:r w:rsidR="005C3DFF" w:rsidRPr="00CB500C">
        <w:rPr>
          <w:sz w:val="22"/>
          <w:szCs w:val="22"/>
        </w:rPr>
        <w:t>Plenário</w:t>
      </w:r>
      <w:r w:rsidR="006E0FA8">
        <w:rPr>
          <w:sz w:val="22"/>
          <w:szCs w:val="22"/>
        </w:rPr>
        <w:t>, o</w:t>
      </w:r>
      <w:r w:rsidR="005C3DFF" w:rsidRPr="00CB500C">
        <w:rPr>
          <w:sz w:val="22"/>
          <w:szCs w:val="22"/>
        </w:rPr>
        <w:t>portunidade</w:t>
      </w:r>
      <w:r w:rsidR="006E0FA8">
        <w:rPr>
          <w:sz w:val="22"/>
          <w:szCs w:val="22"/>
        </w:rPr>
        <w:t xml:space="preserve"> em que </w:t>
      </w:r>
      <w:r w:rsidR="005C3DFF" w:rsidRPr="00CB500C">
        <w:rPr>
          <w:sz w:val="22"/>
          <w:szCs w:val="22"/>
        </w:rPr>
        <w:t>os mesmos elementos</w:t>
      </w:r>
      <w:r w:rsidR="00DC0D54">
        <w:rPr>
          <w:sz w:val="22"/>
          <w:szCs w:val="22"/>
        </w:rPr>
        <w:t>,</w:t>
      </w:r>
      <w:r w:rsidR="005C3DFF" w:rsidRPr="00CB500C">
        <w:rPr>
          <w:sz w:val="22"/>
          <w:szCs w:val="22"/>
        </w:rPr>
        <w:t xml:space="preserve"> ora trazidos pelo recorrente</w:t>
      </w:r>
      <w:r w:rsidR="00DC0D54">
        <w:rPr>
          <w:sz w:val="22"/>
          <w:szCs w:val="22"/>
        </w:rPr>
        <w:t>,</w:t>
      </w:r>
      <w:r w:rsidR="005C3DFF" w:rsidRPr="00CB500C">
        <w:rPr>
          <w:sz w:val="22"/>
          <w:szCs w:val="22"/>
        </w:rPr>
        <w:t xml:space="preserve"> foram examinados pelo então </w:t>
      </w:r>
      <w:r w:rsidR="006E0FA8">
        <w:rPr>
          <w:sz w:val="22"/>
          <w:szCs w:val="22"/>
        </w:rPr>
        <w:t>r</w:t>
      </w:r>
      <w:r w:rsidR="005C3DFF" w:rsidRPr="00CB500C">
        <w:rPr>
          <w:sz w:val="22"/>
          <w:szCs w:val="22"/>
        </w:rPr>
        <w:t>elator</w:t>
      </w:r>
      <w:r w:rsidR="00DC0D54">
        <w:rPr>
          <w:sz w:val="22"/>
          <w:szCs w:val="22"/>
        </w:rPr>
        <w:t xml:space="preserve"> do</w:t>
      </w:r>
      <w:r w:rsidR="005C3DFF" w:rsidRPr="00CB500C">
        <w:rPr>
          <w:sz w:val="22"/>
          <w:szCs w:val="22"/>
        </w:rPr>
        <w:t xml:space="preserve"> recurso interposto pela empresa Serveng-Civilsan S.A. em relação a outro contrato de execução de obras no mesmo Porto de Itaqui. </w:t>
      </w:r>
      <w:r w:rsidR="006E0FA8">
        <w:rPr>
          <w:sz w:val="22"/>
          <w:szCs w:val="22"/>
        </w:rPr>
        <w:t xml:space="preserve">No voto </w:t>
      </w:r>
      <w:r w:rsidR="005C3DFF" w:rsidRPr="00CB500C">
        <w:rPr>
          <w:sz w:val="22"/>
          <w:szCs w:val="22"/>
        </w:rPr>
        <w:t xml:space="preserve">condutor do referido </w:t>
      </w:r>
      <w:r w:rsidR="005C3DFF" w:rsidRPr="00CB500C">
        <w:rPr>
          <w:b/>
          <w:bCs/>
          <w:sz w:val="22"/>
          <w:szCs w:val="22"/>
        </w:rPr>
        <w:t>decisum</w:t>
      </w:r>
      <w:r w:rsidR="005C3DFF" w:rsidRPr="006E0FA8">
        <w:rPr>
          <w:bCs/>
          <w:sz w:val="22"/>
          <w:szCs w:val="22"/>
        </w:rPr>
        <w:t>,</w:t>
      </w:r>
      <w:r w:rsidR="005C3DFF" w:rsidRPr="00CB500C">
        <w:rPr>
          <w:b/>
          <w:bCs/>
          <w:sz w:val="22"/>
          <w:szCs w:val="22"/>
        </w:rPr>
        <w:t xml:space="preserve"> </w:t>
      </w:r>
      <w:r w:rsidR="006E0FA8">
        <w:rPr>
          <w:sz w:val="22"/>
          <w:szCs w:val="22"/>
        </w:rPr>
        <w:t>restou assente que</w:t>
      </w:r>
      <w:r w:rsidR="005C3DFF" w:rsidRPr="00CB500C">
        <w:rPr>
          <w:sz w:val="22"/>
          <w:szCs w:val="22"/>
        </w:rPr>
        <w:t xml:space="preserve"> </w:t>
      </w:r>
      <w:r w:rsidR="005C3DFF" w:rsidRPr="00CB500C">
        <w:rPr>
          <w:i/>
          <w:iCs/>
          <w:sz w:val="22"/>
          <w:szCs w:val="22"/>
        </w:rPr>
        <w:t xml:space="preserve">“A manutenção ou eventual aumento da taxa linear original de bonificação e despesas indiretas sobre os demais itens da planilha de preços das obras civis, excluídos os fornecimentos de bens e equipamentos por terceiros, cujo BDI deverá ser reduzido, há de ser pormenorizadamente justificado na negociação a ser realizada entre a Empresa Maranhense de Administração Portuária – Emap e a Serveng-Civilsan S.A. Empresas Associadas de Engenharia, de molde a restar demonstrada, perante esta Corte, a justa retribuição pelos serviços avençados e os custos efetivamente incorridos pela contratada. O que não se pode admitir é o fato de os cofres públicos federais deverem injustificadamente suportar contratos excessivamente onerosos ao argumento do </w:t>
      </w:r>
      <w:r w:rsidR="005C3DFF" w:rsidRPr="006E0FA8">
        <w:rPr>
          <w:b/>
          <w:i/>
          <w:iCs/>
          <w:sz w:val="22"/>
          <w:szCs w:val="22"/>
        </w:rPr>
        <w:t>pacta sunt servanda</w:t>
      </w:r>
      <w:r w:rsidR="005C3DFF" w:rsidRPr="00CB500C">
        <w:rPr>
          <w:i/>
          <w:iCs/>
          <w:sz w:val="22"/>
          <w:szCs w:val="22"/>
        </w:rPr>
        <w:t>, ou de que o instrumento convocatório não havia previsto a referida repac</w:t>
      </w:r>
      <w:r w:rsidR="00147FA3">
        <w:rPr>
          <w:i/>
          <w:iCs/>
          <w:sz w:val="22"/>
          <w:szCs w:val="22"/>
        </w:rPr>
        <w:t>tu</w:t>
      </w:r>
      <w:r w:rsidR="005C3DFF" w:rsidRPr="00CB500C">
        <w:rPr>
          <w:i/>
          <w:iCs/>
          <w:sz w:val="22"/>
          <w:szCs w:val="22"/>
        </w:rPr>
        <w:t>ação. É lógico que, em se tratando da alteração de cláusulas econômico-financeiras, há de ser estabelecido acordo bilateral entre as partes, devendo, sempre, a Administração Pública velar pela seleção da proposta que lhe seja mais vantajosa, sem prejuízo da justa retribuição ao terceiro contratado</w:t>
      </w:r>
      <w:r w:rsidR="00306DD0">
        <w:rPr>
          <w:i/>
          <w:iCs/>
          <w:sz w:val="22"/>
          <w:szCs w:val="22"/>
        </w:rPr>
        <w:t xml:space="preserve"> [...]</w:t>
      </w:r>
      <w:r w:rsidR="005C3DFF" w:rsidRPr="00CB500C">
        <w:rPr>
          <w:i/>
          <w:iCs/>
          <w:sz w:val="22"/>
          <w:szCs w:val="22"/>
        </w:rPr>
        <w:t>.</w:t>
      </w:r>
      <w:r w:rsidR="006E0FA8">
        <w:rPr>
          <w:i/>
          <w:iCs/>
          <w:sz w:val="22"/>
          <w:szCs w:val="22"/>
        </w:rPr>
        <w:t>”</w:t>
      </w:r>
      <w:r w:rsidR="005C3DFF" w:rsidRPr="006E0FA8">
        <w:rPr>
          <w:iCs/>
          <w:sz w:val="22"/>
          <w:szCs w:val="22"/>
        </w:rPr>
        <w:t xml:space="preserve"> </w:t>
      </w:r>
      <w:r w:rsidR="003D1C93">
        <w:rPr>
          <w:sz w:val="22"/>
          <w:szCs w:val="22"/>
        </w:rPr>
        <w:t>P</w:t>
      </w:r>
      <w:r w:rsidR="005C3DFF" w:rsidRPr="00CB500C">
        <w:rPr>
          <w:sz w:val="22"/>
          <w:szCs w:val="22"/>
        </w:rPr>
        <w:t xml:space="preserve">or se tratar de situação idêntica ao precedente </w:t>
      </w:r>
      <w:r w:rsidR="00DC0D54">
        <w:rPr>
          <w:sz w:val="22"/>
          <w:szCs w:val="22"/>
        </w:rPr>
        <w:t>mencionado</w:t>
      </w:r>
      <w:r w:rsidR="005C3DFF" w:rsidRPr="00CB500C">
        <w:rPr>
          <w:sz w:val="22"/>
          <w:szCs w:val="22"/>
        </w:rPr>
        <w:t xml:space="preserve">, </w:t>
      </w:r>
      <w:r w:rsidR="008913E4">
        <w:rPr>
          <w:sz w:val="22"/>
          <w:szCs w:val="22"/>
        </w:rPr>
        <w:t>o relator concluiu que não poderia</w:t>
      </w:r>
      <w:r w:rsidR="005C3DFF" w:rsidRPr="00CB500C">
        <w:rPr>
          <w:sz w:val="22"/>
          <w:szCs w:val="22"/>
        </w:rPr>
        <w:t xml:space="preserve"> haver entendimento diverso. </w:t>
      </w:r>
      <w:r w:rsidR="008913E4">
        <w:rPr>
          <w:sz w:val="22"/>
          <w:szCs w:val="22"/>
        </w:rPr>
        <w:t>Nesse sentido</w:t>
      </w:r>
      <w:r w:rsidR="001436D4">
        <w:rPr>
          <w:sz w:val="22"/>
          <w:szCs w:val="22"/>
        </w:rPr>
        <w:t xml:space="preserve">, </w:t>
      </w:r>
      <w:r w:rsidR="00AF2843">
        <w:rPr>
          <w:sz w:val="22"/>
          <w:szCs w:val="22"/>
        </w:rPr>
        <w:t xml:space="preserve">acompanhando </w:t>
      </w:r>
      <w:r w:rsidR="008913E4">
        <w:rPr>
          <w:sz w:val="22"/>
          <w:szCs w:val="22"/>
        </w:rPr>
        <w:t xml:space="preserve">o </w:t>
      </w:r>
      <w:r w:rsidR="00AF2843">
        <w:rPr>
          <w:sz w:val="22"/>
          <w:szCs w:val="22"/>
        </w:rPr>
        <w:t xml:space="preserve">seu </w:t>
      </w:r>
      <w:r w:rsidR="008913E4">
        <w:rPr>
          <w:sz w:val="22"/>
          <w:szCs w:val="22"/>
        </w:rPr>
        <w:t xml:space="preserve">voto, </w:t>
      </w:r>
      <w:r w:rsidR="001436D4">
        <w:rPr>
          <w:sz w:val="22"/>
          <w:szCs w:val="22"/>
        </w:rPr>
        <w:t xml:space="preserve">decidiu o Plenário negar provimento ao recurso. Precedentes citados: </w:t>
      </w:r>
      <w:r w:rsidR="0099292D" w:rsidRPr="00CB500C">
        <w:rPr>
          <w:sz w:val="22"/>
          <w:szCs w:val="22"/>
        </w:rPr>
        <w:t xml:space="preserve">Acórdãos </w:t>
      </w:r>
      <w:r w:rsidR="001436D4">
        <w:rPr>
          <w:sz w:val="22"/>
          <w:szCs w:val="22"/>
        </w:rPr>
        <w:t>n.</w:t>
      </w:r>
      <w:r w:rsidR="001436D4" w:rsidRPr="001436D4">
        <w:rPr>
          <w:sz w:val="22"/>
          <w:szCs w:val="22"/>
          <w:vertAlign w:val="superscript"/>
        </w:rPr>
        <w:t>os</w:t>
      </w:r>
      <w:r w:rsidR="001436D4">
        <w:rPr>
          <w:sz w:val="22"/>
          <w:szCs w:val="22"/>
        </w:rPr>
        <w:t xml:space="preserve"> </w:t>
      </w:r>
      <w:r w:rsidR="0099292D" w:rsidRPr="00CB500C">
        <w:rPr>
          <w:sz w:val="22"/>
          <w:szCs w:val="22"/>
        </w:rPr>
        <w:t>159/2003, 1</w:t>
      </w:r>
      <w:r w:rsidR="001436D4">
        <w:rPr>
          <w:sz w:val="22"/>
          <w:szCs w:val="22"/>
        </w:rPr>
        <w:t>.</w:t>
      </w:r>
      <w:r w:rsidR="0099292D" w:rsidRPr="00CB500C">
        <w:rPr>
          <w:sz w:val="22"/>
          <w:szCs w:val="22"/>
        </w:rPr>
        <w:t>914/2003, 1</w:t>
      </w:r>
      <w:r w:rsidR="001436D4">
        <w:rPr>
          <w:sz w:val="22"/>
          <w:szCs w:val="22"/>
        </w:rPr>
        <w:t>.</w:t>
      </w:r>
      <w:r w:rsidR="0099292D" w:rsidRPr="00CB500C">
        <w:rPr>
          <w:sz w:val="22"/>
          <w:szCs w:val="22"/>
        </w:rPr>
        <w:t xml:space="preserve">601/2004, 446/2005, </w:t>
      </w:r>
      <w:r w:rsidR="001436D4" w:rsidRPr="00CB500C">
        <w:rPr>
          <w:sz w:val="22"/>
          <w:szCs w:val="22"/>
        </w:rPr>
        <w:t>1</w:t>
      </w:r>
      <w:r w:rsidR="001436D4">
        <w:rPr>
          <w:sz w:val="22"/>
          <w:szCs w:val="22"/>
        </w:rPr>
        <w:t>.</w:t>
      </w:r>
      <w:r w:rsidR="001436D4" w:rsidRPr="00CB500C">
        <w:rPr>
          <w:sz w:val="22"/>
          <w:szCs w:val="22"/>
        </w:rPr>
        <w:t>566/2005</w:t>
      </w:r>
      <w:r w:rsidR="001436D4">
        <w:rPr>
          <w:sz w:val="22"/>
          <w:szCs w:val="22"/>
        </w:rPr>
        <w:t xml:space="preserve">, </w:t>
      </w:r>
      <w:r w:rsidR="0099292D" w:rsidRPr="00CB500C">
        <w:rPr>
          <w:sz w:val="22"/>
          <w:szCs w:val="22"/>
        </w:rPr>
        <w:t>1</w:t>
      </w:r>
      <w:r w:rsidR="001436D4">
        <w:rPr>
          <w:sz w:val="22"/>
          <w:szCs w:val="22"/>
        </w:rPr>
        <w:t>.</w:t>
      </w:r>
      <w:r w:rsidR="0099292D" w:rsidRPr="00CB500C">
        <w:rPr>
          <w:sz w:val="22"/>
          <w:szCs w:val="22"/>
        </w:rPr>
        <w:t>020/2007 e 2</w:t>
      </w:r>
      <w:r w:rsidR="001436D4">
        <w:rPr>
          <w:sz w:val="22"/>
          <w:szCs w:val="22"/>
        </w:rPr>
        <w:t>.</w:t>
      </w:r>
      <w:r w:rsidR="0099292D" w:rsidRPr="00CB500C">
        <w:rPr>
          <w:sz w:val="22"/>
          <w:szCs w:val="22"/>
        </w:rPr>
        <w:t>875/2008, todos do Plenário</w:t>
      </w:r>
      <w:r w:rsidR="001436D4">
        <w:rPr>
          <w:sz w:val="22"/>
          <w:szCs w:val="22"/>
        </w:rPr>
        <w:t>.</w:t>
      </w:r>
      <w:r w:rsidR="00065CDC">
        <w:rPr>
          <w:sz w:val="22"/>
          <w:szCs w:val="22"/>
        </w:rPr>
        <w:t xml:space="preserve"> </w:t>
      </w:r>
      <w:r w:rsidR="00065CDC" w:rsidRPr="00337E16">
        <w:rPr>
          <w:b/>
          <w:i/>
          <w:sz w:val="22"/>
          <w:szCs w:val="22"/>
        </w:rPr>
        <w:t xml:space="preserve">Acórdão n.º </w:t>
      </w:r>
      <w:r w:rsidR="00065CDC">
        <w:rPr>
          <w:b/>
          <w:i/>
          <w:sz w:val="22"/>
          <w:szCs w:val="22"/>
        </w:rPr>
        <w:t>2293</w:t>
      </w:r>
      <w:r w:rsidR="00065CDC" w:rsidRPr="00337E16">
        <w:rPr>
          <w:b/>
          <w:i/>
          <w:sz w:val="22"/>
          <w:szCs w:val="22"/>
        </w:rPr>
        <w:t>/2010</w:t>
      </w:r>
      <w:r w:rsidR="00065CDC">
        <w:rPr>
          <w:b/>
          <w:i/>
          <w:sz w:val="22"/>
          <w:szCs w:val="22"/>
        </w:rPr>
        <w:t>-Plenário</w:t>
      </w:r>
      <w:r w:rsidR="00065CDC" w:rsidRPr="00337E16">
        <w:rPr>
          <w:b/>
          <w:i/>
          <w:sz w:val="22"/>
          <w:szCs w:val="22"/>
        </w:rPr>
        <w:t>, TC-0</w:t>
      </w:r>
      <w:r w:rsidR="00065CDC">
        <w:rPr>
          <w:b/>
          <w:i/>
          <w:sz w:val="22"/>
          <w:szCs w:val="22"/>
        </w:rPr>
        <w:t>14</w:t>
      </w:r>
      <w:r w:rsidR="00065CDC" w:rsidRPr="00337E16">
        <w:rPr>
          <w:b/>
          <w:i/>
          <w:sz w:val="22"/>
          <w:szCs w:val="22"/>
        </w:rPr>
        <w:t>.</w:t>
      </w:r>
      <w:r w:rsidR="00065CDC">
        <w:rPr>
          <w:b/>
          <w:i/>
          <w:sz w:val="22"/>
          <w:szCs w:val="22"/>
        </w:rPr>
        <w:t>936</w:t>
      </w:r>
      <w:r w:rsidR="00065CDC" w:rsidRPr="00337E16">
        <w:rPr>
          <w:b/>
          <w:i/>
          <w:sz w:val="22"/>
          <w:szCs w:val="22"/>
        </w:rPr>
        <w:t>/20</w:t>
      </w:r>
      <w:r w:rsidR="00065CDC">
        <w:rPr>
          <w:b/>
          <w:i/>
          <w:sz w:val="22"/>
          <w:szCs w:val="22"/>
        </w:rPr>
        <w:t>07</w:t>
      </w:r>
      <w:r w:rsidR="00065CDC" w:rsidRPr="00337E16">
        <w:rPr>
          <w:b/>
          <w:i/>
          <w:sz w:val="22"/>
          <w:szCs w:val="22"/>
        </w:rPr>
        <w:t>-</w:t>
      </w:r>
      <w:r w:rsidR="00065CDC">
        <w:rPr>
          <w:b/>
          <w:i/>
          <w:sz w:val="22"/>
          <w:szCs w:val="22"/>
        </w:rPr>
        <w:t>1</w:t>
      </w:r>
      <w:r w:rsidR="00065CDC" w:rsidRPr="00337E16">
        <w:rPr>
          <w:b/>
          <w:i/>
          <w:sz w:val="22"/>
          <w:szCs w:val="22"/>
        </w:rPr>
        <w:t>, rel. Min</w:t>
      </w:r>
      <w:r w:rsidR="00065CDC">
        <w:rPr>
          <w:b/>
          <w:i/>
          <w:sz w:val="22"/>
          <w:szCs w:val="22"/>
        </w:rPr>
        <w:t>. José Jorge</w:t>
      </w:r>
      <w:r w:rsidR="00065CDC" w:rsidRPr="00337E16">
        <w:rPr>
          <w:b/>
          <w:i/>
          <w:sz w:val="22"/>
          <w:szCs w:val="22"/>
        </w:rPr>
        <w:t xml:space="preserve">, </w:t>
      </w:r>
      <w:r w:rsidR="00065CDC">
        <w:rPr>
          <w:b/>
          <w:i/>
          <w:sz w:val="22"/>
          <w:szCs w:val="22"/>
        </w:rPr>
        <w:t>08</w:t>
      </w:r>
      <w:r w:rsidR="00065CDC" w:rsidRPr="00337E16">
        <w:rPr>
          <w:b/>
          <w:i/>
          <w:sz w:val="22"/>
          <w:szCs w:val="22"/>
        </w:rPr>
        <w:t>.0</w:t>
      </w:r>
      <w:r w:rsidR="00065CDC">
        <w:rPr>
          <w:b/>
          <w:i/>
          <w:sz w:val="22"/>
          <w:szCs w:val="22"/>
        </w:rPr>
        <w:t>9</w:t>
      </w:r>
      <w:r w:rsidR="00065CDC" w:rsidRPr="00337E16">
        <w:rPr>
          <w:b/>
          <w:i/>
          <w:sz w:val="22"/>
          <w:szCs w:val="22"/>
        </w:rPr>
        <w:t>.2010</w:t>
      </w:r>
      <w:r w:rsidR="00065CDC" w:rsidRPr="00337E16">
        <w:rPr>
          <w:sz w:val="22"/>
          <w:szCs w:val="22"/>
        </w:rPr>
        <w:t>.</w:t>
      </w:r>
    </w:p>
    <w:p w:rsidR="00707485" w:rsidRPr="00CB500C" w:rsidRDefault="00707485" w:rsidP="00CB500C">
      <w:pPr>
        <w:pStyle w:val="Pargrafo"/>
        <w:jc w:val="both"/>
        <w:rPr>
          <w:sz w:val="22"/>
          <w:szCs w:val="22"/>
        </w:rPr>
      </w:pPr>
    </w:p>
    <w:p w:rsidR="00484046" w:rsidRPr="00484046" w:rsidRDefault="00484046" w:rsidP="00484046">
      <w:pPr>
        <w:pStyle w:val="indice"/>
        <w:spacing w:before="60" w:line="240" w:lineRule="auto"/>
        <w:rPr>
          <w:b/>
        </w:rPr>
      </w:pPr>
      <w:r w:rsidRPr="00484046">
        <w:rPr>
          <w:b/>
        </w:rPr>
        <w:t>Cessão de uso onerosa: 1 - Divisão da contraprestação pela cessão de uso em duas parcelas, uma a título de cessão de uso e outra a título de “apoio institucional”</w:t>
      </w:r>
    </w:p>
    <w:p w:rsidR="00484046" w:rsidRDefault="00135345" w:rsidP="00135345">
      <w:pPr>
        <w:pStyle w:val="Pargraf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relator c</w:t>
      </w:r>
      <w:r w:rsidR="005C3DFF" w:rsidRPr="00CB500C">
        <w:rPr>
          <w:color w:val="000000"/>
          <w:sz w:val="22"/>
          <w:szCs w:val="22"/>
        </w:rPr>
        <w:t>omunico</w:t>
      </w:r>
      <w:r>
        <w:rPr>
          <w:color w:val="000000"/>
          <w:sz w:val="22"/>
          <w:szCs w:val="22"/>
        </w:rPr>
        <w:t xml:space="preserve">u ao Plenário haver adotado medida cautelar </w:t>
      </w:r>
      <w:r w:rsidR="008C4F0F">
        <w:rPr>
          <w:color w:val="000000"/>
          <w:sz w:val="22"/>
          <w:szCs w:val="22"/>
        </w:rPr>
        <w:t xml:space="preserve">determinando ao </w:t>
      </w:r>
      <w:r w:rsidR="008C4F0F" w:rsidRPr="00CB500C">
        <w:rPr>
          <w:color w:val="000000"/>
          <w:sz w:val="22"/>
          <w:szCs w:val="22"/>
        </w:rPr>
        <w:t xml:space="preserve">Tribunal Regional do Trabalho da 14ª Região </w:t>
      </w:r>
      <w:r w:rsidR="008C4F0F">
        <w:rPr>
          <w:color w:val="000000"/>
          <w:sz w:val="22"/>
          <w:szCs w:val="22"/>
        </w:rPr>
        <w:t xml:space="preserve">que se abstivesse de </w:t>
      </w:r>
      <w:r w:rsidR="008C4F0F" w:rsidRPr="00135345">
        <w:rPr>
          <w:color w:val="000000"/>
          <w:sz w:val="22"/>
          <w:szCs w:val="22"/>
        </w:rPr>
        <w:t>dar prosseguimento à Concorrência n</w:t>
      </w:r>
      <w:r w:rsidR="008C4F0F">
        <w:rPr>
          <w:color w:val="000000"/>
          <w:sz w:val="22"/>
          <w:szCs w:val="22"/>
        </w:rPr>
        <w:t>.</w:t>
      </w:r>
      <w:r w:rsidR="008C4F0F" w:rsidRPr="00135345">
        <w:rPr>
          <w:color w:val="000000"/>
          <w:sz w:val="22"/>
          <w:szCs w:val="22"/>
        </w:rPr>
        <w:t>º 1/2010</w:t>
      </w:r>
      <w:r w:rsidR="006056FF">
        <w:rPr>
          <w:color w:val="000000"/>
          <w:sz w:val="22"/>
          <w:szCs w:val="22"/>
        </w:rPr>
        <w:t xml:space="preserve">, cujo </w:t>
      </w:r>
      <w:r w:rsidR="005C3DFF" w:rsidRPr="00CB500C">
        <w:rPr>
          <w:color w:val="000000"/>
          <w:sz w:val="22"/>
          <w:szCs w:val="22"/>
        </w:rPr>
        <w:t xml:space="preserve">objeto </w:t>
      </w:r>
      <w:r w:rsidR="00110E73">
        <w:rPr>
          <w:color w:val="000000"/>
          <w:sz w:val="22"/>
          <w:szCs w:val="22"/>
        </w:rPr>
        <w:t>é</w:t>
      </w:r>
      <w:r w:rsidR="006056FF">
        <w:rPr>
          <w:color w:val="000000"/>
          <w:sz w:val="22"/>
          <w:szCs w:val="22"/>
        </w:rPr>
        <w:t xml:space="preserve"> </w:t>
      </w:r>
      <w:r w:rsidR="005C3DFF" w:rsidRPr="00CB500C">
        <w:rPr>
          <w:color w:val="000000"/>
          <w:sz w:val="22"/>
          <w:szCs w:val="22"/>
        </w:rPr>
        <w:t xml:space="preserve">a cessão de uso, a título oneroso, de três espaços situados em seu edifício-sede, </w:t>
      </w:r>
      <w:smartTag w:uri="urn:schemas-microsoft-com:office:smarttags" w:element="PersonName">
        <w:smartTagPr>
          <w:attr w:name="ProductID" w:val="em Porto Velho"/>
        </w:smartTagPr>
        <w:r w:rsidR="005C3DFF" w:rsidRPr="00CB500C">
          <w:rPr>
            <w:color w:val="000000"/>
            <w:sz w:val="22"/>
            <w:szCs w:val="22"/>
          </w:rPr>
          <w:t>em Porto Velho</w:t>
        </w:r>
      </w:smartTag>
      <w:r w:rsidR="005C3DFF" w:rsidRPr="00CB500C">
        <w:rPr>
          <w:color w:val="000000"/>
          <w:sz w:val="22"/>
          <w:szCs w:val="22"/>
        </w:rPr>
        <w:t xml:space="preserve">, destinados à exploração de posto de atendimento bancário (PAB) e/ou posto de atendimento cooperado (PAC). </w:t>
      </w:r>
      <w:r w:rsidR="00683A88">
        <w:rPr>
          <w:color w:val="000000"/>
          <w:sz w:val="22"/>
          <w:szCs w:val="22"/>
        </w:rPr>
        <w:t>Em seu despacho, o relator ressaltou que, m</w:t>
      </w:r>
      <w:r w:rsidR="005C3DFF" w:rsidRPr="00CB500C">
        <w:rPr>
          <w:color w:val="000000"/>
          <w:sz w:val="22"/>
          <w:szCs w:val="22"/>
        </w:rPr>
        <w:t>uito embora o objeto do contrato seja a cessão de uso dos referidos espaços físicos para o exercício de atividades econômicas específicas, a contrapartida do contratado é composta pela soma de uma parcela referente à cessão de uso e de outra a título de “apoio institucional”</w:t>
      </w:r>
      <w:r w:rsidR="00683A88">
        <w:rPr>
          <w:color w:val="000000"/>
          <w:sz w:val="22"/>
          <w:szCs w:val="22"/>
        </w:rPr>
        <w:t>,</w:t>
      </w:r>
      <w:r w:rsidR="005C3DFF" w:rsidRPr="00CB500C">
        <w:rPr>
          <w:color w:val="000000"/>
          <w:sz w:val="22"/>
          <w:szCs w:val="22"/>
        </w:rPr>
        <w:t xml:space="preserve"> figura cujo significado jurídico-contratual </w:t>
      </w:r>
      <w:r w:rsidR="00683A88" w:rsidRPr="00683A88">
        <w:rPr>
          <w:i/>
          <w:color w:val="000000"/>
          <w:sz w:val="22"/>
          <w:szCs w:val="22"/>
        </w:rPr>
        <w:t>“</w:t>
      </w:r>
      <w:r w:rsidR="005C3DFF" w:rsidRPr="00683A88">
        <w:rPr>
          <w:i/>
          <w:color w:val="000000"/>
          <w:sz w:val="22"/>
          <w:szCs w:val="22"/>
        </w:rPr>
        <w:t>é desconhecido no presente caso</w:t>
      </w:r>
      <w:r w:rsidR="00683A88" w:rsidRPr="00683A88">
        <w:rPr>
          <w:i/>
          <w:color w:val="000000"/>
          <w:sz w:val="22"/>
          <w:szCs w:val="22"/>
        </w:rPr>
        <w:t>”</w:t>
      </w:r>
      <w:r w:rsidR="005C3DFF" w:rsidRPr="00CB500C">
        <w:rPr>
          <w:color w:val="000000"/>
          <w:sz w:val="22"/>
          <w:szCs w:val="22"/>
        </w:rPr>
        <w:t xml:space="preserve">. </w:t>
      </w:r>
      <w:r w:rsidR="006056FF">
        <w:rPr>
          <w:color w:val="000000"/>
          <w:sz w:val="22"/>
          <w:szCs w:val="22"/>
        </w:rPr>
        <w:t>Num</w:t>
      </w:r>
      <w:r w:rsidR="005C3DFF" w:rsidRPr="00CB500C">
        <w:rPr>
          <w:color w:val="000000"/>
          <w:sz w:val="22"/>
          <w:szCs w:val="22"/>
        </w:rPr>
        <w:t xml:space="preserve"> </w:t>
      </w:r>
      <w:r w:rsidR="006056FF">
        <w:rPr>
          <w:color w:val="000000"/>
          <w:sz w:val="22"/>
          <w:szCs w:val="22"/>
        </w:rPr>
        <w:t xml:space="preserve">juízo de </w:t>
      </w:r>
      <w:r w:rsidR="005C3DFF" w:rsidRPr="00CB500C">
        <w:rPr>
          <w:color w:val="000000"/>
          <w:sz w:val="22"/>
          <w:szCs w:val="22"/>
        </w:rPr>
        <w:t xml:space="preserve">cognição sumária, </w:t>
      </w:r>
      <w:r w:rsidR="00683A88">
        <w:rPr>
          <w:color w:val="000000"/>
          <w:sz w:val="22"/>
          <w:szCs w:val="22"/>
        </w:rPr>
        <w:t xml:space="preserve">o relator </w:t>
      </w:r>
      <w:r w:rsidR="005C3DFF" w:rsidRPr="00CB500C">
        <w:rPr>
          <w:color w:val="000000"/>
          <w:sz w:val="22"/>
          <w:szCs w:val="22"/>
        </w:rPr>
        <w:t>não identifico</w:t>
      </w:r>
      <w:r w:rsidR="00683A88">
        <w:rPr>
          <w:color w:val="000000"/>
          <w:sz w:val="22"/>
          <w:szCs w:val="22"/>
        </w:rPr>
        <w:t>u</w:t>
      </w:r>
      <w:r w:rsidR="005C3DFF" w:rsidRPr="00CB500C">
        <w:rPr>
          <w:color w:val="000000"/>
          <w:sz w:val="22"/>
          <w:szCs w:val="22"/>
        </w:rPr>
        <w:t xml:space="preserve"> nos autos nada que evidenci</w:t>
      </w:r>
      <w:r w:rsidR="00683A88">
        <w:rPr>
          <w:color w:val="000000"/>
          <w:sz w:val="22"/>
          <w:szCs w:val="22"/>
        </w:rPr>
        <w:t>asse</w:t>
      </w:r>
      <w:r w:rsidR="005C3DFF" w:rsidRPr="00CB500C">
        <w:rPr>
          <w:color w:val="000000"/>
          <w:sz w:val="22"/>
          <w:szCs w:val="22"/>
        </w:rPr>
        <w:t xml:space="preserve"> a razão de ser dessa divisão, e a pertinência de se fazê-la para </w:t>
      </w:r>
      <w:r w:rsidR="006056FF">
        <w:rPr>
          <w:color w:val="000000"/>
          <w:sz w:val="22"/>
          <w:szCs w:val="22"/>
        </w:rPr>
        <w:t>fim</w:t>
      </w:r>
      <w:r w:rsidR="005C3DFF" w:rsidRPr="00CB500C">
        <w:rPr>
          <w:color w:val="000000"/>
          <w:sz w:val="22"/>
          <w:szCs w:val="22"/>
        </w:rPr>
        <w:t xml:space="preserve"> de melhor condução do procedimento licitatório em curso.</w:t>
      </w:r>
      <w:r w:rsidR="00484046">
        <w:rPr>
          <w:color w:val="000000"/>
          <w:sz w:val="22"/>
          <w:szCs w:val="22"/>
        </w:rPr>
        <w:t xml:space="preserve"> O Plenário referendou a cautelar.</w:t>
      </w:r>
      <w:r w:rsidR="00484046" w:rsidRPr="00484046">
        <w:rPr>
          <w:b/>
          <w:i/>
          <w:sz w:val="22"/>
          <w:szCs w:val="22"/>
        </w:rPr>
        <w:t xml:space="preserve"> </w:t>
      </w:r>
      <w:r w:rsidR="00484046">
        <w:rPr>
          <w:b/>
          <w:i/>
          <w:sz w:val="22"/>
          <w:szCs w:val="22"/>
        </w:rPr>
        <w:t>Decisão monocrática</w:t>
      </w:r>
      <w:r w:rsidR="00484046" w:rsidRPr="00337E16">
        <w:rPr>
          <w:b/>
          <w:i/>
          <w:sz w:val="22"/>
          <w:szCs w:val="22"/>
        </w:rPr>
        <w:t xml:space="preserve"> </w:t>
      </w:r>
      <w:r w:rsidR="00484046">
        <w:rPr>
          <w:b/>
          <w:i/>
          <w:sz w:val="22"/>
          <w:szCs w:val="22"/>
        </w:rPr>
        <w:t>no</w:t>
      </w:r>
      <w:r w:rsidR="00484046" w:rsidRPr="00337E16">
        <w:rPr>
          <w:b/>
          <w:i/>
          <w:sz w:val="22"/>
          <w:szCs w:val="22"/>
        </w:rPr>
        <w:t xml:space="preserve"> TC-0</w:t>
      </w:r>
      <w:r w:rsidR="00484046">
        <w:rPr>
          <w:b/>
          <w:i/>
          <w:sz w:val="22"/>
          <w:szCs w:val="22"/>
        </w:rPr>
        <w:t>22</w:t>
      </w:r>
      <w:r w:rsidR="00484046" w:rsidRPr="00337E16">
        <w:rPr>
          <w:b/>
          <w:i/>
          <w:sz w:val="22"/>
          <w:szCs w:val="22"/>
        </w:rPr>
        <w:t>.</w:t>
      </w:r>
      <w:r w:rsidR="00484046">
        <w:rPr>
          <w:b/>
          <w:i/>
          <w:sz w:val="22"/>
          <w:szCs w:val="22"/>
        </w:rPr>
        <w:t>606</w:t>
      </w:r>
      <w:r w:rsidR="00484046" w:rsidRPr="00337E16">
        <w:rPr>
          <w:b/>
          <w:i/>
          <w:sz w:val="22"/>
          <w:szCs w:val="22"/>
        </w:rPr>
        <w:t>/20</w:t>
      </w:r>
      <w:r w:rsidR="00484046">
        <w:rPr>
          <w:b/>
          <w:i/>
          <w:sz w:val="22"/>
          <w:szCs w:val="22"/>
        </w:rPr>
        <w:t>10</w:t>
      </w:r>
      <w:r w:rsidR="00484046" w:rsidRPr="00337E16">
        <w:rPr>
          <w:b/>
          <w:i/>
          <w:sz w:val="22"/>
          <w:szCs w:val="22"/>
        </w:rPr>
        <w:t>-</w:t>
      </w:r>
      <w:r w:rsidR="00484046">
        <w:rPr>
          <w:b/>
          <w:i/>
          <w:sz w:val="22"/>
          <w:szCs w:val="22"/>
        </w:rPr>
        <w:t>6</w:t>
      </w:r>
      <w:r w:rsidR="00484046" w:rsidRPr="00337E16">
        <w:rPr>
          <w:b/>
          <w:i/>
          <w:sz w:val="22"/>
          <w:szCs w:val="22"/>
        </w:rPr>
        <w:t>, rel. Min</w:t>
      </w:r>
      <w:r w:rsidR="00484046">
        <w:rPr>
          <w:b/>
          <w:i/>
          <w:sz w:val="22"/>
          <w:szCs w:val="22"/>
        </w:rPr>
        <w:t>-Subst. Weder de Oliveira</w:t>
      </w:r>
      <w:r w:rsidR="00484046" w:rsidRPr="00337E16">
        <w:rPr>
          <w:b/>
          <w:i/>
          <w:sz w:val="22"/>
          <w:szCs w:val="22"/>
        </w:rPr>
        <w:t xml:space="preserve">, </w:t>
      </w:r>
      <w:r w:rsidR="00484046">
        <w:rPr>
          <w:b/>
          <w:i/>
          <w:sz w:val="22"/>
          <w:szCs w:val="22"/>
        </w:rPr>
        <w:t>08</w:t>
      </w:r>
      <w:r w:rsidR="00484046" w:rsidRPr="00337E16">
        <w:rPr>
          <w:b/>
          <w:i/>
          <w:sz w:val="22"/>
          <w:szCs w:val="22"/>
        </w:rPr>
        <w:t>.0</w:t>
      </w:r>
      <w:r w:rsidR="00484046">
        <w:rPr>
          <w:b/>
          <w:i/>
          <w:sz w:val="22"/>
          <w:szCs w:val="22"/>
        </w:rPr>
        <w:t>9</w:t>
      </w:r>
      <w:r w:rsidR="00484046" w:rsidRPr="00337E16">
        <w:rPr>
          <w:b/>
          <w:i/>
          <w:sz w:val="22"/>
          <w:szCs w:val="22"/>
        </w:rPr>
        <w:t>.2010</w:t>
      </w:r>
      <w:r w:rsidR="00484046" w:rsidRPr="00484046">
        <w:rPr>
          <w:sz w:val="22"/>
          <w:szCs w:val="22"/>
        </w:rPr>
        <w:t>.</w:t>
      </w:r>
    </w:p>
    <w:p w:rsidR="00484046" w:rsidRDefault="00484046" w:rsidP="00135345">
      <w:pPr>
        <w:pStyle w:val="Pargrafo"/>
        <w:jc w:val="both"/>
        <w:rPr>
          <w:color w:val="000000"/>
          <w:sz w:val="22"/>
          <w:szCs w:val="22"/>
        </w:rPr>
      </w:pPr>
    </w:p>
    <w:p w:rsidR="00484046" w:rsidRPr="00484046" w:rsidRDefault="00484046" w:rsidP="00484046">
      <w:pPr>
        <w:pStyle w:val="indice"/>
        <w:spacing w:before="60" w:line="240" w:lineRule="auto"/>
        <w:rPr>
          <w:b/>
        </w:rPr>
      </w:pPr>
      <w:r w:rsidRPr="00484046">
        <w:rPr>
          <w:b/>
        </w:rPr>
        <w:t>Cessão de uso onerosa: 2 - Adoção da taxa Selic como critério de reajuste de preços</w:t>
      </w:r>
    </w:p>
    <w:p w:rsidR="005C3DFF" w:rsidRPr="00135345" w:rsidRDefault="00110E73" w:rsidP="00135345">
      <w:pPr>
        <w:pStyle w:val="Pargraf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Ainda quanto à </w:t>
      </w:r>
      <w:r w:rsidRPr="00135345">
        <w:rPr>
          <w:color w:val="000000"/>
          <w:sz w:val="22"/>
          <w:szCs w:val="22"/>
        </w:rPr>
        <w:t>Concorrência n</w:t>
      </w:r>
      <w:r>
        <w:rPr>
          <w:color w:val="000000"/>
          <w:sz w:val="22"/>
          <w:szCs w:val="22"/>
        </w:rPr>
        <w:t>.</w:t>
      </w:r>
      <w:r w:rsidRPr="00135345">
        <w:rPr>
          <w:color w:val="000000"/>
          <w:sz w:val="22"/>
          <w:szCs w:val="22"/>
        </w:rPr>
        <w:t>º 1/2010</w:t>
      </w:r>
      <w:r>
        <w:rPr>
          <w:color w:val="000000"/>
          <w:sz w:val="22"/>
          <w:szCs w:val="22"/>
        </w:rPr>
        <w:t xml:space="preserve">, cujo </w:t>
      </w:r>
      <w:r w:rsidRPr="00CB500C">
        <w:rPr>
          <w:color w:val="000000"/>
          <w:sz w:val="22"/>
          <w:szCs w:val="22"/>
        </w:rPr>
        <w:t xml:space="preserve">objeto </w:t>
      </w:r>
      <w:r>
        <w:rPr>
          <w:color w:val="000000"/>
          <w:sz w:val="22"/>
          <w:szCs w:val="22"/>
        </w:rPr>
        <w:t xml:space="preserve">é </w:t>
      </w:r>
      <w:r w:rsidRPr="00CB500C">
        <w:rPr>
          <w:color w:val="000000"/>
          <w:sz w:val="22"/>
          <w:szCs w:val="22"/>
        </w:rPr>
        <w:t xml:space="preserve">a cessão de uso, a título oneroso, de três espaços situados </w:t>
      </w:r>
      <w:r>
        <w:rPr>
          <w:color w:val="000000"/>
          <w:sz w:val="22"/>
          <w:szCs w:val="22"/>
        </w:rPr>
        <w:t>no</w:t>
      </w:r>
      <w:r w:rsidRPr="00CB500C">
        <w:rPr>
          <w:color w:val="000000"/>
          <w:sz w:val="22"/>
          <w:szCs w:val="22"/>
        </w:rPr>
        <w:t xml:space="preserve"> edifício-sede</w:t>
      </w:r>
      <w:r>
        <w:rPr>
          <w:color w:val="000000"/>
          <w:sz w:val="22"/>
          <w:szCs w:val="22"/>
        </w:rPr>
        <w:t xml:space="preserve"> do </w:t>
      </w:r>
      <w:r w:rsidRPr="00CB500C">
        <w:rPr>
          <w:color w:val="000000"/>
          <w:sz w:val="22"/>
          <w:szCs w:val="22"/>
        </w:rPr>
        <w:t xml:space="preserve">Tribunal Regional do Trabalho da 14ª Região, </w:t>
      </w:r>
      <w:smartTag w:uri="urn:schemas-microsoft-com:office:smarttags" w:element="PersonName">
        <w:smartTagPr>
          <w:attr w:name="ProductID" w:val="em Porto Velho"/>
        </w:smartTagPr>
        <w:r w:rsidRPr="00CB500C">
          <w:rPr>
            <w:color w:val="000000"/>
            <w:sz w:val="22"/>
            <w:szCs w:val="22"/>
          </w:rPr>
          <w:t>em Porto Velho</w:t>
        </w:r>
      </w:smartTag>
      <w:r w:rsidRPr="00CB500C">
        <w:rPr>
          <w:color w:val="000000"/>
          <w:sz w:val="22"/>
          <w:szCs w:val="22"/>
        </w:rPr>
        <w:t>, destinados à exploração de posto de atendimento bancário (PAB) e/ou posto de atendimento cooperado (PAC)</w:t>
      </w:r>
      <w:r w:rsidR="00683A88">
        <w:rPr>
          <w:color w:val="000000"/>
          <w:sz w:val="22"/>
          <w:szCs w:val="22"/>
        </w:rPr>
        <w:t xml:space="preserve">, o </w:t>
      </w:r>
      <w:r w:rsidR="005C3DFF" w:rsidRPr="00CB500C">
        <w:rPr>
          <w:color w:val="000000"/>
          <w:sz w:val="22"/>
          <w:szCs w:val="22"/>
        </w:rPr>
        <w:t xml:space="preserve">edital </w:t>
      </w:r>
      <w:r>
        <w:rPr>
          <w:color w:val="000000"/>
          <w:sz w:val="22"/>
          <w:szCs w:val="22"/>
        </w:rPr>
        <w:t>prevê</w:t>
      </w:r>
      <w:r w:rsidR="005C3DFF" w:rsidRPr="00CB500C">
        <w:rPr>
          <w:color w:val="000000"/>
          <w:sz w:val="22"/>
          <w:szCs w:val="22"/>
        </w:rPr>
        <w:t xml:space="preserve"> índices de reajustamento distintos para cada parcela</w:t>
      </w:r>
      <w:r w:rsidRPr="00110E7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que compõe </w:t>
      </w:r>
      <w:r w:rsidRPr="00CB500C">
        <w:rPr>
          <w:color w:val="000000"/>
          <w:sz w:val="22"/>
          <w:szCs w:val="22"/>
        </w:rPr>
        <w:t>a contrapartida do contratado</w:t>
      </w:r>
      <w:r w:rsidR="005C3DFF" w:rsidRPr="00CB500C">
        <w:rPr>
          <w:color w:val="000000"/>
          <w:sz w:val="22"/>
          <w:szCs w:val="22"/>
        </w:rPr>
        <w:t xml:space="preserve">: INPC para aquela a título de “cessão de uso” e taxa Selic para a relativa ao “apoio institucional”. </w:t>
      </w:r>
      <w:r w:rsidR="00683A88">
        <w:rPr>
          <w:color w:val="000000"/>
          <w:sz w:val="22"/>
          <w:szCs w:val="22"/>
        </w:rPr>
        <w:t>Segundo o relator, o TCU</w:t>
      </w:r>
      <w:r>
        <w:rPr>
          <w:color w:val="000000"/>
          <w:sz w:val="22"/>
          <w:szCs w:val="22"/>
        </w:rPr>
        <w:t xml:space="preserve"> já firmou entendimento sobre a matéria, no sentido de que </w:t>
      </w:r>
      <w:r w:rsidR="00683A88" w:rsidRPr="00683A88">
        <w:rPr>
          <w:i/>
          <w:color w:val="000000"/>
          <w:sz w:val="22"/>
          <w:szCs w:val="22"/>
        </w:rPr>
        <w:t>“</w:t>
      </w:r>
      <w:r w:rsidR="005C3DFF" w:rsidRPr="00683A88">
        <w:rPr>
          <w:i/>
          <w:color w:val="000000"/>
          <w:sz w:val="22"/>
          <w:szCs w:val="22"/>
        </w:rPr>
        <w:t>a adoção da taxa Selic, que é um taxa de juros e não um índice de preços, como critério de reajuste de preços é flagrantemente contrária às leis que disciplinam o reajustamento e à jurisprudência desta Casa</w:t>
      </w:r>
      <w:r w:rsidR="00683A88" w:rsidRPr="00683A88">
        <w:rPr>
          <w:i/>
          <w:color w:val="000000"/>
          <w:sz w:val="22"/>
          <w:szCs w:val="22"/>
        </w:rPr>
        <w:t>”</w:t>
      </w:r>
      <w:r w:rsidR="005C3DFF" w:rsidRPr="00135345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E</w:t>
      </w:r>
      <w:r w:rsidR="00683A88">
        <w:rPr>
          <w:color w:val="000000"/>
          <w:sz w:val="22"/>
          <w:szCs w:val="22"/>
        </w:rPr>
        <w:t xml:space="preserve"> arrematou: </w:t>
      </w:r>
      <w:r w:rsidR="00683A88" w:rsidRPr="00683A88">
        <w:rPr>
          <w:i/>
          <w:color w:val="000000"/>
          <w:sz w:val="22"/>
          <w:szCs w:val="22"/>
        </w:rPr>
        <w:t>“</w:t>
      </w:r>
      <w:r w:rsidR="005C3DFF" w:rsidRPr="00683A88">
        <w:rPr>
          <w:i/>
          <w:color w:val="000000"/>
          <w:sz w:val="22"/>
          <w:szCs w:val="22"/>
        </w:rPr>
        <w:t xml:space="preserve">A única razão percebida para a divisão do preço em duas parcelas é a de permitir a aplicação de critérios de reajuste de preços distintos (sem que se saiba como isso beneficiaria o órgão contratante), sendo um deles ilegal (porque é uma taxa de juros), exatamente aquele que incide sobre a parcela a título de </w:t>
      </w:r>
      <w:r w:rsidR="00683A88">
        <w:rPr>
          <w:i/>
          <w:color w:val="000000"/>
          <w:sz w:val="22"/>
          <w:szCs w:val="22"/>
        </w:rPr>
        <w:t>‘</w:t>
      </w:r>
      <w:r w:rsidR="005C3DFF" w:rsidRPr="00683A88">
        <w:rPr>
          <w:i/>
          <w:color w:val="000000"/>
          <w:sz w:val="22"/>
          <w:szCs w:val="22"/>
        </w:rPr>
        <w:t>apoio institucional</w:t>
      </w:r>
      <w:r w:rsidR="00683A88">
        <w:rPr>
          <w:i/>
          <w:color w:val="000000"/>
          <w:sz w:val="22"/>
          <w:szCs w:val="22"/>
        </w:rPr>
        <w:t>’</w:t>
      </w:r>
      <w:r w:rsidR="005C3DFF" w:rsidRPr="00683A88">
        <w:rPr>
          <w:i/>
          <w:color w:val="000000"/>
          <w:sz w:val="22"/>
          <w:szCs w:val="22"/>
        </w:rPr>
        <w:t>, que representa, em média, 95% da contraprestação pretendida.</w:t>
      </w:r>
      <w:r w:rsidR="00683A88" w:rsidRPr="00683A88">
        <w:rPr>
          <w:i/>
          <w:color w:val="000000"/>
          <w:sz w:val="22"/>
          <w:szCs w:val="22"/>
        </w:rPr>
        <w:t>”</w:t>
      </w:r>
      <w:r w:rsidR="008C4F0F">
        <w:rPr>
          <w:color w:val="000000"/>
          <w:sz w:val="22"/>
          <w:szCs w:val="22"/>
        </w:rPr>
        <w:t>. O Plenário referendou a cautelar.</w:t>
      </w:r>
      <w:r>
        <w:rPr>
          <w:color w:val="000000"/>
          <w:sz w:val="22"/>
          <w:szCs w:val="22"/>
        </w:rPr>
        <w:t xml:space="preserve"> Precedentes citados:</w:t>
      </w:r>
      <w:r w:rsidRPr="00135345">
        <w:rPr>
          <w:color w:val="000000"/>
          <w:sz w:val="22"/>
          <w:szCs w:val="22"/>
        </w:rPr>
        <w:t xml:space="preserve"> Acórdão n</w:t>
      </w:r>
      <w:r>
        <w:rPr>
          <w:color w:val="000000"/>
          <w:sz w:val="22"/>
          <w:szCs w:val="22"/>
        </w:rPr>
        <w:t>.</w:t>
      </w:r>
      <w:r w:rsidRPr="00110E73">
        <w:rPr>
          <w:color w:val="000000"/>
          <w:sz w:val="22"/>
          <w:szCs w:val="22"/>
          <w:vertAlign w:val="superscript"/>
        </w:rPr>
        <w:t>o</w:t>
      </w:r>
      <w:r w:rsidRPr="00135345">
        <w:rPr>
          <w:color w:val="000000"/>
          <w:sz w:val="22"/>
          <w:szCs w:val="22"/>
        </w:rPr>
        <w:t xml:space="preserve"> 474/2005</w:t>
      </w:r>
      <w:r>
        <w:rPr>
          <w:color w:val="000000"/>
          <w:sz w:val="22"/>
          <w:szCs w:val="22"/>
        </w:rPr>
        <w:t xml:space="preserve"> e </w:t>
      </w:r>
      <w:r w:rsidRPr="00135345">
        <w:rPr>
          <w:color w:val="000000"/>
          <w:sz w:val="22"/>
          <w:szCs w:val="22"/>
        </w:rPr>
        <w:t>Decisão n</w:t>
      </w:r>
      <w:r>
        <w:rPr>
          <w:color w:val="000000"/>
          <w:sz w:val="22"/>
          <w:szCs w:val="22"/>
        </w:rPr>
        <w:t>.</w:t>
      </w:r>
      <w:r w:rsidRPr="00135345">
        <w:rPr>
          <w:color w:val="000000"/>
          <w:sz w:val="22"/>
          <w:szCs w:val="22"/>
        </w:rPr>
        <w:t>º 1315/2002</w:t>
      </w:r>
      <w:r>
        <w:rPr>
          <w:color w:val="000000"/>
          <w:sz w:val="22"/>
          <w:szCs w:val="22"/>
        </w:rPr>
        <w:t xml:space="preserve">, ambos do </w:t>
      </w:r>
      <w:r w:rsidRPr="00135345">
        <w:rPr>
          <w:color w:val="000000"/>
          <w:sz w:val="22"/>
          <w:szCs w:val="22"/>
        </w:rPr>
        <w:t>Plenário</w:t>
      </w:r>
      <w:r w:rsidR="00C81D93">
        <w:rPr>
          <w:color w:val="000000"/>
          <w:sz w:val="22"/>
          <w:szCs w:val="22"/>
        </w:rPr>
        <w:t>.</w:t>
      </w:r>
      <w:r w:rsidR="00484046">
        <w:rPr>
          <w:color w:val="000000"/>
          <w:sz w:val="22"/>
          <w:szCs w:val="22"/>
        </w:rPr>
        <w:t xml:space="preserve"> </w:t>
      </w:r>
      <w:r w:rsidR="00484046">
        <w:rPr>
          <w:b/>
          <w:i/>
          <w:sz w:val="22"/>
          <w:szCs w:val="22"/>
        </w:rPr>
        <w:t>Decisão monocrática</w:t>
      </w:r>
      <w:r w:rsidR="00484046" w:rsidRPr="00337E16">
        <w:rPr>
          <w:b/>
          <w:i/>
          <w:sz w:val="22"/>
          <w:szCs w:val="22"/>
        </w:rPr>
        <w:t xml:space="preserve"> </w:t>
      </w:r>
      <w:r w:rsidR="00484046">
        <w:rPr>
          <w:b/>
          <w:i/>
          <w:sz w:val="22"/>
          <w:szCs w:val="22"/>
        </w:rPr>
        <w:t>no</w:t>
      </w:r>
      <w:r w:rsidR="00484046" w:rsidRPr="00337E16">
        <w:rPr>
          <w:b/>
          <w:i/>
          <w:sz w:val="22"/>
          <w:szCs w:val="22"/>
        </w:rPr>
        <w:t xml:space="preserve"> TC-0</w:t>
      </w:r>
      <w:r w:rsidR="00484046">
        <w:rPr>
          <w:b/>
          <w:i/>
          <w:sz w:val="22"/>
          <w:szCs w:val="22"/>
        </w:rPr>
        <w:t>22</w:t>
      </w:r>
      <w:r w:rsidR="00484046" w:rsidRPr="00337E16">
        <w:rPr>
          <w:b/>
          <w:i/>
          <w:sz w:val="22"/>
          <w:szCs w:val="22"/>
        </w:rPr>
        <w:t>.</w:t>
      </w:r>
      <w:r w:rsidR="00484046">
        <w:rPr>
          <w:b/>
          <w:i/>
          <w:sz w:val="22"/>
          <w:szCs w:val="22"/>
        </w:rPr>
        <w:t>606</w:t>
      </w:r>
      <w:r w:rsidR="00484046" w:rsidRPr="00337E16">
        <w:rPr>
          <w:b/>
          <w:i/>
          <w:sz w:val="22"/>
          <w:szCs w:val="22"/>
        </w:rPr>
        <w:t>/20</w:t>
      </w:r>
      <w:r w:rsidR="00484046">
        <w:rPr>
          <w:b/>
          <w:i/>
          <w:sz w:val="22"/>
          <w:szCs w:val="22"/>
        </w:rPr>
        <w:t>10</w:t>
      </w:r>
      <w:r w:rsidR="00484046" w:rsidRPr="00337E16">
        <w:rPr>
          <w:b/>
          <w:i/>
          <w:sz w:val="22"/>
          <w:szCs w:val="22"/>
        </w:rPr>
        <w:t>-</w:t>
      </w:r>
      <w:r w:rsidR="00484046">
        <w:rPr>
          <w:b/>
          <w:i/>
          <w:sz w:val="22"/>
          <w:szCs w:val="22"/>
        </w:rPr>
        <w:t>6</w:t>
      </w:r>
      <w:r w:rsidR="00484046" w:rsidRPr="00337E16">
        <w:rPr>
          <w:b/>
          <w:i/>
          <w:sz w:val="22"/>
          <w:szCs w:val="22"/>
        </w:rPr>
        <w:t>, rel. Min</w:t>
      </w:r>
      <w:r w:rsidR="00484046">
        <w:rPr>
          <w:b/>
          <w:i/>
          <w:sz w:val="22"/>
          <w:szCs w:val="22"/>
        </w:rPr>
        <w:t>-Subst. Weder de Oliveira</w:t>
      </w:r>
      <w:r w:rsidR="00484046" w:rsidRPr="00337E16">
        <w:rPr>
          <w:b/>
          <w:i/>
          <w:sz w:val="22"/>
          <w:szCs w:val="22"/>
        </w:rPr>
        <w:t xml:space="preserve">, </w:t>
      </w:r>
      <w:r w:rsidR="00484046">
        <w:rPr>
          <w:b/>
          <w:i/>
          <w:sz w:val="22"/>
          <w:szCs w:val="22"/>
        </w:rPr>
        <w:t>08</w:t>
      </w:r>
      <w:r w:rsidR="00484046" w:rsidRPr="00337E16">
        <w:rPr>
          <w:b/>
          <w:i/>
          <w:sz w:val="22"/>
          <w:szCs w:val="22"/>
        </w:rPr>
        <w:t>.0</w:t>
      </w:r>
      <w:r w:rsidR="00484046">
        <w:rPr>
          <w:b/>
          <w:i/>
          <w:sz w:val="22"/>
          <w:szCs w:val="22"/>
        </w:rPr>
        <w:t>9</w:t>
      </w:r>
      <w:r w:rsidR="00484046" w:rsidRPr="00337E16">
        <w:rPr>
          <w:b/>
          <w:i/>
          <w:sz w:val="22"/>
          <w:szCs w:val="22"/>
        </w:rPr>
        <w:t>.2010</w:t>
      </w:r>
      <w:r w:rsidR="00484046" w:rsidRPr="00484046">
        <w:rPr>
          <w:sz w:val="22"/>
          <w:szCs w:val="22"/>
        </w:rPr>
        <w:t>.</w:t>
      </w:r>
    </w:p>
    <w:p w:rsidR="00785CF8" w:rsidRPr="00337E16" w:rsidRDefault="00785CF8" w:rsidP="00337E16">
      <w:pPr>
        <w:pStyle w:val="enter-3pt"/>
        <w:spacing w:line="240" w:lineRule="auto"/>
        <w:jc w:val="center"/>
        <w:rPr>
          <w:b/>
          <w:sz w:val="22"/>
          <w:szCs w:val="22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1"/>
      </w:tblGrid>
      <w:tr w:rsidR="00D2041E" w:rsidRPr="00337E16" w:rsidTr="00F03AB9">
        <w:trPr>
          <w:trHeight w:val="779"/>
          <w:jc w:val="center"/>
        </w:trPr>
        <w:tc>
          <w:tcPr>
            <w:tcW w:w="0" w:type="auto"/>
            <w:vAlign w:val="center"/>
          </w:tcPr>
          <w:p w:rsidR="00F27170" w:rsidRPr="00337E16" w:rsidRDefault="005E5FF1" w:rsidP="00337E16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R</w:t>
            </w:r>
            <w:r w:rsidR="00F27170" w:rsidRPr="00337E16">
              <w:rPr>
                <w:b/>
                <w:i/>
                <w:sz w:val="18"/>
                <w:szCs w:val="18"/>
              </w:rPr>
              <w:t>esponsáve</w:t>
            </w:r>
            <w:r w:rsidRPr="00337E16">
              <w:rPr>
                <w:b/>
                <w:i/>
                <w:sz w:val="18"/>
                <w:szCs w:val="18"/>
              </w:rPr>
              <w:t>is</w:t>
            </w:r>
            <w:r w:rsidR="00F27170" w:rsidRPr="00337E16">
              <w:rPr>
                <w:b/>
                <w:i/>
                <w:sz w:val="18"/>
                <w:szCs w:val="18"/>
              </w:rPr>
              <w:t xml:space="preserve"> pelo Informativo:</w:t>
            </w:r>
          </w:p>
          <w:p w:rsidR="00F27170" w:rsidRPr="00337E16" w:rsidRDefault="00713DE5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Elaboração:</w:t>
            </w:r>
            <w:r w:rsidRPr="00337E16">
              <w:rPr>
                <w:i/>
                <w:sz w:val="18"/>
                <w:szCs w:val="18"/>
              </w:rPr>
              <w:t xml:space="preserve"> </w:t>
            </w:r>
            <w:r w:rsidR="00F27170" w:rsidRPr="00337E16">
              <w:rPr>
                <w:i/>
                <w:sz w:val="18"/>
                <w:szCs w:val="18"/>
              </w:rPr>
              <w:t>Luiz Felipe Bezerra Almeida Simões</w:t>
            </w:r>
            <w:r w:rsidRPr="00337E16">
              <w:rPr>
                <w:i/>
                <w:sz w:val="18"/>
                <w:szCs w:val="18"/>
              </w:rPr>
              <w:t>, Assessor da Secretaria das Sessões</w:t>
            </w:r>
          </w:p>
          <w:p w:rsidR="005E5FF1" w:rsidRPr="00337E16" w:rsidRDefault="00A30683" w:rsidP="00337E16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Revisão</w:t>
            </w:r>
            <w:r w:rsidR="00713DE5" w:rsidRPr="00337E16">
              <w:rPr>
                <w:b/>
                <w:i/>
                <w:sz w:val="18"/>
                <w:szCs w:val="18"/>
              </w:rPr>
              <w:t>:</w:t>
            </w:r>
            <w:r w:rsidR="00713DE5" w:rsidRPr="00337E16">
              <w:rPr>
                <w:i/>
                <w:sz w:val="18"/>
                <w:szCs w:val="18"/>
              </w:rPr>
              <w:t xml:space="preserve"> </w:t>
            </w:r>
            <w:r w:rsidR="005E5FF1" w:rsidRPr="00337E16">
              <w:rPr>
                <w:i/>
                <w:sz w:val="18"/>
                <w:szCs w:val="18"/>
              </w:rPr>
              <w:t>Odilon Cavallari de Oliveira</w:t>
            </w:r>
            <w:r w:rsidR="00713DE5" w:rsidRPr="00337E16">
              <w:rPr>
                <w:i/>
                <w:sz w:val="18"/>
                <w:szCs w:val="18"/>
              </w:rPr>
              <w:t>, Secretário das Sessões</w:t>
            </w:r>
          </w:p>
          <w:p w:rsidR="00D2041E" w:rsidRPr="00337E16" w:rsidRDefault="00D2041E" w:rsidP="00337E16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337E16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337E16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D2041E" w:rsidRPr="00337E16" w:rsidRDefault="00D2041E" w:rsidP="00337E16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sectPr w:rsidR="00D2041E" w:rsidRPr="00337E16" w:rsidSect="00337E16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F16" w:rsidRDefault="002C4F16" w:rsidP="008B0547">
      <w:pPr>
        <w:spacing w:after="0"/>
      </w:pPr>
      <w:r>
        <w:separator/>
      </w:r>
    </w:p>
  </w:endnote>
  <w:endnote w:type="continuationSeparator" w:id="0">
    <w:p w:rsidR="002C4F16" w:rsidRDefault="002C4F16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6A" w:rsidRPr="00C906CD" w:rsidRDefault="00881A6A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0B14FC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F16" w:rsidRDefault="002C4F16" w:rsidP="008B0547">
      <w:pPr>
        <w:spacing w:after="0"/>
      </w:pPr>
      <w:r>
        <w:separator/>
      </w:r>
    </w:p>
  </w:footnote>
  <w:footnote w:type="continuationSeparator" w:id="0">
    <w:p w:rsidR="002C4F16" w:rsidRDefault="002C4F16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A6A" w:rsidRDefault="00E825D0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A6A">
      <w:rPr>
        <w:rFonts w:ascii="Arial" w:hAnsi="Arial" w:cs="Arial"/>
        <w:b/>
      </w:rPr>
      <w:t>TRIBUNAL DE CONTAS DA UNIÃO</w:t>
    </w:r>
  </w:p>
  <w:p w:rsidR="00881A6A" w:rsidRPr="00515E7B" w:rsidRDefault="00E825D0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EF3C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81A6A" w:rsidRPr="00515E7B">
      <w:rPr>
        <w:rFonts w:ascii="Arial" w:hAnsi="Arial" w:cs="Arial"/>
        <w:noProof/>
        <w:lang w:eastAsia="pt-BR"/>
      </w:rPr>
      <w:t>Info</w:t>
    </w:r>
    <w:r w:rsidR="00881A6A">
      <w:rPr>
        <w:rFonts w:ascii="Arial" w:hAnsi="Arial" w:cs="Arial"/>
        <w:noProof/>
        <w:lang w:eastAsia="pt-BR"/>
      </w:rPr>
      <w:t>rmativo de Jurisprudência sobre L</w:t>
    </w:r>
    <w:r w:rsidR="00881A6A" w:rsidRPr="00515E7B">
      <w:rPr>
        <w:rFonts w:ascii="Arial" w:hAnsi="Arial" w:cs="Arial"/>
        <w:noProof/>
        <w:lang w:eastAsia="pt-BR"/>
      </w:rPr>
      <w:t xml:space="preserve">icitações e </w:t>
    </w:r>
    <w:r w:rsidR="00881A6A">
      <w:rPr>
        <w:rFonts w:ascii="Arial" w:hAnsi="Arial" w:cs="Arial"/>
        <w:noProof/>
        <w:lang w:eastAsia="pt-BR"/>
      </w:rPr>
      <w:t>C</w:t>
    </w:r>
    <w:r w:rsidR="00881A6A" w:rsidRPr="00515E7B">
      <w:rPr>
        <w:rFonts w:ascii="Arial" w:hAnsi="Arial" w:cs="Arial"/>
        <w:noProof/>
        <w:lang w:eastAsia="pt-BR"/>
      </w:rPr>
      <w:t>ontratos</w:t>
    </w:r>
    <w:r w:rsidR="00881A6A">
      <w:rPr>
        <w:rFonts w:ascii="Arial" w:hAnsi="Arial" w:cs="Arial"/>
        <w:noProof/>
        <w:lang w:eastAsia="pt-BR"/>
      </w:rPr>
      <w:t xml:space="preserve"> nº 33</w:t>
    </w:r>
  </w:p>
  <w:p w:rsidR="00881A6A" w:rsidRDefault="00881A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8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3CEA"/>
    <w:rsid w:val="00004614"/>
    <w:rsid w:val="00005435"/>
    <w:rsid w:val="00005E1E"/>
    <w:rsid w:val="00012468"/>
    <w:rsid w:val="0001636D"/>
    <w:rsid w:val="00023D72"/>
    <w:rsid w:val="000271FA"/>
    <w:rsid w:val="00032198"/>
    <w:rsid w:val="00040233"/>
    <w:rsid w:val="00041450"/>
    <w:rsid w:val="00041B03"/>
    <w:rsid w:val="0004660A"/>
    <w:rsid w:val="00052B15"/>
    <w:rsid w:val="00054432"/>
    <w:rsid w:val="000562CD"/>
    <w:rsid w:val="00056D51"/>
    <w:rsid w:val="0006028E"/>
    <w:rsid w:val="00061C2E"/>
    <w:rsid w:val="00065CDC"/>
    <w:rsid w:val="00065E95"/>
    <w:rsid w:val="00080148"/>
    <w:rsid w:val="00084727"/>
    <w:rsid w:val="0009133A"/>
    <w:rsid w:val="00092C2E"/>
    <w:rsid w:val="000A2C56"/>
    <w:rsid w:val="000B0ECB"/>
    <w:rsid w:val="000B0FEA"/>
    <w:rsid w:val="000B14FC"/>
    <w:rsid w:val="000B2AFA"/>
    <w:rsid w:val="000D01CB"/>
    <w:rsid w:val="000D1FD7"/>
    <w:rsid w:val="000D6418"/>
    <w:rsid w:val="000D7DB6"/>
    <w:rsid w:val="000D7DED"/>
    <w:rsid w:val="000E3B31"/>
    <w:rsid w:val="000F6D85"/>
    <w:rsid w:val="000F7CEE"/>
    <w:rsid w:val="001004CC"/>
    <w:rsid w:val="001055D7"/>
    <w:rsid w:val="001104BA"/>
    <w:rsid w:val="00110E73"/>
    <w:rsid w:val="00112676"/>
    <w:rsid w:val="0011373A"/>
    <w:rsid w:val="00114511"/>
    <w:rsid w:val="00126026"/>
    <w:rsid w:val="00133EA9"/>
    <w:rsid w:val="00135345"/>
    <w:rsid w:val="00141D7A"/>
    <w:rsid w:val="001420D1"/>
    <w:rsid w:val="001436D4"/>
    <w:rsid w:val="001444A2"/>
    <w:rsid w:val="00147FA3"/>
    <w:rsid w:val="00151F92"/>
    <w:rsid w:val="0015258E"/>
    <w:rsid w:val="00152ECC"/>
    <w:rsid w:val="001532E4"/>
    <w:rsid w:val="00156A48"/>
    <w:rsid w:val="00157AFE"/>
    <w:rsid w:val="00157C0F"/>
    <w:rsid w:val="001744E7"/>
    <w:rsid w:val="00176375"/>
    <w:rsid w:val="001A330B"/>
    <w:rsid w:val="001A60A2"/>
    <w:rsid w:val="001B3E8E"/>
    <w:rsid w:val="001B4F90"/>
    <w:rsid w:val="001C0575"/>
    <w:rsid w:val="001C437E"/>
    <w:rsid w:val="001D03C7"/>
    <w:rsid w:val="001D1478"/>
    <w:rsid w:val="001D74CE"/>
    <w:rsid w:val="001E0BF1"/>
    <w:rsid w:val="001E1E28"/>
    <w:rsid w:val="001E2620"/>
    <w:rsid w:val="001E4147"/>
    <w:rsid w:val="001E7C3D"/>
    <w:rsid w:val="001F00DF"/>
    <w:rsid w:val="002002CE"/>
    <w:rsid w:val="0020066F"/>
    <w:rsid w:val="00203A6F"/>
    <w:rsid w:val="00211816"/>
    <w:rsid w:val="00226D9D"/>
    <w:rsid w:val="00232158"/>
    <w:rsid w:val="002328F9"/>
    <w:rsid w:val="00233CE3"/>
    <w:rsid w:val="0024593F"/>
    <w:rsid w:val="002476B6"/>
    <w:rsid w:val="00254590"/>
    <w:rsid w:val="0026362E"/>
    <w:rsid w:val="002649A7"/>
    <w:rsid w:val="002663B7"/>
    <w:rsid w:val="00271D81"/>
    <w:rsid w:val="00273E72"/>
    <w:rsid w:val="00274655"/>
    <w:rsid w:val="00275CD0"/>
    <w:rsid w:val="00276DC0"/>
    <w:rsid w:val="002810D9"/>
    <w:rsid w:val="00281830"/>
    <w:rsid w:val="0029043B"/>
    <w:rsid w:val="00290A06"/>
    <w:rsid w:val="0029211E"/>
    <w:rsid w:val="0029450E"/>
    <w:rsid w:val="002A190F"/>
    <w:rsid w:val="002A3B3F"/>
    <w:rsid w:val="002A7B54"/>
    <w:rsid w:val="002B71BA"/>
    <w:rsid w:val="002C4F16"/>
    <w:rsid w:val="002C7B61"/>
    <w:rsid w:val="002C7B6D"/>
    <w:rsid w:val="002D1089"/>
    <w:rsid w:val="002D35F5"/>
    <w:rsid w:val="002D47FE"/>
    <w:rsid w:val="002D739A"/>
    <w:rsid w:val="002D76AB"/>
    <w:rsid w:val="002E361C"/>
    <w:rsid w:val="002E3943"/>
    <w:rsid w:val="002E4254"/>
    <w:rsid w:val="002F5F3B"/>
    <w:rsid w:val="002F693C"/>
    <w:rsid w:val="003020F4"/>
    <w:rsid w:val="00304A73"/>
    <w:rsid w:val="003069F9"/>
    <w:rsid w:val="00306DD0"/>
    <w:rsid w:val="00310208"/>
    <w:rsid w:val="0031058F"/>
    <w:rsid w:val="0031089E"/>
    <w:rsid w:val="00310D69"/>
    <w:rsid w:val="003147B7"/>
    <w:rsid w:val="00317E59"/>
    <w:rsid w:val="003220C8"/>
    <w:rsid w:val="00322AE7"/>
    <w:rsid w:val="003275E4"/>
    <w:rsid w:val="00337E16"/>
    <w:rsid w:val="0034098B"/>
    <w:rsid w:val="00340E66"/>
    <w:rsid w:val="00340F10"/>
    <w:rsid w:val="003413A9"/>
    <w:rsid w:val="0034486B"/>
    <w:rsid w:val="00344D92"/>
    <w:rsid w:val="003455A2"/>
    <w:rsid w:val="00350E87"/>
    <w:rsid w:val="00353B7C"/>
    <w:rsid w:val="0035438E"/>
    <w:rsid w:val="00355828"/>
    <w:rsid w:val="00355DAB"/>
    <w:rsid w:val="00357CBE"/>
    <w:rsid w:val="00361661"/>
    <w:rsid w:val="003824E4"/>
    <w:rsid w:val="00385DAB"/>
    <w:rsid w:val="0038696B"/>
    <w:rsid w:val="00392509"/>
    <w:rsid w:val="003943E5"/>
    <w:rsid w:val="00397D8E"/>
    <w:rsid w:val="003A2222"/>
    <w:rsid w:val="003A5479"/>
    <w:rsid w:val="003A5C1B"/>
    <w:rsid w:val="003A7C7F"/>
    <w:rsid w:val="003B0304"/>
    <w:rsid w:val="003B043F"/>
    <w:rsid w:val="003B2E10"/>
    <w:rsid w:val="003B33CE"/>
    <w:rsid w:val="003B343D"/>
    <w:rsid w:val="003B56D7"/>
    <w:rsid w:val="003C1B4F"/>
    <w:rsid w:val="003C2288"/>
    <w:rsid w:val="003C6DEB"/>
    <w:rsid w:val="003C7A5C"/>
    <w:rsid w:val="003D1C93"/>
    <w:rsid w:val="003D73BD"/>
    <w:rsid w:val="003D7CCE"/>
    <w:rsid w:val="003E1B68"/>
    <w:rsid w:val="003E65D7"/>
    <w:rsid w:val="003F413A"/>
    <w:rsid w:val="003F54FB"/>
    <w:rsid w:val="003F6D1F"/>
    <w:rsid w:val="004169D8"/>
    <w:rsid w:val="004201AF"/>
    <w:rsid w:val="00425FF9"/>
    <w:rsid w:val="00427B3B"/>
    <w:rsid w:val="00427EBF"/>
    <w:rsid w:val="004362AB"/>
    <w:rsid w:val="004415FB"/>
    <w:rsid w:val="00441CE3"/>
    <w:rsid w:val="0044434A"/>
    <w:rsid w:val="0044506E"/>
    <w:rsid w:val="00445E76"/>
    <w:rsid w:val="00446632"/>
    <w:rsid w:val="00452C60"/>
    <w:rsid w:val="00460DAF"/>
    <w:rsid w:val="0046384E"/>
    <w:rsid w:val="0046706B"/>
    <w:rsid w:val="00471284"/>
    <w:rsid w:val="00473696"/>
    <w:rsid w:val="0047491E"/>
    <w:rsid w:val="004837C6"/>
    <w:rsid w:val="00483998"/>
    <w:rsid w:val="00484046"/>
    <w:rsid w:val="00484E4C"/>
    <w:rsid w:val="004913CA"/>
    <w:rsid w:val="00491438"/>
    <w:rsid w:val="00492E3F"/>
    <w:rsid w:val="00493F5C"/>
    <w:rsid w:val="00494AFF"/>
    <w:rsid w:val="004A171B"/>
    <w:rsid w:val="004B1DC3"/>
    <w:rsid w:val="004C780C"/>
    <w:rsid w:val="004D708E"/>
    <w:rsid w:val="004E357A"/>
    <w:rsid w:val="004E65EB"/>
    <w:rsid w:val="004F7174"/>
    <w:rsid w:val="0050355D"/>
    <w:rsid w:val="005055B5"/>
    <w:rsid w:val="00511BBF"/>
    <w:rsid w:val="00515BCB"/>
    <w:rsid w:val="00515E7B"/>
    <w:rsid w:val="005217F8"/>
    <w:rsid w:val="0052267A"/>
    <w:rsid w:val="00531143"/>
    <w:rsid w:val="00536332"/>
    <w:rsid w:val="00543EB8"/>
    <w:rsid w:val="00554A33"/>
    <w:rsid w:val="00557953"/>
    <w:rsid w:val="00560E55"/>
    <w:rsid w:val="0056301A"/>
    <w:rsid w:val="005640E1"/>
    <w:rsid w:val="00564EA1"/>
    <w:rsid w:val="0056534C"/>
    <w:rsid w:val="00566ABD"/>
    <w:rsid w:val="00567CEE"/>
    <w:rsid w:val="005713F4"/>
    <w:rsid w:val="00571E64"/>
    <w:rsid w:val="00580F26"/>
    <w:rsid w:val="0058427E"/>
    <w:rsid w:val="00584CC5"/>
    <w:rsid w:val="00590907"/>
    <w:rsid w:val="005947E4"/>
    <w:rsid w:val="005A72F2"/>
    <w:rsid w:val="005B2194"/>
    <w:rsid w:val="005B2BC3"/>
    <w:rsid w:val="005B3DA4"/>
    <w:rsid w:val="005B4CFA"/>
    <w:rsid w:val="005C1A79"/>
    <w:rsid w:val="005C3DFF"/>
    <w:rsid w:val="005E0D25"/>
    <w:rsid w:val="005E269C"/>
    <w:rsid w:val="005E3586"/>
    <w:rsid w:val="005E4DEE"/>
    <w:rsid w:val="005E5FF1"/>
    <w:rsid w:val="005F01CE"/>
    <w:rsid w:val="005F70B6"/>
    <w:rsid w:val="00604DBE"/>
    <w:rsid w:val="006056FF"/>
    <w:rsid w:val="006063E1"/>
    <w:rsid w:val="006065E4"/>
    <w:rsid w:val="00612045"/>
    <w:rsid w:val="00613AC9"/>
    <w:rsid w:val="00620E86"/>
    <w:rsid w:val="006219DD"/>
    <w:rsid w:val="00632ACC"/>
    <w:rsid w:val="00650463"/>
    <w:rsid w:val="00651660"/>
    <w:rsid w:val="00651A77"/>
    <w:rsid w:val="00652171"/>
    <w:rsid w:val="00656EC1"/>
    <w:rsid w:val="0066782C"/>
    <w:rsid w:val="00670FEA"/>
    <w:rsid w:val="0067353C"/>
    <w:rsid w:val="00676163"/>
    <w:rsid w:val="00677C22"/>
    <w:rsid w:val="006808CC"/>
    <w:rsid w:val="00683A88"/>
    <w:rsid w:val="00685899"/>
    <w:rsid w:val="00692D30"/>
    <w:rsid w:val="00693B98"/>
    <w:rsid w:val="00697477"/>
    <w:rsid w:val="006A037E"/>
    <w:rsid w:val="006A7796"/>
    <w:rsid w:val="006B0495"/>
    <w:rsid w:val="006B0DCB"/>
    <w:rsid w:val="006B2408"/>
    <w:rsid w:val="006B3AF9"/>
    <w:rsid w:val="006B414C"/>
    <w:rsid w:val="006B4B0F"/>
    <w:rsid w:val="006B69B3"/>
    <w:rsid w:val="006D11EE"/>
    <w:rsid w:val="006E0FA8"/>
    <w:rsid w:val="006F1120"/>
    <w:rsid w:val="006F4DE0"/>
    <w:rsid w:val="006F7332"/>
    <w:rsid w:val="00702AB5"/>
    <w:rsid w:val="0070385B"/>
    <w:rsid w:val="0070494F"/>
    <w:rsid w:val="00705758"/>
    <w:rsid w:val="0070717A"/>
    <w:rsid w:val="00707485"/>
    <w:rsid w:val="00713DE5"/>
    <w:rsid w:val="007174DA"/>
    <w:rsid w:val="00720910"/>
    <w:rsid w:val="00720F29"/>
    <w:rsid w:val="007224C2"/>
    <w:rsid w:val="00732C05"/>
    <w:rsid w:val="00737FEC"/>
    <w:rsid w:val="007559A4"/>
    <w:rsid w:val="00756AA0"/>
    <w:rsid w:val="007576E2"/>
    <w:rsid w:val="00757CE6"/>
    <w:rsid w:val="007671B6"/>
    <w:rsid w:val="007671DA"/>
    <w:rsid w:val="0077058A"/>
    <w:rsid w:val="007719A8"/>
    <w:rsid w:val="00774593"/>
    <w:rsid w:val="00777599"/>
    <w:rsid w:val="00785CF8"/>
    <w:rsid w:val="00786E25"/>
    <w:rsid w:val="00796CC0"/>
    <w:rsid w:val="007A1A35"/>
    <w:rsid w:val="007A5922"/>
    <w:rsid w:val="007B259B"/>
    <w:rsid w:val="007B5018"/>
    <w:rsid w:val="007B67B6"/>
    <w:rsid w:val="007C670D"/>
    <w:rsid w:val="007C7D54"/>
    <w:rsid w:val="007D0ED0"/>
    <w:rsid w:val="007D4A4A"/>
    <w:rsid w:val="007E0E05"/>
    <w:rsid w:val="007E1DD3"/>
    <w:rsid w:val="007E209F"/>
    <w:rsid w:val="007E4655"/>
    <w:rsid w:val="007E55E0"/>
    <w:rsid w:val="007E5C50"/>
    <w:rsid w:val="007F22A5"/>
    <w:rsid w:val="00810CC2"/>
    <w:rsid w:val="0081324B"/>
    <w:rsid w:val="00816193"/>
    <w:rsid w:val="008165E4"/>
    <w:rsid w:val="00825155"/>
    <w:rsid w:val="00825EB9"/>
    <w:rsid w:val="008303E2"/>
    <w:rsid w:val="008341F8"/>
    <w:rsid w:val="008359F3"/>
    <w:rsid w:val="00835DB6"/>
    <w:rsid w:val="00836AC2"/>
    <w:rsid w:val="00844C5B"/>
    <w:rsid w:val="008501A4"/>
    <w:rsid w:val="008505A1"/>
    <w:rsid w:val="00850817"/>
    <w:rsid w:val="00853B55"/>
    <w:rsid w:val="0086124E"/>
    <w:rsid w:val="008652C9"/>
    <w:rsid w:val="00866992"/>
    <w:rsid w:val="008751B1"/>
    <w:rsid w:val="00875991"/>
    <w:rsid w:val="00877FDD"/>
    <w:rsid w:val="00880FED"/>
    <w:rsid w:val="00881A6A"/>
    <w:rsid w:val="008841C8"/>
    <w:rsid w:val="008913E4"/>
    <w:rsid w:val="00892BB8"/>
    <w:rsid w:val="00893014"/>
    <w:rsid w:val="00896755"/>
    <w:rsid w:val="00897B7E"/>
    <w:rsid w:val="008A2417"/>
    <w:rsid w:val="008A5D49"/>
    <w:rsid w:val="008A751E"/>
    <w:rsid w:val="008B0547"/>
    <w:rsid w:val="008B11A3"/>
    <w:rsid w:val="008B1FE5"/>
    <w:rsid w:val="008B434A"/>
    <w:rsid w:val="008B7B55"/>
    <w:rsid w:val="008C3A5B"/>
    <w:rsid w:val="008C41CA"/>
    <w:rsid w:val="008C4F0F"/>
    <w:rsid w:val="008D6F5D"/>
    <w:rsid w:val="008E003A"/>
    <w:rsid w:val="008E15E3"/>
    <w:rsid w:val="008E4C62"/>
    <w:rsid w:val="008E727E"/>
    <w:rsid w:val="008F2902"/>
    <w:rsid w:val="008F63A5"/>
    <w:rsid w:val="008F660B"/>
    <w:rsid w:val="009005CE"/>
    <w:rsid w:val="00901376"/>
    <w:rsid w:val="009021A4"/>
    <w:rsid w:val="0091511B"/>
    <w:rsid w:val="009239AA"/>
    <w:rsid w:val="009245B5"/>
    <w:rsid w:val="0093795C"/>
    <w:rsid w:val="009444E6"/>
    <w:rsid w:val="00944A52"/>
    <w:rsid w:val="00944A8E"/>
    <w:rsid w:val="009455E6"/>
    <w:rsid w:val="00956BA7"/>
    <w:rsid w:val="00956FD8"/>
    <w:rsid w:val="009575F7"/>
    <w:rsid w:val="0096021A"/>
    <w:rsid w:val="00960F73"/>
    <w:rsid w:val="00971139"/>
    <w:rsid w:val="0097401F"/>
    <w:rsid w:val="00981FA0"/>
    <w:rsid w:val="00984366"/>
    <w:rsid w:val="00984E80"/>
    <w:rsid w:val="0098690F"/>
    <w:rsid w:val="00987EE5"/>
    <w:rsid w:val="0099292D"/>
    <w:rsid w:val="00994829"/>
    <w:rsid w:val="00995136"/>
    <w:rsid w:val="00997C8A"/>
    <w:rsid w:val="009A1339"/>
    <w:rsid w:val="009A3006"/>
    <w:rsid w:val="009A3994"/>
    <w:rsid w:val="009B62AF"/>
    <w:rsid w:val="009D1B99"/>
    <w:rsid w:val="009D5445"/>
    <w:rsid w:val="009D565F"/>
    <w:rsid w:val="009D65B9"/>
    <w:rsid w:val="009E04DC"/>
    <w:rsid w:val="009E0FB3"/>
    <w:rsid w:val="009E5105"/>
    <w:rsid w:val="00A0244C"/>
    <w:rsid w:val="00A033FF"/>
    <w:rsid w:val="00A1329C"/>
    <w:rsid w:val="00A14210"/>
    <w:rsid w:val="00A14E25"/>
    <w:rsid w:val="00A16A60"/>
    <w:rsid w:val="00A17A3D"/>
    <w:rsid w:val="00A2062A"/>
    <w:rsid w:val="00A21E19"/>
    <w:rsid w:val="00A30683"/>
    <w:rsid w:val="00A3115F"/>
    <w:rsid w:val="00A32B87"/>
    <w:rsid w:val="00A33030"/>
    <w:rsid w:val="00A378A2"/>
    <w:rsid w:val="00A44CD0"/>
    <w:rsid w:val="00A50B91"/>
    <w:rsid w:val="00A60F52"/>
    <w:rsid w:val="00A63B4C"/>
    <w:rsid w:val="00A664E7"/>
    <w:rsid w:val="00A66E7F"/>
    <w:rsid w:val="00A75C52"/>
    <w:rsid w:val="00A767B2"/>
    <w:rsid w:val="00A82B9E"/>
    <w:rsid w:val="00A84186"/>
    <w:rsid w:val="00A85B14"/>
    <w:rsid w:val="00A9704A"/>
    <w:rsid w:val="00A97AD0"/>
    <w:rsid w:val="00AA1377"/>
    <w:rsid w:val="00AA49AF"/>
    <w:rsid w:val="00AA57CE"/>
    <w:rsid w:val="00AA7540"/>
    <w:rsid w:val="00AC0BAE"/>
    <w:rsid w:val="00AC126F"/>
    <w:rsid w:val="00AE1128"/>
    <w:rsid w:val="00AE1AB0"/>
    <w:rsid w:val="00AE2609"/>
    <w:rsid w:val="00AE439A"/>
    <w:rsid w:val="00AF09C7"/>
    <w:rsid w:val="00AF2843"/>
    <w:rsid w:val="00B05065"/>
    <w:rsid w:val="00B05194"/>
    <w:rsid w:val="00B17303"/>
    <w:rsid w:val="00B25143"/>
    <w:rsid w:val="00B2585D"/>
    <w:rsid w:val="00B27359"/>
    <w:rsid w:val="00B347F1"/>
    <w:rsid w:val="00B3502B"/>
    <w:rsid w:val="00B35C3E"/>
    <w:rsid w:val="00B36473"/>
    <w:rsid w:val="00B36487"/>
    <w:rsid w:val="00B44029"/>
    <w:rsid w:val="00B47943"/>
    <w:rsid w:val="00B50446"/>
    <w:rsid w:val="00B530FD"/>
    <w:rsid w:val="00B5639B"/>
    <w:rsid w:val="00B60023"/>
    <w:rsid w:val="00B60C3E"/>
    <w:rsid w:val="00B64775"/>
    <w:rsid w:val="00B7279C"/>
    <w:rsid w:val="00B81718"/>
    <w:rsid w:val="00B86AF6"/>
    <w:rsid w:val="00B86E2A"/>
    <w:rsid w:val="00B96EA4"/>
    <w:rsid w:val="00B97A3E"/>
    <w:rsid w:val="00BA0AC7"/>
    <w:rsid w:val="00BA2FFD"/>
    <w:rsid w:val="00BB370B"/>
    <w:rsid w:val="00BB37AF"/>
    <w:rsid w:val="00BB4C08"/>
    <w:rsid w:val="00BC5737"/>
    <w:rsid w:val="00BD0BC3"/>
    <w:rsid w:val="00BD3C68"/>
    <w:rsid w:val="00BD421D"/>
    <w:rsid w:val="00BE4614"/>
    <w:rsid w:val="00BE4E6F"/>
    <w:rsid w:val="00BE529D"/>
    <w:rsid w:val="00BE6637"/>
    <w:rsid w:val="00BF10E8"/>
    <w:rsid w:val="00BF3158"/>
    <w:rsid w:val="00C03A04"/>
    <w:rsid w:val="00C046F7"/>
    <w:rsid w:val="00C10C0B"/>
    <w:rsid w:val="00C1776A"/>
    <w:rsid w:val="00C20D85"/>
    <w:rsid w:val="00C22519"/>
    <w:rsid w:val="00C2305C"/>
    <w:rsid w:val="00C233D0"/>
    <w:rsid w:val="00C24162"/>
    <w:rsid w:val="00C2509D"/>
    <w:rsid w:val="00C34ABD"/>
    <w:rsid w:val="00C35F43"/>
    <w:rsid w:val="00C44BDC"/>
    <w:rsid w:val="00C45BFB"/>
    <w:rsid w:val="00C54B14"/>
    <w:rsid w:val="00C6352A"/>
    <w:rsid w:val="00C65B2D"/>
    <w:rsid w:val="00C65C5D"/>
    <w:rsid w:val="00C711E5"/>
    <w:rsid w:val="00C737F4"/>
    <w:rsid w:val="00C804EA"/>
    <w:rsid w:val="00C81D93"/>
    <w:rsid w:val="00C83AEE"/>
    <w:rsid w:val="00C85AC7"/>
    <w:rsid w:val="00C906CD"/>
    <w:rsid w:val="00C97E85"/>
    <w:rsid w:val="00CA6716"/>
    <w:rsid w:val="00CB500C"/>
    <w:rsid w:val="00CC42D4"/>
    <w:rsid w:val="00CD2536"/>
    <w:rsid w:val="00CF230D"/>
    <w:rsid w:val="00CF5489"/>
    <w:rsid w:val="00CF7615"/>
    <w:rsid w:val="00D003F8"/>
    <w:rsid w:val="00D10769"/>
    <w:rsid w:val="00D116C7"/>
    <w:rsid w:val="00D13AC5"/>
    <w:rsid w:val="00D14E5F"/>
    <w:rsid w:val="00D16EAE"/>
    <w:rsid w:val="00D2041E"/>
    <w:rsid w:val="00D341C9"/>
    <w:rsid w:val="00D3447D"/>
    <w:rsid w:val="00D3488B"/>
    <w:rsid w:val="00D35826"/>
    <w:rsid w:val="00D361DE"/>
    <w:rsid w:val="00D4022C"/>
    <w:rsid w:val="00D46C4C"/>
    <w:rsid w:val="00D51F18"/>
    <w:rsid w:val="00D564BB"/>
    <w:rsid w:val="00D565FA"/>
    <w:rsid w:val="00D568ED"/>
    <w:rsid w:val="00D6014E"/>
    <w:rsid w:val="00D630E7"/>
    <w:rsid w:val="00D76186"/>
    <w:rsid w:val="00D7772F"/>
    <w:rsid w:val="00D86DD4"/>
    <w:rsid w:val="00D92529"/>
    <w:rsid w:val="00DA1857"/>
    <w:rsid w:val="00DA5AAB"/>
    <w:rsid w:val="00DA6858"/>
    <w:rsid w:val="00DB1CD7"/>
    <w:rsid w:val="00DB27B3"/>
    <w:rsid w:val="00DB4717"/>
    <w:rsid w:val="00DC0109"/>
    <w:rsid w:val="00DC0D54"/>
    <w:rsid w:val="00DC6F31"/>
    <w:rsid w:val="00DD6D82"/>
    <w:rsid w:val="00DE045E"/>
    <w:rsid w:val="00DE23D6"/>
    <w:rsid w:val="00DE2CB6"/>
    <w:rsid w:val="00DE2DDE"/>
    <w:rsid w:val="00DE5414"/>
    <w:rsid w:val="00DF0C37"/>
    <w:rsid w:val="00DF2506"/>
    <w:rsid w:val="00DF301A"/>
    <w:rsid w:val="00DF3469"/>
    <w:rsid w:val="00DF3BE2"/>
    <w:rsid w:val="00DF4E2C"/>
    <w:rsid w:val="00DF75EC"/>
    <w:rsid w:val="00E05E34"/>
    <w:rsid w:val="00E06547"/>
    <w:rsid w:val="00E079C6"/>
    <w:rsid w:val="00E12544"/>
    <w:rsid w:val="00E146CF"/>
    <w:rsid w:val="00E23C05"/>
    <w:rsid w:val="00E247E2"/>
    <w:rsid w:val="00E24B7C"/>
    <w:rsid w:val="00E304EB"/>
    <w:rsid w:val="00E329D0"/>
    <w:rsid w:val="00E33746"/>
    <w:rsid w:val="00E36B53"/>
    <w:rsid w:val="00E37585"/>
    <w:rsid w:val="00E469D5"/>
    <w:rsid w:val="00E46CD5"/>
    <w:rsid w:val="00E500D9"/>
    <w:rsid w:val="00E51AB5"/>
    <w:rsid w:val="00E52345"/>
    <w:rsid w:val="00E52763"/>
    <w:rsid w:val="00E563AE"/>
    <w:rsid w:val="00E662CD"/>
    <w:rsid w:val="00E73271"/>
    <w:rsid w:val="00E74214"/>
    <w:rsid w:val="00E74D52"/>
    <w:rsid w:val="00E75855"/>
    <w:rsid w:val="00E825D0"/>
    <w:rsid w:val="00E86566"/>
    <w:rsid w:val="00E875F5"/>
    <w:rsid w:val="00E9157E"/>
    <w:rsid w:val="00E92527"/>
    <w:rsid w:val="00E97045"/>
    <w:rsid w:val="00EA270C"/>
    <w:rsid w:val="00EA5CF4"/>
    <w:rsid w:val="00EB09B9"/>
    <w:rsid w:val="00EB7CB1"/>
    <w:rsid w:val="00EC1C35"/>
    <w:rsid w:val="00ED0557"/>
    <w:rsid w:val="00ED34D4"/>
    <w:rsid w:val="00EE30EE"/>
    <w:rsid w:val="00EE6DE6"/>
    <w:rsid w:val="00EF057C"/>
    <w:rsid w:val="00EF1D14"/>
    <w:rsid w:val="00F01B31"/>
    <w:rsid w:val="00F03AB9"/>
    <w:rsid w:val="00F06479"/>
    <w:rsid w:val="00F076C5"/>
    <w:rsid w:val="00F120D9"/>
    <w:rsid w:val="00F124BE"/>
    <w:rsid w:val="00F27170"/>
    <w:rsid w:val="00F30016"/>
    <w:rsid w:val="00F31C75"/>
    <w:rsid w:val="00F341CC"/>
    <w:rsid w:val="00F401D3"/>
    <w:rsid w:val="00F40CAB"/>
    <w:rsid w:val="00F47C5C"/>
    <w:rsid w:val="00F54856"/>
    <w:rsid w:val="00F64F51"/>
    <w:rsid w:val="00F765E8"/>
    <w:rsid w:val="00F83759"/>
    <w:rsid w:val="00F86D88"/>
    <w:rsid w:val="00F87FA7"/>
    <w:rsid w:val="00F9473C"/>
    <w:rsid w:val="00FA27F8"/>
    <w:rsid w:val="00FA40A3"/>
    <w:rsid w:val="00FB3BA6"/>
    <w:rsid w:val="00FB4D65"/>
    <w:rsid w:val="00FB5954"/>
    <w:rsid w:val="00FC0CDF"/>
    <w:rsid w:val="00FC183A"/>
    <w:rsid w:val="00FC3D1C"/>
    <w:rsid w:val="00FD08A7"/>
    <w:rsid w:val="00FD2E55"/>
    <w:rsid w:val="00FD2FA9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29CDF5E-CD3B-4247-9A07-4654957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uiPriority w:val="99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2429</Words>
  <Characters>13119</Characters>
  <Application>Microsoft Office Word</Application>
  <DocSecurity>4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15517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2010-05-26T15:17:00Z</cp:lastPrinted>
  <dcterms:created xsi:type="dcterms:W3CDTF">2015-05-07T12:33:00Z</dcterms:created>
  <dcterms:modified xsi:type="dcterms:W3CDTF">2015-05-07T12:33:00Z</dcterms:modified>
</cp:coreProperties>
</file>