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0E6" w:rsidRPr="00BF5733" w:rsidRDefault="003D00E6" w:rsidP="007A1853">
      <w:pPr>
        <w:pStyle w:val="Ttulo8"/>
        <w:tabs>
          <w:tab w:val="right" w:pos="4423"/>
        </w:tabs>
        <w:spacing w:before="0" w:after="0"/>
        <w:ind w:left="0"/>
        <w:rPr>
          <w:rFonts w:ascii="Times New Roman" w:hAnsi="Times New Roman"/>
          <w:b/>
          <w:i w:val="0"/>
          <w:sz w:val="22"/>
          <w:szCs w:val="22"/>
        </w:rPr>
      </w:pPr>
      <w:bookmarkStart w:id="0" w:name="_GoBack"/>
      <w:bookmarkEnd w:id="0"/>
      <w:r w:rsidRPr="00BF5733">
        <w:rPr>
          <w:rFonts w:ascii="Times New Roman" w:hAnsi="Times New Roman"/>
          <w:b/>
          <w:i w:val="0"/>
          <w:sz w:val="22"/>
          <w:szCs w:val="22"/>
        </w:rPr>
        <w:t xml:space="preserve">Sessões: </w:t>
      </w:r>
      <w:r w:rsidR="00627AE8" w:rsidRPr="00BF5733">
        <w:rPr>
          <w:rFonts w:ascii="Times New Roman" w:hAnsi="Times New Roman"/>
          <w:b/>
          <w:i w:val="0"/>
          <w:sz w:val="22"/>
          <w:szCs w:val="22"/>
        </w:rPr>
        <w:t>24</w:t>
      </w:r>
      <w:r w:rsidRPr="00BF5733">
        <w:rPr>
          <w:rFonts w:ascii="Times New Roman" w:hAnsi="Times New Roman"/>
          <w:b/>
          <w:i w:val="0"/>
          <w:sz w:val="22"/>
          <w:szCs w:val="22"/>
        </w:rPr>
        <w:t xml:space="preserve"> e </w:t>
      </w:r>
      <w:r w:rsidR="00627AE8" w:rsidRPr="00BF5733">
        <w:rPr>
          <w:rFonts w:ascii="Times New Roman" w:hAnsi="Times New Roman"/>
          <w:b/>
          <w:i w:val="0"/>
          <w:sz w:val="22"/>
          <w:szCs w:val="22"/>
        </w:rPr>
        <w:t>25</w:t>
      </w:r>
      <w:r w:rsidRPr="00BF5733">
        <w:rPr>
          <w:rFonts w:ascii="Times New Roman" w:hAnsi="Times New Roman"/>
          <w:b/>
          <w:i w:val="0"/>
          <w:sz w:val="22"/>
          <w:szCs w:val="22"/>
        </w:rPr>
        <w:t xml:space="preserve"> de </w:t>
      </w:r>
      <w:r w:rsidR="004457FA" w:rsidRPr="00BF5733">
        <w:rPr>
          <w:rFonts w:ascii="Times New Roman" w:hAnsi="Times New Roman"/>
          <w:b/>
          <w:i w:val="0"/>
          <w:sz w:val="22"/>
          <w:szCs w:val="22"/>
        </w:rPr>
        <w:t>agost</w:t>
      </w:r>
      <w:r w:rsidR="00301036" w:rsidRPr="00BF5733">
        <w:rPr>
          <w:rFonts w:ascii="Times New Roman" w:hAnsi="Times New Roman"/>
          <w:b/>
          <w:i w:val="0"/>
          <w:sz w:val="22"/>
          <w:szCs w:val="22"/>
        </w:rPr>
        <w:t>o</w:t>
      </w:r>
      <w:r w:rsidRPr="00BF5733">
        <w:rPr>
          <w:rFonts w:ascii="Times New Roman" w:hAnsi="Times New Roman"/>
          <w:b/>
          <w:i w:val="0"/>
          <w:sz w:val="22"/>
          <w:szCs w:val="22"/>
        </w:rPr>
        <w:t xml:space="preserve"> de 2010</w:t>
      </w:r>
    </w:p>
    <w:p w:rsidR="003D00E6" w:rsidRPr="00BF5733" w:rsidRDefault="003D00E6" w:rsidP="007A1853">
      <w:pPr>
        <w:pStyle w:val="Corpodetexto2"/>
        <w:spacing w:after="0" w:line="240" w:lineRule="auto"/>
        <w:ind w:left="0"/>
        <w:rPr>
          <w:sz w:val="22"/>
          <w:szCs w:val="22"/>
        </w:rPr>
      </w:pPr>
      <w:r w:rsidRPr="00BF5733">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3D00E6" w:rsidRPr="00BF5733" w:rsidRDefault="003D00E6" w:rsidP="007A1853">
      <w:pPr>
        <w:pStyle w:val="Corpodetexto2"/>
        <w:spacing w:after="0" w:line="240" w:lineRule="auto"/>
        <w:ind w:left="0"/>
        <w:rPr>
          <w:sz w:val="22"/>
          <w:szCs w:val="22"/>
        </w:rPr>
      </w:pPr>
    </w:p>
    <w:p w:rsidR="00055E54" w:rsidRPr="00BF5733" w:rsidRDefault="00055E54" w:rsidP="00AE13F6">
      <w:pPr>
        <w:pBdr>
          <w:top w:val="threeDEmboss" w:sz="24" w:space="0" w:color="auto"/>
        </w:pBdr>
        <w:tabs>
          <w:tab w:val="left" w:pos="284"/>
        </w:tabs>
        <w:spacing w:before="60" w:after="0"/>
        <w:ind w:left="0"/>
        <w:jc w:val="center"/>
        <w:rPr>
          <w:rFonts w:ascii="Cambria" w:hAnsi="Cambria"/>
          <w:b/>
          <w:bCs/>
          <w:smallCaps/>
          <w:sz w:val="22"/>
          <w:szCs w:val="22"/>
        </w:rPr>
      </w:pPr>
      <w:r w:rsidRPr="00BF5733">
        <w:rPr>
          <w:rFonts w:ascii="Cambria" w:hAnsi="Cambria"/>
          <w:b/>
          <w:bCs/>
          <w:smallCaps/>
          <w:sz w:val="22"/>
          <w:szCs w:val="22"/>
        </w:rPr>
        <w:t>SUMÁRIO</w:t>
      </w:r>
    </w:p>
    <w:p w:rsidR="00055E54" w:rsidRPr="00BF5733" w:rsidRDefault="00055E54" w:rsidP="00AE13F6">
      <w:pPr>
        <w:pStyle w:val="tita"/>
        <w:spacing w:before="60" w:after="0" w:line="240" w:lineRule="auto"/>
        <w:jc w:val="both"/>
        <w:rPr>
          <w:i w:val="0"/>
          <w:iCs w:val="0"/>
          <w:sz w:val="22"/>
          <w:szCs w:val="22"/>
        </w:rPr>
      </w:pPr>
      <w:r w:rsidRPr="00BF5733">
        <w:rPr>
          <w:i w:val="0"/>
          <w:iCs w:val="0"/>
          <w:sz w:val="22"/>
          <w:szCs w:val="22"/>
        </w:rPr>
        <w:t>Plenário</w:t>
      </w:r>
    </w:p>
    <w:p w:rsidR="00AF32D2" w:rsidRPr="00BF5733" w:rsidRDefault="00AF32D2" w:rsidP="00AE13F6">
      <w:pPr>
        <w:pStyle w:val="TCU-RelVoto-demais"/>
        <w:spacing w:before="60" w:after="0"/>
        <w:rPr>
          <w:sz w:val="22"/>
        </w:rPr>
      </w:pPr>
      <w:r w:rsidRPr="00BF5733">
        <w:rPr>
          <w:sz w:val="22"/>
        </w:rPr>
        <w:t>Fraude à licitação: apresentação de atestado com conteúdo falso como razão suficiente para declaração de inidoneidade de licitante pelo TCU</w:t>
      </w:r>
      <w:r w:rsidR="00624AD7">
        <w:rPr>
          <w:sz w:val="22"/>
        </w:rPr>
        <w:t>;</w:t>
      </w:r>
    </w:p>
    <w:p w:rsidR="00F7126A" w:rsidRPr="00BF5733" w:rsidRDefault="00F7126A" w:rsidP="00AE13F6">
      <w:pPr>
        <w:pStyle w:val="TCU-RelVoto-demais"/>
        <w:spacing w:before="60" w:after="0"/>
        <w:rPr>
          <w:sz w:val="22"/>
        </w:rPr>
      </w:pPr>
      <w:r w:rsidRPr="00BF5733">
        <w:rPr>
          <w:sz w:val="22"/>
        </w:rPr>
        <w:t>Licitação para obra pública: comprovação de acervo técnico</w:t>
      </w:r>
      <w:r w:rsidR="00AE13F6" w:rsidRPr="00BF5733">
        <w:rPr>
          <w:sz w:val="22"/>
        </w:rPr>
        <w:t>.</w:t>
      </w:r>
    </w:p>
    <w:p w:rsidR="00AD186C" w:rsidRPr="00BF5733" w:rsidRDefault="00AD186C" w:rsidP="00AE13F6">
      <w:pPr>
        <w:pStyle w:val="tita"/>
        <w:spacing w:before="60" w:after="0" w:line="240" w:lineRule="auto"/>
        <w:jc w:val="both"/>
        <w:rPr>
          <w:i w:val="0"/>
          <w:iCs w:val="0"/>
          <w:sz w:val="22"/>
          <w:szCs w:val="22"/>
        </w:rPr>
      </w:pPr>
      <w:r w:rsidRPr="00BF5733">
        <w:rPr>
          <w:i w:val="0"/>
          <w:iCs w:val="0"/>
          <w:sz w:val="22"/>
          <w:szCs w:val="22"/>
        </w:rPr>
        <w:t>Primeira Câmara</w:t>
      </w:r>
    </w:p>
    <w:p w:rsidR="00F7126A" w:rsidRPr="00BF5733" w:rsidRDefault="00F7126A" w:rsidP="00AE13F6">
      <w:pPr>
        <w:pStyle w:val="indice"/>
        <w:spacing w:before="60" w:line="240" w:lineRule="auto"/>
        <w:rPr>
          <w:bCs/>
          <w:color w:val="auto"/>
        </w:rPr>
      </w:pPr>
      <w:r w:rsidRPr="00BF5733">
        <w:rPr>
          <w:bCs/>
          <w:color w:val="auto"/>
        </w:rPr>
        <w:t>Dispensa de Licitação: necessidade de comprovação de que o imóvel a ser locado é o único que atende aos interesses da Administração Pública</w:t>
      </w:r>
      <w:r w:rsidR="00624AD7">
        <w:rPr>
          <w:bCs/>
          <w:color w:val="auto"/>
        </w:rPr>
        <w:t>;</w:t>
      </w:r>
    </w:p>
    <w:p w:rsidR="00AE13F6" w:rsidRPr="00BF5733" w:rsidRDefault="00AE13F6" w:rsidP="00AE13F6">
      <w:pPr>
        <w:pStyle w:val="indice"/>
        <w:spacing w:before="60" w:line="240" w:lineRule="auto"/>
        <w:rPr>
          <w:bCs/>
          <w:color w:val="auto"/>
        </w:rPr>
      </w:pPr>
      <w:r w:rsidRPr="00BF5733">
        <w:rPr>
          <w:bCs/>
          <w:color w:val="auto"/>
        </w:rPr>
        <w:t>Pregão para aquisição de helicópteros: possibilidade de pagamento antecipado.</w:t>
      </w:r>
    </w:p>
    <w:p w:rsidR="00796A34" w:rsidRPr="00BF5733" w:rsidRDefault="00AE13F6" w:rsidP="00AE13F6">
      <w:pPr>
        <w:pStyle w:val="tita"/>
        <w:spacing w:before="60" w:after="0" w:line="240" w:lineRule="auto"/>
        <w:jc w:val="both"/>
        <w:rPr>
          <w:i w:val="0"/>
          <w:iCs w:val="0"/>
          <w:sz w:val="22"/>
          <w:szCs w:val="22"/>
        </w:rPr>
      </w:pPr>
      <w:r w:rsidRPr="00BF5733">
        <w:rPr>
          <w:i w:val="0"/>
          <w:iCs w:val="0"/>
          <w:sz w:val="22"/>
          <w:szCs w:val="22"/>
        </w:rPr>
        <w:t>Segunda Câmara</w:t>
      </w:r>
    </w:p>
    <w:p w:rsidR="00AE13F6" w:rsidRPr="00BF5733" w:rsidRDefault="00AE13F6" w:rsidP="00AE13F6">
      <w:pPr>
        <w:pStyle w:val="indice"/>
        <w:spacing w:before="60" w:line="240" w:lineRule="auto"/>
        <w:rPr>
          <w:bCs/>
          <w:color w:val="auto"/>
        </w:rPr>
      </w:pPr>
      <w:r w:rsidRPr="00BF5733">
        <w:rPr>
          <w:bCs/>
          <w:color w:val="auto"/>
        </w:rPr>
        <w:t>Dispensa de licitação: necessidade de observância do preço oferecido pelo licitante vencedor na hipótese de utilização do art. 24, inc. XI</w:t>
      </w:r>
      <w:r w:rsidR="001630BD">
        <w:rPr>
          <w:bCs/>
          <w:color w:val="auto"/>
        </w:rPr>
        <w:t>, da Lei nº 8.666/93, que trata de</w:t>
      </w:r>
      <w:r w:rsidRPr="00BF5733">
        <w:rPr>
          <w:bCs/>
          <w:color w:val="auto"/>
        </w:rPr>
        <w:t xml:space="preserve"> remanescente de contratação anterior.</w:t>
      </w:r>
    </w:p>
    <w:p w:rsidR="00AE13F6" w:rsidRPr="00BF5733" w:rsidRDefault="00AE13F6" w:rsidP="00AE13F6">
      <w:pPr>
        <w:pStyle w:val="indice"/>
        <w:spacing w:before="60" w:line="240" w:lineRule="auto"/>
        <w:rPr>
          <w:bCs/>
          <w:color w:val="auto"/>
        </w:rPr>
      </w:pPr>
    </w:p>
    <w:p w:rsidR="003D00E6" w:rsidRPr="00BF5733" w:rsidRDefault="003D00E6" w:rsidP="002B1E7A">
      <w:pPr>
        <w:pBdr>
          <w:top w:val="threeDEmboss" w:sz="24" w:space="0" w:color="auto"/>
        </w:pBdr>
        <w:tabs>
          <w:tab w:val="left" w:pos="284"/>
        </w:tabs>
        <w:spacing w:after="0"/>
        <w:ind w:left="0"/>
        <w:jc w:val="center"/>
        <w:rPr>
          <w:rFonts w:ascii="Cambria" w:hAnsi="Cambria"/>
          <w:b/>
          <w:bCs/>
          <w:smallCaps/>
          <w:sz w:val="22"/>
          <w:szCs w:val="22"/>
        </w:rPr>
      </w:pPr>
      <w:r w:rsidRPr="00BF5733">
        <w:rPr>
          <w:rFonts w:ascii="Cambria" w:hAnsi="Cambria"/>
          <w:b/>
          <w:bCs/>
          <w:smallCaps/>
          <w:sz w:val="22"/>
          <w:szCs w:val="22"/>
        </w:rPr>
        <w:t>PLENÁRIO</w:t>
      </w:r>
    </w:p>
    <w:p w:rsidR="00AD186C" w:rsidRPr="00BF5733" w:rsidRDefault="00AD186C" w:rsidP="002B1E7A">
      <w:pPr>
        <w:pBdr>
          <w:top w:val="threeDEmboss" w:sz="24" w:space="0" w:color="auto"/>
        </w:pBdr>
        <w:tabs>
          <w:tab w:val="left" w:pos="284"/>
        </w:tabs>
        <w:spacing w:after="0"/>
        <w:ind w:left="0"/>
        <w:jc w:val="center"/>
        <w:rPr>
          <w:rFonts w:ascii="Cambria" w:hAnsi="Cambria"/>
          <w:b/>
          <w:bCs/>
          <w:smallCaps/>
          <w:sz w:val="22"/>
          <w:szCs w:val="22"/>
        </w:rPr>
      </w:pPr>
    </w:p>
    <w:p w:rsidR="00CE66BC" w:rsidRPr="00BF5733" w:rsidRDefault="00210BE6" w:rsidP="00CE66BC">
      <w:pPr>
        <w:pStyle w:val="TCU-RelVoto-demais"/>
        <w:spacing w:after="0"/>
        <w:rPr>
          <w:sz w:val="22"/>
        </w:rPr>
      </w:pPr>
      <w:r w:rsidRPr="00BF5733">
        <w:rPr>
          <w:b/>
          <w:sz w:val="22"/>
        </w:rPr>
        <w:t>Fraude à licitação: apresentação de atestado com conteúdo falso como razão suficiente para d</w:t>
      </w:r>
      <w:r w:rsidR="00D47A3D" w:rsidRPr="00BF5733">
        <w:rPr>
          <w:b/>
          <w:sz w:val="22"/>
        </w:rPr>
        <w:t>eclaração de inidoneidade de licitante</w:t>
      </w:r>
      <w:r w:rsidRPr="00BF5733">
        <w:rPr>
          <w:b/>
          <w:sz w:val="22"/>
        </w:rPr>
        <w:t xml:space="preserve"> pelo TCU</w:t>
      </w:r>
    </w:p>
    <w:p w:rsidR="00CE66BC" w:rsidRPr="00BF5733" w:rsidRDefault="009E135C" w:rsidP="00CE66BC">
      <w:pPr>
        <w:pStyle w:val="Pargrafo"/>
        <w:jc w:val="both"/>
        <w:rPr>
          <w:sz w:val="22"/>
          <w:szCs w:val="22"/>
        </w:rPr>
      </w:pPr>
      <w:r w:rsidRPr="00BF5733">
        <w:rPr>
          <w:sz w:val="22"/>
          <w:szCs w:val="22"/>
        </w:rPr>
        <w:t xml:space="preserve">Representação formulada ao TCU noticiou que na </w:t>
      </w:r>
      <w:r w:rsidRPr="00BF5733">
        <w:rPr>
          <w:snapToGrid w:val="0"/>
          <w:sz w:val="22"/>
          <w:szCs w:val="22"/>
          <w:lang w:val="pt-PT"/>
        </w:rPr>
        <w:t>Concorrência nº</w:t>
      </w:r>
      <w:r w:rsidR="00BF5733">
        <w:rPr>
          <w:snapToGrid w:val="0"/>
          <w:sz w:val="22"/>
          <w:szCs w:val="22"/>
          <w:lang w:val="pt-PT"/>
        </w:rPr>
        <w:t xml:space="preserve"> </w:t>
      </w:r>
      <w:r w:rsidRPr="00BF5733">
        <w:rPr>
          <w:snapToGrid w:val="0"/>
          <w:sz w:val="22"/>
          <w:szCs w:val="22"/>
          <w:lang w:val="pt-PT"/>
        </w:rPr>
        <w:t xml:space="preserve">3/2008, realizada pelo </w:t>
      </w:r>
      <w:r w:rsidRPr="00BF5733">
        <w:rPr>
          <w:snapToGrid w:val="0"/>
          <w:sz w:val="22"/>
          <w:szCs w:val="22"/>
        </w:rPr>
        <w:t>Instituto Federal de Educação, Ciência e Tecnologia do Amazonas – Ifam</w:t>
      </w:r>
      <w:r w:rsidRPr="00BF5733">
        <w:rPr>
          <w:snapToGrid w:val="0"/>
          <w:sz w:val="22"/>
          <w:szCs w:val="22"/>
          <w:lang w:val="pt-PT"/>
        </w:rPr>
        <w:t xml:space="preserve">, </w:t>
      </w:r>
      <w:r w:rsidR="00AA3ABF" w:rsidRPr="00BF5733">
        <w:rPr>
          <w:snapToGrid w:val="0"/>
          <w:sz w:val="22"/>
          <w:szCs w:val="22"/>
          <w:lang w:val="pt-PT"/>
        </w:rPr>
        <w:t>cujo objeto constituiu-se na</w:t>
      </w:r>
      <w:r w:rsidRPr="00BF5733">
        <w:rPr>
          <w:snapToGrid w:val="0"/>
          <w:sz w:val="22"/>
          <w:szCs w:val="22"/>
        </w:rPr>
        <w:t xml:space="preserve"> construção do </w:t>
      </w:r>
      <w:r w:rsidRPr="00BF5733">
        <w:rPr>
          <w:b/>
          <w:snapToGrid w:val="0"/>
          <w:sz w:val="22"/>
          <w:szCs w:val="22"/>
        </w:rPr>
        <w:t>campus</w:t>
      </w:r>
      <w:r w:rsidRPr="00BF5733">
        <w:rPr>
          <w:snapToGrid w:val="0"/>
          <w:sz w:val="22"/>
          <w:szCs w:val="22"/>
        </w:rPr>
        <w:t xml:space="preserve"> do Centro Federal de Educação Tecnológica no Município de Presidente Figueiredo/AM</w:t>
      </w:r>
      <w:r w:rsidR="00AA3ABF" w:rsidRPr="00BF5733">
        <w:rPr>
          <w:snapToGrid w:val="0"/>
          <w:sz w:val="22"/>
          <w:szCs w:val="22"/>
        </w:rPr>
        <w:t xml:space="preserve">, empresa licitante </w:t>
      </w:r>
      <w:r w:rsidR="00B63B00">
        <w:rPr>
          <w:snapToGrid w:val="0"/>
          <w:sz w:val="22"/>
          <w:szCs w:val="22"/>
        </w:rPr>
        <w:t>apresentou</w:t>
      </w:r>
      <w:r w:rsidR="00B63B00" w:rsidRPr="00BF5733">
        <w:rPr>
          <w:snapToGrid w:val="0"/>
          <w:sz w:val="22"/>
          <w:szCs w:val="22"/>
        </w:rPr>
        <w:t xml:space="preserve"> </w:t>
      </w:r>
      <w:r w:rsidR="00EB0C4D" w:rsidRPr="00BF5733">
        <w:rPr>
          <w:sz w:val="22"/>
          <w:szCs w:val="22"/>
          <w:lang w:val="pt-PT"/>
        </w:rPr>
        <w:t>atestado de capacidade técnica com conteúdo possivelmente falso, com vistas a sua habilitação no certame. Para apuração dos fatos, a unidade técnica responsável pel</w:t>
      </w:r>
      <w:r w:rsidR="009F6FD5" w:rsidRPr="00BF5733">
        <w:rPr>
          <w:sz w:val="22"/>
          <w:szCs w:val="22"/>
          <w:lang w:val="pt-PT"/>
        </w:rPr>
        <w:t>a instrução d</w:t>
      </w:r>
      <w:r w:rsidR="00EB0C4D" w:rsidRPr="00BF5733">
        <w:rPr>
          <w:sz w:val="22"/>
          <w:szCs w:val="22"/>
          <w:lang w:val="pt-PT"/>
        </w:rPr>
        <w:t>o feito promoveu uma série de audiências</w:t>
      </w:r>
      <w:r w:rsidR="009F6FD5" w:rsidRPr="00BF5733">
        <w:rPr>
          <w:sz w:val="22"/>
          <w:szCs w:val="22"/>
          <w:lang w:val="pt-PT"/>
        </w:rPr>
        <w:t>, inclusive da própria empresa responsável pela potencial fraude</w:t>
      </w:r>
      <w:r w:rsidR="007B5A3C" w:rsidRPr="00BF5733">
        <w:rPr>
          <w:sz w:val="22"/>
          <w:szCs w:val="22"/>
          <w:lang w:val="pt-PT"/>
        </w:rPr>
        <w:t xml:space="preserve">, a qual alegou erro de entendimento quanto ao que fora exigido a título de comprovação de capacidade técnica. De acordo com a empresa respondente, o texto do edital seria dúbio, ao </w:t>
      </w:r>
      <w:r w:rsidR="007B5A3C" w:rsidRPr="00BF5733">
        <w:rPr>
          <w:sz w:val="22"/>
          <w:szCs w:val="22"/>
        </w:rPr>
        <w:t>requerer “</w:t>
      </w:r>
      <w:r w:rsidR="007B5A3C" w:rsidRPr="00BF5733">
        <w:rPr>
          <w:i/>
          <w:sz w:val="22"/>
          <w:szCs w:val="22"/>
        </w:rPr>
        <w:t>execução de obra ou serviço com complexidade equivalente</w:t>
      </w:r>
      <w:r w:rsidR="007B5A3C" w:rsidRPr="00BF5733">
        <w:rPr>
          <w:sz w:val="22"/>
          <w:szCs w:val="22"/>
        </w:rPr>
        <w:t>”. Daí, apresentara atestado no qual constava, erroneamente digitado, construção de obra</w:t>
      </w:r>
      <w:r w:rsidR="00B63B00">
        <w:rPr>
          <w:sz w:val="22"/>
          <w:szCs w:val="22"/>
        </w:rPr>
        <w:t xml:space="preserve"> em vez </w:t>
      </w:r>
      <w:r w:rsidR="007B5A3C" w:rsidRPr="00BF5733">
        <w:rPr>
          <w:sz w:val="22"/>
          <w:szCs w:val="22"/>
        </w:rPr>
        <w:t xml:space="preserve">de projeto. Todavia, a unidade técnica registrou não se sustentar o argumento </w:t>
      </w:r>
      <w:r w:rsidR="00D1483F" w:rsidRPr="00BF5733">
        <w:rPr>
          <w:sz w:val="22"/>
          <w:szCs w:val="22"/>
        </w:rPr>
        <w:t xml:space="preserve">da </w:t>
      </w:r>
      <w:r w:rsidR="003F4ABA" w:rsidRPr="00BF5733">
        <w:rPr>
          <w:sz w:val="22"/>
          <w:szCs w:val="22"/>
        </w:rPr>
        <w:t xml:space="preserve">potencial fraudadora </w:t>
      </w:r>
      <w:r w:rsidR="007B5A3C" w:rsidRPr="00BF5733">
        <w:rPr>
          <w:sz w:val="22"/>
          <w:szCs w:val="22"/>
        </w:rPr>
        <w:t xml:space="preserve">de </w:t>
      </w:r>
      <w:r w:rsidR="003F4ABA" w:rsidRPr="00BF5733">
        <w:rPr>
          <w:sz w:val="22"/>
          <w:szCs w:val="22"/>
        </w:rPr>
        <w:t>se tratar de equívoco</w:t>
      </w:r>
      <w:r w:rsidR="00D47A3D" w:rsidRPr="00BF5733">
        <w:rPr>
          <w:sz w:val="22"/>
          <w:szCs w:val="22"/>
        </w:rPr>
        <w:t xml:space="preserve"> quanto à interpretação</w:t>
      </w:r>
      <w:r w:rsidR="003F4ABA" w:rsidRPr="00BF5733">
        <w:rPr>
          <w:sz w:val="22"/>
          <w:szCs w:val="22"/>
        </w:rPr>
        <w:t xml:space="preserve">. Para a unidade técnica, a evidência de fraude </w:t>
      </w:r>
      <w:r w:rsidR="00AF32D2" w:rsidRPr="00BF5733">
        <w:rPr>
          <w:sz w:val="22"/>
          <w:szCs w:val="22"/>
        </w:rPr>
        <w:t>quanto ao conteúdo do atestado de capacidade técnica seria determinante</w:t>
      </w:r>
      <w:r w:rsidR="003F4ABA" w:rsidRPr="00BF5733">
        <w:rPr>
          <w:sz w:val="22"/>
          <w:szCs w:val="22"/>
        </w:rPr>
        <w:t xml:space="preserve"> para o Tribunal declarar a inidoneidade da licitante. Ao se pronunciar nos autos, o representante do Ministério Público junto ao TCU </w:t>
      </w:r>
      <w:r w:rsidR="00D1483F" w:rsidRPr="00BF5733">
        <w:rPr>
          <w:sz w:val="22"/>
          <w:szCs w:val="22"/>
        </w:rPr>
        <w:t>– MP/TCU</w:t>
      </w:r>
      <w:r w:rsidR="00216751">
        <w:rPr>
          <w:sz w:val="22"/>
          <w:szCs w:val="22"/>
        </w:rPr>
        <w:t xml:space="preserve"> -</w:t>
      </w:r>
      <w:r w:rsidR="00D1483F" w:rsidRPr="00BF5733">
        <w:rPr>
          <w:sz w:val="22"/>
          <w:szCs w:val="22"/>
        </w:rPr>
        <w:t xml:space="preserve"> </w:t>
      </w:r>
      <w:r w:rsidR="003F4ABA" w:rsidRPr="00BF5733">
        <w:rPr>
          <w:sz w:val="22"/>
          <w:szCs w:val="22"/>
        </w:rPr>
        <w:t>afirmou que a potencial fraudadora “</w:t>
      </w:r>
      <w:r w:rsidR="003F4ABA" w:rsidRPr="00BF5733">
        <w:rPr>
          <w:i/>
          <w:sz w:val="22"/>
          <w:szCs w:val="22"/>
        </w:rPr>
        <w:t>apresentou atestado de capacidade técnica com informação falsa. O documento informava que a empresa foi a responsável pela execução de obras de engenharia, quando na verdade apenas elaborou os projetos para essa execução</w:t>
      </w:r>
      <w:r w:rsidR="003F4ABA" w:rsidRPr="00BF5733">
        <w:rPr>
          <w:sz w:val="22"/>
          <w:szCs w:val="22"/>
        </w:rPr>
        <w:t>”</w:t>
      </w:r>
      <w:r w:rsidR="00D1483F" w:rsidRPr="00BF5733">
        <w:rPr>
          <w:sz w:val="22"/>
          <w:szCs w:val="22"/>
        </w:rPr>
        <w:t>, sendo “</w:t>
      </w:r>
      <w:r w:rsidR="00D1483F" w:rsidRPr="00BF5733">
        <w:rPr>
          <w:i/>
          <w:snapToGrid w:val="0"/>
          <w:sz w:val="22"/>
          <w:szCs w:val="22"/>
        </w:rPr>
        <w:t>clara a intenção da empresa em demonstrar que foi a responsável pela execução física das obras de engenharia</w:t>
      </w:r>
      <w:r w:rsidR="00D1483F" w:rsidRPr="00BF5733">
        <w:rPr>
          <w:snapToGrid w:val="0"/>
          <w:sz w:val="22"/>
          <w:szCs w:val="22"/>
        </w:rPr>
        <w:t>”</w:t>
      </w:r>
      <w:r w:rsidR="003F4ABA" w:rsidRPr="00BF5733">
        <w:rPr>
          <w:i/>
          <w:sz w:val="22"/>
          <w:szCs w:val="22"/>
        </w:rPr>
        <w:t>.</w:t>
      </w:r>
      <w:r w:rsidR="00D1483F" w:rsidRPr="00BF5733">
        <w:rPr>
          <w:i/>
          <w:sz w:val="22"/>
          <w:szCs w:val="22"/>
        </w:rPr>
        <w:t xml:space="preserve"> </w:t>
      </w:r>
      <w:r w:rsidR="00D1483F" w:rsidRPr="00BF5733">
        <w:rPr>
          <w:sz w:val="22"/>
          <w:szCs w:val="22"/>
        </w:rPr>
        <w:t xml:space="preserve">Assim, ante a evidência de fraude à licitação, o MP/TCU </w:t>
      </w:r>
      <w:r w:rsidR="00A82132" w:rsidRPr="00BF5733">
        <w:rPr>
          <w:sz w:val="22"/>
          <w:szCs w:val="22"/>
        </w:rPr>
        <w:t xml:space="preserve">considerou adequada a </w:t>
      </w:r>
      <w:r w:rsidR="00B63B00">
        <w:rPr>
          <w:sz w:val="22"/>
          <w:szCs w:val="22"/>
        </w:rPr>
        <w:t>proposta</w:t>
      </w:r>
      <w:r w:rsidR="00B63B00" w:rsidRPr="00BF5733">
        <w:rPr>
          <w:sz w:val="22"/>
          <w:szCs w:val="22"/>
        </w:rPr>
        <w:t xml:space="preserve"> </w:t>
      </w:r>
      <w:r w:rsidR="00A82132" w:rsidRPr="00BF5733">
        <w:rPr>
          <w:sz w:val="22"/>
          <w:szCs w:val="22"/>
        </w:rPr>
        <w:t>da unidade técnica de se declarar a inidoneidade da licitante responsável pela apresentação do documento. O relator do feito</w:t>
      </w:r>
      <w:r w:rsidR="001E4FB6">
        <w:rPr>
          <w:sz w:val="22"/>
          <w:szCs w:val="22"/>
        </w:rPr>
        <w:t xml:space="preserve">, </w:t>
      </w:r>
      <w:r w:rsidR="008166A8">
        <w:rPr>
          <w:sz w:val="22"/>
          <w:szCs w:val="22"/>
        </w:rPr>
        <w:t>m</w:t>
      </w:r>
      <w:r w:rsidR="001E4FB6">
        <w:rPr>
          <w:sz w:val="22"/>
          <w:szCs w:val="22"/>
        </w:rPr>
        <w:t>inistro-</w:t>
      </w:r>
      <w:r w:rsidR="008166A8">
        <w:rPr>
          <w:sz w:val="22"/>
          <w:szCs w:val="22"/>
        </w:rPr>
        <w:t>s</w:t>
      </w:r>
      <w:r w:rsidR="001E4FB6">
        <w:rPr>
          <w:sz w:val="22"/>
          <w:szCs w:val="22"/>
        </w:rPr>
        <w:t>ubstituto André Luís de Carvalho,</w:t>
      </w:r>
      <w:r w:rsidR="00A82132" w:rsidRPr="00BF5733">
        <w:rPr>
          <w:sz w:val="22"/>
          <w:szCs w:val="22"/>
        </w:rPr>
        <w:t xml:space="preserve"> concordou com as análises procedidas tanto pela unidade técnica, quanto pelo MP/TCU</w:t>
      </w:r>
      <w:r w:rsidR="00486070" w:rsidRPr="00BF5733">
        <w:rPr>
          <w:sz w:val="22"/>
          <w:szCs w:val="22"/>
        </w:rPr>
        <w:t>,</w:t>
      </w:r>
      <w:r w:rsidR="00A82132" w:rsidRPr="00BF5733">
        <w:rPr>
          <w:sz w:val="22"/>
          <w:szCs w:val="22"/>
        </w:rPr>
        <w:t xml:space="preserve"> </w:t>
      </w:r>
      <w:r w:rsidR="00CB1A64">
        <w:rPr>
          <w:sz w:val="22"/>
          <w:szCs w:val="22"/>
        </w:rPr>
        <w:t>acerca d</w:t>
      </w:r>
      <w:r w:rsidR="00A82132" w:rsidRPr="00BF5733">
        <w:rPr>
          <w:sz w:val="22"/>
          <w:szCs w:val="22"/>
        </w:rPr>
        <w:t>o intuito da licitante: fraudar o processo licitatório. Todavia, para o relator, haveria incerteza se a situação examinada perfaria “</w:t>
      </w:r>
      <w:r w:rsidR="00A82132" w:rsidRPr="00BF5733">
        <w:rPr>
          <w:i/>
          <w:sz w:val="22"/>
          <w:szCs w:val="22"/>
        </w:rPr>
        <w:t>todos os</w:t>
      </w:r>
      <w:r w:rsidR="00D47A3D" w:rsidRPr="00BF5733">
        <w:rPr>
          <w:i/>
          <w:sz w:val="22"/>
          <w:szCs w:val="22"/>
        </w:rPr>
        <w:t xml:space="preserve"> elementos caracterizadores da ‘</w:t>
      </w:r>
      <w:r w:rsidR="00A82132" w:rsidRPr="00BF5733">
        <w:rPr>
          <w:i/>
          <w:sz w:val="22"/>
          <w:szCs w:val="22"/>
        </w:rPr>
        <w:t>fraude comprovada a licitação</w:t>
      </w:r>
      <w:r w:rsidR="00D47A3D" w:rsidRPr="00BF5733">
        <w:rPr>
          <w:i/>
          <w:sz w:val="22"/>
          <w:szCs w:val="22"/>
        </w:rPr>
        <w:t>’</w:t>
      </w:r>
      <w:r w:rsidR="00A82132" w:rsidRPr="00BF5733">
        <w:rPr>
          <w:i/>
          <w:sz w:val="22"/>
          <w:szCs w:val="22"/>
        </w:rPr>
        <w:t>, para fins de declaração de inidoneidade da empresa</w:t>
      </w:r>
      <w:r w:rsidR="00A82132" w:rsidRPr="00BF5733">
        <w:rPr>
          <w:sz w:val="22"/>
          <w:szCs w:val="22"/>
        </w:rPr>
        <w:t xml:space="preserve">”. </w:t>
      </w:r>
      <w:r w:rsidR="00A274FB" w:rsidRPr="00BF5733">
        <w:rPr>
          <w:sz w:val="22"/>
          <w:szCs w:val="22"/>
        </w:rPr>
        <w:t>Citando precedente jurisprudencial do TCU, destacou o relator que a fraude comprovada à licitação, como sustentáculo para declaração de inidoneidade de licitante</w:t>
      </w:r>
      <w:r w:rsidR="00D47A3D" w:rsidRPr="00BF5733">
        <w:rPr>
          <w:sz w:val="22"/>
          <w:szCs w:val="22"/>
        </w:rPr>
        <w:t xml:space="preserve"> pelo </w:t>
      </w:r>
      <w:r w:rsidR="00216751">
        <w:rPr>
          <w:sz w:val="22"/>
          <w:szCs w:val="22"/>
        </w:rPr>
        <w:t>Tribunal</w:t>
      </w:r>
      <w:r w:rsidR="00A274FB" w:rsidRPr="00BF5733">
        <w:rPr>
          <w:sz w:val="22"/>
          <w:szCs w:val="22"/>
        </w:rPr>
        <w:t xml:space="preserve">, </w:t>
      </w:r>
      <w:r w:rsidR="00D47A3D" w:rsidRPr="00BF5733">
        <w:rPr>
          <w:sz w:val="22"/>
          <w:szCs w:val="22"/>
        </w:rPr>
        <w:t xml:space="preserve">exigiria a concretização do resultado, isto é, o prejuízo efetivo ao certame, tendo em conta o estabelecido no art. 46 da Lei Orgânica </w:t>
      </w:r>
      <w:r w:rsidR="00216751">
        <w:rPr>
          <w:sz w:val="22"/>
          <w:szCs w:val="22"/>
        </w:rPr>
        <w:t>do TCU</w:t>
      </w:r>
      <w:r w:rsidR="00907B49">
        <w:rPr>
          <w:sz w:val="22"/>
          <w:szCs w:val="22"/>
        </w:rPr>
        <w:t xml:space="preserve"> (</w:t>
      </w:r>
      <w:r w:rsidR="00907B49" w:rsidRPr="00907B49">
        <w:rPr>
          <w:i/>
          <w:sz w:val="22"/>
          <w:szCs w:val="22"/>
        </w:rPr>
        <w:t>Art. 46. Verificada a ocorrência de fraude comprovada à licitação, o Tribunal declarará a inidoneidade do licitante fraudador para participar, por até cinco anos, de licitação na Administração Pública Federal.</w:t>
      </w:r>
      <w:r w:rsidR="00907B49">
        <w:rPr>
          <w:rFonts w:ascii="Arial" w:hAnsi="Arial" w:cs="Arial"/>
          <w:sz w:val="20"/>
        </w:rPr>
        <w:t>)</w:t>
      </w:r>
      <w:r w:rsidR="00D47A3D" w:rsidRPr="00BF5733">
        <w:rPr>
          <w:sz w:val="22"/>
          <w:szCs w:val="22"/>
        </w:rPr>
        <w:t xml:space="preserve">. Como, na espécie, não </w:t>
      </w:r>
      <w:r w:rsidR="00AF32D2" w:rsidRPr="00BF5733">
        <w:rPr>
          <w:sz w:val="22"/>
          <w:szCs w:val="22"/>
        </w:rPr>
        <w:t xml:space="preserve">teria </w:t>
      </w:r>
      <w:r w:rsidR="00D47A3D" w:rsidRPr="00BF5733">
        <w:rPr>
          <w:sz w:val="22"/>
          <w:szCs w:val="22"/>
        </w:rPr>
        <w:t>h</w:t>
      </w:r>
      <w:r w:rsidR="00AF32D2" w:rsidRPr="00BF5733">
        <w:rPr>
          <w:sz w:val="22"/>
          <w:szCs w:val="22"/>
        </w:rPr>
        <w:t>avido</w:t>
      </w:r>
      <w:r w:rsidR="00D47A3D" w:rsidRPr="00BF5733">
        <w:rPr>
          <w:sz w:val="22"/>
          <w:szCs w:val="22"/>
        </w:rPr>
        <w:t xml:space="preserve"> a materialização do prejuízo, </w:t>
      </w:r>
      <w:r w:rsidR="00AF32D2" w:rsidRPr="00BF5733">
        <w:rPr>
          <w:sz w:val="22"/>
          <w:szCs w:val="22"/>
        </w:rPr>
        <w:t xml:space="preserve">uma vez que a falsidade da documentação fora descoberta pelo Ifam, </w:t>
      </w:r>
      <w:r w:rsidR="00D47A3D" w:rsidRPr="00BF5733">
        <w:rPr>
          <w:sz w:val="22"/>
          <w:szCs w:val="22"/>
        </w:rPr>
        <w:t xml:space="preserve">não caberia ao TCU, por conseguinte, </w:t>
      </w:r>
      <w:r w:rsidR="00AF32D2" w:rsidRPr="00BF5733">
        <w:rPr>
          <w:sz w:val="22"/>
          <w:szCs w:val="22"/>
        </w:rPr>
        <w:t xml:space="preserve">punir </w:t>
      </w:r>
      <w:r w:rsidR="00D47A3D" w:rsidRPr="00BF5733">
        <w:rPr>
          <w:sz w:val="22"/>
          <w:szCs w:val="22"/>
        </w:rPr>
        <w:t xml:space="preserve">a tentativa de fraude por parte da licitante. Todavia, o </w:t>
      </w:r>
      <w:r w:rsidR="008166A8">
        <w:rPr>
          <w:sz w:val="22"/>
          <w:szCs w:val="22"/>
        </w:rPr>
        <w:t>m</w:t>
      </w:r>
      <w:r w:rsidR="00D47A3D" w:rsidRPr="00BF5733">
        <w:rPr>
          <w:sz w:val="22"/>
          <w:szCs w:val="22"/>
        </w:rPr>
        <w:t>inistro</w:t>
      </w:r>
      <w:r w:rsidR="00CB1A64">
        <w:rPr>
          <w:sz w:val="22"/>
          <w:szCs w:val="22"/>
        </w:rPr>
        <w:t>-</w:t>
      </w:r>
      <w:r w:rsidR="008166A8">
        <w:rPr>
          <w:sz w:val="22"/>
          <w:szCs w:val="22"/>
        </w:rPr>
        <w:t>r</w:t>
      </w:r>
      <w:r w:rsidR="00D47A3D" w:rsidRPr="00BF5733">
        <w:rPr>
          <w:sz w:val="22"/>
          <w:szCs w:val="22"/>
        </w:rPr>
        <w:t>evisor</w:t>
      </w:r>
      <w:r w:rsidR="001E4FB6">
        <w:rPr>
          <w:sz w:val="22"/>
          <w:szCs w:val="22"/>
        </w:rPr>
        <w:t>, Walton Alencar Rodrigues,</w:t>
      </w:r>
      <w:r w:rsidR="00D47A3D" w:rsidRPr="00BF5733">
        <w:rPr>
          <w:sz w:val="22"/>
          <w:szCs w:val="22"/>
        </w:rPr>
        <w:t xml:space="preserve"> dissentiu do encaminhamento </w:t>
      </w:r>
      <w:r w:rsidR="008166A8">
        <w:rPr>
          <w:sz w:val="22"/>
          <w:szCs w:val="22"/>
        </w:rPr>
        <w:t>proposto</w:t>
      </w:r>
      <w:r w:rsidR="008166A8" w:rsidRPr="00BF5733">
        <w:rPr>
          <w:sz w:val="22"/>
          <w:szCs w:val="22"/>
        </w:rPr>
        <w:t xml:space="preserve"> </w:t>
      </w:r>
      <w:r w:rsidR="00D47A3D" w:rsidRPr="00BF5733">
        <w:rPr>
          <w:sz w:val="22"/>
          <w:szCs w:val="22"/>
        </w:rPr>
        <w:t xml:space="preserve">pelo relator do feito. Para o </w:t>
      </w:r>
      <w:r w:rsidR="00AF32D2" w:rsidRPr="00BF5733">
        <w:rPr>
          <w:sz w:val="22"/>
          <w:szCs w:val="22"/>
        </w:rPr>
        <w:t>revisor</w:t>
      </w:r>
      <w:r w:rsidR="00D47A3D" w:rsidRPr="00BF5733">
        <w:rPr>
          <w:sz w:val="22"/>
          <w:szCs w:val="22"/>
        </w:rPr>
        <w:t xml:space="preserve">, </w:t>
      </w:r>
      <w:r w:rsidR="00210BE6" w:rsidRPr="00BF5733">
        <w:rPr>
          <w:sz w:val="22"/>
          <w:szCs w:val="22"/>
        </w:rPr>
        <w:t>o atestado apresentado pela potencial fraudadora, absolutamente falso, viabilizou a participação desta no processo licitatório. E, ainda para o revisor, “</w:t>
      </w:r>
      <w:r w:rsidR="00210BE6" w:rsidRPr="00BF5733">
        <w:rPr>
          <w:i/>
          <w:sz w:val="22"/>
          <w:szCs w:val="22"/>
        </w:rPr>
        <w:t>Nos termos da consolidada jurisprudência do Tribunal de Contas da União, a mera apresentação de atestado com conteúdo falso caracteriza o ilícito administrativo previsto no art. 46 da Lei Orgânica do TCU e faz surgir a possibilidade de declarar a inidoneidade da licitante fraudadora</w:t>
      </w:r>
      <w:r w:rsidR="00210BE6" w:rsidRPr="00BF5733">
        <w:rPr>
          <w:sz w:val="22"/>
          <w:szCs w:val="22"/>
        </w:rPr>
        <w:t>”. Desse modo, acolhendo as conclusões da unidade técnica, votou pela declaração de inidoneidade da licitante responsável pela apresentação do atestado com conteúdo falso,</w:t>
      </w:r>
      <w:r w:rsidR="00D74748">
        <w:rPr>
          <w:sz w:val="22"/>
          <w:szCs w:val="22"/>
        </w:rPr>
        <w:t xml:space="preserve"> no que foi acompanhado pelos ministros Raimundo Carreiro, José Jorge e José Múcio</w:t>
      </w:r>
      <w:r w:rsidR="00907B49">
        <w:rPr>
          <w:sz w:val="22"/>
          <w:szCs w:val="22"/>
        </w:rPr>
        <w:t xml:space="preserve"> Monteiro</w:t>
      </w:r>
      <w:r w:rsidR="008166A8">
        <w:rPr>
          <w:sz w:val="22"/>
          <w:szCs w:val="22"/>
        </w:rPr>
        <w:t>. Ficaram</w:t>
      </w:r>
      <w:r w:rsidR="00D74748">
        <w:rPr>
          <w:sz w:val="22"/>
          <w:szCs w:val="22"/>
        </w:rPr>
        <w:t xml:space="preserve"> vencidos</w:t>
      </w:r>
      <w:r w:rsidR="008166A8">
        <w:rPr>
          <w:sz w:val="22"/>
          <w:szCs w:val="22"/>
        </w:rPr>
        <w:t>, na linha da proposta do relator,</w:t>
      </w:r>
      <w:r w:rsidR="00D74748">
        <w:rPr>
          <w:sz w:val="22"/>
          <w:szCs w:val="22"/>
        </w:rPr>
        <w:t xml:space="preserve"> os ministros Valmir Campelo, Augusto Nardes e Aroldo Cedraz. O relator, ministro-substituto André Luís de Carvalho, não votou, por não estar substituindo naquela oportunidade. </w:t>
      </w:r>
      <w:r w:rsidR="00210BE6" w:rsidRPr="00BF5733">
        <w:rPr>
          <w:sz w:val="22"/>
          <w:szCs w:val="22"/>
        </w:rPr>
        <w:t xml:space="preserve">. </w:t>
      </w:r>
      <w:r w:rsidR="00AF32D2" w:rsidRPr="00BF5733">
        <w:rPr>
          <w:sz w:val="22"/>
          <w:szCs w:val="22"/>
        </w:rPr>
        <w:t xml:space="preserve">Precedentes citados: Acórdãos 630/2006 e 548/2007, ambos do Plenário. </w:t>
      </w:r>
      <w:r w:rsidR="00CE66BC" w:rsidRPr="00BF5733">
        <w:rPr>
          <w:b/>
          <w:i/>
          <w:sz w:val="22"/>
          <w:szCs w:val="22"/>
        </w:rPr>
        <w:t xml:space="preserve">Acórdão n.º </w:t>
      </w:r>
      <w:r w:rsidR="00910322" w:rsidRPr="00BF5733">
        <w:rPr>
          <w:b/>
          <w:i/>
          <w:sz w:val="22"/>
          <w:szCs w:val="22"/>
        </w:rPr>
        <w:t>2.179</w:t>
      </w:r>
      <w:r w:rsidR="00CE66BC" w:rsidRPr="00BF5733">
        <w:rPr>
          <w:b/>
          <w:i/>
          <w:sz w:val="22"/>
          <w:szCs w:val="22"/>
        </w:rPr>
        <w:t>/2010-Plenário, TC-0</w:t>
      </w:r>
      <w:r w:rsidR="00910322" w:rsidRPr="00BF5733">
        <w:rPr>
          <w:b/>
          <w:i/>
          <w:sz w:val="22"/>
          <w:szCs w:val="22"/>
        </w:rPr>
        <w:t>16</w:t>
      </w:r>
      <w:r w:rsidR="00CE66BC" w:rsidRPr="00BF5733">
        <w:rPr>
          <w:b/>
          <w:i/>
          <w:sz w:val="22"/>
          <w:szCs w:val="22"/>
        </w:rPr>
        <w:t>.</w:t>
      </w:r>
      <w:r w:rsidR="00910322" w:rsidRPr="00BF5733">
        <w:rPr>
          <w:b/>
          <w:i/>
          <w:sz w:val="22"/>
          <w:szCs w:val="22"/>
        </w:rPr>
        <w:t>488</w:t>
      </w:r>
      <w:r w:rsidR="00CE66BC" w:rsidRPr="00BF5733">
        <w:rPr>
          <w:b/>
          <w:i/>
          <w:sz w:val="22"/>
          <w:szCs w:val="22"/>
        </w:rPr>
        <w:t>/20</w:t>
      </w:r>
      <w:r w:rsidR="00910322" w:rsidRPr="00BF5733">
        <w:rPr>
          <w:b/>
          <w:i/>
          <w:sz w:val="22"/>
          <w:szCs w:val="22"/>
        </w:rPr>
        <w:t>09</w:t>
      </w:r>
      <w:r w:rsidR="00CE66BC" w:rsidRPr="00BF5733">
        <w:rPr>
          <w:b/>
          <w:i/>
          <w:sz w:val="22"/>
          <w:szCs w:val="22"/>
        </w:rPr>
        <w:t>-</w:t>
      </w:r>
      <w:r w:rsidR="00910322" w:rsidRPr="00BF5733">
        <w:rPr>
          <w:b/>
          <w:i/>
          <w:sz w:val="22"/>
          <w:szCs w:val="22"/>
        </w:rPr>
        <w:t>6</w:t>
      </w:r>
      <w:r w:rsidR="00CE66BC" w:rsidRPr="00BF5733">
        <w:rPr>
          <w:b/>
          <w:i/>
          <w:sz w:val="22"/>
          <w:szCs w:val="22"/>
        </w:rPr>
        <w:t>,</w:t>
      </w:r>
      <w:r w:rsidR="008166A8">
        <w:rPr>
          <w:b/>
          <w:i/>
          <w:sz w:val="22"/>
          <w:szCs w:val="22"/>
        </w:rPr>
        <w:t xml:space="preserve"> rel. Min-Subst. André Luís de Carvalho, revisor</w:t>
      </w:r>
      <w:r w:rsidR="00CE66BC" w:rsidRPr="00BF5733">
        <w:rPr>
          <w:b/>
          <w:i/>
          <w:sz w:val="22"/>
          <w:szCs w:val="22"/>
        </w:rPr>
        <w:t xml:space="preserve"> Min. </w:t>
      </w:r>
      <w:r w:rsidR="00910322" w:rsidRPr="00BF5733">
        <w:rPr>
          <w:b/>
          <w:i/>
          <w:sz w:val="22"/>
          <w:szCs w:val="22"/>
        </w:rPr>
        <w:t>Walton Alencar Rodrigues</w:t>
      </w:r>
      <w:r w:rsidR="00CE66BC" w:rsidRPr="00BF5733">
        <w:rPr>
          <w:b/>
          <w:i/>
          <w:sz w:val="22"/>
          <w:szCs w:val="22"/>
        </w:rPr>
        <w:t>, 2</w:t>
      </w:r>
      <w:r w:rsidR="00910322" w:rsidRPr="00BF5733">
        <w:rPr>
          <w:b/>
          <w:i/>
          <w:sz w:val="22"/>
          <w:szCs w:val="22"/>
        </w:rPr>
        <w:t>5</w:t>
      </w:r>
      <w:r w:rsidR="00CE66BC" w:rsidRPr="00BF5733">
        <w:rPr>
          <w:b/>
          <w:i/>
          <w:sz w:val="22"/>
          <w:szCs w:val="22"/>
        </w:rPr>
        <w:t>.0</w:t>
      </w:r>
      <w:r w:rsidR="00910322" w:rsidRPr="00BF5733">
        <w:rPr>
          <w:b/>
          <w:i/>
          <w:sz w:val="22"/>
          <w:szCs w:val="22"/>
        </w:rPr>
        <w:t>8</w:t>
      </w:r>
      <w:r w:rsidR="00CE66BC" w:rsidRPr="00BF5733">
        <w:rPr>
          <w:b/>
          <w:i/>
          <w:sz w:val="22"/>
          <w:szCs w:val="22"/>
        </w:rPr>
        <w:t>.2010.</w:t>
      </w:r>
    </w:p>
    <w:p w:rsidR="00CE66BC" w:rsidRPr="00BF5733" w:rsidRDefault="00CE66BC" w:rsidP="00CE66BC">
      <w:pPr>
        <w:spacing w:after="0"/>
        <w:ind w:left="0"/>
        <w:rPr>
          <w:sz w:val="22"/>
          <w:szCs w:val="22"/>
          <w:lang w:eastAsia="pt-BR"/>
        </w:rPr>
      </w:pPr>
    </w:p>
    <w:p w:rsidR="001D3A32" w:rsidRPr="00BF5733" w:rsidRDefault="001C0989" w:rsidP="001D3A32">
      <w:pPr>
        <w:pStyle w:val="TCU-RelVoto-demais"/>
        <w:spacing w:after="0"/>
        <w:rPr>
          <w:b/>
          <w:sz w:val="22"/>
        </w:rPr>
      </w:pPr>
      <w:r w:rsidRPr="00BF5733">
        <w:rPr>
          <w:b/>
          <w:sz w:val="22"/>
        </w:rPr>
        <w:t xml:space="preserve">Licitação para obra pública: </w:t>
      </w:r>
      <w:r w:rsidR="00265212">
        <w:rPr>
          <w:b/>
          <w:sz w:val="22"/>
        </w:rPr>
        <w:t>comprovação de acervo técnico</w:t>
      </w:r>
    </w:p>
    <w:p w:rsidR="001D3A32" w:rsidRPr="00BF5733" w:rsidRDefault="001C0989" w:rsidP="00910322">
      <w:pPr>
        <w:tabs>
          <w:tab w:val="left" w:pos="1134"/>
        </w:tabs>
        <w:ind w:left="0"/>
        <w:rPr>
          <w:b/>
          <w:i/>
          <w:sz w:val="22"/>
        </w:rPr>
      </w:pPr>
      <w:r w:rsidRPr="00BF5733">
        <w:rPr>
          <w:sz w:val="22"/>
          <w:szCs w:val="22"/>
          <w:lang w:eastAsia="pt-BR"/>
        </w:rPr>
        <w:t>Auditoria realizada pelo TCU</w:t>
      </w:r>
      <w:r w:rsidR="00486070" w:rsidRPr="00BF5733">
        <w:rPr>
          <w:sz w:val="22"/>
          <w:szCs w:val="22"/>
          <w:lang w:eastAsia="pt-BR"/>
        </w:rPr>
        <w:t>,</w:t>
      </w:r>
      <w:r w:rsidRPr="00BF5733">
        <w:rPr>
          <w:sz w:val="22"/>
          <w:szCs w:val="22"/>
          <w:lang w:eastAsia="pt-BR"/>
        </w:rPr>
        <w:t xml:space="preserve"> com o objetivo de avaliar a execução</w:t>
      </w:r>
      <w:r w:rsidR="00164FC9" w:rsidRPr="00BF5733">
        <w:rPr>
          <w:sz w:val="22"/>
          <w:szCs w:val="22"/>
          <w:lang w:eastAsia="pt-BR"/>
        </w:rPr>
        <w:t>, pelo Governo do Estado do Paraná,</w:t>
      </w:r>
      <w:r w:rsidRPr="00BF5733">
        <w:rPr>
          <w:sz w:val="22"/>
          <w:szCs w:val="22"/>
          <w:lang w:eastAsia="pt-BR"/>
        </w:rPr>
        <w:t xml:space="preserve"> das obras de construção de unidades habitacionais no Município de Colombo/PR</w:t>
      </w:r>
      <w:r w:rsidR="00486070" w:rsidRPr="00BF5733">
        <w:rPr>
          <w:sz w:val="22"/>
          <w:szCs w:val="22"/>
          <w:lang w:eastAsia="pt-BR"/>
        </w:rPr>
        <w:t>,</w:t>
      </w:r>
      <w:r w:rsidR="00DE0C5E">
        <w:rPr>
          <w:sz w:val="22"/>
          <w:szCs w:val="22"/>
          <w:lang w:eastAsia="pt-BR"/>
        </w:rPr>
        <w:t xml:space="preserve"> financiadas com recursos federais, por meio de contrato de repasse,</w:t>
      </w:r>
      <w:r w:rsidRPr="00BF5733">
        <w:rPr>
          <w:sz w:val="22"/>
          <w:szCs w:val="22"/>
          <w:lang w:eastAsia="pt-BR"/>
        </w:rPr>
        <w:t xml:space="preserve"> detectou diversas irregularidades, dentre elas, a exigência editalícia de que a comprovação do acervo técnico, para efeitos de qualificação técnica, se desse somente em “</w:t>
      </w:r>
      <w:r w:rsidRPr="00BF5733">
        <w:rPr>
          <w:i/>
          <w:sz w:val="22"/>
          <w:szCs w:val="22"/>
          <w:lang w:eastAsia="pt-BR"/>
        </w:rPr>
        <w:t>construção em habitação unifamiliar ou multifamiliar, em obras isoladas ou não</w:t>
      </w:r>
      <w:r w:rsidRPr="00BF5733">
        <w:rPr>
          <w:sz w:val="22"/>
          <w:szCs w:val="22"/>
          <w:lang w:eastAsia="pt-BR"/>
        </w:rPr>
        <w:t xml:space="preserve">”. Para a unidade técnica, tal exigência seria potencialmente restritiva à competitividade do certame. Ao examinar a matéria, destacou a unidade técnica que tal requisito de qualificação, da maneira </w:t>
      </w:r>
      <w:r w:rsidR="00164FC9" w:rsidRPr="00BF5733">
        <w:rPr>
          <w:sz w:val="22"/>
          <w:szCs w:val="22"/>
          <w:lang w:eastAsia="pt-BR"/>
        </w:rPr>
        <w:t>como</w:t>
      </w:r>
      <w:r w:rsidRPr="00BF5733">
        <w:rPr>
          <w:sz w:val="22"/>
          <w:szCs w:val="22"/>
          <w:lang w:eastAsia="pt-BR"/>
        </w:rPr>
        <w:t xml:space="preserve"> foi redigido, daria “</w:t>
      </w:r>
      <w:r w:rsidRPr="00BF5733">
        <w:rPr>
          <w:i/>
          <w:sz w:val="22"/>
          <w:szCs w:val="22"/>
          <w:lang w:eastAsia="pt-BR"/>
        </w:rPr>
        <w:t>maior importância à finalidade da construção (habitação) do que às suas características técnicas, que seriam os reais indicadores da complexidade de execução dos serviços. Sem especificar os aspectos técnicos relevantes para fins de qualificação da empresa, há ainda a dificuldade da inexistência de parâmetros objetivos para se avaliar se uma determinada certidão ou atestado é referente à obra de complexidade equivalente ou até superior</w:t>
      </w:r>
      <w:r w:rsidRPr="00BF5733">
        <w:rPr>
          <w:sz w:val="22"/>
          <w:szCs w:val="22"/>
          <w:lang w:eastAsia="pt-BR"/>
        </w:rPr>
        <w:t xml:space="preserve">”. O relator, ao concordar com a unidade técnica, registrou que a Lei de Licitações </w:t>
      </w:r>
      <w:r w:rsidR="00164FC9" w:rsidRPr="00BF5733">
        <w:rPr>
          <w:sz w:val="22"/>
          <w:szCs w:val="22"/>
          <w:lang w:eastAsia="pt-BR"/>
        </w:rPr>
        <w:t>“</w:t>
      </w:r>
      <w:r w:rsidR="00164FC9" w:rsidRPr="00BF5733">
        <w:rPr>
          <w:i/>
          <w:sz w:val="22"/>
          <w:szCs w:val="22"/>
          <w:lang w:eastAsia="pt-BR"/>
        </w:rPr>
        <w:t>estabelece que a documentação relativa à qualificação técnica de capacitação técnico-profissional refere-se à execução de obra ou serviço de características semelhantes</w:t>
      </w:r>
      <w:r w:rsidR="00164FC9" w:rsidRPr="00BF5733">
        <w:rPr>
          <w:sz w:val="22"/>
          <w:szCs w:val="22"/>
          <w:lang w:eastAsia="pt-BR"/>
        </w:rPr>
        <w:t>”. Desse modo, para o relator, “</w:t>
      </w:r>
      <w:r w:rsidR="00164FC9" w:rsidRPr="00BF5733">
        <w:rPr>
          <w:i/>
          <w:sz w:val="22"/>
          <w:szCs w:val="22"/>
          <w:lang w:eastAsia="pt-BR"/>
        </w:rPr>
        <w:t xml:space="preserve">sobressai a orientação de que será sempre admitida a comprovação de aptidão mediante certidões ou atestados de obras ou serviços similares de complexidade tecnológica e operacional equivalente ou superior. </w:t>
      </w:r>
      <w:r w:rsidR="00164FC9" w:rsidRPr="00BF5733">
        <w:rPr>
          <w:sz w:val="22"/>
          <w:szCs w:val="22"/>
          <w:lang w:eastAsia="pt-BR"/>
        </w:rPr>
        <w:t>Por consequência, para ele</w:t>
      </w:r>
      <w:r w:rsidR="00164FC9" w:rsidRPr="00BF5733">
        <w:rPr>
          <w:i/>
          <w:sz w:val="22"/>
          <w:szCs w:val="22"/>
          <w:lang w:eastAsia="pt-BR"/>
        </w:rPr>
        <w:t xml:space="preserve">, </w:t>
      </w:r>
      <w:r w:rsidR="00164FC9" w:rsidRPr="00BF5733">
        <w:rPr>
          <w:sz w:val="22"/>
          <w:szCs w:val="22"/>
          <w:lang w:eastAsia="pt-BR"/>
        </w:rPr>
        <w:t>“</w:t>
      </w:r>
      <w:r w:rsidR="00164FC9" w:rsidRPr="00BF5733">
        <w:rPr>
          <w:i/>
          <w:sz w:val="22"/>
          <w:szCs w:val="22"/>
          <w:lang w:eastAsia="pt-BR"/>
        </w:rPr>
        <w:t>bastaria exigir qualificação técnica em construção de edificações em geral, sem restringir o escopo à habitação unifamiliar ou multifamiliar, o que demonstra a adoção de critérios potencialmente restritivos à competitividade do certame</w:t>
      </w:r>
      <w:r w:rsidR="00164FC9" w:rsidRPr="00BF5733">
        <w:rPr>
          <w:sz w:val="22"/>
          <w:szCs w:val="22"/>
          <w:lang w:eastAsia="pt-BR"/>
        </w:rPr>
        <w:t xml:space="preserve">”. Por conseguinte, propôs, e o Plenário acolheu, expedição de determinação corretiva </w:t>
      </w:r>
      <w:r w:rsidR="00910322" w:rsidRPr="00BF5733">
        <w:rPr>
          <w:sz w:val="22"/>
          <w:szCs w:val="22"/>
          <w:lang w:eastAsia="pt-BR"/>
        </w:rPr>
        <w:t>para futuras licitações a serem realizadas pelo Estado do Paraná.</w:t>
      </w:r>
      <w:r w:rsidR="00E15971" w:rsidRPr="00BF5733">
        <w:rPr>
          <w:sz w:val="22"/>
          <w:szCs w:val="22"/>
          <w:lang w:eastAsia="pt-BR"/>
        </w:rPr>
        <w:t xml:space="preserve"> </w:t>
      </w:r>
      <w:r w:rsidR="001D3A32" w:rsidRPr="00BF5733">
        <w:rPr>
          <w:b/>
          <w:i/>
          <w:sz w:val="22"/>
          <w:szCs w:val="22"/>
        </w:rPr>
        <w:t xml:space="preserve">Acórdão n.º </w:t>
      </w:r>
      <w:r w:rsidR="00910322" w:rsidRPr="00BF5733">
        <w:rPr>
          <w:b/>
          <w:i/>
          <w:sz w:val="22"/>
          <w:szCs w:val="22"/>
        </w:rPr>
        <w:t>2</w:t>
      </w:r>
      <w:r w:rsidR="001D3A32" w:rsidRPr="00BF5733">
        <w:rPr>
          <w:b/>
          <w:i/>
          <w:sz w:val="22"/>
          <w:szCs w:val="22"/>
        </w:rPr>
        <w:t>.</w:t>
      </w:r>
      <w:r w:rsidR="00910322" w:rsidRPr="00BF5733">
        <w:rPr>
          <w:b/>
          <w:i/>
          <w:sz w:val="22"/>
          <w:szCs w:val="22"/>
        </w:rPr>
        <w:t>152</w:t>
      </w:r>
      <w:r w:rsidR="001D3A32" w:rsidRPr="00BF5733">
        <w:rPr>
          <w:b/>
          <w:i/>
          <w:sz w:val="22"/>
          <w:szCs w:val="22"/>
        </w:rPr>
        <w:t>/2010-Plenário, TC-0</w:t>
      </w:r>
      <w:r w:rsidR="00910322" w:rsidRPr="00BF5733">
        <w:rPr>
          <w:b/>
          <w:i/>
          <w:sz w:val="22"/>
          <w:szCs w:val="22"/>
        </w:rPr>
        <w:t>00</w:t>
      </w:r>
      <w:r w:rsidR="001D3A32" w:rsidRPr="00BF5733">
        <w:rPr>
          <w:b/>
          <w:i/>
          <w:sz w:val="22"/>
          <w:szCs w:val="22"/>
        </w:rPr>
        <w:t>.</w:t>
      </w:r>
      <w:r w:rsidR="00910322" w:rsidRPr="00BF5733">
        <w:rPr>
          <w:b/>
          <w:i/>
          <w:sz w:val="22"/>
          <w:szCs w:val="22"/>
        </w:rPr>
        <w:t>276</w:t>
      </w:r>
      <w:r w:rsidR="001D3A32" w:rsidRPr="00BF5733">
        <w:rPr>
          <w:b/>
          <w:i/>
          <w:sz w:val="22"/>
          <w:szCs w:val="22"/>
        </w:rPr>
        <w:t>/20</w:t>
      </w:r>
      <w:r w:rsidR="00910322" w:rsidRPr="00BF5733">
        <w:rPr>
          <w:b/>
          <w:i/>
          <w:sz w:val="22"/>
          <w:szCs w:val="22"/>
        </w:rPr>
        <w:t>1</w:t>
      </w:r>
      <w:r w:rsidR="001D3A32" w:rsidRPr="00BF5733">
        <w:rPr>
          <w:b/>
          <w:i/>
          <w:sz w:val="22"/>
          <w:szCs w:val="22"/>
        </w:rPr>
        <w:t>0-</w:t>
      </w:r>
      <w:r w:rsidR="00910322" w:rsidRPr="00BF5733">
        <w:rPr>
          <w:b/>
          <w:i/>
          <w:sz w:val="22"/>
          <w:szCs w:val="22"/>
        </w:rPr>
        <w:t>3</w:t>
      </w:r>
      <w:r w:rsidR="001D3A32" w:rsidRPr="00BF5733">
        <w:rPr>
          <w:b/>
          <w:i/>
          <w:sz w:val="22"/>
          <w:szCs w:val="22"/>
        </w:rPr>
        <w:t xml:space="preserve">, </w:t>
      </w:r>
      <w:r w:rsidR="004E450D" w:rsidRPr="00BF5733">
        <w:rPr>
          <w:b/>
          <w:i/>
          <w:sz w:val="22"/>
          <w:szCs w:val="22"/>
        </w:rPr>
        <w:t xml:space="preserve">Min-Subst. </w:t>
      </w:r>
      <w:r w:rsidR="001D3A32" w:rsidRPr="00BF5733">
        <w:rPr>
          <w:b/>
          <w:i/>
          <w:sz w:val="22"/>
          <w:szCs w:val="22"/>
        </w:rPr>
        <w:t xml:space="preserve">Marcos Bemquerer Costa, </w:t>
      </w:r>
      <w:r w:rsidR="00910322" w:rsidRPr="00BF5733">
        <w:rPr>
          <w:b/>
          <w:i/>
          <w:sz w:val="22"/>
          <w:szCs w:val="22"/>
        </w:rPr>
        <w:t>25</w:t>
      </w:r>
      <w:r w:rsidR="001D3A32" w:rsidRPr="00BF5733">
        <w:rPr>
          <w:b/>
          <w:i/>
          <w:sz w:val="22"/>
          <w:szCs w:val="22"/>
        </w:rPr>
        <w:t>.0</w:t>
      </w:r>
      <w:r w:rsidR="00B97B00" w:rsidRPr="00BF5733">
        <w:rPr>
          <w:b/>
          <w:i/>
          <w:sz w:val="22"/>
          <w:szCs w:val="22"/>
        </w:rPr>
        <w:t>8</w:t>
      </w:r>
      <w:r w:rsidR="001D3A32" w:rsidRPr="00BF5733">
        <w:rPr>
          <w:b/>
          <w:i/>
          <w:sz w:val="22"/>
          <w:szCs w:val="22"/>
        </w:rPr>
        <w:t>.2010.</w:t>
      </w:r>
    </w:p>
    <w:p w:rsidR="00E15971" w:rsidRPr="00BF5733" w:rsidRDefault="00E15971" w:rsidP="00FF229C">
      <w:pPr>
        <w:pStyle w:val="TCU-RelVoto-demais"/>
        <w:spacing w:after="0"/>
        <w:rPr>
          <w:szCs w:val="24"/>
          <w:lang w:eastAsia="pt-BR"/>
        </w:rPr>
      </w:pPr>
    </w:p>
    <w:p w:rsidR="003D00E6" w:rsidRPr="00BF5733" w:rsidRDefault="005F62D2" w:rsidP="006F6825">
      <w:pPr>
        <w:pBdr>
          <w:top w:val="threeDEmboss" w:sz="24" w:space="0" w:color="auto"/>
        </w:pBdr>
        <w:tabs>
          <w:tab w:val="left" w:pos="284"/>
        </w:tabs>
        <w:spacing w:after="0"/>
        <w:ind w:left="0"/>
        <w:jc w:val="center"/>
        <w:rPr>
          <w:rFonts w:ascii="Cambria" w:hAnsi="Cambria"/>
          <w:b/>
          <w:bCs/>
          <w:smallCaps/>
          <w:sz w:val="22"/>
          <w:szCs w:val="22"/>
        </w:rPr>
      </w:pPr>
      <w:r w:rsidRPr="00BF5733">
        <w:rPr>
          <w:rFonts w:ascii="Cambria" w:hAnsi="Cambria"/>
          <w:b/>
          <w:bCs/>
          <w:smallCaps/>
          <w:sz w:val="22"/>
          <w:szCs w:val="22"/>
        </w:rPr>
        <w:t>PRIMEIRA</w:t>
      </w:r>
      <w:r w:rsidR="003D00E6" w:rsidRPr="00BF5733">
        <w:rPr>
          <w:rFonts w:ascii="Cambria" w:hAnsi="Cambria"/>
          <w:b/>
          <w:bCs/>
          <w:smallCaps/>
          <w:sz w:val="22"/>
          <w:szCs w:val="22"/>
        </w:rPr>
        <w:t xml:space="preserve"> CÂMARA</w:t>
      </w:r>
    </w:p>
    <w:p w:rsidR="00F7126A" w:rsidRPr="00BF5733" w:rsidRDefault="00F7126A" w:rsidP="006F6825">
      <w:pPr>
        <w:pBdr>
          <w:top w:val="threeDEmboss" w:sz="24" w:space="0" w:color="auto"/>
        </w:pBdr>
        <w:tabs>
          <w:tab w:val="left" w:pos="284"/>
        </w:tabs>
        <w:spacing w:after="0"/>
        <w:ind w:left="0"/>
        <w:jc w:val="center"/>
        <w:rPr>
          <w:rFonts w:ascii="Cambria" w:hAnsi="Cambria"/>
          <w:b/>
          <w:bCs/>
          <w:smallCaps/>
          <w:sz w:val="22"/>
          <w:szCs w:val="22"/>
        </w:rPr>
      </w:pPr>
    </w:p>
    <w:p w:rsidR="008A6885" w:rsidRPr="00BF5733" w:rsidRDefault="008A6885" w:rsidP="008A6885">
      <w:pPr>
        <w:pStyle w:val="indice"/>
        <w:spacing w:line="240" w:lineRule="auto"/>
        <w:rPr>
          <w:b/>
          <w:bCs/>
          <w:color w:val="auto"/>
        </w:rPr>
      </w:pPr>
      <w:r w:rsidRPr="00BF5733">
        <w:rPr>
          <w:b/>
          <w:bCs/>
          <w:color w:val="auto"/>
        </w:rPr>
        <w:t>Dispensa de Licitação: necessidade de comprovação de que o imóvel a ser locado é o único que atende aos inte</w:t>
      </w:r>
      <w:r w:rsidR="00265212">
        <w:rPr>
          <w:b/>
          <w:bCs/>
          <w:color w:val="auto"/>
        </w:rPr>
        <w:t>resses da Administração Pública</w:t>
      </w:r>
    </w:p>
    <w:p w:rsidR="006F6825" w:rsidRPr="00BF5733" w:rsidRDefault="006F6825" w:rsidP="008A6885">
      <w:pPr>
        <w:pStyle w:val="indice"/>
        <w:spacing w:line="240" w:lineRule="auto"/>
        <w:rPr>
          <w:snapToGrid w:val="0"/>
          <w:color w:val="auto"/>
        </w:rPr>
      </w:pPr>
      <w:r w:rsidRPr="00BF5733">
        <w:rPr>
          <w:color w:val="auto"/>
          <w:szCs w:val="24"/>
        </w:rPr>
        <w:t>Em representação feita ao TCU</w:t>
      </w:r>
      <w:r w:rsidR="00486070" w:rsidRPr="00BF5733">
        <w:rPr>
          <w:color w:val="auto"/>
          <w:szCs w:val="24"/>
        </w:rPr>
        <w:t>,</w:t>
      </w:r>
      <w:r w:rsidRPr="00BF5733">
        <w:rPr>
          <w:color w:val="auto"/>
          <w:szCs w:val="24"/>
        </w:rPr>
        <w:t xml:space="preserve"> </w:t>
      </w:r>
      <w:r w:rsidR="00CC2A39" w:rsidRPr="00BF5733">
        <w:rPr>
          <w:color w:val="auto"/>
          <w:szCs w:val="24"/>
        </w:rPr>
        <w:t>foi noticiada</w:t>
      </w:r>
      <w:r w:rsidRPr="00BF5733">
        <w:rPr>
          <w:color w:val="auto"/>
          <w:szCs w:val="24"/>
        </w:rPr>
        <w:t xml:space="preserve"> possível irregularidade constituída na ausência de licitação e na inobservância dos princípios constitucionais da impessoalidade e da moralidade, quando da locação, com a utilização de recursos públicos da área de saúde, de imóvel de propriedade do cônjuge da ex-Prefeita </w:t>
      </w:r>
      <w:r w:rsidR="00781E75" w:rsidRPr="00BF5733">
        <w:rPr>
          <w:color w:val="auto"/>
          <w:szCs w:val="24"/>
        </w:rPr>
        <w:t xml:space="preserve">do município de Guarabiras, na Paraíba. Ao examinar </w:t>
      </w:r>
      <w:r w:rsidR="000A3385" w:rsidRPr="00BF5733">
        <w:rPr>
          <w:color w:val="auto"/>
          <w:szCs w:val="24"/>
        </w:rPr>
        <w:t xml:space="preserve">as razões de justificativa apresentadas pela responsável, </w:t>
      </w:r>
      <w:r w:rsidR="00781E75" w:rsidRPr="00BF5733">
        <w:rPr>
          <w:color w:val="auto"/>
          <w:szCs w:val="24"/>
        </w:rPr>
        <w:t xml:space="preserve">a unidade técnica </w:t>
      </w:r>
      <w:r w:rsidR="000A3385" w:rsidRPr="00BF5733">
        <w:rPr>
          <w:color w:val="auto"/>
          <w:szCs w:val="24"/>
        </w:rPr>
        <w:t>registr</w:t>
      </w:r>
      <w:r w:rsidR="00781E75" w:rsidRPr="00BF5733">
        <w:rPr>
          <w:color w:val="auto"/>
          <w:szCs w:val="24"/>
        </w:rPr>
        <w:t xml:space="preserve">ou </w:t>
      </w:r>
      <w:r w:rsidR="000A3385" w:rsidRPr="00BF5733">
        <w:rPr>
          <w:color w:val="auto"/>
          <w:szCs w:val="24"/>
        </w:rPr>
        <w:t xml:space="preserve">o fato de o proprietário </w:t>
      </w:r>
      <w:r w:rsidR="00D06EB4" w:rsidRPr="00BF5733">
        <w:rPr>
          <w:color w:val="auto"/>
          <w:szCs w:val="24"/>
        </w:rPr>
        <w:t xml:space="preserve">do imóvel locado </w:t>
      </w:r>
      <w:r w:rsidR="000A3385" w:rsidRPr="00BF5733">
        <w:rPr>
          <w:color w:val="auto"/>
          <w:szCs w:val="24"/>
        </w:rPr>
        <w:t>ser esposo da então Prefeita de Guarabiras</w:t>
      </w:r>
      <w:r w:rsidR="00D06EB4" w:rsidRPr="00BF5733">
        <w:rPr>
          <w:color w:val="auto"/>
          <w:szCs w:val="24"/>
        </w:rPr>
        <w:t>, ou seja, a Prefeitura havia locado um imóvel da própria Prefeita</w:t>
      </w:r>
      <w:r w:rsidR="00CC2A39" w:rsidRPr="00BF5733">
        <w:rPr>
          <w:color w:val="auto"/>
          <w:szCs w:val="24"/>
        </w:rPr>
        <w:t>, por intermédio do esposo desta</w:t>
      </w:r>
      <w:r w:rsidR="00D06EB4" w:rsidRPr="00BF5733">
        <w:rPr>
          <w:color w:val="auto"/>
          <w:szCs w:val="24"/>
        </w:rPr>
        <w:t>. Acresceu, ainda, que “</w:t>
      </w:r>
      <w:r w:rsidR="00D06EB4" w:rsidRPr="00BF5733">
        <w:rPr>
          <w:i/>
          <w:color w:val="auto"/>
        </w:rPr>
        <w:t>o fato de eventualmente ter havido inabilidade no ato de contratação com dispensa de licitação, com inobservância das devidas cautelas de justificativa como previsto no art. 24, inciso X, da Lei nº 8.666/1993 não conduz à exclusão da culpabilidade</w:t>
      </w:r>
      <w:r w:rsidR="00D06EB4" w:rsidRPr="00BF5733">
        <w:rPr>
          <w:color w:val="auto"/>
        </w:rPr>
        <w:t>”</w:t>
      </w:r>
      <w:r w:rsidR="00D06EB4" w:rsidRPr="00BF5733">
        <w:rPr>
          <w:i/>
          <w:color w:val="auto"/>
        </w:rPr>
        <w:t xml:space="preserve">. </w:t>
      </w:r>
      <w:r w:rsidR="00D06EB4" w:rsidRPr="00BF5733">
        <w:rPr>
          <w:color w:val="auto"/>
        </w:rPr>
        <w:t xml:space="preserve">Caberia, ainda na opinião da unidade técnica, </w:t>
      </w:r>
      <w:r w:rsidR="00A226D7" w:rsidRPr="00BF5733">
        <w:rPr>
          <w:color w:val="auto"/>
        </w:rPr>
        <w:t xml:space="preserve">até se </w:t>
      </w:r>
      <w:r w:rsidR="00D06EB4" w:rsidRPr="00BF5733">
        <w:rPr>
          <w:color w:val="auto"/>
        </w:rPr>
        <w:t>discutir o dolo na utilização da dispensa de licitação, mas seria induvidável a ofensa a diversos princípios constitucionais, como o da legalidade</w:t>
      </w:r>
      <w:r w:rsidR="00A226D7" w:rsidRPr="00BF5733">
        <w:rPr>
          <w:color w:val="auto"/>
        </w:rPr>
        <w:t xml:space="preserve">, o que levaria à reprovação </w:t>
      </w:r>
      <w:r w:rsidR="00F7126A" w:rsidRPr="00BF5733">
        <w:rPr>
          <w:color w:val="auto"/>
        </w:rPr>
        <w:t xml:space="preserve">da conduta </w:t>
      </w:r>
      <w:r w:rsidR="00A226D7" w:rsidRPr="00BF5733">
        <w:rPr>
          <w:color w:val="auto"/>
        </w:rPr>
        <w:t>da ex-Prefeita</w:t>
      </w:r>
      <w:r w:rsidR="00D06EB4" w:rsidRPr="00BF5733">
        <w:rPr>
          <w:color w:val="auto"/>
        </w:rPr>
        <w:t>. Citando precedente jurisprudencial, a unidade técnica anotou que “</w:t>
      </w:r>
      <w:r w:rsidR="00D06EB4" w:rsidRPr="00BF5733">
        <w:rPr>
          <w:i/>
          <w:color w:val="auto"/>
        </w:rPr>
        <w:t>O art. 24, inciso X, da Lei de Licitações estabelece ser dispensável a licitação para a compra ou locação de imóvel destinado ao atendimento das finalidades precípuas da Administração, cujas necessidades de instalação e localização condicionem a sua escolha, desde que o preço seja compatível com o valor de mercado, segundo avaliação prévia</w:t>
      </w:r>
      <w:r w:rsidR="00D06EB4" w:rsidRPr="00BF5733">
        <w:rPr>
          <w:color w:val="auto"/>
        </w:rPr>
        <w:t>”</w:t>
      </w:r>
      <w:r w:rsidR="00D06EB4" w:rsidRPr="00BF5733">
        <w:rPr>
          <w:i/>
          <w:color w:val="auto"/>
        </w:rPr>
        <w:t xml:space="preserve">. </w:t>
      </w:r>
      <w:r w:rsidR="00D06EB4" w:rsidRPr="00BF5733">
        <w:rPr>
          <w:color w:val="auto"/>
        </w:rPr>
        <w:t>Assim, “</w:t>
      </w:r>
      <w:r w:rsidR="00D06EB4" w:rsidRPr="00BF5733">
        <w:rPr>
          <w:i/>
          <w:color w:val="auto"/>
        </w:rPr>
        <w:t>a utilização desse dispositivo só é possível quando se identifica um imóvel específico cujas instalações e localização sinalizem que ele é o único que atende o interesse da Administração</w:t>
      </w:r>
      <w:r w:rsidR="00D06EB4" w:rsidRPr="00BF5733">
        <w:rPr>
          <w:color w:val="auto"/>
        </w:rPr>
        <w:t>”</w:t>
      </w:r>
      <w:r w:rsidR="00D06EB4" w:rsidRPr="00BF5733">
        <w:rPr>
          <w:i/>
          <w:color w:val="auto"/>
        </w:rPr>
        <w:t>.</w:t>
      </w:r>
      <w:r w:rsidR="006E3D6E" w:rsidRPr="00BF5733">
        <w:rPr>
          <w:i/>
          <w:color w:val="auto"/>
        </w:rPr>
        <w:t xml:space="preserve"> </w:t>
      </w:r>
      <w:r w:rsidR="006E3D6E" w:rsidRPr="00BF5733">
        <w:rPr>
          <w:color w:val="auto"/>
        </w:rPr>
        <w:t>Como</w:t>
      </w:r>
      <w:r w:rsidR="00F7126A" w:rsidRPr="00BF5733">
        <w:rPr>
          <w:color w:val="auto"/>
        </w:rPr>
        <w:t>, na espécie,</w:t>
      </w:r>
      <w:r w:rsidR="006E3D6E" w:rsidRPr="00BF5733">
        <w:rPr>
          <w:color w:val="auto"/>
        </w:rPr>
        <w:t xml:space="preserve"> haveria pelo menos outro imóvel que serviria ao intuito da </w:t>
      </w:r>
      <w:r w:rsidR="00265212">
        <w:rPr>
          <w:color w:val="auto"/>
        </w:rPr>
        <w:t>a</w:t>
      </w:r>
      <w:r w:rsidR="006E3D6E" w:rsidRPr="00BF5733">
        <w:rPr>
          <w:color w:val="auto"/>
        </w:rPr>
        <w:t xml:space="preserve">dministração </w:t>
      </w:r>
      <w:r w:rsidR="00265212">
        <w:rPr>
          <w:color w:val="auto"/>
        </w:rPr>
        <w:t>m</w:t>
      </w:r>
      <w:r w:rsidR="006E3D6E" w:rsidRPr="00BF5733">
        <w:rPr>
          <w:color w:val="auto"/>
        </w:rPr>
        <w:t>unicipal, não seria possível a utilização</w:t>
      </w:r>
      <w:r w:rsidR="00746E32" w:rsidRPr="00BF5733">
        <w:rPr>
          <w:color w:val="auto"/>
        </w:rPr>
        <w:t xml:space="preserve"> da hipótese do art. 24, inc. X, da Lei 8.666/1993, como fundamento da contratação direta. O relator, ao concordar com a unidade técnica, destacou, em seu voto, que </w:t>
      </w:r>
      <w:r w:rsidR="009E1408" w:rsidRPr="00BF5733">
        <w:rPr>
          <w:color w:val="auto"/>
        </w:rPr>
        <w:t>“</w:t>
      </w:r>
      <w:r w:rsidR="009E1408" w:rsidRPr="00BF5733">
        <w:rPr>
          <w:i/>
          <w:color w:val="auto"/>
          <w:szCs w:val="24"/>
        </w:rPr>
        <w:t>havia pelo menos outro imóvel com características semelhantes, que poderia servir de alternativa à locação</w:t>
      </w:r>
      <w:r w:rsidR="009E1408" w:rsidRPr="00BF5733">
        <w:rPr>
          <w:color w:val="auto"/>
        </w:rPr>
        <w:t xml:space="preserve">”, o que, portanto, leva à incorreção quanto ao procedimento de se dispensar a licitação </w:t>
      </w:r>
      <w:r w:rsidR="006B7AD0" w:rsidRPr="00BF5733">
        <w:rPr>
          <w:color w:val="auto"/>
        </w:rPr>
        <w:t xml:space="preserve">com base </w:t>
      </w:r>
      <w:r w:rsidR="009E1408" w:rsidRPr="00BF5733">
        <w:rPr>
          <w:color w:val="auto"/>
        </w:rPr>
        <w:t>no art. 24, inciso X, da Lei nº 8.666/1993</w:t>
      </w:r>
      <w:r w:rsidR="006B7AD0" w:rsidRPr="00BF5733">
        <w:rPr>
          <w:color w:val="auto"/>
        </w:rPr>
        <w:t xml:space="preserve">. Votou, em consequência, pela aplicação de multa à ex-Prefeita, bem como pela expedição de determinação corretiva e de alerta ao município de Guarabira, a fim de que sejam evitadas ocorrências semelhantes em situações futuras. O </w:t>
      </w:r>
      <w:r w:rsidR="00376B5A">
        <w:rPr>
          <w:color w:val="auto"/>
        </w:rPr>
        <w:t>C</w:t>
      </w:r>
      <w:r w:rsidR="006B7AD0" w:rsidRPr="00BF5733">
        <w:rPr>
          <w:color w:val="auto"/>
        </w:rPr>
        <w:t xml:space="preserve">olegiado acolheu, por unanimidade, o encaminhamento </w:t>
      </w:r>
      <w:r w:rsidR="00376B5A">
        <w:rPr>
          <w:color w:val="auto"/>
        </w:rPr>
        <w:t>sustentado</w:t>
      </w:r>
      <w:r w:rsidR="00F7126A" w:rsidRPr="00BF5733">
        <w:rPr>
          <w:color w:val="auto"/>
        </w:rPr>
        <w:t xml:space="preserve"> pelo relator</w:t>
      </w:r>
      <w:r w:rsidR="006B7AD0" w:rsidRPr="00BF5733">
        <w:rPr>
          <w:color w:val="auto"/>
        </w:rPr>
        <w:t xml:space="preserve">. </w:t>
      </w:r>
      <w:r w:rsidR="008A6885" w:rsidRPr="00BF5733">
        <w:rPr>
          <w:color w:val="auto"/>
        </w:rPr>
        <w:t>Precedente</w:t>
      </w:r>
      <w:r w:rsidR="00AF32D2" w:rsidRPr="00BF5733">
        <w:rPr>
          <w:color w:val="auto"/>
        </w:rPr>
        <w:t>s</w:t>
      </w:r>
      <w:r w:rsidR="008A6885" w:rsidRPr="00BF5733">
        <w:rPr>
          <w:color w:val="auto"/>
        </w:rPr>
        <w:t xml:space="preserve"> citado</w:t>
      </w:r>
      <w:r w:rsidR="00AF32D2" w:rsidRPr="00BF5733">
        <w:rPr>
          <w:color w:val="auto"/>
        </w:rPr>
        <w:t>s</w:t>
      </w:r>
      <w:r w:rsidR="008A6885" w:rsidRPr="00BF5733">
        <w:rPr>
          <w:color w:val="auto"/>
        </w:rPr>
        <w:t>: Acórdão n.º 444/2008-Plenário.</w:t>
      </w:r>
      <w:r w:rsidR="008A6885" w:rsidRPr="00BF5733">
        <w:rPr>
          <w:b/>
          <w:i/>
          <w:color w:val="auto"/>
        </w:rPr>
        <w:t xml:space="preserve"> </w:t>
      </w:r>
      <w:r w:rsidR="00746E32" w:rsidRPr="00BF5733">
        <w:rPr>
          <w:b/>
          <w:i/>
          <w:color w:val="auto"/>
        </w:rPr>
        <w:t>Acórdão n.º 5281</w:t>
      </w:r>
      <w:r w:rsidRPr="00BF5733">
        <w:rPr>
          <w:b/>
          <w:i/>
          <w:color w:val="auto"/>
        </w:rPr>
        <w:t>/2010-1ª Câmara, TC-030.588/2007-5, rel. Min. José Múcio Monteiro, 24</w:t>
      </w:r>
      <w:r w:rsidR="00746E32" w:rsidRPr="00BF5733">
        <w:rPr>
          <w:b/>
          <w:i/>
          <w:color w:val="auto"/>
        </w:rPr>
        <w:t>.</w:t>
      </w:r>
      <w:r w:rsidRPr="00BF5733">
        <w:rPr>
          <w:b/>
          <w:i/>
          <w:color w:val="auto"/>
        </w:rPr>
        <w:t>08.2010.</w:t>
      </w:r>
    </w:p>
    <w:p w:rsidR="006F6825" w:rsidRPr="00BF5733" w:rsidRDefault="006F6825" w:rsidP="006F6825">
      <w:pPr>
        <w:pStyle w:val="Pargrafo"/>
        <w:jc w:val="both"/>
        <w:rPr>
          <w:b/>
          <w:sz w:val="22"/>
          <w:szCs w:val="22"/>
        </w:rPr>
      </w:pPr>
    </w:p>
    <w:p w:rsidR="005F62D2" w:rsidRPr="00BF5733" w:rsidRDefault="00E761A5" w:rsidP="00CC2A39">
      <w:pPr>
        <w:pStyle w:val="indice"/>
        <w:spacing w:line="240" w:lineRule="auto"/>
        <w:rPr>
          <w:bCs/>
          <w:color w:val="auto"/>
        </w:rPr>
      </w:pPr>
      <w:r w:rsidRPr="00BF5733">
        <w:rPr>
          <w:b/>
          <w:bCs/>
          <w:color w:val="auto"/>
        </w:rPr>
        <w:t xml:space="preserve">Pregão para aquisição de helicópteros: </w:t>
      </w:r>
      <w:r w:rsidR="006F6825" w:rsidRPr="00BF5733">
        <w:rPr>
          <w:b/>
          <w:bCs/>
          <w:color w:val="auto"/>
        </w:rPr>
        <w:t>possibilidade de pagamento antecipado</w:t>
      </w:r>
    </w:p>
    <w:p w:rsidR="005F62D2" w:rsidRPr="00BF5733" w:rsidRDefault="006A4914" w:rsidP="00CC2A39">
      <w:pPr>
        <w:pStyle w:val="Normal-numerado-VOT01"/>
        <w:numPr>
          <w:ilvl w:val="0"/>
          <w:numId w:val="0"/>
        </w:numPr>
        <w:spacing w:before="0" w:after="0"/>
        <w:rPr>
          <w:b/>
          <w:sz w:val="22"/>
          <w:szCs w:val="22"/>
        </w:rPr>
      </w:pPr>
      <w:r w:rsidRPr="00BF5733">
        <w:rPr>
          <w:sz w:val="22"/>
          <w:szCs w:val="22"/>
        </w:rPr>
        <w:t>R</w:t>
      </w:r>
      <w:r w:rsidR="00665FE1" w:rsidRPr="00BF5733">
        <w:rPr>
          <w:sz w:val="22"/>
          <w:szCs w:val="22"/>
        </w:rPr>
        <w:t>epresentação formulada por licitante</w:t>
      </w:r>
      <w:r w:rsidR="0075257F" w:rsidRPr="00BF5733">
        <w:rPr>
          <w:sz w:val="22"/>
          <w:szCs w:val="22"/>
        </w:rPr>
        <w:t xml:space="preserve"> apontou</w:t>
      </w:r>
      <w:r w:rsidR="00665FE1" w:rsidRPr="00BF5733">
        <w:rPr>
          <w:sz w:val="22"/>
          <w:szCs w:val="22"/>
        </w:rPr>
        <w:t xml:space="preserve"> supostas irregularidades </w:t>
      </w:r>
      <w:r w:rsidRPr="00BF5733">
        <w:rPr>
          <w:sz w:val="22"/>
          <w:szCs w:val="22"/>
        </w:rPr>
        <w:t xml:space="preserve">no </w:t>
      </w:r>
      <w:r w:rsidR="00665FE1" w:rsidRPr="00BF5733">
        <w:rPr>
          <w:sz w:val="22"/>
          <w:szCs w:val="22"/>
        </w:rPr>
        <w:t xml:space="preserve">Pregão Presencial (Internacional) nº 130/2010, cujo objeto </w:t>
      </w:r>
      <w:r w:rsidR="0075257F" w:rsidRPr="00BF5733">
        <w:rPr>
          <w:sz w:val="22"/>
          <w:szCs w:val="22"/>
        </w:rPr>
        <w:t>constituiu-se na</w:t>
      </w:r>
      <w:r w:rsidR="00665FE1" w:rsidRPr="00BF5733">
        <w:rPr>
          <w:sz w:val="22"/>
          <w:szCs w:val="22"/>
        </w:rPr>
        <w:t xml:space="preserve"> aquisição</w:t>
      </w:r>
      <w:r w:rsidR="00486070" w:rsidRPr="00BF5733">
        <w:rPr>
          <w:sz w:val="22"/>
          <w:szCs w:val="22"/>
        </w:rPr>
        <w:t>, pelo Estado de Goiás,</w:t>
      </w:r>
      <w:r w:rsidR="00665FE1" w:rsidRPr="00BF5733">
        <w:rPr>
          <w:sz w:val="22"/>
          <w:szCs w:val="22"/>
        </w:rPr>
        <w:t xml:space="preserve"> de três aeronaves de asas rotativas (helicópteros), para atender às demandas do Corpo de Bombeiros Militar, Polícia Civil e Polícia Militar</w:t>
      </w:r>
      <w:r w:rsidR="00B16B53">
        <w:rPr>
          <w:sz w:val="22"/>
          <w:szCs w:val="22"/>
        </w:rPr>
        <w:t>, valendo-se, para tanto, de recursos federais repassados mediante convênio</w:t>
      </w:r>
      <w:r w:rsidR="0075257F" w:rsidRPr="00BF5733">
        <w:rPr>
          <w:sz w:val="22"/>
          <w:szCs w:val="22"/>
        </w:rPr>
        <w:t xml:space="preserve">. Uma delas seria </w:t>
      </w:r>
      <w:r w:rsidR="006F6825" w:rsidRPr="00BF5733">
        <w:rPr>
          <w:sz w:val="22"/>
          <w:szCs w:val="22"/>
        </w:rPr>
        <w:t xml:space="preserve">cláusula editalícia que permitiria </w:t>
      </w:r>
      <w:r w:rsidR="0075257F" w:rsidRPr="00BF5733">
        <w:rPr>
          <w:sz w:val="22"/>
          <w:szCs w:val="22"/>
        </w:rPr>
        <w:t>o pagamento antecipado de parte das despesas.</w:t>
      </w:r>
      <w:r w:rsidRPr="00BF5733">
        <w:rPr>
          <w:sz w:val="22"/>
          <w:szCs w:val="22"/>
        </w:rPr>
        <w:t xml:space="preserve"> A respeito disso, o relator destacou que “</w:t>
      </w:r>
      <w:r w:rsidRPr="00BF5733">
        <w:rPr>
          <w:i/>
          <w:sz w:val="22"/>
          <w:szCs w:val="22"/>
        </w:rPr>
        <w:t>o art. 15, III, da Lei de Licitações, prescreve que as compras, sempre que possível, deverão submeter-se às condições de aquisição e pagamento semelhantes às do setor privado, não sendo vedad</w:t>
      </w:r>
      <w:r w:rsidR="00486070" w:rsidRPr="00BF5733">
        <w:rPr>
          <w:i/>
          <w:sz w:val="22"/>
          <w:szCs w:val="22"/>
        </w:rPr>
        <w:t>a</w:t>
      </w:r>
      <w:r w:rsidRPr="00BF5733">
        <w:rPr>
          <w:i/>
          <w:sz w:val="22"/>
          <w:szCs w:val="22"/>
        </w:rPr>
        <w:t xml:space="preserve"> pelo ordenamento jurídico a possibilidade de pagamento antecipado. Evidentemente essa não é a regra, mas a exceção. A jurisprudência desta Corte a admite em casos excepcionais</w:t>
      </w:r>
      <w:r w:rsidRPr="00BF5733">
        <w:rPr>
          <w:sz w:val="22"/>
          <w:szCs w:val="22"/>
        </w:rPr>
        <w:t>”. No caso concreto, para o relator, “</w:t>
      </w:r>
      <w:r w:rsidRPr="00BF5733">
        <w:rPr>
          <w:i/>
          <w:sz w:val="22"/>
          <w:szCs w:val="22"/>
        </w:rPr>
        <w:t>a prática do mercado é que</w:t>
      </w:r>
      <w:r w:rsidR="00486070" w:rsidRPr="00BF5733">
        <w:rPr>
          <w:i/>
          <w:sz w:val="22"/>
          <w:szCs w:val="22"/>
        </w:rPr>
        <w:t>,</w:t>
      </w:r>
      <w:r w:rsidRPr="00BF5733">
        <w:rPr>
          <w:i/>
          <w:sz w:val="22"/>
          <w:szCs w:val="22"/>
        </w:rPr>
        <w:t xml:space="preserve"> em aquisições de helicópteros e afins</w:t>
      </w:r>
      <w:r w:rsidR="00486070" w:rsidRPr="00BF5733">
        <w:rPr>
          <w:i/>
          <w:sz w:val="22"/>
          <w:szCs w:val="22"/>
        </w:rPr>
        <w:t>,</w:t>
      </w:r>
      <w:r w:rsidRPr="00BF5733">
        <w:rPr>
          <w:i/>
          <w:sz w:val="22"/>
          <w:szCs w:val="22"/>
        </w:rPr>
        <w:t xml:space="preserve"> o pagamento seja, parcialmente, efetuado antecipadamente. Eventual adoção de condição de pagamento apenas contra entrega poderia inviabilizar a disponibilização dos helicópteros no prazo requerido pela Administração</w:t>
      </w:r>
      <w:r w:rsidRPr="00BF5733">
        <w:rPr>
          <w:sz w:val="22"/>
          <w:szCs w:val="22"/>
        </w:rPr>
        <w:t>”. Ressalto</w:t>
      </w:r>
      <w:r w:rsidR="00E761A5" w:rsidRPr="00BF5733">
        <w:rPr>
          <w:sz w:val="22"/>
          <w:szCs w:val="22"/>
        </w:rPr>
        <w:t xml:space="preserve">u o relator, ainda, </w:t>
      </w:r>
      <w:r w:rsidRPr="00BF5733">
        <w:rPr>
          <w:sz w:val="22"/>
          <w:szCs w:val="22"/>
        </w:rPr>
        <w:t xml:space="preserve">que, de acordo com </w:t>
      </w:r>
      <w:r w:rsidR="00E761A5" w:rsidRPr="00BF5733">
        <w:rPr>
          <w:sz w:val="22"/>
          <w:szCs w:val="22"/>
        </w:rPr>
        <w:t>o</w:t>
      </w:r>
      <w:r w:rsidRPr="00BF5733">
        <w:rPr>
          <w:sz w:val="22"/>
          <w:szCs w:val="22"/>
        </w:rPr>
        <w:t xml:space="preserve"> edital correspondente ao Pregão Presencial nº 130/2010, </w:t>
      </w:r>
      <w:r w:rsidR="00E761A5" w:rsidRPr="00BF5733">
        <w:rPr>
          <w:sz w:val="22"/>
          <w:szCs w:val="22"/>
        </w:rPr>
        <w:t>o Estado de Goiás</w:t>
      </w:r>
      <w:r w:rsidRPr="00BF5733">
        <w:rPr>
          <w:sz w:val="22"/>
          <w:szCs w:val="22"/>
        </w:rPr>
        <w:t xml:space="preserve"> exigiu a constituição de garanti</w:t>
      </w:r>
      <w:r w:rsidR="00E761A5" w:rsidRPr="00BF5733">
        <w:rPr>
          <w:sz w:val="22"/>
          <w:szCs w:val="22"/>
        </w:rPr>
        <w:t xml:space="preserve">a para cobrir o valor adiantado. Ao final, </w:t>
      </w:r>
      <w:r w:rsidR="00E761A5" w:rsidRPr="00BF5733">
        <w:rPr>
          <w:sz w:val="22"/>
          <w:szCs w:val="22"/>
          <w:lang w:eastAsia="en-US"/>
        </w:rPr>
        <w:t>propôs a improcedência da representação,</w:t>
      </w:r>
      <w:r w:rsidR="00E761A5" w:rsidRPr="00BF5733">
        <w:rPr>
          <w:sz w:val="22"/>
          <w:szCs w:val="22"/>
        </w:rPr>
        <w:t xml:space="preserve"> o que foi acolhido pelo </w:t>
      </w:r>
      <w:r w:rsidR="00B16B53">
        <w:rPr>
          <w:sz w:val="22"/>
          <w:szCs w:val="22"/>
        </w:rPr>
        <w:t>C</w:t>
      </w:r>
      <w:r w:rsidR="00B16B53" w:rsidRPr="00BF5733">
        <w:rPr>
          <w:sz w:val="22"/>
          <w:szCs w:val="22"/>
        </w:rPr>
        <w:t>olegiado</w:t>
      </w:r>
      <w:r w:rsidR="00E761A5" w:rsidRPr="00BF5733">
        <w:rPr>
          <w:sz w:val="22"/>
          <w:szCs w:val="22"/>
        </w:rPr>
        <w:t>.</w:t>
      </w:r>
      <w:r w:rsidR="005F3170" w:rsidRPr="00BF5733">
        <w:rPr>
          <w:sz w:val="22"/>
          <w:szCs w:val="22"/>
        </w:rPr>
        <w:t xml:space="preserve"> </w:t>
      </w:r>
      <w:r w:rsidR="005F62D2" w:rsidRPr="00BF5733">
        <w:rPr>
          <w:sz w:val="22"/>
          <w:szCs w:val="22"/>
        </w:rPr>
        <w:t>Precedente</w:t>
      </w:r>
      <w:r w:rsidRPr="00BF5733">
        <w:rPr>
          <w:sz w:val="22"/>
          <w:szCs w:val="22"/>
        </w:rPr>
        <w:t>s</w:t>
      </w:r>
      <w:r w:rsidR="005F62D2" w:rsidRPr="00BF5733">
        <w:rPr>
          <w:sz w:val="22"/>
          <w:szCs w:val="22"/>
        </w:rPr>
        <w:t xml:space="preserve"> citado</w:t>
      </w:r>
      <w:r w:rsidRPr="00BF5733">
        <w:rPr>
          <w:sz w:val="22"/>
          <w:szCs w:val="22"/>
        </w:rPr>
        <w:t>s</w:t>
      </w:r>
      <w:r w:rsidR="005F62D2" w:rsidRPr="00BF5733">
        <w:rPr>
          <w:sz w:val="22"/>
          <w:szCs w:val="22"/>
        </w:rPr>
        <w:t>: Acórdão</w:t>
      </w:r>
      <w:r w:rsidRPr="00BF5733">
        <w:rPr>
          <w:sz w:val="22"/>
          <w:szCs w:val="22"/>
        </w:rPr>
        <w:t>s</w:t>
      </w:r>
      <w:r w:rsidR="005F62D2" w:rsidRPr="00BF5733">
        <w:rPr>
          <w:sz w:val="22"/>
          <w:szCs w:val="22"/>
        </w:rPr>
        <w:t xml:space="preserve"> n.º </w:t>
      </w:r>
      <w:r w:rsidRPr="00BF5733">
        <w:rPr>
          <w:sz w:val="22"/>
          <w:szCs w:val="22"/>
        </w:rPr>
        <w:t>918/2005-Segunda Câmara e nº 1.442/2003-Primeira Câmara</w:t>
      </w:r>
      <w:r w:rsidR="005F62D2" w:rsidRPr="00BF5733">
        <w:rPr>
          <w:sz w:val="22"/>
          <w:szCs w:val="22"/>
        </w:rPr>
        <w:t xml:space="preserve">. </w:t>
      </w:r>
      <w:r w:rsidR="005F62D2" w:rsidRPr="00BF5733">
        <w:rPr>
          <w:b/>
          <w:i/>
          <w:sz w:val="22"/>
          <w:szCs w:val="22"/>
        </w:rPr>
        <w:t>Acórdão</w:t>
      </w:r>
      <w:r w:rsidR="00627AE8" w:rsidRPr="00BF5733">
        <w:rPr>
          <w:b/>
          <w:i/>
          <w:sz w:val="22"/>
          <w:szCs w:val="22"/>
        </w:rPr>
        <w:t xml:space="preserve"> n.º 5294/2010-1ª Câmara, TC-020</w:t>
      </w:r>
      <w:r w:rsidR="005F62D2" w:rsidRPr="00BF5733">
        <w:rPr>
          <w:b/>
          <w:i/>
          <w:sz w:val="22"/>
          <w:szCs w:val="22"/>
        </w:rPr>
        <w:t>.1</w:t>
      </w:r>
      <w:r w:rsidR="00627AE8" w:rsidRPr="00BF5733">
        <w:rPr>
          <w:b/>
          <w:i/>
          <w:sz w:val="22"/>
          <w:szCs w:val="22"/>
        </w:rPr>
        <w:t>39</w:t>
      </w:r>
      <w:r w:rsidR="005F62D2" w:rsidRPr="00BF5733">
        <w:rPr>
          <w:b/>
          <w:i/>
          <w:sz w:val="22"/>
          <w:szCs w:val="22"/>
        </w:rPr>
        <w:t>/20</w:t>
      </w:r>
      <w:r w:rsidR="00627AE8" w:rsidRPr="00BF5733">
        <w:rPr>
          <w:b/>
          <w:i/>
          <w:sz w:val="22"/>
          <w:szCs w:val="22"/>
        </w:rPr>
        <w:t>1</w:t>
      </w:r>
      <w:r w:rsidR="005F62D2" w:rsidRPr="00BF5733">
        <w:rPr>
          <w:b/>
          <w:i/>
          <w:sz w:val="22"/>
          <w:szCs w:val="22"/>
        </w:rPr>
        <w:t>0-</w:t>
      </w:r>
      <w:r w:rsidR="00627AE8" w:rsidRPr="00BF5733">
        <w:rPr>
          <w:b/>
          <w:i/>
          <w:sz w:val="22"/>
          <w:szCs w:val="22"/>
        </w:rPr>
        <w:t>1</w:t>
      </w:r>
      <w:r w:rsidR="005F62D2" w:rsidRPr="00BF5733">
        <w:rPr>
          <w:b/>
          <w:i/>
          <w:sz w:val="22"/>
          <w:szCs w:val="22"/>
        </w:rPr>
        <w:t xml:space="preserve">, rel. </w:t>
      </w:r>
      <w:r w:rsidR="00627AE8" w:rsidRPr="00BF5733">
        <w:rPr>
          <w:b/>
          <w:i/>
          <w:sz w:val="22"/>
          <w:szCs w:val="22"/>
        </w:rPr>
        <w:t xml:space="preserve">Min-Subst. </w:t>
      </w:r>
      <w:r w:rsidR="005F62D2" w:rsidRPr="00BF5733">
        <w:rPr>
          <w:b/>
          <w:i/>
          <w:sz w:val="22"/>
          <w:szCs w:val="22"/>
        </w:rPr>
        <w:t>W</w:t>
      </w:r>
      <w:r w:rsidR="00627AE8" w:rsidRPr="00BF5733">
        <w:rPr>
          <w:b/>
          <w:i/>
          <w:sz w:val="22"/>
          <w:szCs w:val="22"/>
        </w:rPr>
        <w:t>eder</w:t>
      </w:r>
      <w:r w:rsidR="00486070" w:rsidRPr="00BF5733">
        <w:rPr>
          <w:b/>
          <w:i/>
          <w:sz w:val="22"/>
          <w:szCs w:val="22"/>
        </w:rPr>
        <w:t xml:space="preserve"> de</w:t>
      </w:r>
      <w:r w:rsidR="00627AE8" w:rsidRPr="00BF5733">
        <w:rPr>
          <w:b/>
          <w:i/>
          <w:sz w:val="22"/>
          <w:szCs w:val="22"/>
        </w:rPr>
        <w:t xml:space="preserve"> Oliveira, 24</w:t>
      </w:r>
      <w:r w:rsidR="005F62D2" w:rsidRPr="00BF5733">
        <w:rPr>
          <w:b/>
          <w:i/>
          <w:sz w:val="22"/>
          <w:szCs w:val="22"/>
        </w:rPr>
        <w:t>.0</w:t>
      </w:r>
      <w:r w:rsidR="00627AE8" w:rsidRPr="00BF5733">
        <w:rPr>
          <w:b/>
          <w:i/>
          <w:sz w:val="22"/>
          <w:szCs w:val="22"/>
        </w:rPr>
        <w:t>8</w:t>
      </w:r>
      <w:r w:rsidR="005F62D2" w:rsidRPr="00BF5733">
        <w:rPr>
          <w:b/>
          <w:i/>
          <w:sz w:val="22"/>
          <w:szCs w:val="22"/>
        </w:rPr>
        <w:t>.2010</w:t>
      </w:r>
      <w:r w:rsidR="005F62D2" w:rsidRPr="00BF5733">
        <w:rPr>
          <w:b/>
          <w:sz w:val="22"/>
          <w:szCs w:val="22"/>
        </w:rPr>
        <w:t>.</w:t>
      </w:r>
    </w:p>
    <w:p w:rsidR="008A6885" w:rsidRPr="00BF5733" w:rsidRDefault="008A6885" w:rsidP="008A6885">
      <w:pPr>
        <w:pStyle w:val="TCU-RelVoto-demais"/>
        <w:spacing w:after="0"/>
        <w:rPr>
          <w:szCs w:val="24"/>
          <w:lang w:eastAsia="pt-BR"/>
        </w:rPr>
      </w:pPr>
    </w:p>
    <w:p w:rsidR="008A6885" w:rsidRPr="00BF5733" w:rsidRDefault="008A6885" w:rsidP="008A6885">
      <w:pPr>
        <w:pBdr>
          <w:top w:val="threeDEmboss" w:sz="24" w:space="0" w:color="auto"/>
        </w:pBdr>
        <w:tabs>
          <w:tab w:val="left" w:pos="284"/>
        </w:tabs>
        <w:spacing w:after="0"/>
        <w:ind w:left="0"/>
        <w:jc w:val="center"/>
        <w:rPr>
          <w:rFonts w:ascii="Cambria" w:hAnsi="Cambria"/>
          <w:b/>
          <w:bCs/>
          <w:smallCaps/>
          <w:sz w:val="22"/>
          <w:szCs w:val="22"/>
        </w:rPr>
      </w:pPr>
      <w:r w:rsidRPr="00BF5733">
        <w:rPr>
          <w:rFonts w:ascii="Cambria" w:hAnsi="Cambria"/>
          <w:b/>
          <w:bCs/>
          <w:smallCaps/>
          <w:sz w:val="22"/>
          <w:szCs w:val="22"/>
        </w:rPr>
        <w:t>SEGUNDA CÂMARA</w:t>
      </w:r>
    </w:p>
    <w:p w:rsidR="00F7126A" w:rsidRPr="00BF5733" w:rsidRDefault="00F7126A" w:rsidP="008A6885">
      <w:pPr>
        <w:pBdr>
          <w:top w:val="threeDEmboss" w:sz="24" w:space="0" w:color="auto"/>
        </w:pBdr>
        <w:tabs>
          <w:tab w:val="left" w:pos="284"/>
        </w:tabs>
        <w:spacing w:after="0"/>
        <w:ind w:left="0"/>
        <w:jc w:val="center"/>
        <w:rPr>
          <w:rFonts w:ascii="Cambria" w:hAnsi="Cambria"/>
          <w:b/>
          <w:bCs/>
          <w:smallCaps/>
          <w:sz w:val="22"/>
          <w:szCs w:val="22"/>
        </w:rPr>
      </w:pPr>
    </w:p>
    <w:p w:rsidR="008A6885" w:rsidRPr="00BF5733" w:rsidRDefault="005347DD" w:rsidP="008A6885">
      <w:pPr>
        <w:pStyle w:val="indice"/>
        <w:spacing w:line="240" w:lineRule="auto"/>
        <w:rPr>
          <w:b/>
          <w:bCs/>
          <w:color w:val="auto"/>
        </w:rPr>
      </w:pPr>
      <w:r w:rsidRPr="00BF5733">
        <w:rPr>
          <w:b/>
          <w:bCs/>
          <w:color w:val="auto"/>
        </w:rPr>
        <w:t>D</w:t>
      </w:r>
      <w:r w:rsidR="00C306EE" w:rsidRPr="00BF5733">
        <w:rPr>
          <w:b/>
          <w:bCs/>
          <w:color w:val="auto"/>
        </w:rPr>
        <w:t xml:space="preserve">ispensa de licitação: </w:t>
      </w:r>
      <w:r w:rsidRPr="00BF5733">
        <w:rPr>
          <w:b/>
          <w:bCs/>
          <w:color w:val="auto"/>
        </w:rPr>
        <w:t>necessidade de observância do preço oferecido pelo licitante vencedor na hipótese de utilização do art. 24, inc. XI</w:t>
      </w:r>
      <w:r w:rsidR="00B16B53">
        <w:rPr>
          <w:b/>
          <w:bCs/>
          <w:color w:val="auto"/>
        </w:rPr>
        <w:t xml:space="preserve">, da Lei nº 8.666/93, que trata de </w:t>
      </w:r>
      <w:r w:rsidRPr="00BF5733">
        <w:rPr>
          <w:b/>
          <w:bCs/>
          <w:color w:val="auto"/>
        </w:rPr>
        <w:t>remanescente de contratação anterior</w:t>
      </w:r>
    </w:p>
    <w:p w:rsidR="008A6885" w:rsidRPr="00BF5733" w:rsidRDefault="008A6885" w:rsidP="005347DD">
      <w:pPr>
        <w:pStyle w:val="Pargrafo"/>
        <w:jc w:val="both"/>
        <w:rPr>
          <w:b/>
          <w:sz w:val="22"/>
          <w:szCs w:val="22"/>
        </w:rPr>
      </w:pPr>
      <w:r w:rsidRPr="00BF5733">
        <w:rPr>
          <w:sz w:val="22"/>
          <w:szCs w:val="22"/>
        </w:rPr>
        <w:t xml:space="preserve">Em </w:t>
      </w:r>
      <w:r w:rsidR="005F73E9" w:rsidRPr="00BF5733">
        <w:rPr>
          <w:sz w:val="22"/>
          <w:szCs w:val="22"/>
        </w:rPr>
        <w:t>sede de Tomada de Contas Especial</w:t>
      </w:r>
      <w:r w:rsidR="00486070" w:rsidRPr="00BF5733">
        <w:rPr>
          <w:sz w:val="22"/>
          <w:szCs w:val="22"/>
        </w:rPr>
        <w:t>,</w:t>
      </w:r>
      <w:r w:rsidR="005F73E9" w:rsidRPr="00BF5733">
        <w:rPr>
          <w:sz w:val="22"/>
          <w:szCs w:val="22"/>
        </w:rPr>
        <w:t xml:space="preserve"> foram apuradas possíveis irregularidades em licitações realizadas no âmbito do Ministério da Saúde, dentre elas, a contratação direta, por dispensa de licitação, com </w:t>
      </w:r>
      <w:r w:rsidR="00F7126A" w:rsidRPr="00BF5733">
        <w:rPr>
          <w:sz w:val="22"/>
          <w:szCs w:val="22"/>
        </w:rPr>
        <w:t>supedâneo</w:t>
      </w:r>
      <w:r w:rsidR="005F73E9" w:rsidRPr="00BF5733">
        <w:rPr>
          <w:sz w:val="22"/>
          <w:szCs w:val="22"/>
        </w:rPr>
        <w:t xml:space="preserve"> no art. 24, inc. XI, da Lei 8.666/1993 – remanescente de contratação anterior -, sem respeitar as condições oferecidas pela empresa vencedora da licitação anterior</w:t>
      </w:r>
      <w:r w:rsidR="00486070" w:rsidRPr="00BF5733">
        <w:rPr>
          <w:sz w:val="22"/>
          <w:szCs w:val="22"/>
        </w:rPr>
        <w:t>,</w:t>
      </w:r>
      <w:r w:rsidR="005F73E9" w:rsidRPr="00BF5733">
        <w:rPr>
          <w:sz w:val="22"/>
          <w:szCs w:val="22"/>
        </w:rPr>
        <w:t xml:space="preserve"> quanto ao preço.</w:t>
      </w:r>
      <w:r w:rsidR="00C306EE" w:rsidRPr="00BF5733">
        <w:rPr>
          <w:sz w:val="22"/>
          <w:szCs w:val="22"/>
        </w:rPr>
        <w:t xml:space="preserve"> Ao examinar a matéria, a unidade técnica consignou que o art. 24, inc. XI, da Lei 8.666/1993 </w:t>
      </w:r>
      <w:r w:rsidR="00F7126A" w:rsidRPr="00BF5733">
        <w:rPr>
          <w:sz w:val="22"/>
          <w:szCs w:val="22"/>
        </w:rPr>
        <w:t>proporciona</w:t>
      </w:r>
      <w:r w:rsidR="00C306EE" w:rsidRPr="00BF5733">
        <w:rPr>
          <w:sz w:val="22"/>
          <w:szCs w:val="22"/>
        </w:rPr>
        <w:t xml:space="preserve"> à Administração Pública faculdade, não obrigação, de efetivar a contratação direta. Todavia, ainda conforme a unidade técnica, “</w:t>
      </w:r>
      <w:r w:rsidR="00C306EE" w:rsidRPr="00BF5733">
        <w:rPr>
          <w:i/>
          <w:sz w:val="22"/>
          <w:szCs w:val="22"/>
        </w:rPr>
        <w:t>essa possibilidade somente pode ser levada adiante se for observada a ordem de classificação da licitação e aceitas as mesmas condições oferecidas pelo licitante vencedor, inclusive quanto ao preço, devidamente corrigido</w:t>
      </w:r>
      <w:r w:rsidR="00C306EE" w:rsidRPr="00BF5733">
        <w:rPr>
          <w:sz w:val="22"/>
          <w:szCs w:val="22"/>
        </w:rPr>
        <w:t xml:space="preserve">”. Assim, caso a Administração Pública esteja impossibilitada de atender, integralmente, tais condições, também estará impossibilitada de promover a contratação direta, </w:t>
      </w:r>
      <w:r w:rsidR="001D4F75" w:rsidRPr="00BF5733">
        <w:rPr>
          <w:sz w:val="22"/>
          <w:szCs w:val="22"/>
        </w:rPr>
        <w:t xml:space="preserve">sob o fundamento do citado dispositivo. </w:t>
      </w:r>
      <w:r w:rsidR="001630BD">
        <w:rPr>
          <w:sz w:val="22"/>
          <w:szCs w:val="22"/>
        </w:rPr>
        <w:t>Ressaltou o relator que, “</w:t>
      </w:r>
      <w:r w:rsidR="001630BD" w:rsidRPr="001630BD">
        <w:rPr>
          <w:i/>
          <w:sz w:val="22"/>
          <w:szCs w:val="22"/>
        </w:rPr>
        <w:t xml:space="preserve">embora </w:t>
      </w:r>
      <w:r w:rsidR="001630BD" w:rsidRPr="001630BD">
        <w:rPr>
          <w:i/>
          <w:sz w:val="23"/>
          <w:szCs w:val="23"/>
        </w:rPr>
        <w:t>não existam nos autos elementos suficientes para caracterizar a ocorrência de dano ao erário</w:t>
      </w:r>
      <w:r w:rsidR="001630BD">
        <w:rPr>
          <w:sz w:val="23"/>
          <w:szCs w:val="23"/>
        </w:rPr>
        <w:t>”</w:t>
      </w:r>
      <w:r w:rsidR="001D4F75" w:rsidRPr="00BF5733">
        <w:rPr>
          <w:sz w:val="22"/>
          <w:szCs w:val="22"/>
        </w:rPr>
        <w:t xml:space="preserve">, concorda com a unidade técnica </w:t>
      </w:r>
      <w:r w:rsidR="001630BD">
        <w:rPr>
          <w:sz w:val="22"/>
          <w:szCs w:val="22"/>
        </w:rPr>
        <w:t>no sentido de</w:t>
      </w:r>
      <w:r w:rsidR="001D4F75" w:rsidRPr="00BF5733">
        <w:rPr>
          <w:sz w:val="22"/>
          <w:szCs w:val="22"/>
        </w:rPr>
        <w:t xml:space="preserve"> que a utilização do art. 24, inc. XI, da Lei 8.666/1993</w:t>
      </w:r>
      <w:r w:rsidR="005347DD" w:rsidRPr="00BF5733">
        <w:rPr>
          <w:sz w:val="22"/>
          <w:szCs w:val="22"/>
        </w:rPr>
        <w:t>,</w:t>
      </w:r>
      <w:r w:rsidR="001D4F75" w:rsidRPr="00BF5733">
        <w:rPr>
          <w:sz w:val="22"/>
          <w:szCs w:val="22"/>
        </w:rPr>
        <w:t xml:space="preserve"> sem que as condições quanto ao preço oferecido pelo licitante vencedor </w:t>
      </w:r>
      <w:r w:rsidR="001630BD">
        <w:rPr>
          <w:sz w:val="22"/>
          <w:szCs w:val="22"/>
        </w:rPr>
        <w:t>sejam</w:t>
      </w:r>
      <w:r w:rsidR="001630BD" w:rsidRPr="00BF5733">
        <w:rPr>
          <w:sz w:val="22"/>
          <w:szCs w:val="22"/>
        </w:rPr>
        <w:t xml:space="preserve"> </w:t>
      </w:r>
      <w:r w:rsidR="001D4F75" w:rsidRPr="00BF5733">
        <w:rPr>
          <w:sz w:val="22"/>
          <w:szCs w:val="22"/>
        </w:rPr>
        <w:t>respeitadas</w:t>
      </w:r>
      <w:r w:rsidR="005347DD" w:rsidRPr="00BF5733">
        <w:rPr>
          <w:sz w:val="22"/>
          <w:szCs w:val="22"/>
        </w:rPr>
        <w:t>,</w:t>
      </w:r>
      <w:r w:rsidR="001D4F75" w:rsidRPr="00BF5733">
        <w:rPr>
          <w:sz w:val="22"/>
          <w:szCs w:val="22"/>
        </w:rPr>
        <w:t xml:space="preserve"> constitui irregularidade grave. Desse modo, propôs a aplicação de multa ao responsável</w:t>
      </w:r>
      <w:r w:rsidR="005347DD" w:rsidRPr="00BF5733">
        <w:rPr>
          <w:sz w:val="22"/>
          <w:szCs w:val="22"/>
        </w:rPr>
        <w:t xml:space="preserve">, o que foi acolhido pelo </w:t>
      </w:r>
      <w:r w:rsidR="001630BD">
        <w:rPr>
          <w:sz w:val="22"/>
          <w:szCs w:val="22"/>
        </w:rPr>
        <w:t>C</w:t>
      </w:r>
      <w:r w:rsidR="001630BD" w:rsidRPr="00BF5733">
        <w:rPr>
          <w:sz w:val="22"/>
          <w:szCs w:val="22"/>
        </w:rPr>
        <w:t>olegiado</w:t>
      </w:r>
      <w:r w:rsidR="005347DD" w:rsidRPr="00BF5733">
        <w:rPr>
          <w:sz w:val="22"/>
          <w:szCs w:val="22"/>
        </w:rPr>
        <w:t xml:space="preserve">. </w:t>
      </w:r>
      <w:r w:rsidRPr="00BF5733">
        <w:rPr>
          <w:b/>
          <w:i/>
          <w:sz w:val="22"/>
          <w:szCs w:val="22"/>
        </w:rPr>
        <w:t>Acórdão n.º 4852/2010-2ª Câmara, TC-005.711/2005-6, rel. Min-Subst. André Luís de Carvalho, 24.08.2010</w:t>
      </w:r>
      <w:r w:rsidRPr="00BF5733">
        <w:rPr>
          <w:b/>
          <w:sz w:val="22"/>
          <w:szCs w:val="22"/>
        </w:rPr>
        <w:t>.</w:t>
      </w:r>
    </w:p>
    <w:p w:rsidR="008A6885" w:rsidRPr="00BF5733" w:rsidRDefault="008A6885" w:rsidP="008A6885">
      <w:pPr>
        <w:pStyle w:val="Pargrafo"/>
        <w:jc w:val="both"/>
        <w:rPr>
          <w:sz w:val="22"/>
          <w:szCs w:val="22"/>
        </w:rPr>
      </w:pPr>
    </w:p>
    <w:p w:rsidR="003D00E6" w:rsidRPr="00BF5733" w:rsidRDefault="003D00E6" w:rsidP="00433952">
      <w:pPr>
        <w:pStyle w:val="enter-3pt"/>
        <w:spacing w:line="240" w:lineRule="auto"/>
        <w:jc w:val="center"/>
        <w:rPr>
          <w:b/>
          <w:sz w:val="22"/>
          <w:szCs w:val="22"/>
          <w:bdr w:val="single" w:sz="4" w:space="0" w:color="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1"/>
      </w:tblGrid>
      <w:tr w:rsidR="003D00E6" w:rsidRPr="00BF5733">
        <w:trPr>
          <w:trHeight w:val="779"/>
          <w:jc w:val="center"/>
        </w:trPr>
        <w:tc>
          <w:tcPr>
            <w:tcW w:w="0" w:type="auto"/>
            <w:vAlign w:val="center"/>
          </w:tcPr>
          <w:p w:rsidR="003D00E6" w:rsidRPr="00BF5733" w:rsidRDefault="003D00E6" w:rsidP="00433952">
            <w:pPr>
              <w:pStyle w:val="enter-3pt"/>
              <w:spacing w:line="240" w:lineRule="auto"/>
              <w:jc w:val="center"/>
              <w:rPr>
                <w:b/>
                <w:i/>
                <w:sz w:val="18"/>
                <w:szCs w:val="18"/>
              </w:rPr>
            </w:pPr>
            <w:r w:rsidRPr="00BF5733">
              <w:rPr>
                <w:b/>
                <w:i/>
                <w:sz w:val="18"/>
                <w:szCs w:val="18"/>
              </w:rPr>
              <w:t>Responsáveis pelo Informativo:</w:t>
            </w:r>
          </w:p>
          <w:p w:rsidR="00301036" w:rsidRPr="00BF5733" w:rsidRDefault="003D00E6" w:rsidP="00433952">
            <w:pPr>
              <w:pStyle w:val="enter-3pt"/>
              <w:spacing w:line="240" w:lineRule="auto"/>
              <w:jc w:val="center"/>
              <w:rPr>
                <w:i/>
                <w:sz w:val="18"/>
                <w:szCs w:val="18"/>
              </w:rPr>
            </w:pPr>
            <w:r w:rsidRPr="00BF5733">
              <w:rPr>
                <w:b/>
                <w:i/>
                <w:sz w:val="18"/>
                <w:szCs w:val="18"/>
              </w:rPr>
              <w:t>Elaboração:</w:t>
            </w:r>
            <w:r w:rsidRPr="00BF5733">
              <w:rPr>
                <w:i/>
                <w:sz w:val="18"/>
                <w:szCs w:val="18"/>
              </w:rPr>
              <w:t xml:space="preserve"> </w:t>
            </w:r>
            <w:r w:rsidR="00301036" w:rsidRPr="00BF5733">
              <w:rPr>
                <w:i/>
                <w:sz w:val="18"/>
                <w:szCs w:val="18"/>
              </w:rPr>
              <w:t xml:space="preserve">Sandro Henrique Maciel Bernardes, </w:t>
            </w:r>
            <w:r w:rsidR="00597F89" w:rsidRPr="00BF5733">
              <w:rPr>
                <w:i/>
                <w:sz w:val="18"/>
                <w:szCs w:val="18"/>
              </w:rPr>
              <w:t>Assessor em substituição da Secretaria das Sessões.</w:t>
            </w:r>
          </w:p>
          <w:p w:rsidR="003D00E6" w:rsidRPr="00BF5733" w:rsidRDefault="003D00E6" w:rsidP="00433952">
            <w:pPr>
              <w:pStyle w:val="enter-3pt"/>
              <w:spacing w:line="240" w:lineRule="auto"/>
              <w:jc w:val="center"/>
              <w:rPr>
                <w:i/>
                <w:sz w:val="18"/>
                <w:szCs w:val="18"/>
              </w:rPr>
            </w:pPr>
            <w:r w:rsidRPr="00BF5733">
              <w:rPr>
                <w:b/>
                <w:i/>
                <w:sz w:val="18"/>
                <w:szCs w:val="18"/>
              </w:rPr>
              <w:t>Revisão:</w:t>
            </w:r>
            <w:r w:rsidRPr="00BF5733">
              <w:rPr>
                <w:i/>
                <w:sz w:val="18"/>
                <w:szCs w:val="18"/>
              </w:rPr>
              <w:t xml:space="preserve"> Odilon Cavallari de Oliveira, Secretário das Sessões</w:t>
            </w:r>
            <w:r w:rsidR="00597F89" w:rsidRPr="00BF5733">
              <w:rPr>
                <w:i/>
                <w:sz w:val="18"/>
                <w:szCs w:val="18"/>
              </w:rPr>
              <w:t>.</w:t>
            </w:r>
          </w:p>
          <w:p w:rsidR="003D00E6" w:rsidRPr="00BF5733" w:rsidRDefault="003D00E6" w:rsidP="00433952">
            <w:pPr>
              <w:pStyle w:val="enter-3pt"/>
              <w:spacing w:line="240" w:lineRule="auto"/>
              <w:jc w:val="center"/>
              <w:rPr>
                <w:b/>
                <w:i/>
                <w:sz w:val="22"/>
                <w:szCs w:val="22"/>
              </w:rPr>
            </w:pPr>
            <w:r w:rsidRPr="00BF5733">
              <w:rPr>
                <w:b/>
                <w:i/>
                <w:sz w:val="18"/>
                <w:szCs w:val="18"/>
              </w:rPr>
              <w:t xml:space="preserve">Contato: </w:t>
            </w:r>
            <w:hyperlink r:id="rId8" w:history="1">
              <w:r w:rsidRPr="00BF5733">
                <w:rPr>
                  <w:rStyle w:val="Hyperlink"/>
                  <w:b/>
                  <w:i/>
                  <w:color w:val="auto"/>
                  <w:sz w:val="18"/>
                  <w:szCs w:val="18"/>
                </w:rPr>
                <w:t>infojuris@tcu.gov.br</w:t>
              </w:r>
            </w:hyperlink>
          </w:p>
        </w:tc>
      </w:tr>
    </w:tbl>
    <w:p w:rsidR="003D00E6" w:rsidRPr="00BF5733" w:rsidRDefault="003D00E6" w:rsidP="00433952">
      <w:pPr>
        <w:pStyle w:val="enter-3pt"/>
        <w:spacing w:line="240" w:lineRule="auto"/>
        <w:jc w:val="center"/>
        <w:rPr>
          <w:b/>
          <w:sz w:val="22"/>
          <w:szCs w:val="22"/>
        </w:rPr>
      </w:pPr>
    </w:p>
    <w:sectPr w:rsidR="003D00E6" w:rsidRPr="00BF5733">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FCF" w:rsidRDefault="001D4FCF">
      <w:pPr>
        <w:spacing w:after="0"/>
      </w:pPr>
      <w:r>
        <w:separator/>
      </w:r>
    </w:p>
  </w:endnote>
  <w:endnote w:type="continuationSeparator" w:id="0">
    <w:p w:rsidR="001D4FCF" w:rsidRDefault="001D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45C" w:rsidRDefault="00CE045C">
    <w:pPr>
      <w:pStyle w:val="Rodap"/>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AC4223">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FCF" w:rsidRDefault="001D4FCF">
      <w:pPr>
        <w:spacing w:after="0"/>
      </w:pPr>
      <w:r>
        <w:separator/>
      </w:r>
    </w:p>
  </w:footnote>
  <w:footnote w:type="continuationSeparator" w:id="0">
    <w:p w:rsidR="001D4FCF" w:rsidRDefault="001D4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A5" w:rsidRPr="00D46EA5" w:rsidRDefault="001F5CFF" w:rsidP="00D46EA5">
    <w:pPr>
      <w:spacing w:after="0"/>
      <w:rPr>
        <w:rFonts w:ascii="Arial" w:hAnsi="Arial" w:cs="Arial"/>
        <w:b/>
      </w:rPr>
    </w:pPr>
    <w:r w:rsidRPr="00D46EA5">
      <w:rPr>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pic:spPr>
              </pic:pic>
            </a:graphicData>
          </a:graphic>
          <wp14:sizeRelH relativeFrom="page">
            <wp14:pctWidth>0</wp14:pctWidth>
          </wp14:sizeRelH>
          <wp14:sizeRelV relativeFrom="page">
            <wp14:pctHeight>0</wp14:pctHeight>
          </wp14:sizeRelV>
        </wp:anchor>
      </w:drawing>
    </w:r>
    <w:r w:rsidR="00D46EA5" w:rsidRPr="00D46EA5">
      <w:rPr>
        <w:rFonts w:ascii="Arial" w:hAnsi="Arial" w:cs="Arial"/>
        <w:b/>
      </w:rPr>
      <w:t>TRIBUNAL DE CONTAS DA UNIÃO</w:t>
    </w:r>
  </w:p>
  <w:p w:rsidR="00D46EA5" w:rsidRPr="00D46EA5" w:rsidRDefault="001F5CFF" w:rsidP="00D46EA5">
    <w:pPr>
      <w:spacing w:after="0"/>
      <w:rPr>
        <w:rFonts w:ascii="Arial" w:hAnsi="Arial" w:cs="Arial"/>
        <w:b/>
      </w:rPr>
    </w:pPr>
    <w:r w:rsidRPr="00D46EA5">
      <w:rPr>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66803"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D46EA5" w:rsidRPr="00D46EA5">
      <w:rPr>
        <w:rFonts w:ascii="Arial" w:hAnsi="Arial" w:cs="Arial"/>
        <w:noProof/>
        <w:lang w:eastAsia="pt-BR"/>
      </w:rPr>
      <w:t>Informativo de Jurisprudência so</w:t>
    </w:r>
    <w:r w:rsidR="00627AE8">
      <w:rPr>
        <w:rFonts w:ascii="Arial" w:hAnsi="Arial" w:cs="Arial"/>
        <w:noProof/>
        <w:lang w:eastAsia="pt-BR"/>
      </w:rPr>
      <w:t>bre Licitações e Contratos nº 31</w:t>
    </w:r>
  </w:p>
  <w:p w:rsidR="00CE045C" w:rsidRDefault="00CE045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5">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9740869"/>
    <w:multiLevelType w:val="multilevel"/>
    <w:tmpl w:val="DC7AE80C"/>
    <w:lvl w:ilvl="0">
      <w:start w:val="2"/>
      <w:numFmt w:val="decimal"/>
      <w:pStyle w:val="CorpodaInstruo"/>
      <w:lvlText w:val="%1.               "/>
      <w:lvlJc w:val="left"/>
      <w:pPr>
        <w:tabs>
          <w:tab w:val="num" w:pos="1080"/>
        </w:tabs>
      </w:pPr>
      <w:rPr>
        <w:rFonts w:cs="Times New Roman"/>
      </w:rPr>
    </w:lvl>
    <w:lvl w:ilvl="1">
      <w:start w:val="1"/>
      <w:numFmt w:val="decimal"/>
      <w:lvlText w:val="%1.%2.            "/>
      <w:lvlJc w:val="left"/>
      <w:pPr>
        <w:tabs>
          <w:tab w:val="num" w:pos="1080"/>
        </w:tabs>
      </w:pPr>
      <w:rPr>
        <w:rFonts w:cs="Times New Roman"/>
      </w:rPr>
    </w:lvl>
    <w:lvl w:ilvl="2">
      <w:start w:val="1"/>
      <w:numFmt w:val="decimal"/>
      <w:lvlText w:val="%1.%2.%3.         "/>
      <w:lvlJc w:val="left"/>
      <w:pPr>
        <w:tabs>
          <w:tab w:val="num" w:pos="1080"/>
        </w:tabs>
      </w:pPr>
      <w:rPr>
        <w:rFonts w:cs="Times New Roman"/>
      </w:rPr>
    </w:lvl>
    <w:lvl w:ilvl="3">
      <w:start w:val="1"/>
      <w:numFmt w:val="decimal"/>
      <w:lvlText w:val="%1.%2.%3.%4.      "/>
      <w:lvlJc w:val="left"/>
      <w:pPr>
        <w:tabs>
          <w:tab w:val="num" w:pos="1080"/>
        </w:tabs>
      </w:pPr>
      <w:rPr>
        <w:rFonts w:cs="Times New Roman"/>
      </w:rPr>
    </w:lvl>
    <w:lvl w:ilvl="4">
      <w:start w:val="1"/>
      <w:numFmt w:val="decimal"/>
      <w:lvlText w:val="%1.%2.%3.%4.%5.   "/>
      <w:lvlJc w:val="left"/>
      <w:pPr>
        <w:tabs>
          <w:tab w:val="num" w:pos="1080"/>
        </w:tabs>
      </w:pPr>
      <w:rPr>
        <w:rFonts w:cs="Times New Roman"/>
      </w:rPr>
    </w:lvl>
    <w:lvl w:ilvl="5">
      <w:start w:val="1"/>
      <w:numFmt w:val="decimal"/>
      <w:lvlText w:val="%1.%2.%3.%4.%5.%6."/>
      <w:lvlJc w:val="left"/>
      <w:pPr>
        <w:tabs>
          <w:tab w:val="num" w:pos="1080"/>
        </w:tabs>
      </w:pPr>
      <w:rPr>
        <w:rFonts w:cs="Times New Roman"/>
      </w:rPr>
    </w:lvl>
    <w:lvl w:ilvl="6">
      <w:start w:val="1"/>
      <w:numFmt w:val="decimal"/>
      <w:lvlRestart w:val="0"/>
      <w:lvlText w:val="%1.%2.%3.%4.%5.%6.%7."/>
      <w:lvlJc w:val="left"/>
      <w:pPr>
        <w:tabs>
          <w:tab w:val="num" w:pos="144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800"/>
        </w:tabs>
      </w:pPr>
      <w:rPr>
        <w:rFonts w:cs="Times New Roman"/>
      </w:rPr>
    </w:lvl>
  </w:abstractNum>
  <w:abstractNum w:abstractNumId="8">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9">
    <w:nsid w:val="33836ED7"/>
    <w:multiLevelType w:val="singleLevel"/>
    <w:tmpl w:val="06C863B4"/>
    <w:lvl w:ilvl="0">
      <w:start w:val="2"/>
      <w:numFmt w:val="decimal"/>
      <w:lvlText w:val="%1."/>
      <w:lvlJc w:val="left"/>
      <w:pPr>
        <w:tabs>
          <w:tab w:val="num" w:pos="357"/>
        </w:tabs>
        <w:ind w:left="357" w:hanging="357"/>
      </w:pPr>
      <w:rPr>
        <w:rFonts w:cs="Times New Roman"/>
      </w:rPr>
    </w:lvl>
  </w:abstractNum>
  <w:abstractNum w:abstractNumId="10">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5823643"/>
    <w:multiLevelType w:val="singleLevel"/>
    <w:tmpl w:val="79040EB6"/>
    <w:lvl w:ilvl="0">
      <w:start w:val="2"/>
      <w:numFmt w:val="decimal"/>
      <w:lvlText w:val="%1."/>
      <w:lvlJc w:val="left"/>
      <w:pPr>
        <w:tabs>
          <w:tab w:val="num" w:pos="360"/>
        </w:tabs>
        <w:ind w:left="360" w:hanging="360"/>
      </w:pPr>
      <w:rPr>
        <w:rFonts w:cs="Times New Roman"/>
      </w:rPr>
    </w:lvl>
  </w:abstractNum>
  <w:abstractNum w:abstractNumId="15">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5"/>
  </w:num>
  <w:num w:numId="2">
    <w:abstractNumId w:val="12"/>
  </w:num>
  <w:num w:numId="3">
    <w:abstractNumId w:val="5"/>
  </w:num>
  <w:num w:numId="4">
    <w:abstractNumId w:val="0"/>
  </w:num>
  <w:num w:numId="5">
    <w:abstractNumId w:val="6"/>
  </w:num>
  <w:num w:numId="6">
    <w:abstractNumId w:val="11"/>
  </w:num>
  <w:num w:numId="7">
    <w:abstractNumId w:val="18"/>
  </w:num>
  <w:num w:numId="8">
    <w:abstractNumId w:val="16"/>
  </w:num>
  <w:num w:numId="9">
    <w:abstractNumId w:val="13"/>
  </w:num>
  <w:num w:numId="10">
    <w:abstractNumId w:val="3"/>
  </w:num>
  <w:num w:numId="11">
    <w:abstractNumId w:val="19"/>
  </w:num>
  <w:num w:numId="12">
    <w:abstractNumId w:val="2"/>
  </w:num>
  <w:num w:numId="13">
    <w:abstractNumId w:val="10"/>
  </w:num>
  <w:num w:numId="14">
    <w:abstractNumId w:val="17"/>
  </w:num>
  <w:num w:numId="15">
    <w:abstractNumId w:val="8"/>
  </w:num>
  <w:num w:numId="16">
    <w:abstractNumId w:val="1"/>
  </w:num>
  <w:num w:numId="17">
    <w:abstractNumId w:val="14"/>
  </w:num>
  <w:num w:numId="18">
    <w:abstractNumId w:val="9"/>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F3"/>
    <w:rsid w:val="00000D70"/>
    <w:rsid w:val="00001DCD"/>
    <w:rsid w:val="00007942"/>
    <w:rsid w:val="00012EAC"/>
    <w:rsid w:val="000156F0"/>
    <w:rsid w:val="00025DAF"/>
    <w:rsid w:val="00026666"/>
    <w:rsid w:val="00033DE6"/>
    <w:rsid w:val="00034E67"/>
    <w:rsid w:val="00041303"/>
    <w:rsid w:val="00055E54"/>
    <w:rsid w:val="00070B6D"/>
    <w:rsid w:val="00071BA5"/>
    <w:rsid w:val="00090D1E"/>
    <w:rsid w:val="000A3385"/>
    <w:rsid w:val="000B1D45"/>
    <w:rsid w:val="000B397A"/>
    <w:rsid w:val="000B4348"/>
    <w:rsid w:val="000B742D"/>
    <w:rsid w:val="000C0193"/>
    <w:rsid w:val="000C2B47"/>
    <w:rsid w:val="000E2922"/>
    <w:rsid w:val="000F65AC"/>
    <w:rsid w:val="00120D5D"/>
    <w:rsid w:val="0012136D"/>
    <w:rsid w:val="00126B45"/>
    <w:rsid w:val="00127730"/>
    <w:rsid w:val="00131BE8"/>
    <w:rsid w:val="00132C45"/>
    <w:rsid w:val="001378AA"/>
    <w:rsid w:val="0014164D"/>
    <w:rsid w:val="0014232A"/>
    <w:rsid w:val="001518CE"/>
    <w:rsid w:val="00153D91"/>
    <w:rsid w:val="001630BD"/>
    <w:rsid w:val="00164FC9"/>
    <w:rsid w:val="001708AD"/>
    <w:rsid w:val="00176DC5"/>
    <w:rsid w:val="00187AEB"/>
    <w:rsid w:val="00192008"/>
    <w:rsid w:val="00194C1E"/>
    <w:rsid w:val="00196084"/>
    <w:rsid w:val="001A42BB"/>
    <w:rsid w:val="001C0989"/>
    <w:rsid w:val="001D0412"/>
    <w:rsid w:val="001D3A32"/>
    <w:rsid w:val="001D446C"/>
    <w:rsid w:val="001D4F75"/>
    <w:rsid w:val="001D4FCF"/>
    <w:rsid w:val="001E4FB6"/>
    <w:rsid w:val="001F5CFF"/>
    <w:rsid w:val="00210BE6"/>
    <w:rsid w:val="00211BC3"/>
    <w:rsid w:val="00216473"/>
    <w:rsid w:val="00216751"/>
    <w:rsid w:val="002274D3"/>
    <w:rsid w:val="00230427"/>
    <w:rsid w:val="00232666"/>
    <w:rsid w:val="0024077B"/>
    <w:rsid w:val="00256D91"/>
    <w:rsid w:val="00265212"/>
    <w:rsid w:val="002B1E7A"/>
    <w:rsid w:val="002B70B9"/>
    <w:rsid w:val="002D0D1F"/>
    <w:rsid w:val="002D12E0"/>
    <w:rsid w:val="002D1B43"/>
    <w:rsid w:val="002D50BE"/>
    <w:rsid w:val="0030083C"/>
    <w:rsid w:val="00301036"/>
    <w:rsid w:val="00314EC5"/>
    <w:rsid w:val="00333BF4"/>
    <w:rsid w:val="0034198D"/>
    <w:rsid w:val="00351B4D"/>
    <w:rsid w:val="003554CF"/>
    <w:rsid w:val="0035799B"/>
    <w:rsid w:val="00371921"/>
    <w:rsid w:val="00376B5A"/>
    <w:rsid w:val="00380687"/>
    <w:rsid w:val="0038677F"/>
    <w:rsid w:val="003A1980"/>
    <w:rsid w:val="003A19C0"/>
    <w:rsid w:val="003A4B4D"/>
    <w:rsid w:val="003B1541"/>
    <w:rsid w:val="003C67D1"/>
    <w:rsid w:val="003D00E6"/>
    <w:rsid w:val="003D5CDD"/>
    <w:rsid w:val="003D75EC"/>
    <w:rsid w:val="003F0E80"/>
    <w:rsid w:val="003F4ABA"/>
    <w:rsid w:val="00413996"/>
    <w:rsid w:val="00424215"/>
    <w:rsid w:val="00433952"/>
    <w:rsid w:val="00436581"/>
    <w:rsid w:val="004457FA"/>
    <w:rsid w:val="00446DD5"/>
    <w:rsid w:val="004516AE"/>
    <w:rsid w:val="00453E5D"/>
    <w:rsid w:val="00454D3C"/>
    <w:rsid w:val="00462623"/>
    <w:rsid w:val="00467695"/>
    <w:rsid w:val="00486070"/>
    <w:rsid w:val="004B16D2"/>
    <w:rsid w:val="004E450D"/>
    <w:rsid w:val="004E5535"/>
    <w:rsid w:val="00500E7E"/>
    <w:rsid w:val="0050301B"/>
    <w:rsid w:val="00504BF6"/>
    <w:rsid w:val="00506506"/>
    <w:rsid w:val="00511D90"/>
    <w:rsid w:val="00512D28"/>
    <w:rsid w:val="005347DD"/>
    <w:rsid w:val="00540F9C"/>
    <w:rsid w:val="00550550"/>
    <w:rsid w:val="00560A1E"/>
    <w:rsid w:val="005669B9"/>
    <w:rsid w:val="00583024"/>
    <w:rsid w:val="00592263"/>
    <w:rsid w:val="00597F89"/>
    <w:rsid w:val="005A79D5"/>
    <w:rsid w:val="005B523F"/>
    <w:rsid w:val="005B79B1"/>
    <w:rsid w:val="005C16E6"/>
    <w:rsid w:val="005E5C57"/>
    <w:rsid w:val="005F3170"/>
    <w:rsid w:val="005F62D2"/>
    <w:rsid w:val="005F73E9"/>
    <w:rsid w:val="00604CDF"/>
    <w:rsid w:val="00624AD7"/>
    <w:rsid w:val="00627AE8"/>
    <w:rsid w:val="0063255F"/>
    <w:rsid w:val="00644AC4"/>
    <w:rsid w:val="006508F1"/>
    <w:rsid w:val="00653EBC"/>
    <w:rsid w:val="00665FE1"/>
    <w:rsid w:val="00670BA5"/>
    <w:rsid w:val="00687D4F"/>
    <w:rsid w:val="006A48E2"/>
    <w:rsid w:val="006A4914"/>
    <w:rsid w:val="006B67DF"/>
    <w:rsid w:val="006B7AD0"/>
    <w:rsid w:val="006C307A"/>
    <w:rsid w:val="006C4C46"/>
    <w:rsid w:val="006C7A56"/>
    <w:rsid w:val="006E3D6E"/>
    <w:rsid w:val="006F1CDF"/>
    <w:rsid w:val="006F6825"/>
    <w:rsid w:val="00715B3E"/>
    <w:rsid w:val="00725903"/>
    <w:rsid w:val="00746E32"/>
    <w:rsid w:val="0075048B"/>
    <w:rsid w:val="0075257F"/>
    <w:rsid w:val="00761425"/>
    <w:rsid w:val="0076408F"/>
    <w:rsid w:val="00771D10"/>
    <w:rsid w:val="00781E75"/>
    <w:rsid w:val="007923A0"/>
    <w:rsid w:val="00796A34"/>
    <w:rsid w:val="007A1853"/>
    <w:rsid w:val="007B5A3C"/>
    <w:rsid w:val="007B7662"/>
    <w:rsid w:val="007C7A7A"/>
    <w:rsid w:val="007D3288"/>
    <w:rsid w:val="007E7FEE"/>
    <w:rsid w:val="008166A8"/>
    <w:rsid w:val="00846611"/>
    <w:rsid w:val="00851D08"/>
    <w:rsid w:val="00857FF3"/>
    <w:rsid w:val="00864F55"/>
    <w:rsid w:val="0087424D"/>
    <w:rsid w:val="00875CE2"/>
    <w:rsid w:val="00880A05"/>
    <w:rsid w:val="0088196D"/>
    <w:rsid w:val="00882AE0"/>
    <w:rsid w:val="008903F0"/>
    <w:rsid w:val="008A51F8"/>
    <w:rsid w:val="008A6885"/>
    <w:rsid w:val="008B7760"/>
    <w:rsid w:val="008C21B4"/>
    <w:rsid w:val="008D2A4D"/>
    <w:rsid w:val="008D6509"/>
    <w:rsid w:val="008F0BED"/>
    <w:rsid w:val="008F4896"/>
    <w:rsid w:val="00900818"/>
    <w:rsid w:val="00907B49"/>
    <w:rsid w:val="00910322"/>
    <w:rsid w:val="009157A6"/>
    <w:rsid w:val="00915F16"/>
    <w:rsid w:val="00921605"/>
    <w:rsid w:val="00926D1B"/>
    <w:rsid w:val="00927514"/>
    <w:rsid w:val="00930122"/>
    <w:rsid w:val="00944C5C"/>
    <w:rsid w:val="0095351E"/>
    <w:rsid w:val="0096121D"/>
    <w:rsid w:val="009639C8"/>
    <w:rsid w:val="00981707"/>
    <w:rsid w:val="00982580"/>
    <w:rsid w:val="009C5531"/>
    <w:rsid w:val="009E135C"/>
    <w:rsid w:val="009E1408"/>
    <w:rsid w:val="009F0789"/>
    <w:rsid w:val="009F6FD5"/>
    <w:rsid w:val="009F7BAE"/>
    <w:rsid w:val="00A074C8"/>
    <w:rsid w:val="00A1378C"/>
    <w:rsid w:val="00A14043"/>
    <w:rsid w:val="00A17176"/>
    <w:rsid w:val="00A226D7"/>
    <w:rsid w:val="00A2485C"/>
    <w:rsid w:val="00A274FB"/>
    <w:rsid w:val="00A32FB9"/>
    <w:rsid w:val="00A3442D"/>
    <w:rsid w:val="00A34435"/>
    <w:rsid w:val="00A6665A"/>
    <w:rsid w:val="00A82132"/>
    <w:rsid w:val="00A8358A"/>
    <w:rsid w:val="00A87385"/>
    <w:rsid w:val="00A87972"/>
    <w:rsid w:val="00A97848"/>
    <w:rsid w:val="00AA3ABF"/>
    <w:rsid w:val="00AC3A5E"/>
    <w:rsid w:val="00AC4223"/>
    <w:rsid w:val="00AC6D72"/>
    <w:rsid w:val="00AD186C"/>
    <w:rsid w:val="00AE13F6"/>
    <w:rsid w:val="00AF0810"/>
    <w:rsid w:val="00AF26FA"/>
    <w:rsid w:val="00AF32D2"/>
    <w:rsid w:val="00B16B53"/>
    <w:rsid w:val="00B25186"/>
    <w:rsid w:val="00B267F5"/>
    <w:rsid w:val="00B308C3"/>
    <w:rsid w:val="00B342B1"/>
    <w:rsid w:val="00B42768"/>
    <w:rsid w:val="00B63B00"/>
    <w:rsid w:val="00B71C6F"/>
    <w:rsid w:val="00B90491"/>
    <w:rsid w:val="00B92555"/>
    <w:rsid w:val="00B97B00"/>
    <w:rsid w:val="00BA3AFD"/>
    <w:rsid w:val="00BB055C"/>
    <w:rsid w:val="00BB2ED9"/>
    <w:rsid w:val="00BC1740"/>
    <w:rsid w:val="00BD4C46"/>
    <w:rsid w:val="00BD7272"/>
    <w:rsid w:val="00BF5733"/>
    <w:rsid w:val="00C00EC8"/>
    <w:rsid w:val="00C00F7B"/>
    <w:rsid w:val="00C01145"/>
    <w:rsid w:val="00C231AF"/>
    <w:rsid w:val="00C24208"/>
    <w:rsid w:val="00C306EE"/>
    <w:rsid w:val="00C30C84"/>
    <w:rsid w:val="00C34577"/>
    <w:rsid w:val="00C3777C"/>
    <w:rsid w:val="00C50E3D"/>
    <w:rsid w:val="00C54D85"/>
    <w:rsid w:val="00C828E6"/>
    <w:rsid w:val="00C90A7B"/>
    <w:rsid w:val="00C91270"/>
    <w:rsid w:val="00CA1F75"/>
    <w:rsid w:val="00CB1A64"/>
    <w:rsid w:val="00CB41C2"/>
    <w:rsid w:val="00CC2A39"/>
    <w:rsid w:val="00CC5A95"/>
    <w:rsid w:val="00CC7D36"/>
    <w:rsid w:val="00CD7B63"/>
    <w:rsid w:val="00CE045C"/>
    <w:rsid w:val="00CE66BC"/>
    <w:rsid w:val="00CF4F0C"/>
    <w:rsid w:val="00D06EB4"/>
    <w:rsid w:val="00D1483F"/>
    <w:rsid w:val="00D35793"/>
    <w:rsid w:val="00D361BE"/>
    <w:rsid w:val="00D44312"/>
    <w:rsid w:val="00D46EA5"/>
    <w:rsid w:val="00D47A3D"/>
    <w:rsid w:val="00D54219"/>
    <w:rsid w:val="00D57026"/>
    <w:rsid w:val="00D576A2"/>
    <w:rsid w:val="00D662AB"/>
    <w:rsid w:val="00D727DA"/>
    <w:rsid w:val="00D74748"/>
    <w:rsid w:val="00D749DB"/>
    <w:rsid w:val="00D75F1D"/>
    <w:rsid w:val="00D82751"/>
    <w:rsid w:val="00D835CF"/>
    <w:rsid w:val="00D84754"/>
    <w:rsid w:val="00D86981"/>
    <w:rsid w:val="00D87107"/>
    <w:rsid w:val="00DA1817"/>
    <w:rsid w:val="00DA595C"/>
    <w:rsid w:val="00DA7B21"/>
    <w:rsid w:val="00DB1890"/>
    <w:rsid w:val="00DB5358"/>
    <w:rsid w:val="00DC196A"/>
    <w:rsid w:val="00DD2734"/>
    <w:rsid w:val="00DD50E1"/>
    <w:rsid w:val="00DE09D7"/>
    <w:rsid w:val="00DE0C5E"/>
    <w:rsid w:val="00E02215"/>
    <w:rsid w:val="00E026DC"/>
    <w:rsid w:val="00E154D3"/>
    <w:rsid w:val="00E15971"/>
    <w:rsid w:val="00E3667A"/>
    <w:rsid w:val="00E374A8"/>
    <w:rsid w:val="00E43C05"/>
    <w:rsid w:val="00E568AD"/>
    <w:rsid w:val="00E63C83"/>
    <w:rsid w:val="00E66328"/>
    <w:rsid w:val="00E72017"/>
    <w:rsid w:val="00E761A5"/>
    <w:rsid w:val="00E8643E"/>
    <w:rsid w:val="00E968DA"/>
    <w:rsid w:val="00EA0C41"/>
    <w:rsid w:val="00EB0C4D"/>
    <w:rsid w:val="00EB14DA"/>
    <w:rsid w:val="00EC0F73"/>
    <w:rsid w:val="00ED6550"/>
    <w:rsid w:val="00EE2C15"/>
    <w:rsid w:val="00EF1713"/>
    <w:rsid w:val="00F03463"/>
    <w:rsid w:val="00F049F3"/>
    <w:rsid w:val="00F45E05"/>
    <w:rsid w:val="00F53CA9"/>
    <w:rsid w:val="00F6228A"/>
    <w:rsid w:val="00F7126A"/>
    <w:rsid w:val="00F752DA"/>
    <w:rsid w:val="00F83A8D"/>
    <w:rsid w:val="00FD4968"/>
    <w:rsid w:val="00FD6057"/>
    <w:rsid w:val="00FE2572"/>
    <w:rsid w:val="00FF22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DDC2ADA3-D6B0-4088-93F2-4E23618C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ind w:left="1134"/>
      <w:jc w:val="both"/>
    </w:pPr>
    <w:rPr>
      <w:sz w:val="24"/>
      <w:szCs w:val="24"/>
      <w:lang w:eastAsia="en-US"/>
    </w:rPr>
  </w:style>
  <w:style w:type="paragraph" w:styleId="Ttulo2">
    <w:name w:val="heading 2"/>
    <w:basedOn w:val="Normal"/>
    <w:next w:val="Normal"/>
    <w:qFormat/>
    <w:pPr>
      <w:keepNext/>
      <w:spacing w:after="0"/>
      <w:ind w:left="708" w:firstLine="708"/>
      <w:jc w:val="center"/>
      <w:outlineLvl w:val="1"/>
    </w:pPr>
    <w:rPr>
      <w:rFonts w:eastAsia="Times New Roman"/>
      <w:szCs w:val="20"/>
      <w:lang w:eastAsia="pt-BR"/>
    </w:rPr>
  </w:style>
  <w:style w:type="paragraph" w:styleId="Ttulo6">
    <w:name w:val="heading 6"/>
    <w:basedOn w:val="Normal"/>
    <w:next w:val="Normal"/>
    <w:qFormat/>
    <w:pPr>
      <w:spacing w:before="240" w:after="60"/>
      <w:outlineLvl w:val="5"/>
    </w:pPr>
    <w:rPr>
      <w:rFonts w:ascii="Calibri" w:eastAsia="Times New Roman" w:hAnsi="Calibri"/>
      <w:b/>
      <w:bCs/>
      <w:sz w:val="22"/>
      <w:szCs w:val="22"/>
    </w:rPr>
  </w:style>
  <w:style w:type="paragraph" w:styleId="Ttulo8">
    <w:name w:val="heading 8"/>
    <w:basedOn w:val="Normal"/>
    <w:next w:val="Normal"/>
    <w:qFormat/>
    <w:pPr>
      <w:spacing w:before="240" w:after="60"/>
      <w:outlineLvl w:val="7"/>
    </w:pPr>
    <w:rPr>
      <w:rFonts w:ascii="Calibri" w:eastAsia="Times New Roman" w:hAnsi="Calibri"/>
      <w:i/>
      <w:iCs/>
    </w:rPr>
  </w:style>
  <w:style w:type="paragraph" w:styleId="Ttulo9">
    <w:name w:val="heading 9"/>
    <w:basedOn w:val="Normal"/>
    <w:next w:val="Normal"/>
    <w:qFormat/>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uiPriority w:val="99"/>
    <w:unhideWhenUsed/>
    <w:pPr>
      <w:tabs>
        <w:tab w:val="center" w:pos="4252"/>
        <w:tab w:val="right" w:pos="8504"/>
      </w:tabs>
      <w:spacing w:after="0"/>
    </w:pPr>
  </w:style>
  <w:style w:type="character" w:customStyle="1" w:styleId="CabealhoChar">
    <w:name w:val="Cabeçalho Char"/>
    <w:basedOn w:val="Fontepargpadro"/>
    <w:uiPriority w:val="99"/>
  </w:style>
  <w:style w:type="paragraph" w:styleId="Rodap">
    <w:name w:val="footer"/>
    <w:basedOn w:val="Normal"/>
    <w:semiHidden/>
    <w:unhideWhenUsed/>
    <w:pPr>
      <w:tabs>
        <w:tab w:val="center" w:pos="4252"/>
        <w:tab w:val="right" w:pos="8504"/>
      </w:tabs>
      <w:spacing w:after="0"/>
    </w:pPr>
  </w:style>
  <w:style w:type="character" w:customStyle="1" w:styleId="RodapChar">
    <w:name w:val="Rodapé Char"/>
    <w:basedOn w:val="Fontepargpadro"/>
    <w:semiHidden/>
  </w:style>
  <w:style w:type="paragraph" w:customStyle="1" w:styleId="Normal-numerado-VOT01">
    <w:name w:val="#Normal-numerado-VOT_01"/>
    <w:basedOn w:val="Normal-numerado-REL01"/>
    <w:uiPriority w:val="99"/>
    <w:rsid w:val="006A4914"/>
    <w:pPr>
      <w:numPr>
        <w:numId w:val="19"/>
      </w:numPr>
    </w:pPr>
  </w:style>
  <w:style w:type="paragraph" w:customStyle="1" w:styleId="RUPCorpo1">
    <w:name w:val="RUP Corpo 1"/>
    <w:pPr>
      <w:spacing w:before="120"/>
      <w:ind w:firstLine="425"/>
      <w:jc w:val="both"/>
    </w:pPr>
    <w:rPr>
      <w:rFonts w:ascii="Arial" w:eastAsia="Times New Roman" w:hAnsi="Arial"/>
    </w:rPr>
  </w:style>
  <w:style w:type="character" w:customStyle="1" w:styleId="Ttulo2Char">
    <w:name w:val="Título 2 Char"/>
    <w:basedOn w:val="Fontepargpadro"/>
    <w:rPr>
      <w:rFonts w:eastAsia="Times New Roman"/>
      <w:sz w:val="24"/>
    </w:rPr>
  </w:style>
  <w:style w:type="paragraph" w:styleId="Recuodecorpodetexto">
    <w:name w:val="Body Text Indent"/>
    <w:basedOn w:val="Normal"/>
    <w:semiHidden/>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semiHidden/>
    <w:rPr>
      <w:rFonts w:eastAsia="Times New Roman"/>
      <w:sz w:val="24"/>
    </w:rPr>
  </w:style>
  <w:style w:type="paragraph" w:styleId="MapadoDocumento">
    <w:name w:val="Document Map"/>
    <w:basedOn w:val="Normal"/>
    <w:semiHidden/>
    <w:unhideWhenUsed/>
    <w:rPr>
      <w:rFonts w:ascii="Tahoma" w:hAnsi="Tahoma" w:cs="Tahoma"/>
      <w:sz w:val="16"/>
      <w:szCs w:val="16"/>
    </w:rPr>
  </w:style>
  <w:style w:type="character" w:customStyle="1" w:styleId="MapadoDocumentoChar">
    <w:name w:val="Mapa do Documento Char"/>
    <w:basedOn w:val="Fontepargpadro"/>
    <w:semiHidden/>
    <w:rPr>
      <w:rFonts w:ascii="Tahoma" w:hAnsi="Tahoma" w:cs="Tahoma"/>
      <w:sz w:val="16"/>
      <w:szCs w:val="16"/>
      <w:lang w:eastAsia="en-US"/>
    </w:rPr>
  </w:style>
  <w:style w:type="character" w:customStyle="1" w:styleId="Ttulo6Char">
    <w:name w:val="Título 6 Char"/>
    <w:basedOn w:val="Fontepargpadro"/>
    <w:semiHidden/>
    <w:rPr>
      <w:rFonts w:ascii="Calibri" w:eastAsia="Times New Roman" w:hAnsi="Calibri" w:cs="Times New Roman"/>
      <w:b/>
      <w:bCs/>
      <w:sz w:val="22"/>
      <w:szCs w:val="22"/>
      <w:lang w:eastAsia="en-US"/>
    </w:rPr>
  </w:style>
  <w:style w:type="paragraph" w:styleId="Corpodetexto">
    <w:name w:val="Body Text"/>
    <w:basedOn w:val="Normal"/>
    <w:unhideWhenUsed/>
  </w:style>
  <w:style w:type="character" w:customStyle="1" w:styleId="CorpodetextoChar">
    <w:name w:val="Corpo de texto Char"/>
    <w:basedOn w:val="Fontepargpadro"/>
    <w:rPr>
      <w:sz w:val="24"/>
      <w:szCs w:val="24"/>
      <w:lang w:eastAsia="en-US"/>
    </w:rPr>
  </w:style>
  <w:style w:type="paragraph" w:styleId="Corpodetexto2">
    <w:name w:val="Body Text 2"/>
    <w:basedOn w:val="Normal"/>
    <w:semiHidden/>
    <w:unhideWhenUsed/>
    <w:pPr>
      <w:spacing w:line="480" w:lineRule="auto"/>
    </w:pPr>
  </w:style>
  <w:style w:type="character" w:customStyle="1" w:styleId="Corpodetexto2Char">
    <w:name w:val="Corpo de texto 2 Char"/>
    <w:basedOn w:val="Fontepargpadro"/>
    <w:semiHidden/>
    <w:rPr>
      <w:sz w:val="24"/>
      <w:szCs w:val="24"/>
      <w:lang w:eastAsia="en-US"/>
    </w:rPr>
  </w:style>
  <w:style w:type="character" w:styleId="Hyperlink">
    <w:name w:val="Hyperlink"/>
    <w:basedOn w:val="Fontepargpadro"/>
    <w:semiHidden/>
    <w:unhideWhenUsed/>
    <w:rPr>
      <w:strike w:val="0"/>
      <w:dstrike w:val="0"/>
      <w:color w:val="0000FF"/>
      <w:u w:val="none"/>
      <w:effect w:val="none"/>
    </w:rPr>
  </w:style>
  <w:style w:type="paragraph" w:styleId="NormalWeb">
    <w:name w:val="Normal (Web)"/>
    <w:basedOn w:val="Normal"/>
    <w:semiHidden/>
    <w:unhideWhenUsed/>
    <w:pPr>
      <w:spacing w:after="0" w:line="360" w:lineRule="auto"/>
      <w:ind w:left="0" w:firstLine="1200"/>
      <w:jc w:val="left"/>
    </w:pPr>
    <w:rPr>
      <w:rFonts w:eastAsia="Times New Roman"/>
      <w:lang w:eastAsia="pt-BR"/>
    </w:rPr>
  </w:style>
  <w:style w:type="character" w:styleId="Forte">
    <w:name w:val="Strong"/>
    <w:basedOn w:val="Fontepargpadro"/>
    <w:qFormat/>
    <w:rPr>
      <w:b/>
      <w:bCs/>
    </w:rPr>
  </w:style>
  <w:style w:type="character" w:customStyle="1" w:styleId="Ttulo8Char">
    <w:name w:val="Título 8 Char"/>
    <w:basedOn w:val="Fontepargpadro"/>
    <w:rPr>
      <w:rFonts w:ascii="Calibri" w:eastAsia="Times New Roman" w:hAnsi="Calibri" w:cs="Times New Roman"/>
      <w:i/>
      <w:iCs/>
      <w:sz w:val="24"/>
      <w:szCs w:val="24"/>
      <w:lang w:eastAsia="en-US"/>
    </w:rPr>
  </w:style>
  <w:style w:type="character" w:customStyle="1" w:styleId="Ttulo9Char">
    <w:name w:val="Título 9 Char"/>
    <w:basedOn w:val="Fontepargpadro"/>
    <w:semiHidden/>
    <w:rPr>
      <w:rFonts w:ascii="Cambria" w:eastAsia="Times New Roman" w:hAnsi="Cambria" w:cs="Times New Roman"/>
      <w:sz w:val="22"/>
      <w:szCs w:val="22"/>
      <w:lang w:eastAsia="en-US"/>
    </w:rPr>
  </w:style>
  <w:style w:type="paragraph" w:customStyle="1" w:styleId="indice">
    <w:name w:val="indice"/>
    <w:pPr>
      <w:autoSpaceDE w:val="0"/>
      <w:autoSpaceDN w:val="0"/>
      <w:adjustRightInd w:val="0"/>
      <w:spacing w:line="260" w:lineRule="atLeast"/>
      <w:jc w:val="both"/>
    </w:pPr>
    <w:rPr>
      <w:rFonts w:eastAsia="Times New Roman"/>
      <w:color w:val="000000"/>
      <w:sz w:val="22"/>
      <w:szCs w:val="22"/>
    </w:rPr>
  </w:style>
  <w:style w:type="paragraph" w:customStyle="1" w:styleId="tit1">
    <w:name w:val="tit1"/>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semiHidden/>
    <w:unhideWhenUsed/>
    <w:pPr>
      <w:spacing w:after="0"/>
    </w:pPr>
    <w:rPr>
      <w:rFonts w:ascii="Tahoma" w:hAnsi="Tahoma" w:cs="Tahoma"/>
      <w:sz w:val="16"/>
      <w:szCs w:val="16"/>
    </w:rPr>
  </w:style>
  <w:style w:type="character" w:customStyle="1" w:styleId="TextodebaloChar">
    <w:name w:val="Texto de balão Char"/>
    <w:basedOn w:val="Fontepargpadro"/>
    <w:semiHidden/>
    <w:rPr>
      <w:rFonts w:ascii="Tahoma" w:hAnsi="Tahoma" w:cs="Tahoma"/>
      <w:sz w:val="16"/>
      <w:szCs w:val="16"/>
      <w:lang w:eastAsia="en-US"/>
    </w:rPr>
  </w:style>
  <w:style w:type="paragraph" w:customStyle="1" w:styleId="TCU-RelVoto-demais">
    <w:name w:val="TCU - Rel/Voto - demais §§"/>
    <w:basedOn w:val="Normal"/>
    <w:qFormat/>
    <w:pPr>
      <w:tabs>
        <w:tab w:val="left" w:pos="1134"/>
      </w:tabs>
      <w:spacing w:after="160"/>
      <w:ind w:left="0"/>
    </w:pPr>
    <w:rPr>
      <w:rFonts w:eastAsia="Times New Roman"/>
      <w:szCs w:val="22"/>
    </w:rPr>
  </w:style>
  <w:style w:type="paragraph" w:customStyle="1" w:styleId="votonumerado">
    <w:name w:val="voto numerado"/>
    <w:basedOn w:val="Normal"/>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pPr>
      <w:widowControl w:val="0"/>
      <w:suppressAutoHyphens/>
      <w:spacing w:after="0"/>
      <w:ind w:left="0"/>
      <w:jc w:val="left"/>
    </w:pPr>
    <w:rPr>
      <w:rFonts w:eastAsia="Times New Roman"/>
      <w:szCs w:val="20"/>
      <w:lang w:eastAsia="pt-BR"/>
    </w:rPr>
  </w:style>
  <w:style w:type="paragraph" w:customStyle="1" w:styleId="Citao">
    <w:name w:val="#Citação"/>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pPr>
      <w:autoSpaceDE w:val="0"/>
      <w:autoSpaceDN w:val="0"/>
      <w:adjustRightInd w:val="0"/>
    </w:pPr>
    <w:rPr>
      <w:color w:val="000000"/>
      <w:sz w:val="24"/>
      <w:szCs w:val="24"/>
    </w:rPr>
  </w:style>
  <w:style w:type="paragraph" w:customStyle="1" w:styleId="B">
    <w:name w:val="B"/>
    <w:basedOn w:val="Normal"/>
    <w:pPr>
      <w:spacing w:after="0"/>
      <w:ind w:left="0" w:firstLine="1418"/>
    </w:pPr>
    <w:rPr>
      <w:rFonts w:eastAsia="Times New Roman"/>
      <w:szCs w:val="20"/>
      <w:lang w:eastAsia="pt-BR"/>
    </w:rPr>
  </w:style>
  <w:style w:type="paragraph" w:styleId="TextosemFormatao">
    <w:name w:val="Plain Text"/>
    <w:basedOn w:val="Normal"/>
    <w:semiHidden/>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semiHidden/>
    <w:rPr>
      <w:rFonts w:ascii="Courier New" w:eastAsia="Times New Roman" w:hAnsi="Courier New"/>
    </w:rPr>
  </w:style>
  <w:style w:type="paragraph" w:customStyle="1" w:styleId="TCU-RelVoto-1">
    <w:name w:val="TCU - Rel/Voto - 1º §"/>
    <w:basedOn w:val="Normal"/>
    <w:qFormat/>
    <w:pPr>
      <w:spacing w:after="160"/>
      <w:ind w:left="0" w:firstLine="1134"/>
    </w:pPr>
    <w:rPr>
      <w:rFonts w:eastAsia="Times New Roman"/>
      <w:szCs w:val="22"/>
    </w:rPr>
  </w:style>
  <w:style w:type="paragraph" w:customStyle="1" w:styleId="TCU-Transcrio">
    <w:name w:val="TCU - Transcrição"/>
    <w:basedOn w:val="Normal"/>
    <w:qFormat/>
    <w:pPr>
      <w:ind w:left="284" w:firstLine="567"/>
    </w:pPr>
    <w:rPr>
      <w:rFonts w:eastAsia="Times New Roman"/>
      <w:i/>
      <w:szCs w:val="22"/>
    </w:rPr>
  </w:style>
  <w:style w:type="paragraph" w:customStyle="1" w:styleId="Indentado">
    <w:name w:val="Indentado"/>
    <w:basedOn w:val="Normal"/>
    <w:qFormat/>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pPr>
      <w:spacing w:after="0"/>
      <w:ind w:left="2835"/>
    </w:pPr>
    <w:rPr>
      <w:rFonts w:eastAsia="Times New Roman"/>
      <w:szCs w:val="20"/>
      <w:lang w:eastAsia="pt-BR"/>
    </w:rPr>
  </w:style>
  <w:style w:type="paragraph" w:customStyle="1" w:styleId="TCU-Ac-item9-">
    <w:name w:val="TCU - Ac - item 9 - §§"/>
    <w:basedOn w:val="TCU-RelVoto-1"/>
    <w:qFormat/>
    <w:pPr>
      <w:spacing w:after="0"/>
    </w:pPr>
  </w:style>
  <w:style w:type="paragraph" w:styleId="Textodenotaderodap">
    <w:name w:val="footnote text"/>
    <w:basedOn w:val="Normal"/>
    <w:semiHidden/>
    <w:unhideWhenUsed/>
    <w:pPr>
      <w:spacing w:after="0"/>
      <w:ind w:left="0"/>
      <w:jc w:val="left"/>
    </w:pPr>
    <w:rPr>
      <w:rFonts w:eastAsia="Times New Roman"/>
      <w:sz w:val="20"/>
      <w:szCs w:val="20"/>
      <w:lang w:eastAsia="pt-BR"/>
    </w:rPr>
  </w:style>
  <w:style w:type="character" w:customStyle="1" w:styleId="TextodenotaderodapChar">
    <w:name w:val="Texto de nota de rodapé Char"/>
    <w:basedOn w:val="Fontepargpadro"/>
    <w:rPr>
      <w:rFonts w:eastAsia="Times New Roman"/>
    </w:rPr>
  </w:style>
  <w:style w:type="paragraph" w:customStyle="1" w:styleId="CorpodaInstruo">
    <w:name w:val="Corpo da Instrução"/>
    <w:basedOn w:val="Normal"/>
    <w:rsid w:val="00D06EB4"/>
    <w:pPr>
      <w:numPr>
        <w:numId w:val="20"/>
      </w:numPr>
      <w:tabs>
        <w:tab w:val="num" w:pos="1418"/>
      </w:tabs>
      <w:spacing w:after="240"/>
      <w:ind w:left="0"/>
    </w:pPr>
    <w:rPr>
      <w:rFonts w:eastAsia="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7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A291-959C-4313-9FAF-626C0EC7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2342</Words>
  <Characters>12651</Characters>
  <Application>Microsoft Office Word</Application>
  <DocSecurity>4</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14964</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2010-08-17T20:45:00Z</cp:lastPrinted>
  <dcterms:created xsi:type="dcterms:W3CDTF">2015-05-07T12:32:00Z</dcterms:created>
  <dcterms:modified xsi:type="dcterms:W3CDTF">2015-05-07T12:32:00Z</dcterms:modified>
</cp:coreProperties>
</file>