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F61863">
        <w:rPr>
          <w:rFonts w:ascii="Times New Roman" w:hAnsi="Times New Roman"/>
          <w:b/>
          <w:i w:val="0"/>
          <w:sz w:val="22"/>
          <w:szCs w:val="22"/>
        </w:rPr>
        <w:t>3</w:t>
      </w:r>
      <w:r w:rsidR="00F01B31" w:rsidRPr="00337E16">
        <w:rPr>
          <w:rFonts w:ascii="Times New Roman" w:hAnsi="Times New Roman"/>
          <w:b/>
          <w:i w:val="0"/>
          <w:sz w:val="22"/>
          <w:szCs w:val="22"/>
        </w:rPr>
        <w:t xml:space="preserve"> e </w:t>
      </w:r>
      <w:r w:rsidR="00F61863">
        <w:rPr>
          <w:rFonts w:ascii="Times New Roman" w:hAnsi="Times New Roman"/>
          <w:b/>
          <w:i w:val="0"/>
          <w:sz w:val="22"/>
          <w:szCs w:val="22"/>
        </w:rPr>
        <w:t>4</w:t>
      </w:r>
      <w:r w:rsidRPr="00337E16">
        <w:rPr>
          <w:rFonts w:ascii="Times New Roman" w:hAnsi="Times New Roman"/>
          <w:b/>
          <w:i w:val="0"/>
          <w:sz w:val="22"/>
          <w:szCs w:val="22"/>
        </w:rPr>
        <w:t xml:space="preserve"> de </w:t>
      </w:r>
      <w:r w:rsidR="00F61863">
        <w:rPr>
          <w:rFonts w:ascii="Times New Roman" w:hAnsi="Times New Roman"/>
          <w:b/>
          <w:i w:val="0"/>
          <w:sz w:val="22"/>
          <w:szCs w:val="22"/>
        </w:rPr>
        <w:t>agosto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Plenário</w:t>
      </w:r>
    </w:p>
    <w:p w:rsidR="0020066F" w:rsidRDefault="0020066F" w:rsidP="0058427E">
      <w:pPr>
        <w:pStyle w:val="enter-3pt"/>
        <w:spacing w:before="60" w:line="240" w:lineRule="auto"/>
        <w:rPr>
          <w:sz w:val="22"/>
          <w:szCs w:val="22"/>
        </w:rPr>
      </w:pPr>
      <w:r>
        <w:rPr>
          <w:sz w:val="22"/>
          <w:szCs w:val="22"/>
        </w:rPr>
        <w:t>Pregão</w:t>
      </w:r>
      <w:r w:rsidR="00566545">
        <w:rPr>
          <w:sz w:val="22"/>
          <w:szCs w:val="22"/>
        </w:rPr>
        <w:t xml:space="preserve"> para serviços de vigilância armada:</w:t>
      </w:r>
    </w:p>
    <w:p w:rsidR="00EB7CB1" w:rsidRPr="00337E16" w:rsidRDefault="00EB7CB1" w:rsidP="0058427E">
      <w:pPr>
        <w:pStyle w:val="indice"/>
        <w:tabs>
          <w:tab w:val="left" w:pos="567"/>
        </w:tabs>
        <w:spacing w:before="60" w:line="240" w:lineRule="auto"/>
      </w:pPr>
      <w:r w:rsidRPr="00337E16">
        <w:tab/>
        <w:t xml:space="preserve">1 </w:t>
      </w:r>
      <w:r w:rsidR="00E247E2">
        <w:t>-</w:t>
      </w:r>
      <w:r w:rsidRPr="00337E16">
        <w:t xml:space="preserve"> </w:t>
      </w:r>
      <w:r w:rsidR="00566545">
        <w:t>Admissão</w:t>
      </w:r>
      <w:r w:rsidR="00E247E2">
        <w:t xml:space="preserve"> </w:t>
      </w:r>
      <w:r w:rsidR="00566545">
        <w:t xml:space="preserve">do preço estimado pela administração como o máximo que ela </w:t>
      </w:r>
      <w:r w:rsidR="00DC0FCC">
        <w:t>se dispõe</w:t>
      </w:r>
      <w:r w:rsidR="00566545">
        <w:t xml:space="preserve"> a pagar</w:t>
      </w:r>
      <w:r w:rsidRPr="00337E16">
        <w:t>;</w:t>
      </w:r>
    </w:p>
    <w:p w:rsidR="00DA6858" w:rsidRDefault="00DA6858" w:rsidP="0058427E">
      <w:pPr>
        <w:pStyle w:val="indice"/>
        <w:tabs>
          <w:tab w:val="left" w:pos="567"/>
        </w:tabs>
        <w:spacing w:before="60" w:line="240" w:lineRule="auto"/>
      </w:pPr>
      <w:r>
        <w:tab/>
      </w:r>
      <w:r w:rsidR="00176375">
        <w:t>2</w:t>
      </w:r>
      <w:r>
        <w:t xml:space="preserve"> </w:t>
      </w:r>
      <w:r w:rsidR="00E247E2">
        <w:t>-</w:t>
      </w:r>
      <w:r>
        <w:t xml:space="preserve"> </w:t>
      </w:r>
      <w:r w:rsidR="00DC0FCC">
        <w:t>Necessidade</w:t>
      </w:r>
      <w:r w:rsidR="00E247E2">
        <w:t xml:space="preserve"> </w:t>
      </w:r>
      <w:r w:rsidR="00DC0FCC">
        <w:t>de o valor orçado</w:t>
      </w:r>
      <w:r w:rsidR="00566545">
        <w:t xml:space="preserve"> consta</w:t>
      </w:r>
      <w:r w:rsidR="00DC0FCC">
        <w:t>r</w:t>
      </w:r>
      <w:r w:rsidR="00566545">
        <w:t xml:space="preserve"> dos autos do processo licitatório e não do edital</w:t>
      </w:r>
      <w:r>
        <w:t>.</w:t>
      </w:r>
    </w:p>
    <w:p w:rsidR="00566545" w:rsidRDefault="005044EF" w:rsidP="0058427E">
      <w:pPr>
        <w:pStyle w:val="indice"/>
        <w:tabs>
          <w:tab w:val="left" w:pos="567"/>
        </w:tabs>
        <w:spacing w:before="60" w:line="240" w:lineRule="auto"/>
      </w:pPr>
      <w:r>
        <w:t>A vedação à imposição de restrições ao caráter competitivo nos atos de convocação não é absoluta.</w:t>
      </w:r>
    </w:p>
    <w:p w:rsidR="00D8134D" w:rsidRPr="00337E16" w:rsidRDefault="00C32633" w:rsidP="00D8134D">
      <w:pPr>
        <w:pStyle w:val="indice"/>
        <w:tabs>
          <w:tab w:val="left" w:pos="567"/>
        </w:tabs>
        <w:spacing w:before="60" w:line="240" w:lineRule="auto"/>
      </w:pPr>
      <w:r>
        <w:t>P</w:t>
      </w:r>
      <w:r w:rsidR="00D8134D">
        <w:t xml:space="preserve">ossibilidade de a vedação </w:t>
      </w:r>
      <w:r w:rsidR="004D3CA7">
        <w:t xml:space="preserve">constante </w:t>
      </w:r>
      <w:r w:rsidR="00D8134D">
        <w:t>do art. 9º, III, da Lei n.º 8.666/93 ser estendida, por aplicação analógica, ao dirigente que autoriza e homologa licitação</w:t>
      </w:r>
      <w:r w:rsidR="00B957DB">
        <w:t xml:space="preserve"> vencida pelo seu enteado</w:t>
      </w:r>
      <w:r>
        <w:t>.</w:t>
      </w:r>
    </w:p>
    <w:p w:rsidR="00566545" w:rsidRDefault="00572098" w:rsidP="0058427E">
      <w:pPr>
        <w:pStyle w:val="indice"/>
        <w:tabs>
          <w:tab w:val="left" w:pos="567"/>
        </w:tabs>
        <w:spacing w:before="60" w:line="240" w:lineRule="auto"/>
      </w:pPr>
      <w:r>
        <w:t>Exigência de licença operacional ambiental para fim de habilitação.</w:t>
      </w:r>
    </w:p>
    <w:p w:rsidR="00572098" w:rsidRDefault="00F70C87" w:rsidP="0058427E">
      <w:pPr>
        <w:pStyle w:val="indice"/>
        <w:tabs>
          <w:tab w:val="left" w:pos="567"/>
        </w:tabs>
        <w:spacing w:before="60" w:line="240" w:lineRule="auto"/>
      </w:pPr>
      <w:r>
        <w:t>Contratação, mediante pregão, de serviços de elaboração de estudo de caracterização e análise socioambiental de linhas de transmissão.</w:t>
      </w:r>
    </w:p>
    <w:p w:rsidR="008A2417" w:rsidRPr="00337E16" w:rsidRDefault="00BC5737" w:rsidP="0058427E">
      <w:pPr>
        <w:pStyle w:val="tita"/>
        <w:spacing w:before="60" w:after="0" w:line="240" w:lineRule="auto"/>
        <w:jc w:val="both"/>
        <w:rPr>
          <w:i w:val="0"/>
          <w:iCs w:val="0"/>
          <w:sz w:val="22"/>
          <w:szCs w:val="22"/>
        </w:rPr>
      </w:pPr>
      <w:r>
        <w:rPr>
          <w:i w:val="0"/>
          <w:iCs w:val="0"/>
          <w:sz w:val="22"/>
          <w:szCs w:val="22"/>
        </w:rPr>
        <w:t>Primeira</w:t>
      </w:r>
      <w:r w:rsidR="008A2417" w:rsidRPr="00337E16">
        <w:rPr>
          <w:i w:val="0"/>
          <w:iCs w:val="0"/>
          <w:sz w:val="22"/>
          <w:szCs w:val="22"/>
        </w:rPr>
        <w:t xml:space="preserve"> Câmara</w:t>
      </w:r>
    </w:p>
    <w:p w:rsidR="008A2417" w:rsidRDefault="001A47C5" w:rsidP="0058427E">
      <w:pPr>
        <w:pStyle w:val="enter-3pt"/>
        <w:spacing w:before="60" w:line="240" w:lineRule="auto"/>
        <w:rPr>
          <w:sz w:val="22"/>
          <w:szCs w:val="22"/>
        </w:rPr>
      </w:pPr>
      <w:r>
        <w:rPr>
          <w:sz w:val="22"/>
          <w:szCs w:val="22"/>
        </w:rPr>
        <w:t>Responsabilidade do pregoeiro pela realização de pesquisa de preços</w:t>
      </w:r>
      <w:r w:rsidR="00114511">
        <w:rPr>
          <w:sz w:val="22"/>
          <w:szCs w:val="22"/>
        </w:rPr>
        <w:t>.</w:t>
      </w:r>
    </w:p>
    <w:p w:rsidR="00BC5737" w:rsidRPr="00337E16" w:rsidRDefault="00BC5737" w:rsidP="00BC5737">
      <w:pPr>
        <w:pStyle w:val="tita"/>
        <w:spacing w:before="60" w:after="0" w:line="240" w:lineRule="auto"/>
        <w:jc w:val="both"/>
        <w:rPr>
          <w:i w:val="0"/>
          <w:iCs w:val="0"/>
          <w:sz w:val="22"/>
          <w:szCs w:val="22"/>
        </w:rPr>
      </w:pPr>
      <w:r>
        <w:rPr>
          <w:i w:val="0"/>
          <w:iCs w:val="0"/>
          <w:sz w:val="22"/>
          <w:szCs w:val="22"/>
        </w:rPr>
        <w:t>Segunda</w:t>
      </w:r>
      <w:r w:rsidRPr="00337E16">
        <w:rPr>
          <w:i w:val="0"/>
          <w:iCs w:val="0"/>
          <w:sz w:val="22"/>
          <w:szCs w:val="22"/>
        </w:rPr>
        <w:t xml:space="preserve"> Câmara</w:t>
      </w:r>
    </w:p>
    <w:p w:rsidR="00BC5737" w:rsidRPr="00337E16" w:rsidRDefault="00BC5737" w:rsidP="00BC5737">
      <w:pPr>
        <w:pStyle w:val="enter-3pt"/>
        <w:spacing w:before="60" w:line="240" w:lineRule="auto"/>
        <w:rPr>
          <w:sz w:val="22"/>
          <w:szCs w:val="22"/>
        </w:rPr>
      </w:pPr>
      <w:r>
        <w:rPr>
          <w:sz w:val="22"/>
          <w:szCs w:val="22"/>
        </w:rPr>
        <w:t xml:space="preserve">Contratação de </w:t>
      </w:r>
      <w:r w:rsidR="00231A6D">
        <w:rPr>
          <w:sz w:val="22"/>
          <w:szCs w:val="22"/>
        </w:rPr>
        <w:t xml:space="preserve">fundação de apoio </w:t>
      </w:r>
      <w:r w:rsidR="003D5BFD">
        <w:rPr>
          <w:sz w:val="22"/>
          <w:szCs w:val="22"/>
        </w:rPr>
        <w:t>mediante</w:t>
      </w:r>
      <w:r w:rsidR="00231A6D">
        <w:rPr>
          <w:sz w:val="22"/>
          <w:szCs w:val="22"/>
        </w:rPr>
        <w:t xml:space="preserve"> dispensa de licitação</w:t>
      </w:r>
      <w:r>
        <w:rPr>
          <w:sz w:val="22"/>
          <w:szCs w:val="22"/>
        </w:rPr>
        <w:t>.</w:t>
      </w:r>
    </w:p>
    <w:p w:rsidR="003C6DEB" w:rsidRPr="00337E16" w:rsidRDefault="003C6DEB" w:rsidP="00337E16">
      <w:pPr>
        <w:pStyle w:val="indice"/>
        <w:spacing w:line="240" w:lineRule="auto"/>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Default="003C6DEB" w:rsidP="00337E16">
      <w:pPr>
        <w:pStyle w:val="tita"/>
        <w:spacing w:before="0" w:after="0" w:line="240" w:lineRule="auto"/>
        <w:jc w:val="both"/>
        <w:rPr>
          <w:i w:val="0"/>
          <w:iCs w:val="0"/>
          <w:sz w:val="22"/>
          <w:szCs w:val="22"/>
        </w:rPr>
      </w:pPr>
    </w:p>
    <w:p w:rsidR="00566545" w:rsidRPr="00DC0FCC" w:rsidRDefault="00566545" w:rsidP="00566545">
      <w:pPr>
        <w:pStyle w:val="indice"/>
        <w:tabs>
          <w:tab w:val="left" w:pos="567"/>
        </w:tabs>
        <w:spacing w:line="240" w:lineRule="auto"/>
        <w:rPr>
          <w:b/>
        </w:rPr>
      </w:pPr>
      <w:r w:rsidRPr="00DC0FCC">
        <w:rPr>
          <w:b/>
        </w:rPr>
        <w:t xml:space="preserve">Pregão para serviços de vigilância armada: 1 - </w:t>
      </w:r>
      <w:r w:rsidR="00DC0FCC" w:rsidRPr="00DC0FCC">
        <w:rPr>
          <w:b/>
        </w:rPr>
        <w:t>Admissão do preço estimado pela administração como o máximo que ela se dispõe a pagar</w:t>
      </w:r>
    </w:p>
    <w:p w:rsidR="00566545" w:rsidRPr="00337E16" w:rsidRDefault="00187850" w:rsidP="00566545">
      <w:pPr>
        <w:pStyle w:val="Pargrafo"/>
        <w:jc w:val="both"/>
        <w:rPr>
          <w:sz w:val="22"/>
          <w:szCs w:val="22"/>
        </w:rPr>
      </w:pPr>
      <w:r>
        <w:rPr>
          <w:sz w:val="22"/>
          <w:szCs w:val="22"/>
        </w:rPr>
        <w:t>R</w:t>
      </w:r>
      <w:r w:rsidR="00566545" w:rsidRPr="00566545">
        <w:rPr>
          <w:sz w:val="22"/>
          <w:szCs w:val="22"/>
        </w:rPr>
        <w:t xml:space="preserve">epresentação </w:t>
      </w:r>
      <w:r>
        <w:rPr>
          <w:sz w:val="22"/>
          <w:szCs w:val="22"/>
        </w:rPr>
        <w:t>formulada ao TCU apontou</w:t>
      </w:r>
      <w:r w:rsidR="00566545" w:rsidRPr="00566545">
        <w:rPr>
          <w:sz w:val="22"/>
          <w:szCs w:val="22"/>
        </w:rPr>
        <w:t xml:space="preserve"> possíveis irregularidades praticadas pelo Banco do Brasil no </w:t>
      </w:r>
      <w:r>
        <w:rPr>
          <w:sz w:val="22"/>
          <w:szCs w:val="22"/>
        </w:rPr>
        <w:t>âmbito do P</w:t>
      </w:r>
      <w:r w:rsidR="00566545" w:rsidRPr="00566545">
        <w:rPr>
          <w:sz w:val="22"/>
          <w:szCs w:val="22"/>
        </w:rPr>
        <w:t xml:space="preserve">regão </w:t>
      </w:r>
      <w:r>
        <w:rPr>
          <w:sz w:val="22"/>
          <w:szCs w:val="22"/>
        </w:rPr>
        <w:t>E</w:t>
      </w:r>
      <w:r w:rsidR="00566545" w:rsidRPr="00566545">
        <w:rPr>
          <w:sz w:val="22"/>
          <w:szCs w:val="22"/>
        </w:rPr>
        <w:t>letrônico n</w:t>
      </w:r>
      <w:r>
        <w:rPr>
          <w:sz w:val="22"/>
          <w:szCs w:val="22"/>
        </w:rPr>
        <w:t>.</w:t>
      </w:r>
      <w:r w:rsidR="00566545" w:rsidRPr="00566545">
        <w:rPr>
          <w:sz w:val="22"/>
          <w:szCs w:val="22"/>
        </w:rPr>
        <w:t xml:space="preserve">º 2009/28685, </w:t>
      </w:r>
      <w:r>
        <w:rPr>
          <w:sz w:val="22"/>
          <w:szCs w:val="22"/>
        </w:rPr>
        <w:t>destinado à</w:t>
      </w:r>
      <w:r w:rsidR="00566545" w:rsidRPr="00566545">
        <w:rPr>
          <w:sz w:val="22"/>
          <w:szCs w:val="22"/>
        </w:rPr>
        <w:t xml:space="preserve"> contratação de serviços de vigilância armada, compreendendo postos com cobertura ininterrupta.</w:t>
      </w:r>
      <w:r>
        <w:rPr>
          <w:sz w:val="22"/>
          <w:szCs w:val="22"/>
        </w:rPr>
        <w:t xml:space="preserve"> Entre as </w:t>
      </w:r>
      <w:r w:rsidR="00566545" w:rsidRPr="00566545">
        <w:rPr>
          <w:sz w:val="22"/>
          <w:szCs w:val="22"/>
        </w:rPr>
        <w:t xml:space="preserve">questões </w:t>
      </w:r>
      <w:r w:rsidR="00283C3B">
        <w:rPr>
          <w:sz w:val="22"/>
          <w:szCs w:val="22"/>
        </w:rPr>
        <w:t>suscitadas</w:t>
      </w:r>
      <w:r w:rsidR="00566545" w:rsidRPr="00566545">
        <w:rPr>
          <w:sz w:val="22"/>
          <w:szCs w:val="22"/>
        </w:rPr>
        <w:t xml:space="preserve"> pela representante</w:t>
      </w:r>
      <w:r>
        <w:rPr>
          <w:sz w:val="22"/>
          <w:szCs w:val="22"/>
        </w:rPr>
        <w:t>,</w:t>
      </w:r>
      <w:r w:rsidR="00566545" w:rsidRPr="00566545">
        <w:rPr>
          <w:sz w:val="22"/>
          <w:szCs w:val="22"/>
        </w:rPr>
        <w:t xml:space="preserve"> </w:t>
      </w:r>
      <w:r>
        <w:rPr>
          <w:sz w:val="22"/>
          <w:szCs w:val="22"/>
        </w:rPr>
        <w:t>destaca</w:t>
      </w:r>
      <w:r w:rsidR="009E2C10">
        <w:rPr>
          <w:sz w:val="22"/>
          <w:szCs w:val="22"/>
        </w:rPr>
        <w:t>va</w:t>
      </w:r>
      <w:r>
        <w:rPr>
          <w:sz w:val="22"/>
          <w:szCs w:val="22"/>
        </w:rPr>
        <w:t>-se a</w:t>
      </w:r>
      <w:r w:rsidR="00DC0FCC">
        <w:rPr>
          <w:sz w:val="22"/>
          <w:szCs w:val="22"/>
        </w:rPr>
        <w:t xml:space="preserve"> suposta</w:t>
      </w:r>
      <w:r>
        <w:rPr>
          <w:sz w:val="22"/>
          <w:szCs w:val="22"/>
        </w:rPr>
        <w:t xml:space="preserve"> “</w:t>
      </w:r>
      <w:r w:rsidR="00566545" w:rsidRPr="00187850">
        <w:rPr>
          <w:i/>
          <w:sz w:val="22"/>
          <w:szCs w:val="22"/>
        </w:rPr>
        <w:t>confusão entre os conceitos de valor de referência e valor máximo</w:t>
      </w:r>
      <w:r>
        <w:rPr>
          <w:i/>
          <w:sz w:val="22"/>
          <w:szCs w:val="22"/>
        </w:rPr>
        <w:t>”</w:t>
      </w:r>
      <w:r>
        <w:rPr>
          <w:sz w:val="22"/>
          <w:szCs w:val="22"/>
        </w:rPr>
        <w:t xml:space="preserve">, isso porque </w:t>
      </w:r>
      <w:r w:rsidRPr="00187850">
        <w:rPr>
          <w:i/>
          <w:sz w:val="22"/>
          <w:szCs w:val="22"/>
        </w:rPr>
        <w:t>“</w:t>
      </w:r>
      <w:r w:rsidR="00566545" w:rsidRPr="00187850">
        <w:rPr>
          <w:i/>
          <w:sz w:val="22"/>
          <w:szCs w:val="22"/>
        </w:rPr>
        <w:t xml:space="preserve">o edital não teria estabelecido nenhum limite máximo de preço, não cabendo, portanto, a desclassificação de proposta por apresentar preços acima de uma </w:t>
      </w:r>
      <w:r w:rsidRPr="00187850">
        <w:rPr>
          <w:i/>
          <w:sz w:val="22"/>
          <w:szCs w:val="22"/>
        </w:rPr>
        <w:t>‘</w:t>
      </w:r>
      <w:r w:rsidR="00566545" w:rsidRPr="00187850">
        <w:rPr>
          <w:i/>
          <w:sz w:val="22"/>
          <w:szCs w:val="22"/>
        </w:rPr>
        <w:t>estimativa</w:t>
      </w:r>
      <w:r w:rsidRPr="00187850">
        <w:rPr>
          <w:i/>
          <w:sz w:val="22"/>
          <w:szCs w:val="22"/>
        </w:rPr>
        <w:t>’</w:t>
      </w:r>
      <w:r w:rsidR="00566545" w:rsidRPr="00187850">
        <w:rPr>
          <w:i/>
          <w:sz w:val="22"/>
          <w:szCs w:val="22"/>
        </w:rPr>
        <w:t xml:space="preserve"> </w:t>
      </w:r>
      <w:r w:rsidR="009E2C10">
        <w:rPr>
          <w:i/>
          <w:sz w:val="22"/>
          <w:szCs w:val="22"/>
        </w:rPr>
        <w:t>[</w:t>
      </w:r>
      <w:r w:rsidR="00DC0FCC">
        <w:rPr>
          <w:i/>
          <w:sz w:val="22"/>
          <w:szCs w:val="22"/>
        </w:rPr>
        <w:t>...</w:t>
      </w:r>
      <w:r w:rsidR="009E2C10">
        <w:rPr>
          <w:i/>
          <w:sz w:val="22"/>
          <w:szCs w:val="22"/>
        </w:rPr>
        <w:t>]</w:t>
      </w:r>
      <w:r w:rsidRPr="00187850">
        <w:rPr>
          <w:i/>
          <w:sz w:val="22"/>
          <w:szCs w:val="22"/>
        </w:rPr>
        <w:t>”</w:t>
      </w:r>
      <w:r>
        <w:rPr>
          <w:sz w:val="22"/>
          <w:szCs w:val="22"/>
        </w:rPr>
        <w:t>.</w:t>
      </w:r>
      <w:r w:rsidR="006F5915">
        <w:rPr>
          <w:sz w:val="22"/>
          <w:szCs w:val="22"/>
        </w:rPr>
        <w:t xml:space="preserve"> </w:t>
      </w:r>
      <w:r w:rsidR="00283C3B">
        <w:rPr>
          <w:sz w:val="22"/>
          <w:szCs w:val="22"/>
        </w:rPr>
        <w:t>Segundo</w:t>
      </w:r>
      <w:r w:rsidR="006F5915">
        <w:rPr>
          <w:sz w:val="22"/>
          <w:szCs w:val="22"/>
        </w:rPr>
        <w:t xml:space="preserve"> o relator, o Banco do Brasil, atento ao comando do art. 25 do </w:t>
      </w:r>
      <w:r w:rsidR="009E2C10" w:rsidRPr="00566545">
        <w:rPr>
          <w:sz w:val="22"/>
          <w:szCs w:val="22"/>
        </w:rPr>
        <w:t>Decreto n</w:t>
      </w:r>
      <w:r w:rsidR="009E2C10">
        <w:rPr>
          <w:sz w:val="22"/>
          <w:szCs w:val="22"/>
        </w:rPr>
        <w:t>.</w:t>
      </w:r>
      <w:r w:rsidR="009E2C10" w:rsidRPr="00566545">
        <w:rPr>
          <w:sz w:val="22"/>
          <w:szCs w:val="22"/>
        </w:rPr>
        <w:t xml:space="preserve">º 5.450/2005, </w:t>
      </w:r>
      <w:r w:rsidR="00566545" w:rsidRPr="00566545">
        <w:rPr>
          <w:sz w:val="22"/>
          <w:szCs w:val="22"/>
        </w:rPr>
        <w:t>fez constar do edital a seguinte regra:</w:t>
      </w:r>
      <w:r w:rsidR="006F5915">
        <w:rPr>
          <w:sz w:val="22"/>
          <w:szCs w:val="22"/>
        </w:rPr>
        <w:t xml:space="preserve"> </w:t>
      </w:r>
      <w:r w:rsidR="00566545" w:rsidRPr="00566545">
        <w:rPr>
          <w:i/>
          <w:sz w:val="22"/>
          <w:szCs w:val="22"/>
        </w:rPr>
        <w:t xml:space="preserve">“8.3.3. Encerrada a etapa de lances, o pregoeiro examinará a proposta classificada em primeiro lugar quanto à compatibilidade de preço em relação ao </w:t>
      </w:r>
      <w:r w:rsidR="00566545" w:rsidRPr="00566545">
        <w:rPr>
          <w:b/>
          <w:i/>
          <w:sz w:val="22"/>
          <w:szCs w:val="22"/>
        </w:rPr>
        <w:t>estimado</w:t>
      </w:r>
      <w:r w:rsidR="00566545" w:rsidRPr="00566545">
        <w:rPr>
          <w:i/>
          <w:sz w:val="22"/>
          <w:szCs w:val="22"/>
        </w:rPr>
        <w:t xml:space="preserve"> para a contratação</w:t>
      </w:r>
      <w:r w:rsidR="009E2C10">
        <w:rPr>
          <w:i/>
          <w:sz w:val="22"/>
          <w:szCs w:val="22"/>
        </w:rPr>
        <w:t xml:space="preserve"> [...]</w:t>
      </w:r>
      <w:r w:rsidR="00566545" w:rsidRPr="00566545">
        <w:rPr>
          <w:i/>
          <w:sz w:val="22"/>
          <w:szCs w:val="22"/>
        </w:rPr>
        <w:t>.”</w:t>
      </w:r>
      <w:r w:rsidR="009E2C10">
        <w:rPr>
          <w:sz w:val="22"/>
          <w:szCs w:val="22"/>
        </w:rPr>
        <w:t xml:space="preserve">. </w:t>
      </w:r>
      <w:r w:rsidR="00283C3B">
        <w:rPr>
          <w:sz w:val="22"/>
          <w:szCs w:val="22"/>
        </w:rPr>
        <w:t>Para</w:t>
      </w:r>
      <w:r w:rsidR="009727D9">
        <w:rPr>
          <w:sz w:val="22"/>
          <w:szCs w:val="22"/>
        </w:rPr>
        <w:t xml:space="preserve"> o relator</w:t>
      </w:r>
      <w:r w:rsidR="00566545" w:rsidRPr="00566545">
        <w:rPr>
          <w:sz w:val="22"/>
          <w:szCs w:val="22"/>
        </w:rPr>
        <w:t xml:space="preserve">, </w:t>
      </w:r>
      <w:r w:rsidR="00566545" w:rsidRPr="00283C3B">
        <w:rPr>
          <w:sz w:val="22"/>
          <w:szCs w:val="22"/>
        </w:rPr>
        <w:t xml:space="preserve">embora essa estimativa não represente, num primeiro momento, um valor máximo para efeito de desclassificação de propostas incompatíveis, </w:t>
      </w:r>
      <w:r w:rsidR="00283C3B">
        <w:rPr>
          <w:i/>
          <w:sz w:val="22"/>
          <w:szCs w:val="22"/>
        </w:rPr>
        <w:t>“</w:t>
      </w:r>
      <w:r w:rsidR="00566545" w:rsidRPr="009727D9">
        <w:rPr>
          <w:i/>
          <w:sz w:val="22"/>
          <w:szCs w:val="22"/>
        </w:rPr>
        <w:t>já que existe a possibilidade de contraproposta por parte da administração (diferentemente do estatuído</w:t>
      </w:r>
      <w:r w:rsidR="00283C3B">
        <w:rPr>
          <w:i/>
          <w:sz w:val="22"/>
          <w:szCs w:val="22"/>
        </w:rPr>
        <w:t>,</w:t>
      </w:r>
      <w:r w:rsidR="00566545" w:rsidRPr="009727D9">
        <w:rPr>
          <w:i/>
          <w:sz w:val="22"/>
          <w:szCs w:val="22"/>
        </w:rPr>
        <w:t xml:space="preserve"> para outras modalidades de licitação</w:t>
      </w:r>
      <w:r w:rsidR="00283C3B">
        <w:rPr>
          <w:i/>
          <w:sz w:val="22"/>
          <w:szCs w:val="22"/>
        </w:rPr>
        <w:t>,</w:t>
      </w:r>
      <w:r w:rsidR="00566545" w:rsidRPr="009727D9">
        <w:rPr>
          <w:i/>
          <w:sz w:val="22"/>
          <w:szCs w:val="22"/>
        </w:rPr>
        <w:t xml:space="preserve"> no art. 40, inciso X, c/c o art. 48, inciso II, da Lei nº 8.666/1993)</w:t>
      </w:r>
      <w:r w:rsidR="00283C3B">
        <w:rPr>
          <w:i/>
          <w:sz w:val="22"/>
          <w:szCs w:val="22"/>
        </w:rPr>
        <w:t>”</w:t>
      </w:r>
      <w:r w:rsidR="00566545" w:rsidRPr="009727D9">
        <w:rPr>
          <w:i/>
          <w:sz w:val="22"/>
          <w:szCs w:val="22"/>
        </w:rPr>
        <w:t xml:space="preserve">, </w:t>
      </w:r>
      <w:r w:rsidR="00566545" w:rsidRPr="00283C3B">
        <w:rPr>
          <w:sz w:val="22"/>
          <w:szCs w:val="22"/>
        </w:rPr>
        <w:t>num passo seguinte, ela pode levar a isso, na medida em que o normativo aplicável (Decreto n</w:t>
      </w:r>
      <w:r w:rsidR="00283C3B">
        <w:rPr>
          <w:sz w:val="22"/>
          <w:szCs w:val="22"/>
        </w:rPr>
        <w:t>.</w:t>
      </w:r>
      <w:r w:rsidR="00566545" w:rsidRPr="00283C3B">
        <w:rPr>
          <w:sz w:val="22"/>
          <w:szCs w:val="22"/>
        </w:rPr>
        <w:t>º 5.450/2005), reproduzindo o art. 4º, XVI, da Lei n</w:t>
      </w:r>
      <w:r w:rsidR="00283C3B">
        <w:rPr>
          <w:sz w:val="22"/>
          <w:szCs w:val="22"/>
        </w:rPr>
        <w:t>.</w:t>
      </w:r>
      <w:r w:rsidR="00566545" w:rsidRPr="00283C3B">
        <w:rPr>
          <w:sz w:val="22"/>
          <w:szCs w:val="22"/>
        </w:rPr>
        <w:t>º 10.520/2002,</w:t>
      </w:r>
      <w:r w:rsidR="00566545" w:rsidRPr="009727D9">
        <w:rPr>
          <w:i/>
          <w:sz w:val="22"/>
          <w:szCs w:val="22"/>
        </w:rPr>
        <w:t xml:space="preserve"> </w:t>
      </w:r>
      <w:r w:rsidR="00283C3B">
        <w:rPr>
          <w:i/>
          <w:sz w:val="22"/>
          <w:szCs w:val="22"/>
        </w:rPr>
        <w:t>“</w:t>
      </w:r>
      <w:r w:rsidR="00566545" w:rsidRPr="009727D9">
        <w:rPr>
          <w:i/>
          <w:sz w:val="22"/>
          <w:szCs w:val="22"/>
        </w:rPr>
        <w:t>para privilegiar o instrumento da negociação em busca do menor preço</w:t>
      </w:r>
      <w:r w:rsidR="009727D9" w:rsidRPr="009727D9">
        <w:rPr>
          <w:i/>
          <w:sz w:val="22"/>
          <w:szCs w:val="22"/>
        </w:rPr>
        <w:t>”</w:t>
      </w:r>
      <w:r w:rsidR="00566545" w:rsidRPr="00566545">
        <w:rPr>
          <w:sz w:val="22"/>
          <w:szCs w:val="22"/>
        </w:rPr>
        <w:t>, previu que:</w:t>
      </w:r>
      <w:r w:rsidR="009727D9">
        <w:rPr>
          <w:sz w:val="22"/>
          <w:szCs w:val="22"/>
        </w:rPr>
        <w:t xml:space="preserve"> </w:t>
      </w:r>
      <w:r w:rsidR="009727D9" w:rsidRPr="009727D9">
        <w:rPr>
          <w:i/>
          <w:sz w:val="22"/>
          <w:szCs w:val="22"/>
        </w:rPr>
        <w:t>“</w:t>
      </w:r>
      <w:r w:rsidR="00566545" w:rsidRPr="009727D9">
        <w:rPr>
          <w:i/>
          <w:sz w:val="22"/>
          <w:szCs w:val="22"/>
        </w:rPr>
        <w:t xml:space="preserve">Art. 25 </w:t>
      </w:r>
      <w:r w:rsidR="009E2C10">
        <w:rPr>
          <w:i/>
          <w:sz w:val="22"/>
          <w:szCs w:val="22"/>
        </w:rPr>
        <w:t>[</w:t>
      </w:r>
      <w:r w:rsidR="00566545" w:rsidRPr="009727D9">
        <w:rPr>
          <w:i/>
          <w:sz w:val="22"/>
          <w:szCs w:val="22"/>
        </w:rPr>
        <w:t>...</w:t>
      </w:r>
      <w:r w:rsidR="009E2C10">
        <w:rPr>
          <w:i/>
          <w:sz w:val="22"/>
          <w:szCs w:val="22"/>
        </w:rPr>
        <w:t>]</w:t>
      </w:r>
      <w:r w:rsidR="009727D9" w:rsidRPr="009727D9">
        <w:rPr>
          <w:i/>
          <w:sz w:val="22"/>
          <w:szCs w:val="22"/>
        </w:rPr>
        <w:t xml:space="preserve"> </w:t>
      </w:r>
      <w:r w:rsidR="00566545" w:rsidRPr="009727D9">
        <w:rPr>
          <w:i/>
          <w:sz w:val="22"/>
          <w:szCs w:val="22"/>
        </w:rPr>
        <w:t>§ 5º Se a proposta não for aceitável ou se o licitante não atender às exigências habilitatórias, o pregoeiro examinará a proposta subseq</w:t>
      </w:r>
      <w:r w:rsidR="008E2026">
        <w:rPr>
          <w:i/>
          <w:sz w:val="22"/>
          <w:szCs w:val="22"/>
        </w:rPr>
        <w:t>u</w:t>
      </w:r>
      <w:r w:rsidR="00566545" w:rsidRPr="009727D9">
        <w:rPr>
          <w:i/>
          <w:sz w:val="22"/>
          <w:szCs w:val="22"/>
        </w:rPr>
        <w:t>ente e, assim sucessivamente, na ordem de classificação, até a apuração de uma proposta que atenda ao edital.”</w:t>
      </w:r>
      <w:r w:rsidR="009727D9">
        <w:rPr>
          <w:sz w:val="22"/>
          <w:szCs w:val="22"/>
        </w:rPr>
        <w:t xml:space="preserve">. Portanto, </w:t>
      </w:r>
      <w:r w:rsidR="005560D1">
        <w:rPr>
          <w:sz w:val="22"/>
          <w:szCs w:val="22"/>
        </w:rPr>
        <w:t xml:space="preserve">seria razoável admitir que </w:t>
      </w:r>
      <w:r w:rsidR="00566545" w:rsidRPr="005560D1">
        <w:rPr>
          <w:sz w:val="22"/>
          <w:szCs w:val="22"/>
        </w:rPr>
        <w:t>o preço estimado pela administração,</w:t>
      </w:r>
      <w:r w:rsidR="00566545" w:rsidRPr="009727D9">
        <w:rPr>
          <w:i/>
          <w:sz w:val="22"/>
          <w:szCs w:val="22"/>
        </w:rPr>
        <w:t xml:space="preserve"> </w:t>
      </w:r>
      <w:r w:rsidR="005560D1">
        <w:rPr>
          <w:i/>
          <w:sz w:val="22"/>
          <w:szCs w:val="22"/>
        </w:rPr>
        <w:t>“</w:t>
      </w:r>
      <w:r w:rsidR="00566545" w:rsidRPr="009727D9">
        <w:rPr>
          <w:i/>
          <w:sz w:val="22"/>
          <w:szCs w:val="22"/>
        </w:rPr>
        <w:t>em princípio, seja aquele aceitável, para fins do disposto no § 5º antes transcrito, ou o máximo que ela esteja disposta a pagar na contratação pretendida, fazendo com que todos os esforços de negociação com os licitantes se desenvolvam em torno dessa importância</w:t>
      </w:r>
      <w:r w:rsidR="009727D9" w:rsidRPr="009727D9">
        <w:rPr>
          <w:i/>
          <w:sz w:val="22"/>
          <w:szCs w:val="22"/>
        </w:rPr>
        <w:t>”</w:t>
      </w:r>
      <w:r w:rsidR="00566545" w:rsidRPr="00566545">
        <w:rPr>
          <w:sz w:val="22"/>
          <w:szCs w:val="22"/>
        </w:rPr>
        <w:t xml:space="preserve">. </w:t>
      </w:r>
      <w:r w:rsidR="00CB571A">
        <w:rPr>
          <w:sz w:val="22"/>
          <w:szCs w:val="22"/>
        </w:rPr>
        <w:t xml:space="preserve">O relator também </w:t>
      </w:r>
      <w:r w:rsidR="00D50578">
        <w:rPr>
          <w:sz w:val="22"/>
          <w:szCs w:val="22"/>
        </w:rPr>
        <w:t xml:space="preserve">frisou que </w:t>
      </w:r>
      <w:r w:rsidR="00566545" w:rsidRPr="00566545">
        <w:rPr>
          <w:sz w:val="22"/>
          <w:szCs w:val="22"/>
        </w:rPr>
        <w:t xml:space="preserve">esse critério de aceitação não é absoluto, podendo ter a sua validade confirmada ou não na prática. Em geral, quando o menor preço ofertado é superior ao valor de referência, </w:t>
      </w:r>
      <w:r w:rsidR="00D50578" w:rsidRPr="00D50578">
        <w:rPr>
          <w:i/>
          <w:sz w:val="22"/>
          <w:szCs w:val="22"/>
        </w:rPr>
        <w:t>“</w:t>
      </w:r>
      <w:r w:rsidR="00566545" w:rsidRPr="00D50578">
        <w:rPr>
          <w:i/>
          <w:sz w:val="22"/>
          <w:szCs w:val="22"/>
        </w:rPr>
        <w:t>é porque houve um trabalho de pesquisa mal elaborado, podendo ainda ter ocorrido uma distribuição de mercados entre os licitantes, para eliminação da livre concorrência</w:t>
      </w:r>
      <w:r w:rsidR="00D50578" w:rsidRPr="00D50578">
        <w:rPr>
          <w:i/>
          <w:sz w:val="22"/>
          <w:szCs w:val="22"/>
        </w:rPr>
        <w:t>”</w:t>
      </w:r>
      <w:r w:rsidR="00566545" w:rsidRPr="00566545">
        <w:rPr>
          <w:sz w:val="22"/>
          <w:szCs w:val="22"/>
        </w:rPr>
        <w:t xml:space="preserve">, afora a possibilidade da existência de circunstâncias supervenientes à fixação do preço referencial. Nessa hipótese, </w:t>
      </w:r>
      <w:r w:rsidR="00D50578" w:rsidRPr="00D50578">
        <w:rPr>
          <w:i/>
          <w:sz w:val="22"/>
          <w:szCs w:val="22"/>
        </w:rPr>
        <w:t>“</w:t>
      </w:r>
      <w:r w:rsidR="00566545" w:rsidRPr="00D50578">
        <w:rPr>
          <w:i/>
          <w:sz w:val="22"/>
          <w:szCs w:val="22"/>
        </w:rPr>
        <w:t>é de se esperar que a situação seja discutida com a autoridade responsável pela abertura do certame</w:t>
      </w:r>
      <w:r w:rsidR="00D50578" w:rsidRPr="00D50578">
        <w:rPr>
          <w:i/>
          <w:sz w:val="22"/>
          <w:szCs w:val="22"/>
        </w:rPr>
        <w:t>”</w:t>
      </w:r>
      <w:r w:rsidR="00566545" w:rsidRPr="00566545">
        <w:rPr>
          <w:sz w:val="22"/>
          <w:szCs w:val="22"/>
        </w:rPr>
        <w:t>, que poderá, se for o caso, alterar o valor do preço estimado antes fixado.</w:t>
      </w:r>
      <w:r w:rsidR="00D50578">
        <w:rPr>
          <w:sz w:val="22"/>
          <w:szCs w:val="22"/>
        </w:rPr>
        <w:t xml:space="preserve"> No caso concreto, </w:t>
      </w:r>
      <w:r w:rsidR="00D50578" w:rsidRPr="00D50578">
        <w:rPr>
          <w:i/>
          <w:sz w:val="22"/>
          <w:szCs w:val="22"/>
        </w:rPr>
        <w:t>“</w:t>
      </w:r>
      <w:r w:rsidR="00566545" w:rsidRPr="00D50578">
        <w:rPr>
          <w:i/>
          <w:sz w:val="22"/>
          <w:szCs w:val="22"/>
        </w:rPr>
        <w:t xml:space="preserve">parece não haver dúvida quanto à correta elaboração dos orçamentos considerados pelo Banco do Brasil, pois, conforme relatado pela instrução, dos 6 lotes em que foi </w:t>
      </w:r>
      <w:r w:rsidR="00EE72D9">
        <w:rPr>
          <w:i/>
          <w:sz w:val="22"/>
          <w:szCs w:val="22"/>
        </w:rPr>
        <w:t>dividida a licitação, 5 deles [...]</w:t>
      </w:r>
      <w:r w:rsidR="00566545" w:rsidRPr="00D50578">
        <w:rPr>
          <w:i/>
          <w:sz w:val="22"/>
          <w:szCs w:val="22"/>
        </w:rPr>
        <w:t xml:space="preserve"> foram adjudicados a empresas que se dispuseram a contratar nas condições e preços estipulados pelo BB</w:t>
      </w:r>
      <w:r w:rsidR="00D50578" w:rsidRPr="00D50578">
        <w:rPr>
          <w:i/>
          <w:sz w:val="22"/>
          <w:szCs w:val="22"/>
        </w:rPr>
        <w:t>”</w:t>
      </w:r>
      <w:r w:rsidR="00566545" w:rsidRPr="00566545">
        <w:rPr>
          <w:sz w:val="22"/>
          <w:szCs w:val="22"/>
        </w:rPr>
        <w:t xml:space="preserve">. </w:t>
      </w:r>
      <w:r w:rsidR="003D606A" w:rsidRPr="003D606A">
        <w:rPr>
          <w:sz w:val="22"/>
          <w:szCs w:val="22"/>
        </w:rPr>
        <w:t xml:space="preserve">E quanto ao único lote em que isso não foi possível, resultando na situação de </w:t>
      </w:r>
      <w:r w:rsidR="00566D92">
        <w:rPr>
          <w:sz w:val="22"/>
          <w:szCs w:val="22"/>
        </w:rPr>
        <w:t>‘</w:t>
      </w:r>
      <w:r w:rsidR="003D606A" w:rsidRPr="003D606A">
        <w:rPr>
          <w:sz w:val="22"/>
          <w:szCs w:val="22"/>
        </w:rPr>
        <w:t>fracassado</w:t>
      </w:r>
      <w:r w:rsidR="00566D92">
        <w:rPr>
          <w:sz w:val="22"/>
          <w:szCs w:val="22"/>
        </w:rPr>
        <w:t>’</w:t>
      </w:r>
      <w:r w:rsidR="003D606A" w:rsidRPr="003D606A">
        <w:rPr>
          <w:sz w:val="22"/>
          <w:szCs w:val="22"/>
        </w:rPr>
        <w:t xml:space="preserve">, tal se deu não por falta de interessado, mas sim porque a empresa que ofereceu lance </w:t>
      </w:r>
      <w:r w:rsidR="00566D92" w:rsidRPr="00566D92">
        <w:rPr>
          <w:i/>
          <w:sz w:val="22"/>
          <w:szCs w:val="22"/>
        </w:rPr>
        <w:t>“</w:t>
      </w:r>
      <w:r w:rsidR="003D606A" w:rsidRPr="00566D92">
        <w:rPr>
          <w:i/>
          <w:sz w:val="22"/>
          <w:szCs w:val="22"/>
        </w:rPr>
        <w:t>no valor correspondente</w:t>
      </w:r>
      <w:r w:rsidR="00566D92">
        <w:rPr>
          <w:sz w:val="22"/>
          <w:szCs w:val="22"/>
        </w:rPr>
        <w:t>”</w:t>
      </w:r>
      <w:r w:rsidR="003D606A" w:rsidRPr="003D606A">
        <w:rPr>
          <w:sz w:val="22"/>
          <w:szCs w:val="22"/>
        </w:rPr>
        <w:t xml:space="preserve"> foi desclassificada em razão da limitação imposta no edital, relativamente ao máximo de lotes possíveis por licitante (dois)</w:t>
      </w:r>
      <w:r w:rsidR="003D606A">
        <w:rPr>
          <w:sz w:val="22"/>
          <w:szCs w:val="22"/>
        </w:rPr>
        <w:t xml:space="preserve">. </w:t>
      </w:r>
      <w:r w:rsidR="00283C3B">
        <w:rPr>
          <w:sz w:val="22"/>
          <w:szCs w:val="22"/>
        </w:rPr>
        <w:t>Assim sendo</w:t>
      </w:r>
      <w:r w:rsidR="00D50578">
        <w:rPr>
          <w:sz w:val="22"/>
          <w:szCs w:val="22"/>
        </w:rPr>
        <w:t>, o Plenário</w:t>
      </w:r>
      <w:r w:rsidR="00B957DB">
        <w:rPr>
          <w:sz w:val="22"/>
          <w:szCs w:val="22"/>
        </w:rPr>
        <w:t>, acolhendo o voto do relator,</w:t>
      </w:r>
      <w:r w:rsidR="00D50578">
        <w:rPr>
          <w:sz w:val="22"/>
          <w:szCs w:val="22"/>
        </w:rPr>
        <w:t xml:space="preserve"> decidiu </w:t>
      </w:r>
      <w:r w:rsidR="00566545" w:rsidRPr="00566545">
        <w:rPr>
          <w:sz w:val="22"/>
          <w:szCs w:val="22"/>
        </w:rPr>
        <w:t>considerar</w:t>
      </w:r>
      <w:r w:rsidR="00D50578">
        <w:rPr>
          <w:sz w:val="22"/>
          <w:szCs w:val="22"/>
        </w:rPr>
        <w:t xml:space="preserve"> </w:t>
      </w:r>
      <w:r w:rsidR="00566545" w:rsidRPr="00566545">
        <w:rPr>
          <w:sz w:val="22"/>
          <w:szCs w:val="22"/>
        </w:rPr>
        <w:t>a representação improcedente</w:t>
      </w:r>
      <w:r w:rsidR="00D50578">
        <w:rPr>
          <w:sz w:val="22"/>
          <w:szCs w:val="22"/>
        </w:rPr>
        <w:t xml:space="preserve">. </w:t>
      </w:r>
      <w:r w:rsidR="00566545" w:rsidRPr="00337E16">
        <w:rPr>
          <w:b/>
          <w:i/>
          <w:sz w:val="22"/>
          <w:szCs w:val="22"/>
        </w:rPr>
        <w:t>Acórdão n.º 1</w:t>
      </w:r>
      <w:r w:rsidR="00566545">
        <w:rPr>
          <w:b/>
          <w:i/>
          <w:sz w:val="22"/>
          <w:szCs w:val="22"/>
        </w:rPr>
        <w:t>888</w:t>
      </w:r>
      <w:r w:rsidR="00566545" w:rsidRPr="00337E16">
        <w:rPr>
          <w:b/>
          <w:i/>
          <w:sz w:val="22"/>
          <w:szCs w:val="22"/>
        </w:rPr>
        <w:t>/2010</w:t>
      </w:r>
      <w:r w:rsidR="00566545">
        <w:rPr>
          <w:b/>
          <w:i/>
          <w:sz w:val="22"/>
          <w:szCs w:val="22"/>
        </w:rPr>
        <w:t>-Plenário</w:t>
      </w:r>
      <w:r w:rsidR="00566545" w:rsidRPr="00337E16">
        <w:rPr>
          <w:b/>
          <w:i/>
          <w:sz w:val="22"/>
          <w:szCs w:val="22"/>
        </w:rPr>
        <w:t>, TC-0</w:t>
      </w:r>
      <w:r w:rsidR="00566545">
        <w:rPr>
          <w:b/>
          <w:i/>
          <w:sz w:val="22"/>
          <w:szCs w:val="22"/>
        </w:rPr>
        <w:t>12</w:t>
      </w:r>
      <w:r w:rsidR="00566545" w:rsidRPr="00337E16">
        <w:rPr>
          <w:b/>
          <w:i/>
          <w:sz w:val="22"/>
          <w:szCs w:val="22"/>
        </w:rPr>
        <w:t>.</w:t>
      </w:r>
      <w:r w:rsidR="00566545">
        <w:rPr>
          <w:b/>
          <w:i/>
          <w:sz w:val="22"/>
          <w:szCs w:val="22"/>
        </w:rPr>
        <w:t>047</w:t>
      </w:r>
      <w:r w:rsidR="00566545" w:rsidRPr="00337E16">
        <w:rPr>
          <w:b/>
          <w:i/>
          <w:sz w:val="22"/>
          <w:szCs w:val="22"/>
        </w:rPr>
        <w:t>/20</w:t>
      </w:r>
      <w:r w:rsidR="00566545">
        <w:rPr>
          <w:b/>
          <w:i/>
          <w:sz w:val="22"/>
          <w:szCs w:val="22"/>
        </w:rPr>
        <w:t>10</w:t>
      </w:r>
      <w:r w:rsidR="00566545" w:rsidRPr="00337E16">
        <w:rPr>
          <w:b/>
          <w:i/>
          <w:sz w:val="22"/>
          <w:szCs w:val="22"/>
        </w:rPr>
        <w:t>-</w:t>
      </w:r>
      <w:r w:rsidR="00566545">
        <w:rPr>
          <w:b/>
          <w:i/>
          <w:sz w:val="22"/>
          <w:szCs w:val="22"/>
        </w:rPr>
        <w:t>4</w:t>
      </w:r>
      <w:r w:rsidR="00566545" w:rsidRPr="00337E16">
        <w:rPr>
          <w:b/>
          <w:i/>
          <w:sz w:val="22"/>
          <w:szCs w:val="22"/>
        </w:rPr>
        <w:t>, rel. Min</w:t>
      </w:r>
      <w:r w:rsidR="00566545">
        <w:rPr>
          <w:b/>
          <w:i/>
          <w:sz w:val="22"/>
          <w:szCs w:val="22"/>
        </w:rPr>
        <w:t>. Valmir Campelo</w:t>
      </w:r>
      <w:r w:rsidR="00566545" w:rsidRPr="00337E16">
        <w:rPr>
          <w:b/>
          <w:i/>
          <w:sz w:val="22"/>
          <w:szCs w:val="22"/>
        </w:rPr>
        <w:t xml:space="preserve">, </w:t>
      </w:r>
      <w:r w:rsidR="00566545">
        <w:rPr>
          <w:b/>
          <w:i/>
          <w:sz w:val="22"/>
          <w:szCs w:val="22"/>
        </w:rPr>
        <w:t>04</w:t>
      </w:r>
      <w:r w:rsidR="00566545" w:rsidRPr="00337E16">
        <w:rPr>
          <w:b/>
          <w:i/>
          <w:sz w:val="22"/>
          <w:szCs w:val="22"/>
        </w:rPr>
        <w:t>.0</w:t>
      </w:r>
      <w:r w:rsidR="00566545">
        <w:rPr>
          <w:b/>
          <w:i/>
          <w:sz w:val="22"/>
          <w:szCs w:val="22"/>
        </w:rPr>
        <w:t>8</w:t>
      </w:r>
      <w:r w:rsidR="00566545" w:rsidRPr="00337E16">
        <w:rPr>
          <w:b/>
          <w:i/>
          <w:sz w:val="22"/>
          <w:szCs w:val="22"/>
        </w:rPr>
        <w:t>.2010</w:t>
      </w:r>
      <w:r w:rsidR="00566545" w:rsidRPr="00337E16">
        <w:rPr>
          <w:sz w:val="22"/>
          <w:szCs w:val="22"/>
        </w:rPr>
        <w:t>.</w:t>
      </w:r>
    </w:p>
    <w:p w:rsidR="00566545" w:rsidRPr="00337E16" w:rsidRDefault="00566545" w:rsidP="00566545">
      <w:pPr>
        <w:pStyle w:val="indice"/>
        <w:tabs>
          <w:tab w:val="left" w:pos="567"/>
        </w:tabs>
        <w:spacing w:before="60" w:line="240" w:lineRule="auto"/>
      </w:pPr>
    </w:p>
    <w:p w:rsidR="00566545" w:rsidRPr="00DC0FCC" w:rsidRDefault="00566545" w:rsidP="00566545">
      <w:pPr>
        <w:pStyle w:val="indice"/>
        <w:tabs>
          <w:tab w:val="left" w:pos="567"/>
        </w:tabs>
        <w:spacing w:line="240" w:lineRule="auto"/>
        <w:rPr>
          <w:b/>
        </w:rPr>
      </w:pPr>
      <w:r w:rsidRPr="00DC0FCC">
        <w:rPr>
          <w:b/>
        </w:rPr>
        <w:t xml:space="preserve">Pregão para serviços de vigilância armada: 2 - </w:t>
      </w:r>
      <w:r w:rsidR="00DC0FCC" w:rsidRPr="00DC0FCC">
        <w:rPr>
          <w:b/>
        </w:rPr>
        <w:t>Necessidade de o valor orçado constar dos autos do processo licitatório e não do edital</w:t>
      </w:r>
    </w:p>
    <w:p w:rsidR="002B14E0" w:rsidRPr="00337E16" w:rsidRDefault="001942ED" w:rsidP="002B14E0">
      <w:pPr>
        <w:pStyle w:val="Pargrafo"/>
        <w:jc w:val="both"/>
        <w:rPr>
          <w:sz w:val="22"/>
          <w:szCs w:val="22"/>
        </w:rPr>
      </w:pPr>
      <w:r>
        <w:rPr>
          <w:sz w:val="22"/>
          <w:szCs w:val="22"/>
        </w:rPr>
        <w:t xml:space="preserve">Outra suposta irregularidade </w:t>
      </w:r>
      <w:r w:rsidR="00E50FF3">
        <w:rPr>
          <w:sz w:val="22"/>
          <w:szCs w:val="22"/>
        </w:rPr>
        <w:t>perpetrada</w:t>
      </w:r>
      <w:r w:rsidRPr="00566545">
        <w:rPr>
          <w:sz w:val="22"/>
          <w:szCs w:val="22"/>
        </w:rPr>
        <w:t xml:space="preserve"> pelo Banco do Brasil no </w:t>
      </w:r>
      <w:r>
        <w:rPr>
          <w:sz w:val="22"/>
          <w:szCs w:val="22"/>
        </w:rPr>
        <w:t>P</w:t>
      </w:r>
      <w:r w:rsidRPr="00566545">
        <w:rPr>
          <w:sz w:val="22"/>
          <w:szCs w:val="22"/>
        </w:rPr>
        <w:t xml:space="preserve">regão </w:t>
      </w:r>
      <w:r>
        <w:rPr>
          <w:sz w:val="22"/>
          <w:szCs w:val="22"/>
        </w:rPr>
        <w:t>E</w:t>
      </w:r>
      <w:r w:rsidRPr="00566545">
        <w:rPr>
          <w:sz w:val="22"/>
          <w:szCs w:val="22"/>
        </w:rPr>
        <w:t>letrônico n</w:t>
      </w:r>
      <w:r>
        <w:rPr>
          <w:sz w:val="22"/>
          <w:szCs w:val="22"/>
        </w:rPr>
        <w:t>.</w:t>
      </w:r>
      <w:r w:rsidRPr="00566545">
        <w:rPr>
          <w:sz w:val="22"/>
          <w:szCs w:val="22"/>
        </w:rPr>
        <w:t xml:space="preserve">º 2009/28685, </w:t>
      </w:r>
      <w:r>
        <w:rPr>
          <w:sz w:val="22"/>
          <w:szCs w:val="22"/>
        </w:rPr>
        <w:t>destinado à</w:t>
      </w:r>
      <w:r w:rsidRPr="00566545">
        <w:rPr>
          <w:sz w:val="22"/>
          <w:szCs w:val="22"/>
        </w:rPr>
        <w:t xml:space="preserve"> contratação de serviços de vigilância armada</w:t>
      </w:r>
      <w:r w:rsidR="00EC1301">
        <w:rPr>
          <w:sz w:val="22"/>
          <w:szCs w:val="22"/>
        </w:rPr>
        <w:t>, diz</w:t>
      </w:r>
      <w:r w:rsidR="00F329A8">
        <w:rPr>
          <w:sz w:val="22"/>
          <w:szCs w:val="22"/>
        </w:rPr>
        <w:t>ia</w:t>
      </w:r>
      <w:r w:rsidR="00EC1301">
        <w:rPr>
          <w:sz w:val="22"/>
          <w:szCs w:val="22"/>
        </w:rPr>
        <w:t xml:space="preserve"> resp</w:t>
      </w:r>
      <w:r w:rsidR="002B14E0" w:rsidRPr="002B14E0">
        <w:rPr>
          <w:sz w:val="22"/>
          <w:szCs w:val="22"/>
        </w:rPr>
        <w:t xml:space="preserve">eito </w:t>
      </w:r>
      <w:r w:rsidR="00EC1301">
        <w:rPr>
          <w:sz w:val="22"/>
          <w:szCs w:val="22"/>
        </w:rPr>
        <w:t>a</w:t>
      </w:r>
      <w:r w:rsidR="002B14E0" w:rsidRPr="002B14E0">
        <w:rPr>
          <w:sz w:val="22"/>
          <w:szCs w:val="22"/>
        </w:rPr>
        <w:t xml:space="preserve">o fato de o valor estimado constar </w:t>
      </w:r>
      <w:r w:rsidR="00F329A8">
        <w:rPr>
          <w:sz w:val="22"/>
          <w:szCs w:val="22"/>
        </w:rPr>
        <w:t xml:space="preserve">tão somente </w:t>
      </w:r>
      <w:r w:rsidR="002B14E0" w:rsidRPr="002B14E0">
        <w:rPr>
          <w:sz w:val="22"/>
          <w:szCs w:val="22"/>
        </w:rPr>
        <w:t>do processo licitatório, mas não do edital</w:t>
      </w:r>
      <w:r w:rsidR="00EC1301">
        <w:rPr>
          <w:sz w:val="22"/>
          <w:szCs w:val="22"/>
        </w:rPr>
        <w:t>. Segundo o relator</w:t>
      </w:r>
      <w:r w:rsidR="002B14E0" w:rsidRPr="002B14E0">
        <w:rPr>
          <w:sz w:val="22"/>
          <w:szCs w:val="22"/>
        </w:rPr>
        <w:t xml:space="preserve">, o Tribunal </w:t>
      </w:r>
      <w:r w:rsidR="00E50FF3">
        <w:rPr>
          <w:sz w:val="22"/>
          <w:szCs w:val="22"/>
        </w:rPr>
        <w:t>já firmou entendimento no sentido de</w:t>
      </w:r>
      <w:r w:rsidR="002B14E0" w:rsidRPr="002B14E0">
        <w:rPr>
          <w:sz w:val="22"/>
          <w:szCs w:val="22"/>
        </w:rPr>
        <w:t xml:space="preserve"> que, na licitação na modalidade pregão, </w:t>
      </w:r>
      <w:r w:rsidR="008F60BE" w:rsidRPr="008F60BE">
        <w:rPr>
          <w:i/>
          <w:sz w:val="22"/>
          <w:szCs w:val="22"/>
        </w:rPr>
        <w:t>“</w:t>
      </w:r>
      <w:r w:rsidR="002B14E0" w:rsidRPr="008F60BE">
        <w:rPr>
          <w:i/>
          <w:sz w:val="22"/>
          <w:szCs w:val="22"/>
        </w:rPr>
        <w:t>o orçamento estimado em planilhas e preços unitários não constitui um dos elementos obrigatórios do edital</w:t>
      </w:r>
      <w:r w:rsidR="008F60BE" w:rsidRPr="008F60BE">
        <w:rPr>
          <w:i/>
          <w:sz w:val="22"/>
          <w:szCs w:val="22"/>
        </w:rPr>
        <w:t>”</w:t>
      </w:r>
      <w:r w:rsidR="008F60BE">
        <w:rPr>
          <w:sz w:val="22"/>
          <w:szCs w:val="22"/>
        </w:rPr>
        <w:t>, devendo</w:t>
      </w:r>
      <w:r w:rsidR="002B14E0" w:rsidRPr="00EC1301">
        <w:rPr>
          <w:i/>
          <w:sz w:val="22"/>
          <w:szCs w:val="22"/>
        </w:rPr>
        <w:t xml:space="preserve"> </w:t>
      </w:r>
      <w:r w:rsidR="002B14E0" w:rsidRPr="008F60BE">
        <w:rPr>
          <w:sz w:val="22"/>
          <w:szCs w:val="22"/>
        </w:rPr>
        <w:t>estar necessariamente inserido</w:t>
      </w:r>
      <w:r w:rsidR="002B14E0" w:rsidRPr="00EC1301">
        <w:rPr>
          <w:i/>
          <w:sz w:val="22"/>
          <w:szCs w:val="22"/>
        </w:rPr>
        <w:t xml:space="preserve"> </w:t>
      </w:r>
      <w:r w:rsidR="002B14E0" w:rsidRPr="008F60BE">
        <w:rPr>
          <w:sz w:val="22"/>
          <w:szCs w:val="22"/>
        </w:rPr>
        <w:t>no processo relativo ao certame</w:t>
      </w:r>
      <w:r w:rsidR="002B14E0" w:rsidRPr="002B14E0">
        <w:rPr>
          <w:sz w:val="22"/>
          <w:szCs w:val="22"/>
        </w:rPr>
        <w:t>, conforme exigido pela Lei n</w:t>
      </w:r>
      <w:r w:rsidR="00EC1301">
        <w:rPr>
          <w:sz w:val="22"/>
          <w:szCs w:val="22"/>
        </w:rPr>
        <w:t>.</w:t>
      </w:r>
      <w:r w:rsidR="002B14E0" w:rsidRPr="002B14E0">
        <w:rPr>
          <w:sz w:val="22"/>
          <w:szCs w:val="22"/>
        </w:rPr>
        <w:t>º 10.520/2002 (art. 3º, III, c/c o art. 4º, III) e pelo Decreto n</w:t>
      </w:r>
      <w:r w:rsidR="00EC1301">
        <w:rPr>
          <w:sz w:val="22"/>
          <w:szCs w:val="22"/>
        </w:rPr>
        <w:t>.</w:t>
      </w:r>
      <w:r w:rsidR="002B14E0" w:rsidRPr="002B14E0">
        <w:rPr>
          <w:sz w:val="22"/>
          <w:szCs w:val="22"/>
        </w:rPr>
        <w:t xml:space="preserve">º 5.450/2005 (art. 30, III), ficando a critério do gestor a avaliação da oportunidade e conveniência de incluir </w:t>
      </w:r>
      <w:r w:rsidR="00126423" w:rsidRPr="00126423">
        <w:rPr>
          <w:i/>
          <w:sz w:val="22"/>
          <w:szCs w:val="22"/>
        </w:rPr>
        <w:t>“</w:t>
      </w:r>
      <w:r w:rsidR="002B14E0" w:rsidRPr="00126423">
        <w:rPr>
          <w:i/>
          <w:sz w:val="22"/>
          <w:szCs w:val="22"/>
        </w:rPr>
        <w:t>dita peça</w:t>
      </w:r>
      <w:r w:rsidR="00126423" w:rsidRPr="00126423">
        <w:rPr>
          <w:i/>
          <w:sz w:val="22"/>
          <w:szCs w:val="22"/>
        </w:rPr>
        <w:t>”</w:t>
      </w:r>
      <w:r w:rsidR="002B14E0" w:rsidRPr="002B14E0">
        <w:rPr>
          <w:sz w:val="22"/>
          <w:szCs w:val="22"/>
        </w:rPr>
        <w:t xml:space="preserve"> no edital. De qualquer modo, cabe</w:t>
      </w:r>
      <w:r w:rsidR="00536121">
        <w:rPr>
          <w:sz w:val="22"/>
          <w:szCs w:val="22"/>
        </w:rPr>
        <w:t>ria</w:t>
      </w:r>
      <w:r w:rsidR="002B14E0" w:rsidRPr="002B14E0">
        <w:rPr>
          <w:sz w:val="22"/>
          <w:szCs w:val="22"/>
        </w:rPr>
        <w:t xml:space="preserve"> ao administrador informar, no ato convocatório, a sua disponibilidade aos interessados e os meios para obtê-lo</w:t>
      </w:r>
      <w:r w:rsidR="00536121">
        <w:rPr>
          <w:sz w:val="22"/>
          <w:szCs w:val="22"/>
        </w:rPr>
        <w:t xml:space="preserve">. </w:t>
      </w:r>
      <w:r w:rsidR="002B14E0" w:rsidRPr="002B14E0">
        <w:rPr>
          <w:sz w:val="22"/>
          <w:szCs w:val="22"/>
        </w:rPr>
        <w:t xml:space="preserve">Sobre isso, </w:t>
      </w:r>
      <w:r w:rsidR="00536121">
        <w:rPr>
          <w:sz w:val="22"/>
          <w:szCs w:val="22"/>
        </w:rPr>
        <w:t>o relator concluiu</w:t>
      </w:r>
      <w:r w:rsidR="002B14E0" w:rsidRPr="002B14E0">
        <w:rPr>
          <w:sz w:val="22"/>
          <w:szCs w:val="22"/>
        </w:rPr>
        <w:t xml:space="preserve"> não prosperar a alegação de prejuízo ao princípio da publicidade, ante a suposta falta de transparência quanto ao preço usado como parâmetro na convocação, assim como não </w:t>
      </w:r>
      <w:r w:rsidR="00536121">
        <w:rPr>
          <w:sz w:val="22"/>
          <w:szCs w:val="22"/>
        </w:rPr>
        <w:t>vislumbrou</w:t>
      </w:r>
      <w:r w:rsidR="002B14E0" w:rsidRPr="002B14E0">
        <w:rPr>
          <w:sz w:val="22"/>
          <w:szCs w:val="22"/>
        </w:rPr>
        <w:t xml:space="preserve"> possível ofensa ao postulado da isonomia, dada a eventual vantagem conseguida por licitantes com acesso ao processo físico, em relação àqueles que tiveram de dar lances a partir das respectivas sedes, </w:t>
      </w:r>
      <w:r w:rsidR="00E50FF3" w:rsidRPr="00E50FF3">
        <w:rPr>
          <w:i/>
          <w:sz w:val="22"/>
          <w:szCs w:val="22"/>
        </w:rPr>
        <w:t>“</w:t>
      </w:r>
      <w:r w:rsidR="002B14E0" w:rsidRPr="00E50FF3">
        <w:rPr>
          <w:i/>
          <w:sz w:val="22"/>
          <w:szCs w:val="22"/>
        </w:rPr>
        <w:t>fora de onde estavam os autos (Brasília-DF)</w:t>
      </w:r>
      <w:r w:rsidR="00E50FF3" w:rsidRPr="00E50FF3">
        <w:rPr>
          <w:i/>
          <w:sz w:val="22"/>
          <w:szCs w:val="22"/>
        </w:rPr>
        <w:t>”</w:t>
      </w:r>
      <w:r w:rsidR="002B14E0" w:rsidRPr="002B14E0">
        <w:rPr>
          <w:sz w:val="22"/>
          <w:szCs w:val="22"/>
        </w:rPr>
        <w:t>.</w:t>
      </w:r>
      <w:r w:rsidR="00536121">
        <w:rPr>
          <w:sz w:val="22"/>
          <w:szCs w:val="22"/>
        </w:rPr>
        <w:t xml:space="preserve"> Isso porque, </w:t>
      </w:r>
      <w:r w:rsidR="002B14E0" w:rsidRPr="002B14E0">
        <w:rPr>
          <w:sz w:val="22"/>
          <w:szCs w:val="22"/>
        </w:rPr>
        <w:t xml:space="preserve">além de o </w:t>
      </w:r>
      <w:r w:rsidR="00126423">
        <w:rPr>
          <w:sz w:val="22"/>
          <w:szCs w:val="22"/>
        </w:rPr>
        <w:t>o</w:t>
      </w:r>
      <w:r w:rsidR="002B14E0" w:rsidRPr="002B14E0">
        <w:rPr>
          <w:sz w:val="22"/>
          <w:szCs w:val="22"/>
        </w:rPr>
        <w:t xml:space="preserve">rçamento estar </w:t>
      </w:r>
      <w:r w:rsidR="00126423">
        <w:rPr>
          <w:sz w:val="22"/>
          <w:szCs w:val="22"/>
        </w:rPr>
        <w:t>inserido</w:t>
      </w:r>
      <w:r w:rsidR="002B14E0" w:rsidRPr="002B14E0">
        <w:rPr>
          <w:sz w:val="22"/>
          <w:szCs w:val="22"/>
        </w:rPr>
        <w:t xml:space="preserve"> no processo licitatório, o Banco do Brasil fez constar do edital</w:t>
      </w:r>
      <w:r w:rsidR="00536121">
        <w:rPr>
          <w:sz w:val="22"/>
          <w:szCs w:val="22"/>
        </w:rPr>
        <w:t xml:space="preserve"> </w:t>
      </w:r>
      <w:r w:rsidR="002B14E0" w:rsidRPr="002B14E0">
        <w:rPr>
          <w:sz w:val="22"/>
          <w:szCs w:val="22"/>
        </w:rPr>
        <w:t xml:space="preserve">a possibilidade de formalização de consultas por </w:t>
      </w:r>
      <w:r w:rsidR="002B14E0" w:rsidRPr="00126423">
        <w:rPr>
          <w:i/>
          <w:sz w:val="22"/>
          <w:szCs w:val="22"/>
        </w:rPr>
        <w:t>e-mail</w:t>
      </w:r>
      <w:r w:rsidR="002B14E0" w:rsidRPr="002B14E0">
        <w:rPr>
          <w:sz w:val="22"/>
          <w:szCs w:val="22"/>
        </w:rPr>
        <w:t xml:space="preserve">, cujas respostas seriam dadas diretamente no site </w:t>
      </w:r>
      <w:hyperlink r:id="rId7" w:history="1">
        <w:r w:rsidR="002B14E0" w:rsidRPr="00536121">
          <w:rPr>
            <w:i/>
            <w:sz w:val="22"/>
            <w:szCs w:val="22"/>
          </w:rPr>
          <w:t>www.licitações-e.com.br</w:t>
        </w:r>
      </w:hyperlink>
      <w:r w:rsidR="002B14E0" w:rsidRPr="002B14E0">
        <w:rPr>
          <w:sz w:val="22"/>
          <w:szCs w:val="22"/>
        </w:rPr>
        <w:t xml:space="preserve">, no </w:t>
      </w:r>
      <w:r w:rsidR="002B14E0" w:rsidRPr="00536121">
        <w:rPr>
          <w:i/>
          <w:sz w:val="22"/>
          <w:szCs w:val="22"/>
        </w:rPr>
        <w:t>link</w:t>
      </w:r>
      <w:r w:rsidR="002B14E0" w:rsidRPr="002B14E0">
        <w:rPr>
          <w:sz w:val="22"/>
          <w:szCs w:val="22"/>
        </w:rPr>
        <w:t xml:space="preserve"> correspondente ao pregão eletrônico em discussão, afastando a hipótese de lesão ao direito que os interessados tinham a essa informação. </w:t>
      </w:r>
      <w:r w:rsidR="00536121">
        <w:rPr>
          <w:sz w:val="22"/>
          <w:szCs w:val="22"/>
        </w:rPr>
        <w:t>O relator também lembrou que</w:t>
      </w:r>
      <w:r w:rsidR="002B14E0" w:rsidRPr="002B14E0">
        <w:rPr>
          <w:sz w:val="22"/>
          <w:szCs w:val="22"/>
        </w:rPr>
        <w:t xml:space="preserve">, em termos de valores, no pregão eletrônico, diferentemente do que ocorre no pregão presencial, não existe classificação prévia das propostas aptas à etapa de lances, o que </w:t>
      </w:r>
      <w:r w:rsidR="00536121" w:rsidRPr="00536121">
        <w:rPr>
          <w:i/>
          <w:sz w:val="22"/>
          <w:szCs w:val="22"/>
        </w:rPr>
        <w:t>“</w:t>
      </w:r>
      <w:r w:rsidR="002B14E0" w:rsidRPr="00536121">
        <w:rPr>
          <w:i/>
          <w:sz w:val="22"/>
          <w:szCs w:val="22"/>
        </w:rPr>
        <w:t>elimina o risco de desclassificação de alguma licitante na primeira fase da convocação, no caso de sua oferta inicial exceder o preço tido por aceitável</w:t>
      </w:r>
      <w:r w:rsidR="00536121" w:rsidRPr="00536121">
        <w:rPr>
          <w:i/>
          <w:sz w:val="22"/>
          <w:szCs w:val="22"/>
        </w:rPr>
        <w:t>”</w:t>
      </w:r>
      <w:r w:rsidR="002B14E0" w:rsidRPr="002B14E0">
        <w:rPr>
          <w:sz w:val="22"/>
          <w:szCs w:val="22"/>
        </w:rPr>
        <w:t xml:space="preserve">. </w:t>
      </w:r>
      <w:r w:rsidR="00E50FF3">
        <w:rPr>
          <w:sz w:val="22"/>
          <w:szCs w:val="22"/>
        </w:rPr>
        <w:t>Significa dizer que</w:t>
      </w:r>
      <w:r w:rsidR="002B14E0" w:rsidRPr="002B14E0">
        <w:rPr>
          <w:sz w:val="22"/>
          <w:szCs w:val="22"/>
        </w:rPr>
        <w:t xml:space="preserve">, na fase de recebimento de propostas, o eventual desconhecimento do valor estimado pela administração </w:t>
      </w:r>
      <w:r w:rsidR="00536121" w:rsidRPr="00536121">
        <w:rPr>
          <w:i/>
          <w:sz w:val="22"/>
          <w:szCs w:val="22"/>
        </w:rPr>
        <w:t>“</w:t>
      </w:r>
      <w:r w:rsidR="002B14E0" w:rsidRPr="00536121">
        <w:rPr>
          <w:i/>
          <w:sz w:val="22"/>
          <w:szCs w:val="22"/>
        </w:rPr>
        <w:t>não tem repercussão decisiva na possibilidade de sucesso dos participantes até o final do certame, pois, antes disso, todos terão ainda a possibilidade de tomar ciência desse parâmetro, assim como das diversas ofertas, ao longo da fase competitiva (encaminhamento de lances), portanto, em igualdade de condições</w:t>
      </w:r>
      <w:r w:rsidR="00536121" w:rsidRPr="00536121">
        <w:rPr>
          <w:i/>
          <w:sz w:val="22"/>
          <w:szCs w:val="22"/>
        </w:rPr>
        <w:t>”</w:t>
      </w:r>
      <w:r w:rsidR="002B14E0" w:rsidRPr="002B14E0">
        <w:rPr>
          <w:sz w:val="22"/>
          <w:szCs w:val="22"/>
        </w:rPr>
        <w:t>.</w:t>
      </w:r>
      <w:r w:rsidR="00536121">
        <w:rPr>
          <w:sz w:val="22"/>
          <w:szCs w:val="22"/>
        </w:rPr>
        <w:t xml:space="preserve"> </w:t>
      </w:r>
      <w:r w:rsidR="00E50FF3">
        <w:rPr>
          <w:sz w:val="22"/>
          <w:szCs w:val="22"/>
        </w:rPr>
        <w:t>Ao final</w:t>
      </w:r>
      <w:r w:rsidR="00126423">
        <w:rPr>
          <w:sz w:val="22"/>
          <w:szCs w:val="22"/>
        </w:rPr>
        <w:t>, o Plenário</w:t>
      </w:r>
      <w:r w:rsidR="00721C7E">
        <w:rPr>
          <w:sz w:val="22"/>
          <w:szCs w:val="22"/>
        </w:rPr>
        <w:t xml:space="preserve">, acolhendo o voto do relator, </w:t>
      </w:r>
      <w:r w:rsidR="00126423">
        <w:rPr>
          <w:sz w:val="22"/>
          <w:szCs w:val="22"/>
        </w:rPr>
        <w:t xml:space="preserve">decidiu </w:t>
      </w:r>
      <w:r w:rsidR="00126423" w:rsidRPr="00566545">
        <w:rPr>
          <w:sz w:val="22"/>
          <w:szCs w:val="22"/>
        </w:rPr>
        <w:t>considerar</w:t>
      </w:r>
      <w:r w:rsidR="00126423">
        <w:rPr>
          <w:sz w:val="22"/>
          <w:szCs w:val="22"/>
        </w:rPr>
        <w:t xml:space="preserve"> </w:t>
      </w:r>
      <w:r w:rsidR="00126423" w:rsidRPr="00566545">
        <w:rPr>
          <w:sz w:val="22"/>
          <w:szCs w:val="22"/>
        </w:rPr>
        <w:t>a representação improcedente</w:t>
      </w:r>
      <w:r w:rsidR="00126423">
        <w:rPr>
          <w:sz w:val="22"/>
          <w:szCs w:val="22"/>
        </w:rPr>
        <w:t>.</w:t>
      </w:r>
      <w:r w:rsidR="00536121">
        <w:rPr>
          <w:sz w:val="22"/>
          <w:szCs w:val="22"/>
        </w:rPr>
        <w:t xml:space="preserve"> Precedentes citados: </w:t>
      </w:r>
      <w:r w:rsidR="00126423">
        <w:rPr>
          <w:sz w:val="22"/>
          <w:szCs w:val="22"/>
        </w:rPr>
        <w:t>Acórdão n.º</w:t>
      </w:r>
      <w:r w:rsidR="00126423" w:rsidRPr="002B14E0">
        <w:rPr>
          <w:sz w:val="22"/>
          <w:szCs w:val="22"/>
        </w:rPr>
        <w:t xml:space="preserve"> 201/2006-</w:t>
      </w:r>
      <w:r w:rsidR="00126423">
        <w:rPr>
          <w:sz w:val="22"/>
          <w:szCs w:val="22"/>
        </w:rPr>
        <w:t>2ª Câmara;</w:t>
      </w:r>
      <w:r w:rsidR="00126423" w:rsidRPr="002B14E0">
        <w:rPr>
          <w:sz w:val="22"/>
          <w:szCs w:val="22"/>
        </w:rPr>
        <w:t xml:space="preserve"> </w:t>
      </w:r>
      <w:r w:rsidR="00536121" w:rsidRPr="002B14E0">
        <w:rPr>
          <w:sz w:val="22"/>
          <w:szCs w:val="22"/>
        </w:rPr>
        <w:t>Acórdãos n</w:t>
      </w:r>
      <w:r w:rsidR="00536121">
        <w:rPr>
          <w:sz w:val="22"/>
          <w:szCs w:val="22"/>
        </w:rPr>
        <w:t>.</w:t>
      </w:r>
      <w:r w:rsidR="00536121" w:rsidRPr="00536121">
        <w:rPr>
          <w:sz w:val="22"/>
          <w:szCs w:val="22"/>
          <w:vertAlign w:val="superscript"/>
        </w:rPr>
        <w:t>os</w:t>
      </w:r>
      <w:r w:rsidR="00536121" w:rsidRPr="002B14E0">
        <w:rPr>
          <w:sz w:val="22"/>
          <w:szCs w:val="22"/>
        </w:rPr>
        <w:t xml:space="preserve"> 114/2007</w:t>
      </w:r>
      <w:r w:rsidR="00536121">
        <w:rPr>
          <w:sz w:val="22"/>
          <w:szCs w:val="22"/>
        </w:rPr>
        <w:t xml:space="preserve"> e</w:t>
      </w:r>
      <w:r w:rsidR="00536121" w:rsidRPr="002B14E0">
        <w:rPr>
          <w:sz w:val="22"/>
          <w:szCs w:val="22"/>
        </w:rPr>
        <w:t xml:space="preserve"> 1.925/2006</w:t>
      </w:r>
      <w:r w:rsidR="00536121">
        <w:rPr>
          <w:sz w:val="22"/>
          <w:szCs w:val="22"/>
        </w:rPr>
        <w:t xml:space="preserve">, ambos do </w:t>
      </w:r>
      <w:r w:rsidR="00536121" w:rsidRPr="002B14E0">
        <w:rPr>
          <w:sz w:val="22"/>
          <w:szCs w:val="22"/>
        </w:rPr>
        <w:t>Plenário.</w:t>
      </w:r>
      <w:r w:rsidR="00536121">
        <w:rPr>
          <w:sz w:val="22"/>
          <w:szCs w:val="22"/>
        </w:rPr>
        <w:t xml:space="preserve"> </w:t>
      </w:r>
      <w:r w:rsidR="002B14E0" w:rsidRPr="00337E16">
        <w:rPr>
          <w:b/>
          <w:i/>
          <w:sz w:val="22"/>
          <w:szCs w:val="22"/>
        </w:rPr>
        <w:t>Acórdão n.º 1</w:t>
      </w:r>
      <w:r w:rsidR="002B14E0">
        <w:rPr>
          <w:b/>
          <w:i/>
          <w:sz w:val="22"/>
          <w:szCs w:val="22"/>
        </w:rPr>
        <w:t>888</w:t>
      </w:r>
      <w:r w:rsidR="002B14E0" w:rsidRPr="00337E16">
        <w:rPr>
          <w:b/>
          <w:i/>
          <w:sz w:val="22"/>
          <w:szCs w:val="22"/>
        </w:rPr>
        <w:t>/2010</w:t>
      </w:r>
      <w:r w:rsidR="002B14E0">
        <w:rPr>
          <w:b/>
          <w:i/>
          <w:sz w:val="22"/>
          <w:szCs w:val="22"/>
        </w:rPr>
        <w:t>-Plenário</w:t>
      </w:r>
      <w:r w:rsidR="002B14E0" w:rsidRPr="00337E16">
        <w:rPr>
          <w:b/>
          <w:i/>
          <w:sz w:val="22"/>
          <w:szCs w:val="22"/>
        </w:rPr>
        <w:t>, TC-0</w:t>
      </w:r>
      <w:r w:rsidR="002B14E0">
        <w:rPr>
          <w:b/>
          <w:i/>
          <w:sz w:val="22"/>
          <w:szCs w:val="22"/>
        </w:rPr>
        <w:t>12</w:t>
      </w:r>
      <w:r w:rsidR="002B14E0" w:rsidRPr="00337E16">
        <w:rPr>
          <w:b/>
          <w:i/>
          <w:sz w:val="22"/>
          <w:szCs w:val="22"/>
        </w:rPr>
        <w:t>.</w:t>
      </w:r>
      <w:r w:rsidR="002B14E0">
        <w:rPr>
          <w:b/>
          <w:i/>
          <w:sz w:val="22"/>
          <w:szCs w:val="22"/>
        </w:rPr>
        <w:t>047</w:t>
      </w:r>
      <w:r w:rsidR="002B14E0" w:rsidRPr="00337E16">
        <w:rPr>
          <w:b/>
          <w:i/>
          <w:sz w:val="22"/>
          <w:szCs w:val="22"/>
        </w:rPr>
        <w:t>/20</w:t>
      </w:r>
      <w:r w:rsidR="002B14E0">
        <w:rPr>
          <w:b/>
          <w:i/>
          <w:sz w:val="22"/>
          <w:szCs w:val="22"/>
        </w:rPr>
        <w:t>10</w:t>
      </w:r>
      <w:r w:rsidR="002B14E0" w:rsidRPr="00337E16">
        <w:rPr>
          <w:b/>
          <w:i/>
          <w:sz w:val="22"/>
          <w:szCs w:val="22"/>
        </w:rPr>
        <w:t>-</w:t>
      </w:r>
      <w:r w:rsidR="002B14E0">
        <w:rPr>
          <w:b/>
          <w:i/>
          <w:sz w:val="22"/>
          <w:szCs w:val="22"/>
        </w:rPr>
        <w:t>4</w:t>
      </w:r>
      <w:r w:rsidR="002B14E0" w:rsidRPr="00337E16">
        <w:rPr>
          <w:b/>
          <w:i/>
          <w:sz w:val="22"/>
          <w:szCs w:val="22"/>
        </w:rPr>
        <w:t>, rel. Min</w:t>
      </w:r>
      <w:r w:rsidR="002B14E0">
        <w:rPr>
          <w:b/>
          <w:i/>
          <w:sz w:val="22"/>
          <w:szCs w:val="22"/>
        </w:rPr>
        <w:t>. Valmir Campelo</w:t>
      </w:r>
      <w:r w:rsidR="002B14E0" w:rsidRPr="00337E16">
        <w:rPr>
          <w:b/>
          <w:i/>
          <w:sz w:val="22"/>
          <w:szCs w:val="22"/>
        </w:rPr>
        <w:t xml:space="preserve">, </w:t>
      </w:r>
      <w:r w:rsidR="002B14E0">
        <w:rPr>
          <w:b/>
          <w:i/>
          <w:sz w:val="22"/>
          <w:szCs w:val="22"/>
        </w:rPr>
        <w:t>04</w:t>
      </w:r>
      <w:r w:rsidR="002B14E0" w:rsidRPr="00337E16">
        <w:rPr>
          <w:b/>
          <w:i/>
          <w:sz w:val="22"/>
          <w:szCs w:val="22"/>
        </w:rPr>
        <w:t>.0</w:t>
      </w:r>
      <w:r w:rsidR="002B14E0">
        <w:rPr>
          <w:b/>
          <w:i/>
          <w:sz w:val="22"/>
          <w:szCs w:val="22"/>
        </w:rPr>
        <w:t>8</w:t>
      </w:r>
      <w:r w:rsidR="002B14E0" w:rsidRPr="00337E16">
        <w:rPr>
          <w:b/>
          <w:i/>
          <w:sz w:val="22"/>
          <w:szCs w:val="22"/>
        </w:rPr>
        <w:t>.2010</w:t>
      </w:r>
      <w:r w:rsidR="002B14E0" w:rsidRPr="00337E16">
        <w:rPr>
          <w:sz w:val="22"/>
          <w:szCs w:val="22"/>
        </w:rPr>
        <w:t>.</w:t>
      </w:r>
    </w:p>
    <w:p w:rsidR="00566545" w:rsidRDefault="00566545" w:rsidP="00F30016">
      <w:pPr>
        <w:pStyle w:val="Pargrafo"/>
        <w:jc w:val="both"/>
        <w:rPr>
          <w:sz w:val="22"/>
          <w:szCs w:val="22"/>
        </w:rPr>
      </w:pPr>
    </w:p>
    <w:p w:rsidR="00692D30" w:rsidRPr="005044EF" w:rsidRDefault="005044EF" w:rsidP="00F30016">
      <w:pPr>
        <w:pStyle w:val="Pargrafo"/>
        <w:jc w:val="both"/>
        <w:rPr>
          <w:b/>
          <w:sz w:val="22"/>
          <w:szCs w:val="22"/>
        </w:rPr>
      </w:pPr>
      <w:r w:rsidRPr="005044EF">
        <w:rPr>
          <w:b/>
          <w:sz w:val="22"/>
          <w:szCs w:val="22"/>
        </w:rPr>
        <w:t>A vedação à imposição de restrições ao caráter competitivo nos atos de convocação não é absoluta</w:t>
      </w:r>
    </w:p>
    <w:p w:rsidR="005044EF" w:rsidRPr="00337E16" w:rsidRDefault="00EF296E" w:rsidP="005044EF">
      <w:pPr>
        <w:pStyle w:val="Pargrafo"/>
        <w:jc w:val="both"/>
        <w:rPr>
          <w:sz w:val="22"/>
          <w:szCs w:val="22"/>
        </w:rPr>
      </w:pPr>
      <w:r>
        <w:rPr>
          <w:sz w:val="22"/>
          <w:szCs w:val="22"/>
        </w:rPr>
        <w:t>R</w:t>
      </w:r>
      <w:r w:rsidR="005044EF" w:rsidRPr="005044EF">
        <w:rPr>
          <w:sz w:val="22"/>
          <w:szCs w:val="22"/>
        </w:rPr>
        <w:t xml:space="preserve">epresentação </w:t>
      </w:r>
      <w:r>
        <w:rPr>
          <w:sz w:val="22"/>
          <w:szCs w:val="22"/>
        </w:rPr>
        <w:t xml:space="preserve">oferecida ao TCU indicou </w:t>
      </w:r>
      <w:r w:rsidR="005044EF" w:rsidRPr="005044EF">
        <w:rPr>
          <w:sz w:val="22"/>
          <w:szCs w:val="22"/>
        </w:rPr>
        <w:t xml:space="preserve">possível irregularidade praticada pela Caixa Econômica Federal </w:t>
      </w:r>
      <w:r>
        <w:rPr>
          <w:sz w:val="22"/>
          <w:szCs w:val="22"/>
        </w:rPr>
        <w:t>no P</w:t>
      </w:r>
      <w:r w:rsidR="005044EF" w:rsidRPr="005044EF">
        <w:rPr>
          <w:sz w:val="22"/>
          <w:szCs w:val="22"/>
        </w:rPr>
        <w:t xml:space="preserve">regão </w:t>
      </w:r>
      <w:r>
        <w:rPr>
          <w:sz w:val="22"/>
          <w:szCs w:val="22"/>
        </w:rPr>
        <w:t>E</w:t>
      </w:r>
      <w:r w:rsidR="005044EF" w:rsidRPr="005044EF">
        <w:rPr>
          <w:sz w:val="22"/>
          <w:szCs w:val="22"/>
        </w:rPr>
        <w:t>letrônico n</w:t>
      </w:r>
      <w:r>
        <w:rPr>
          <w:sz w:val="22"/>
          <w:szCs w:val="22"/>
        </w:rPr>
        <w:t>.º 030/7029-2010</w:t>
      </w:r>
      <w:r w:rsidR="005044EF" w:rsidRPr="005044EF">
        <w:rPr>
          <w:sz w:val="22"/>
          <w:szCs w:val="22"/>
        </w:rPr>
        <w:t xml:space="preserve">, tendo por objeto o </w:t>
      </w:r>
      <w:r w:rsidR="005044EF" w:rsidRPr="00EF296E">
        <w:rPr>
          <w:i/>
          <w:sz w:val="22"/>
          <w:szCs w:val="22"/>
        </w:rPr>
        <w:t>“registro de preços, pelo prazo de 12 (doze) meses, para aquisição de toner para impressoras HP, modelo Laserjet P3015DN, com entrega nos almoxarifados da CAIXA localizados nos Estados de Goiás, Minas Gerais e Pará”</w:t>
      </w:r>
      <w:r w:rsidR="005044EF" w:rsidRPr="005044EF">
        <w:rPr>
          <w:sz w:val="22"/>
          <w:szCs w:val="22"/>
        </w:rPr>
        <w:t>.</w:t>
      </w:r>
      <w:r>
        <w:rPr>
          <w:sz w:val="22"/>
          <w:szCs w:val="22"/>
        </w:rPr>
        <w:t xml:space="preserve"> A</w:t>
      </w:r>
      <w:r w:rsidR="005044EF" w:rsidRPr="005044EF">
        <w:rPr>
          <w:sz w:val="22"/>
          <w:szCs w:val="22"/>
        </w:rPr>
        <w:t xml:space="preserve"> questão suscitada pela representante </w:t>
      </w:r>
      <w:r w:rsidR="00D021E0">
        <w:rPr>
          <w:sz w:val="22"/>
          <w:szCs w:val="22"/>
        </w:rPr>
        <w:t xml:space="preserve">envolvia </w:t>
      </w:r>
      <w:r w:rsidR="005044EF" w:rsidRPr="005044EF">
        <w:rPr>
          <w:sz w:val="22"/>
          <w:szCs w:val="22"/>
        </w:rPr>
        <w:t>o seguinte dispositivo do edital:</w:t>
      </w:r>
      <w:r>
        <w:rPr>
          <w:sz w:val="22"/>
          <w:szCs w:val="22"/>
        </w:rPr>
        <w:t xml:space="preserve"> </w:t>
      </w:r>
      <w:r w:rsidR="005044EF" w:rsidRPr="005044EF">
        <w:rPr>
          <w:i/>
          <w:sz w:val="22"/>
          <w:szCs w:val="22"/>
        </w:rPr>
        <w:t>“</w:t>
      </w:r>
      <w:smartTag w:uri="urn:schemas-microsoft-com:office:smarttags" w:element="metricconverter">
        <w:smartTagPr>
          <w:attr w:name="ProductID" w:val="9.5 A"/>
        </w:smartTagPr>
        <w:r w:rsidR="005044EF" w:rsidRPr="005044EF">
          <w:rPr>
            <w:i/>
            <w:sz w:val="22"/>
            <w:szCs w:val="22"/>
          </w:rPr>
          <w:t xml:space="preserve">9.5 </w:t>
        </w:r>
        <w:r w:rsidR="005044EF" w:rsidRPr="00E21611">
          <w:rPr>
            <w:i/>
            <w:sz w:val="22"/>
            <w:szCs w:val="22"/>
          </w:rPr>
          <w:t>A</w:t>
        </w:r>
      </w:smartTag>
      <w:r w:rsidR="005044EF" w:rsidRPr="00E21611">
        <w:rPr>
          <w:i/>
          <w:sz w:val="22"/>
          <w:szCs w:val="22"/>
        </w:rPr>
        <w:t xml:space="preserve"> qualificação técnica será comprovada mediante:</w:t>
      </w:r>
      <w:r>
        <w:rPr>
          <w:i/>
          <w:sz w:val="22"/>
          <w:szCs w:val="22"/>
        </w:rPr>
        <w:t xml:space="preserve"> </w:t>
      </w:r>
      <w:r w:rsidR="005044EF" w:rsidRPr="005044EF">
        <w:rPr>
          <w:i/>
          <w:sz w:val="22"/>
          <w:szCs w:val="22"/>
        </w:rPr>
        <w:t>9.5.1 apresentação de atestado(s), certidão(ões) ou declaração(ões) fornecidos por pessoas jurídicas, comprovando ter o licitante desempenhado, de forma satisfatória, o fornecimento de pelo menos 10% (dez por cento) da quantidade total de toners para impressoras HP solicitada</w:t>
      </w:r>
      <w:r w:rsidR="00880D39">
        <w:rPr>
          <w:i/>
          <w:sz w:val="22"/>
          <w:szCs w:val="22"/>
        </w:rPr>
        <w:t>s</w:t>
      </w:r>
      <w:r w:rsidR="005044EF" w:rsidRPr="005044EF">
        <w:rPr>
          <w:i/>
          <w:sz w:val="22"/>
          <w:szCs w:val="22"/>
        </w:rPr>
        <w:t xml:space="preserve"> neste edital, ou de outro modelo de impressora HP que utiliza a mesma tecnologia de impressão – Laser Monocromática, com rendimento por cartucho igual ou superior ao modelo </w:t>
      </w:r>
      <w:r w:rsidR="005044EF" w:rsidRPr="00E21611">
        <w:rPr>
          <w:i/>
          <w:sz w:val="22"/>
          <w:szCs w:val="22"/>
        </w:rPr>
        <w:t>CE255X</w:t>
      </w:r>
      <w:r w:rsidR="00E21611">
        <w:rPr>
          <w:i/>
          <w:sz w:val="22"/>
          <w:szCs w:val="22"/>
        </w:rPr>
        <w:t xml:space="preserve"> [...]</w:t>
      </w:r>
      <w:r w:rsidR="005044EF" w:rsidRPr="005044EF">
        <w:rPr>
          <w:i/>
          <w:sz w:val="22"/>
          <w:szCs w:val="22"/>
        </w:rPr>
        <w:t>”</w:t>
      </w:r>
      <w:r>
        <w:rPr>
          <w:sz w:val="22"/>
          <w:szCs w:val="22"/>
        </w:rPr>
        <w:t xml:space="preserve">. </w:t>
      </w:r>
      <w:r w:rsidRPr="005044EF">
        <w:rPr>
          <w:sz w:val="22"/>
          <w:szCs w:val="22"/>
        </w:rPr>
        <w:t>Segundo a representa</w:t>
      </w:r>
      <w:r w:rsidR="00D021E0">
        <w:rPr>
          <w:sz w:val="22"/>
          <w:szCs w:val="22"/>
        </w:rPr>
        <w:t>nte</w:t>
      </w:r>
      <w:r w:rsidRPr="005044EF">
        <w:rPr>
          <w:sz w:val="22"/>
          <w:szCs w:val="22"/>
        </w:rPr>
        <w:t xml:space="preserve">, </w:t>
      </w:r>
      <w:r w:rsidRPr="00D021E0">
        <w:rPr>
          <w:sz w:val="22"/>
          <w:szCs w:val="22"/>
        </w:rPr>
        <w:t xml:space="preserve">a exigência </w:t>
      </w:r>
      <w:r w:rsidR="00E21611">
        <w:rPr>
          <w:sz w:val="22"/>
          <w:szCs w:val="22"/>
        </w:rPr>
        <w:t>editalícia</w:t>
      </w:r>
      <w:r w:rsidRPr="005044EF">
        <w:rPr>
          <w:i/>
          <w:sz w:val="22"/>
          <w:szCs w:val="22"/>
        </w:rPr>
        <w:t xml:space="preserve"> </w:t>
      </w:r>
      <w:r w:rsidR="00D021E0">
        <w:rPr>
          <w:i/>
          <w:sz w:val="22"/>
          <w:szCs w:val="22"/>
        </w:rPr>
        <w:t>“</w:t>
      </w:r>
      <w:r w:rsidRPr="005044EF">
        <w:rPr>
          <w:i/>
          <w:sz w:val="22"/>
          <w:szCs w:val="22"/>
        </w:rPr>
        <w:t>de que se comprove, por meio de certificados, o fornecimento mínimo de 10% do objeto, especificando a marca e modelo do toner</w:t>
      </w:r>
      <w:r w:rsidR="00D021E0">
        <w:rPr>
          <w:i/>
          <w:sz w:val="22"/>
          <w:szCs w:val="22"/>
        </w:rPr>
        <w:t>”</w:t>
      </w:r>
      <w:r w:rsidRPr="005044EF">
        <w:rPr>
          <w:i/>
          <w:sz w:val="22"/>
          <w:szCs w:val="22"/>
        </w:rPr>
        <w:t xml:space="preserve"> </w:t>
      </w:r>
      <w:r w:rsidRPr="00D021E0">
        <w:rPr>
          <w:sz w:val="22"/>
          <w:szCs w:val="22"/>
        </w:rPr>
        <w:t>ofende</w:t>
      </w:r>
      <w:r w:rsidR="00D021E0">
        <w:rPr>
          <w:sz w:val="22"/>
          <w:szCs w:val="22"/>
        </w:rPr>
        <w:t>ria</w:t>
      </w:r>
      <w:r w:rsidRPr="00D021E0">
        <w:rPr>
          <w:sz w:val="22"/>
          <w:szCs w:val="22"/>
        </w:rPr>
        <w:t xml:space="preserve"> os princípios da impessoalidade, da isonomia, da razoabilidade da proposta e da ampla concorrência</w:t>
      </w:r>
      <w:r>
        <w:rPr>
          <w:sz w:val="22"/>
          <w:szCs w:val="22"/>
        </w:rPr>
        <w:t xml:space="preserve">. </w:t>
      </w:r>
      <w:r w:rsidR="00D021E0">
        <w:rPr>
          <w:sz w:val="22"/>
          <w:szCs w:val="22"/>
        </w:rPr>
        <w:t>A</w:t>
      </w:r>
      <w:r>
        <w:rPr>
          <w:sz w:val="22"/>
          <w:szCs w:val="22"/>
        </w:rPr>
        <w:t xml:space="preserve"> unidade técnica do TCU concluiu que </w:t>
      </w:r>
      <w:r w:rsidR="005044EF" w:rsidRPr="005044EF">
        <w:rPr>
          <w:sz w:val="22"/>
          <w:szCs w:val="22"/>
        </w:rPr>
        <w:t>tal previsão estaria</w:t>
      </w:r>
      <w:r>
        <w:rPr>
          <w:sz w:val="22"/>
          <w:szCs w:val="22"/>
        </w:rPr>
        <w:t>, de fato,</w:t>
      </w:r>
      <w:r w:rsidR="005044EF" w:rsidRPr="005044EF">
        <w:rPr>
          <w:sz w:val="22"/>
          <w:szCs w:val="22"/>
        </w:rPr>
        <w:t xml:space="preserve"> limitando a concorrência e possibilitando o direcionamento da licitação, em desacordo com a legislação vigente.</w:t>
      </w:r>
      <w:r>
        <w:rPr>
          <w:sz w:val="22"/>
          <w:szCs w:val="22"/>
        </w:rPr>
        <w:t xml:space="preserve"> Ao dissentir da unidade instrutiva, o relator </w:t>
      </w:r>
      <w:r w:rsidR="00D021E0">
        <w:rPr>
          <w:sz w:val="22"/>
          <w:szCs w:val="22"/>
        </w:rPr>
        <w:t>considerou improcedente a alegação</w:t>
      </w:r>
      <w:r w:rsidR="005044EF" w:rsidRPr="005044EF">
        <w:rPr>
          <w:sz w:val="22"/>
          <w:szCs w:val="22"/>
        </w:rPr>
        <w:t xml:space="preserve"> de que </w:t>
      </w:r>
      <w:r w:rsidR="00EC7BCE">
        <w:rPr>
          <w:sz w:val="22"/>
          <w:szCs w:val="22"/>
        </w:rPr>
        <w:t>o edital</w:t>
      </w:r>
      <w:r w:rsidR="005044EF" w:rsidRPr="005044EF">
        <w:rPr>
          <w:sz w:val="22"/>
          <w:szCs w:val="22"/>
        </w:rPr>
        <w:t xml:space="preserve"> estaria especificando a marca e o modelo do </w:t>
      </w:r>
      <w:r w:rsidR="005044EF" w:rsidRPr="005044EF">
        <w:rPr>
          <w:i/>
          <w:sz w:val="22"/>
          <w:szCs w:val="22"/>
        </w:rPr>
        <w:t>toner</w:t>
      </w:r>
      <w:r w:rsidR="005044EF" w:rsidRPr="005044EF">
        <w:rPr>
          <w:sz w:val="22"/>
          <w:szCs w:val="22"/>
        </w:rPr>
        <w:t xml:space="preserve"> pretendido</w:t>
      </w:r>
      <w:r>
        <w:rPr>
          <w:sz w:val="22"/>
          <w:szCs w:val="22"/>
        </w:rPr>
        <w:t>, isso porque, c</w:t>
      </w:r>
      <w:r w:rsidR="005044EF" w:rsidRPr="005044EF">
        <w:rPr>
          <w:sz w:val="22"/>
          <w:szCs w:val="22"/>
        </w:rPr>
        <w:t>onforme consta</w:t>
      </w:r>
      <w:r>
        <w:rPr>
          <w:sz w:val="22"/>
          <w:szCs w:val="22"/>
        </w:rPr>
        <w:t>va</w:t>
      </w:r>
      <w:r w:rsidR="005044EF" w:rsidRPr="005044EF">
        <w:rPr>
          <w:sz w:val="22"/>
          <w:szCs w:val="22"/>
        </w:rPr>
        <w:t xml:space="preserve"> da análise do recurso interposto junto à CEF pela </w:t>
      </w:r>
      <w:r w:rsidR="00D021E0">
        <w:rPr>
          <w:sz w:val="22"/>
          <w:szCs w:val="22"/>
        </w:rPr>
        <w:t xml:space="preserve">própria </w:t>
      </w:r>
      <w:r w:rsidR="005044EF" w:rsidRPr="005044EF">
        <w:rPr>
          <w:sz w:val="22"/>
          <w:szCs w:val="22"/>
        </w:rPr>
        <w:t xml:space="preserve">representante, </w:t>
      </w:r>
      <w:r w:rsidR="005044EF" w:rsidRPr="005044EF">
        <w:rPr>
          <w:i/>
          <w:sz w:val="22"/>
          <w:szCs w:val="22"/>
        </w:rPr>
        <w:t xml:space="preserve">“são aceitos atestados que comprovem o fornecimento de toner para impressoras da marca HP, </w:t>
      </w:r>
      <w:r w:rsidR="005044EF" w:rsidRPr="00EC7BCE">
        <w:rPr>
          <w:i/>
          <w:sz w:val="22"/>
          <w:szCs w:val="22"/>
        </w:rPr>
        <w:t>não sendo obrigatório que os toners sejam da marca HP</w:t>
      </w:r>
      <w:r w:rsidR="005044EF" w:rsidRPr="005044EF">
        <w:rPr>
          <w:i/>
          <w:sz w:val="22"/>
          <w:szCs w:val="22"/>
        </w:rPr>
        <w:t>”</w:t>
      </w:r>
      <w:r w:rsidR="005044EF" w:rsidRPr="005044EF">
        <w:rPr>
          <w:sz w:val="22"/>
          <w:szCs w:val="22"/>
        </w:rPr>
        <w:t xml:space="preserve">. </w:t>
      </w:r>
      <w:r w:rsidR="00D021E0">
        <w:rPr>
          <w:sz w:val="22"/>
          <w:szCs w:val="22"/>
        </w:rPr>
        <w:t>O</w:t>
      </w:r>
      <w:r>
        <w:rPr>
          <w:sz w:val="22"/>
          <w:szCs w:val="22"/>
        </w:rPr>
        <w:t xml:space="preserve"> relator considerou</w:t>
      </w:r>
      <w:r w:rsidR="005044EF" w:rsidRPr="005044EF">
        <w:rPr>
          <w:sz w:val="22"/>
          <w:szCs w:val="22"/>
        </w:rPr>
        <w:t xml:space="preserve"> igualmente infundada a outra parte da </w:t>
      </w:r>
      <w:r w:rsidR="00D021E0">
        <w:rPr>
          <w:sz w:val="22"/>
          <w:szCs w:val="22"/>
        </w:rPr>
        <w:t>representação</w:t>
      </w:r>
      <w:r w:rsidR="005044EF" w:rsidRPr="005044EF">
        <w:rPr>
          <w:sz w:val="22"/>
          <w:szCs w:val="22"/>
        </w:rPr>
        <w:t xml:space="preserve">, </w:t>
      </w:r>
      <w:r w:rsidR="00BA119F">
        <w:rPr>
          <w:sz w:val="22"/>
          <w:szCs w:val="22"/>
        </w:rPr>
        <w:t>que questionava</w:t>
      </w:r>
      <w:r w:rsidR="005044EF" w:rsidRPr="005044EF">
        <w:rPr>
          <w:sz w:val="22"/>
          <w:szCs w:val="22"/>
        </w:rPr>
        <w:t xml:space="preserve"> a exigência de atestados </w:t>
      </w:r>
      <w:r w:rsidR="00D021E0">
        <w:rPr>
          <w:sz w:val="22"/>
          <w:szCs w:val="22"/>
        </w:rPr>
        <w:t>comprovando</w:t>
      </w:r>
      <w:r w:rsidR="005044EF" w:rsidRPr="005044EF">
        <w:rPr>
          <w:sz w:val="22"/>
          <w:szCs w:val="22"/>
        </w:rPr>
        <w:t xml:space="preserve"> o fornecimento anterior de pelo menos 10% da quantidade total de </w:t>
      </w:r>
      <w:r w:rsidR="005044EF" w:rsidRPr="005044EF">
        <w:rPr>
          <w:i/>
          <w:sz w:val="22"/>
          <w:szCs w:val="22"/>
        </w:rPr>
        <w:t>toners</w:t>
      </w:r>
      <w:r w:rsidR="005044EF" w:rsidRPr="005044EF">
        <w:rPr>
          <w:sz w:val="22"/>
          <w:szCs w:val="22"/>
        </w:rPr>
        <w:t xml:space="preserve"> para impressoras HP </w:t>
      </w:r>
      <w:r w:rsidR="00E21611">
        <w:rPr>
          <w:sz w:val="22"/>
          <w:szCs w:val="22"/>
        </w:rPr>
        <w:t>solicitada</w:t>
      </w:r>
      <w:r w:rsidR="00880D39">
        <w:rPr>
          <w:sz w:val="22"/>
          <w:szCs w:val="22"/>
        </w:rPr>
        <w:t>s</w:t>
      </w:r>
      <w:r w:rsidR="00CE5163">
        <w:rPr>
          <w:sz w:val="22"/>
          <w:szCs w:val="22"/>
        </w:rPr>
        <w:t xml:space="preserve"> no edital</w:t>
      </w:r>
      <w:r w:rsidR="00880D39">
        <w:rPr>
          <w:sz w:val="22"/>
          <w:szCs w:val="22"/>
        </w:rPr>
        <w:t>,</w:t>
      </w:r>
      <w:r w:rsidR="00CE5163">
        <w:rPr>
          <w:sz w:val="22"/>
          <w:szCs w:val="22"/>
        </w:rPr>
        <w:t xml:space="preserve"> </w:t>
      </w:r>
      <w:r w:rsidR="005044EF" w:rsidRPr="005044EF">
        <w:rPr>
          <w:sz w:val="22"/>
          <w:szCs w:val="22"/>
        </w:rPr>
        <w:t>ou para outro modelo de impressora HP que utiliz</w:t>
      </w:r>
      <w:r w:rsidR="00BA119F">
        <w:rPr>
          <w:sz w:val="22"/>
          <w:szCs w:val="22"/>
        </w:rPr>
        <w:t>asse</w:t>
      </w:r>
      <w:r w:rsidR="005044EF" w:rsidRPr="005044EF">
        <w:rPr>
          <w:sz w:val="22"/>
          <w:szCs w:val="22"/>
        </w:rPr>
        <w:t xml:space="preserve"> a mesma tecnologia de impressão.</w:t>
      </w:r>
      <w:r w:rsidR="0069532E">
        <w:rPr>
          <w:sz w:val="22"/>
          <w:szCs w:val="22"/>
        </w:rPr>
        <w:t xml:space="preserve"> Para </w:t>
      </w:r>
      <w:r w:rsidR="00CE5163">
        <w:rPr>
          <w:sz w:val="22"/>
          <w:szCs w:val="22"/>
        </w:rPr>
        <w:t>ele</w:t>
      </w:r>
      <w:r w:rsidR="0069532E">
        <w:rPr>
          <w:sz w:val="22"/>
          <w:szCs w:val="22"/>
        </w:rPr>
        <w:t xml:space="preserve">, não </w:t>
      </w:r>
      <w:r w:rsidR="00CE5163">
        <w:rPr>
          <w:sz w:val="22"/>
          <w:szCs w:val="22"/>
        </w:rPr>
        <w:t>foi</w:t>
      </w:r>
      <w:r w:rsidR="0069532E">
        <w:rPr>
          <w:sz w:val="22"/>
          <w:szCs w:val="22"/>
        </w:rPr>
        <w:t xml:space="preserve"> </w:t>
      </w:r>
      <w:r w:rsidR="00EC7BCE" w:rsidRPr="00EC7BCE">
        <w:rPr>
          <w:i/>
          <w:sz w:val="22"/>
          <w:szCs w:val="22"/>
        </w:rPr>
        <w:t>“</w:t>
      </w:r>
      <w:r w:rsidR="005044EF" w:rsidRPr="00EC7BCE">
        <w:rPr>
          <w:i/>
          <w:sz w:val="22"/>
          <w:szCs w:val="22"/>
        </w:rPr>
        <w:t>despropositado o procedimento utilizado na convocação</w:t>
      </w:r>
      <w:r w:rsidR="00EC7BCE" w:rsidRPr="00EC7BCE">
        <w:rPr>
          <w:i/>
          <w:sz w:val="22"/>
          <w:szCs w:val="22"/>
        </w:rPr>
        <w:t>”</w:t>
      </w:r>
      <w:r w:rsidR="005044EF" w:rsidRPr="005044EF">
        <w:rPr>
          <w:sz w:val="22"/>
          <w:szCs w:val="22"/>
        </w:rPr>
        <w:t>, até porque o discutido critério buscou, na essência, possibilitar que a seleção recaísse em licitante que detivesse a efetiva condição de desempenhar satisfatoriamente o objeto licitado.</w:t>
      </w:r>
      <w:r w:rsidR="0069532E">
        <w:rPr>
          <w:sz w:val="22"/>
          <w:szCs w:val="22"/>
        </w:rPr>
        <w:t xml:space="preserve"> </w:t>
      </w:r>
      <w:r w:rsidR="00EC7BCE">
        <w:rPr>
          <w:sz w:val="22"/>
          <w:szCs w:val="22"/>
        </w:rPr>
        <w:t>A</w:t>
      </w:r>
      <w:r w:rsidR="0069532E">
        <w:rPr>
          <w:sz w:val="22"/>
          <w:szCs w:val="22"/>
        </w:rPr>
        <w:t xml:space="preserve"> Administração, </w:t>
      </w:r>
      <w:r w:rsidR="005044EF" w:rsidRPr="005044EF">
        <w:rPr>
          <w:sz w:val="22"/>
          <w:szCs w:val="22"/>
        </w:rPr>
        <w:t xml:space="preserve">atentando especialmente para o interesse coletivo, </w:t>
      </w:r>
      <w:r w:rsidR="0069532E" w:rsidRPr="0069532E">
        <w:rPr>
          <w:i/>
          <w:sz w:val="22"/>
          <w:szCs w:val="22"/>
        </w:rPr>
        <w:t>“</w:t>
      </w:r>
      <w:r w:rsidR="005044EF" w:rsidRPr="0069532E">
        <w:rPr>
          <w:i/>
          <w:sz w:val="22"/>
          <w:szCs w:val="22"/>
        </w:rPr>
        <w:t>tem o poder-dever de exigir</w:t>
      </w:r>
      <w:r w:rsidR="0069532E" w:rsidRPr="0069532E">
        <w:rPr>
          <w:i/>
          <w:sz w:val="22"/>
          <w:szCs w:val="22"/>
        </w:rPr>
        <w:t>,</w:t>
      </w:r>
      <w:r w:rsidR="005044EF" w:rsidRPr="0069532E">
        <w:rPr>
          <w:i/>
          <w:sz w:val="22"/>
          <w:szCs w:val="22"/>
        </w:rPr>
        <w:t xml:space="preserve"> em suas contratações</w:t>
      </w:r>
      <w:r w:rsidR="0069532E" w:rsidRPr="0069532E">
        <w:rPr>
          <w:i/>
          <w:sz w:val="22"/>
          <w:szCs w:val="22"/>
        </w:rPr>
        <w:t>,</w:t>
      </w:r>
      <w:r w:rsidR="005044EF" w:rsidRPr="0069532E">
        <w:rPr>
          <w:i/>
          <w:sz w:val="22"/>
          <w:szCs w:val="22"/>
        </w:rPr>
        <w:t xml:space="preserve"> os requisitos considerados indispensáveis à boa e regular execução do objeto que constituirá encargo da futura contratada</w:t>
      </w:r>
      <w:r w:rsidR="0069532E" w:rsidRPr="0069532E">
        <w:rPr>
          <w:i/>
          <w:sz w:val="22"/>
          <w:szCs w:val="22"/>
        </w:rPr>
        <w:t>”</w:t>
      </w:r>
      <w:r w:rsidR="005044EF" w:rsidRPr="005044EF">
        <w:rPr>
          <w:sz w:val="22"/>
          <w:szCs w:val="22"/>
        </w:rPr>
        <w:t>.</w:t>
      </w:r>
      <w:r w:rsidR="0069532E">
        <w:rPr>
          <w:sz w:val="22"/>
          <w:szCs w:val="22"/>
        </w:rPr>
        <w:t xml:space="preserve"> </w:t>
      </w:r>
      <w:r w:rsidR="00CE5163">
        <w:rPr>
          <w:sz w:val="22"/>
          <w:szCs w:val="22"/>
        </w:rPr>
        <w:t>Nesse sentido</w:t>
      </w:r>
      <w:r w:rsidR="0069532E">
        <w:rPr>
          <w:sz w:val="22"/>
          <w:szCs w:val="22"/>
        </w:rPr>
        <w:t xml:space="preserve">, </w:t>
      </w:r>
      <w:r w:rsidR="0069532E" w:rsidRPr="0069532E">
        <w:rPr>
          <w:i/>
          <w:sz w:val="22"/>
          <w:szCs w:val="22"/>
        </w:rPr>
        <w:t>“</w:t>
      </w:r>
      <w:r w:rsidR="005044EF" w:rsidRPr="0069532E">
        <w:rPr>
          <w:i/>
          <w:sz w:val="22"/>
          <w:szCs w:val="22"/>
        </w:rPr>
        <w:t>o princípio que refuta a restrição ao caráter competitivo não é absoluto, representando essencialmente a expressão sintetizada de uma orientação vista em caráter de generalidade</w:t>
      </w:r>
      <w:r w:rsidR="0069532E" w:rsidRPr="0069532E">
        <w:rPr>
          <w:i/>
          <w:sz w:val="22"/>
          <w:szCs w:val="22"/>
        </w:rPr>
        <w:t>”</w:t>
      </w:r>
      <w:r w:rsidR="005044EF" w:rsidRPr="005044EF">
        <w:rPr>
          <w:sz w:val="22"/>
          <w:szCs w:val="22"/>
        </w:rPr>
        <w:t xml:space="preserve">. </w:t>
      </w:r>
      <w:r w:rsidR="00BA119F">
        <w:rPr>
          <w:sz w:val="22"/>
          <w:szCs w:val="22"/>
        </w:rPr>
        <w:t>Portanto, p</w:t>
      </w:r>
      <w:r w:rsidR="0069532E">
        <w:rPr>
          <w:sz w:val="22"/>
          <w:szCs w:val="22"/>
        </w:rPr>
        <w:t xml:space="preserve">ara o relator, </w:t>
      </w:r>
      <w:r w:rsidR="005044EF" w:rsidRPr="005044EF">
        <w:rPr>
          <w:sz w:val="22"/>
          <w:szCs w:val="22"/>
        </w:rPr>
        <w:t xml:space="preserve">a invalidade não reside na restrição em si mesma, mas na incompatibilidade dessa restrição com o objeto da licitação. </w:t>
      </w:r>
      <w:r w:rsidR="00CE5163">
        <w:rPr>
          <w:sz w:val="22"/>
          <w:szCs w:val="22"/>
        </w:rPr>
        <w:t>Na verdade</w:t>
      </w:r>
      <w:r w:rsidR="005044EF" w:rsidRPr="005044EF">
        <w:rPr>
          <w:sz w:val="22"/>
          <w:szCs w:val="22"/>
        </w:rPr>
        <w:t xml:space="preserve">, </w:t>
      </w:r>
      <w:r w:rsidR="00B02CBF">
        <w:rPr>
          <w:i/>
          <w:sz w:val="22"/>
          <w:szCs w:val="22"/>
        </w:rPr>
        <w:t>“</w:t>
      </w:r>
      <w:r w:rsidR="005044EF" w:rsidRPr="00B02CBF">
        <w:rPr>
          <w:i/>
          <w:sz w:val="22"/>
          <w:szCs w:val="22"/>
        </w:rPr>
        <w:t>o que importa saber é se a restrição é desproporcional às necessidades da Administração, ou seja, se ela atende ou não ao interesse público, este considerado sempre indisponível</w:t>
      </w:r>
      <w:r w:rsidR="00B02CBF">
        <w:rPr>
          <w:i/>
          <w:sz w:val="22"/>
          <w:szCs w:val="22"/>
        </w:rPr>
        <w:t>”</w:t>
      </w:r>
      <w:r w:rsidR="005044EF" w:rsidRPr="005044EF">
        <w:rPr>
          <w:sz w:val="22"/>
          <w:szCs w:val="22"/>
        </w:rPr>
        <w:t>.</w:t>
      </w:r>
      <w:r w:rsidR="00B02CBF">
        <w:rPr>
          <w:sz w:val="22"/>
          <w:szCs w:val="22"/>
        </w:rPr>
        <w:t xml:space="preserve"> Ao final, o Plenário</w:t>
      </w:r>
      <w:r w:rsidR="00721C7E">
        <w:rPr>
          <w:sz w:val="22"/>
          <w:szCs w:val="22"/>
        </w:rPr>
        <w:t>, nos termos do voto do relator,</w:t>
      </w:r>
      <w:r w:rsidR="00B02CBF">
        <w:rPr>
          <w:sz w:val="22"/>
          <w:szCs w:val="22"/>
        </w:rPr>
        <w:t xml:space="preserve"> decidiu considerar improcedente a representação. </w:t>
      </w:r>
      <w:r w:rsidR="005044EF" w:rsidRPr="00337E16">
        <w:rPr>
          <w:b/>
          <w:i/>
          <w:sz w:val="22"/>
          <w:szCs w:val="22"/>
        </w:rPr>
        <w:t>Acórdão n.º 1</w:t>
      </w:r>
      <w:r w:rsidR="005044EF">
        <w:rPr>
          <w:b/>
          <w:i/>
          <w:sz w:val="22"/>
          <w:szCs w:val="22"/>
        </w:rPr>
        <w:t>890</w:t>
      </w:r>
      <w:r w:rsidR="005044EF" w:rsidRPr="00337E16">
        <w:rPr>
          <w:b/>
          <w:i/>
          <w:sz w:val="22"/>
          <w:szCs w:val="22"/>
        </w:rPr>
        <w:t>/2010</w:t>
      </w:r>
      <w:r w:rsidR="005044EF">
        <w:rPr>
          <w:b/>
          <w:i/>
          <w:sz w:val="22"/>
          <w:szCs w:val="22"/>
        </w:rPr>
        <w:t>-Plenário</w:t>
      </w:r>
      <w:r w:rsidR="005044EF" w:rsidRPr="00337E16">
        <w:rPr>
          <w:b/>
          <w:i/>
          <w:sz w:val="22"/>
          <w:szCs w:val="22"/>
        </w:rPr>
        <w:t>, TC-0</w:t>
      </w:r>
      <w:r w:rsidR="005044EF">
        <w:rPr>
          <w:b/>
          <w:i/>
          <w:sz w:val="22"/>
          <w:szCs w:val="22"/>
        </w:rPr>
        <w:t>18</w:t>
      </w:r>
      <w:r w:rsidR="005044EF" w:rsidRPr="00337E16">
        <w:rPr>
          <w:b/>
          <w:i/>
          <w:sz w:val="22"/>
          <w:szCs w:val="22"/>
        </w:rPr>
        <w:t>.</w:t>
      </w:r>
      <w:r w:rsidR="005044EF">
        <w:rPr>
          <w:b/>
          <w:i/>
          <w:sz w:val="22"/>
          <w:szCs w:val="22"/>
        </w:rPr>
        <w:t>017</w:t>
      </w:r>
      <w:r w:rsidR="005044EF" w:rsidRPr="00337E16">
        <w:rPr>
          <w:b/>
          <w:i/>
          <w:sz w:val="22"/>
          <w:szCs w:val="22"/>
        </w:rPr>
        <w:t>/20</w:t>
      </w:r>
      <w:r w:rsidR="005044EF">
        <w:rPr>
          <w:b/>
          <w:i/>
          <w:sz w:val="22"/>
          <w:szCs w:val="22"/>
        </w:rPr>
        <w:t>10</w:t>
      </w:r>
      <w:r w:rsidR="005044EF" w:rsidRPr="00337E16">
        <w:rPr>
          <w:b/>
          <w:i/>
          <w:sz w:val="22"/>
          <w:szCs w:val="22"/>
        </w:rPr>
        <w:t>-</w:t>
      </w:r>
      <w:r w:rsidR="005044EF">
        <w:rPr>
          <w:b/>
          <w:i/>
          <w:sz w:val="22"/>
          <w:szCs w:val="22"/>
        </w:rPr>
        <w:t>0</w:t>
      </w:r>
      <w:r w:rsidR="005044EF" w:rsidRPr="00337E16">
        <w:rPr>
          <w:b/>
          <w:i/>
          <w:sz w:val="22"/>
          <w:szCs w:val="22"/>
        </w:rPr>
        <w:t>, rel. Min</w:t>
      </w:r>
      <w:r w:rsidR="005044EF">
        <w:rPr>
          <w:b/>
          <w:i/>
          <w:sz w:val="22"/>
          <w:szCs w:val="22"/>
        </w:rPr>
        <w:t>. Valmir Campelo</w:t>
      </w:r>
      <w:r w:rsidR="005044EF" w:rsidRPr="00337E16">
        <w:rPr>
          <w:b/>
          <w:i/>
          <w:sz w:val="22"/>
          <w:szCs w:val="22"/>
        </w:rPr>
        <w:t xml:space="preserve">, </w:t>
      </w:r>
      <w:r w:rsidR="005044EF">
        <w:rPr>
          <w:b/>
          <w:i/>
          <w:sz w:val="22"/>
          <w:szCs w:val="22"/>
        </w:rPr>
        <w:t>04</w:t>
      </w:r>
      <w:r w:rsidR="005044EF" w:rsidRPr="00337E16">
        <w:rPr>
          <w:b/>
          <w:i/>
          <w:sz w:val="22"/>
          <w:szCs w:val="22"/>
        </w:rPr>
        <w:t>.0</w:t>
      </w:r>
      <w:r w:rsidR="005044EF">
        <w:rPr>
          <w:b/>
          <w:i/>
          <w:sz w:val="22"/>
          <w:szCs w:val="22"/>
        </w:rPr>
        <w:t>8</w:t>
      </w:r>
      <w:r w:rsidR="005044EF" w:rsidRPr="00337E16">
        <w:rPr>
          <w:b/>
          <w:i/>
          <w:sz w:val="22"/>
          <w:szCs w:val="22"/>
        </w:rPr>
        <w:t>.2010</w:t>
      </w:r>
      <w:r w:rsidR="005044EF" w:rsidRPr="00337E16">
        <w:rPr>
          <w:sz w:val="22"/>
          <w:szCs w:val="22"/>
        </w:rPr>
        <w:t>.</w:t>
      </w:r>
    </w:p>
    <w:p w:rsidR="003B6E77" w:rsidRDefault="003B6E77" w:rsidP="00F30016">
      <w:pPr>
        <w:pStyle w:val="Pargrafo"/>
        <w:jc w:val="both"/>
        <w:rPr>
          <w:sz w:val="22"/>
          <w:szCs w:val="22"/>
        </w:rPr>
      </w:pPr>
    </w:p>
    <w:p w:rsidR="0024084E" w:rsidRPr="0024084E" w:rsidRDefault="00C32633" w:rsidP="0024084E">
      <w:pPr>
        <w:pStyle w:val="indice"/>
        <w:tabs>
          <w:tab w:val="left" w:pos="567"/>
        </w:tabs>
        <w:spacing w:before="60" w:line="240" w:lineRule="auto"/>
        <w:rPr>
          <w:b/>
        </w:rPr>
      </w:pPr>
      <w:r>
        <w:rPr>
          <w:b/>
        </w:rPr>
        <w:t>P</w:t>
      </w:r>
      <w:r w:rsidR="0024084E" w:rsidRPr="0024084E">
        <w:rPr>
          <w:b/>
        </w:rPr>
        <w:t>ossibilidade de a vedação constante do art. 9º, III, da Lei n.º 8.666/93 ser estendida, por aplicação analógica, ao dirigente que autoriza e homologa licitação</w:t>
      </w:r>
      <w:r w:rsidR="00721C7E">
        <w:rPr>
          <w:b/>
        </w:rPr>
        <w:t xml:space="preserve"> vencida pelo seu enteado</w:t>
      </w:r>
    </w:p>
    <w:p w:rsidR="0024084E" w:rsidRPr="00337E16" w:rsidRDefault="00F72884" w:rsidP="0024084E">
      <w:pPr>
        <w:pStyle w:val="Pargrafo"/>
        <w:jc w:val="both"/>
        <w:rPr>
          <w:sz w:val="22"/>
          <w:szCs w:val="22"/>
        </w:rPr>
      </w:pPr>
      <w:r>
        <w:rPr>
          <w:sz w:val="22"/>
          <w:szCs w:val="22"/>
        </w:rPr>
        <w:t>Em sede de r</w:t>
      </w:r>
      <w:r w:rsidR="0024084E" w:rsidRPr="0024084E">
        <w:rPr>
          <w:sz w:val="22"/>
          <w:szCs w:val="22"/>
        </w:rPr>
        <w:t xml:space="preserve">epresentação formulada </w:t>
      </w:r>
      <w:r>
        <w:rPr>
          <w:sz w:val="22"/>
          <w:szCs w:val="22"/>
        </w:rPr>
        <w:t>ao TCU</w:t>
      </w:r>
      <w:r w:rsidR="0024084E" w:rsidRPr="0024084E">
        <w:rPr>
          <w:sz w:val="22"/>
          <w:szCs w:val="22"/>
        </w:rPr>
        <w:t xml:space="preserve"> contra possíveis irregularidades </w:t>
      </w:r>
      <w:r w:rsidR="006B65EC">
        <w:rPr>
          <w:sz w:val="22"/>
          <w:szCs w:val="22"/>
        </w:rPr>
        <w:t>em licitação</w:t>
      </w:r>
      <w:r w:rsidR="0024084E" w:rsidRPr="0024084E">
        <w:rPr>
          <w:sz w:val="22"/>
          <w:szCs w:val="22"/>
        </w:rPr>
        <w:t xml:space="preserve"> </w:t>
      </w:r>
      <w:r>
        <w:rPr>
          <w:sz w:val="22"/>
          <w:szCs w:val="22"/>
        </w:rPr>
        <w:t>conduzida pela</w:t>
      </w:r>
      <w:r w:rsidR="0024084E" w:rsidRPr="0024084E">
        <w:rPr>
          <w:sz w:val="22"/>
          <w:szCs w:val="22"/>
        </w:rPr>
        <w:t xml:space="preserve"> Diretoria de Infraestrutura Ferroviária do Departamento Nacional de Infraestrutura de Transportes </w:t>
      </w:r>
      <w:r>
        <w:rPr>
          <w:sz w:val="22"/>
          <w:szCs w:val="22"/>
        </w:rPr>
        <w:t>(</w:t>
      </w:r>
      <w:r w:rsidR="0024084E" w:rsidRPr="0024084E">
        <w:rPr>
          <w:sz w:val="22"/>
          <w:szCs w:val="22"/>
        </w:rPr>
        <w:t>DIF/DNIT</w:t>
      </w:r>
      <w:r>
        <w:rPr>
          <w:sz w:val="22"/>
          <w:szCs w:val="22"/>
        </w:rPr>
        <w:t>)</w:t>
      </w:r>
      <w:r w:rsidR="0024084E" w:rsidRPr="0024084E">
        <w:rPr>
          <w:sz w:val="22"/>
          <w:szCs w:val="22"/>
        </w:rPr>
        <w:t xml:space="preserve">, </w:t>
      </w:r>
      <w:r>
        <w:rPr>
          <w:sz w:val="22"/>
          <w:szCs w:val="22"/>
        </w:rPr>
        <w:t xml:space="preserve">foi </w:t>
      </w:r>
      <w:r w:rsidRPr="0024084E">
        <w:rPr>
          <w:sz w:val="22"/>
          <w:szCs w:val="22"/>
        </w:rPr>
        <w:t>prolat</w:t>
      </w:r>
      <w:r>
        <w:rPr>
          <w:sz w:val="22"/>
          <w:szCs w:val="22"/>
        </w:rPr>
        <w:t>ado</w:t>
      </w:r>
      <w:r w:rsidRPr="0024084E">
        <w:rPr>
          <w:sz w:val="22"/>
          <w:szCs w:val="22"/>
        </w:rPr>
        <w:t xml:space="preserve"> o Acórdão </w:t>
      </w:r>
      <w:r>
        <w:rPr>
          <w:sz w:val="22"/>
          <w:szCs w:val="22"/>
        </w:rPr>
        <w:t xml:space="preserve">n.º </w:t>
      </w:r>
      <w:r w:rsidRPr="0024084E">
        <w:rPr>
          <w:sz w:val="22"/>
          <w:szCs w:val="22"/>
        </w:rPr>
        <w:t>2.105/2008</w:t>
      </w:r>
      <w:r>
        <w:rPr>
          <w:sz w:val="22"/>
          <w:szCs w:val="22"/>
        </w:rPr>
        <w:t xml:space="preserve">, por meio do qual </w:t>
      </w:r>
      <w:r w:rsidR="0024084E" w:rsidRPr="0024084E">
        <w:rPr>
          <w:sz w:val="22"/>
          <w:szCs w:val="22"/>
        </w:rPr>
        <w:t xml:space="preserve">o Plenário </w:t>
      </w:r>
      <w:r>
        <w:rPr>
          <w:sz w:val="22"/>
          <w:szCs w:val="22"/>
        </w:rPr>
        <w:t xml:space="preserve">decidiu </w:t>
      </w:r>
      <w:r w:rsidR="00A97714">
        <w:rPr>
          <w:sz w:val="22"/>
          <w:szCs w:val="22"/>
        </w:rPr>
        <w:t xml:space="preserve">fixar prazo </w:t>
      </w:r>
      <w:r w:rsidR="006B65EC">
        <w:rPr>
          <w:sz w:val="22"/>
          <w:szCs w:val="22"/>
        </w:rPr>
        <w:t>a</w:t>
      </w:r>
      <w:r w:rsidR="00A97714">
        <w:rPr>
          <w:sz w:val="22"/>
          <w:szCs w:val="22"/>
        </w:rPr>
        <w:t xml:space="preserve">o </w:t>
      </w:r>
      <w:r w:rsidR="003F5DF0">
        <w:rPr>
          <w:sz w:val="22"/>
          <w:szCs w:val="22"/>
        </w:rPr>
        <w:t>DNIT</w:t>
      </w:r>
      <w:r w:rsidR="00A97714">
        <w:rPr>
          <w:sz w:val="22"/>
          <w:szCs w:val="22"/>
        </w:rPr>
        <w:t xml:space="preserve"> </w:t>
      </w:r>
      <w:r w:rsidR="006B65EC">
        <w:rPr>
          <w:sz w:val="22"/>
          <w:szCs w:val="22"/>
        </w:rPr>
        <w:t xml:space="preserve">para </w:t>
      </w:r>
      <w:r w:rsidR="00A97714">
        <w:rPr>
          <w:sz w:val="22"/>
          <w:szCs w:val="22"/>
        </w:rPr>
        <w:t xml:space="preserve">anular </w:t>
      </w:r>
      <w:r w:rsidR="006B65EC">
        <w:rPr>
          <w:sz w:val="22"/>
          <w:szCs w:val="22"/>
        </w:rPr>
        <w:t>o</w:t>
      </w:r>
      <w:r w:rsidR="00A97714">
        <w:rPr>
          <w:sz w:val="22"/>
          <w:szCs w:val="22"/>
        </w:rPr>
        <w:t xml:space="preserve"> </w:t>
      </w:r>
      <w:r w:rsidR="006B65EC">
        <w:rPr>
          <w:sz w:val="22"/>
          <w:szCs w:val="22"/>
        </w:rPr>
        <w:t>certame</w:t>
      </w:r>
      <w:r w:rsidR="00A97714">
        <w:rPr>
          <w:sz w:val="22"/>
          <w:szCs w:val="22"/>
        </w:rPr>
        <w:t>, e, em consequência, o contrato del</w:t>
      </w:r>
      <w:r w:rsidR="006B65EC">
        <w:rPr>
          <w:sz w:val="22"/>
          <w:szCs w:val="22"/>
        </w:rPr>
        <w:t>e</w:t>
      </w:r>
      <w:r w:rsidR="00A97714">
        <w:rPr>
          <w:sz w:val="22"/>
          <w:szCs w:val="22"/>
        </w:rPr>
        <w:t xml:space="preserve"> decorrente, bem como </w:t>
      </w:r>
      <w:r w:rsidR="0024084E" w:rsidRPr="006B65EC">
        <w:rPr>
          <w:sz w:val="22"/>
          <w:szCs w:val="22"/>
        </w:rPr>
        <w:t>realizar a audiência</w:t>
      </w:r>
      <w:r w:rsidR="0024084E" w:rsidRPr="0024084E">
        <w:rPr>
          <w:i/>
          <w:sz w:val="22"/>
          <w:szCs w:val="22"/>
        </w:rPr>
        <w:t xml:space="preserve"> </w:t>
      </w:r>
      <w:r w:rsidR="006B65EC" w:rsidRPr="006B65EC">
        <w:rPr>
          <w:sz w:val="22"/>
          <w:szCs w:val="22"/>
        </w:rPr>
        <w:t>do</w:t>
      </w:r>
      <w:r w:rsidR="0024084E" w:rsidRPr="0024084E">
        <w:rPr>
          <w:i/>
          <w:sz w:val="22"/>
          <w:szCs w:val="22"/>
        </w:rPr>
        <w:t xml:space="preserve"> </w:t>
      </w:r>
      <w:r w:rsidR="0024084E" w:rsidRPr="006B65EC">
        <w:rPr>
          <w:sz w:val="22"/>
          <w:szCs w:val="22"/>
        </w:rPr>
        <w:t>ex-Diretor de Infraestrutura Ferroviária do D</w:t>
      </w:r>
      <w:r w:rsidR="003F5DF0">
        <w:rPr>
          <w:sz w:val="22"/>
          <w:szCs w:val="22"/>
        </w:rPr>
        <w:t>NIT</w:t>
      </w:r>
      <w:r w:rsidR="006B65EC">
        <w:rPr>
          <w:sz w:val="22"/>
          <w:szCs w:val="22"/>
        </w:rPr>
        <w:t>,</w:t>
      </w:r>
      <w:r w:rsidR="0024084E" w:rsidRPr="0024084E">
        <w:rPr>
          <w:i/>
          <w:sz w:val="22"/>
          <w:szCs w:val="22"/>
        </w:rPr>
        <w:t xml:space="preserve"> </w:t>
      </w:r>
      <w:r w:rsidR="0024084E" w:rsidRPr="006B65EC">
        <w:rPr>
          <w:sz w:val="22"/>
          <w:szCs w:val="22"/>
        </w:rPr>
        <w:t xml:space="preserve">em </w:t>
      </w:r>
      <w:r w:rsidR="006B65EC">
        <w:rPr>
          <w:sz w:val="22"/>
          <w:szCs w:val="22"/>
        </w:rPr>
        <w:t>razão</w:t>
      </w:r>
      <w:r w:rsidR="0024084E" w:rsidRPr="006B65EC">
        <w:rPr>
          <w:sz w:val="22"/>
          <w:szCs w:val="22"/>
        </w:rPr>
        <w:t xml:space="preserve"> de</w:t>
      </w:r>
      <w:r w:rsidR="0024084E" w:rsidRPr="0024084E">
        <w:rPr>
          <w:i/>
          <w:sz w:val="22"/>
          <w:szCs w:val="22"/>
        </w:rPr>
        <w:t xml:space="preserve"> </w:t>
      </w:r>
      <w:r w:rsidR="006B65EC">
        <w:rPr>
          <w:i/>
          <w:sz w:val="22"/>
          <w:szCs w:val="22"/>
        </w:rPr>
        <w:t>“</w:t>
      </w:r>
      <w:r w:rsidR="0024084E" w:rsidRPr="0024084E">
        <w:rPr>
          <w:i/>
          <w:sz w:val="22"/>
          <w:szCs w:val="22"/>
        </w:rPr>
        <w:t xml:space="preserve">participar indiretamente da licitação referente ao edital da Concorrência nº 350/2006, por meio de seu enteado, </w:t>
      </w:r>
      <w:r w:rsidR="006B65EC">
        <w:rPr>
          <w:i/>
          <w:sz w:val="22"/>
          <w:szCs w:val="22"/>
        </w:rPr>
        <w:t>[...]</w:t>
      </w:r>
      <w:r w:rsidR="0024084E" w:rsidRPr="0024084E">
        <w:rPr>
          <w:i/>
          <w:sz w:val="22"/>
          <w:szCs w:val="22"/>
        </w:rPr>
        <w:t xml:space="preserve"> sócio da sociedade empresária Consulfer, integrante do consórcio vencedor da licitação, em descumprimento ao disposto no art. 9</w:t>
      </w:r>
      <w:r>
        <w:rPr>
          <w:i/>
          <w:sz w:val="22"/>
          <w:szCs w:val="22"/>
        </w:rPr>
        <w:t>º</w:t>
      </w:r>
      <w:r w:rsidR="0024084E" w:rsidRPr="0024084E">
        <w:rPr>
          <w:i/>
          <w:sz w:val="22"/>
          <w:szCs w:val="22"/>
        </w:rPr>
        <w:t>, inciso III, § 3</w:t>
      </w:r>
      <w:r>
        <w:rPr>
          <w:i/>
          <w:sz w:val="22"/>
          <w:szCs w:val="22"/>
        </w:rPr>
        <w:t>º</w:t>
      </w:r>
      <w:r w:rsidR="006B65EC">
        <w:rPr>
          <w:i/>
          <w:sz w:val="22"/>
          <w:szCs w:val="22"/>
        </w:rPr>
        <w:t>, da Lei nº 8.666/1993</w:t>
      </w:r>
      <w:r w:rsidR="0024084E" w:rsidRPr="0024084E">
        <w:rPr>
          <w:i/>
          <w:sz w:val="22"/>
          <w:szCs w:val="22"/>
        </w:rPr>
        <w:t xml:space="preserve"> </w:t>
      </w:r>
      <w:r w:rsidR="006B65EC">
        <w:rPr>
          <w:i/>
          <w:sz w:val="22"/>
          <w:szCs w:val="22"/>
        </w:rPr>
        <w:t>[...]</w:t>
      </w:r>
      <w:r w:rsidR="0024084E" w:rsidRPr="0024084E">
        <w:rPr>
          <w:i/>
          <w:sz w:val="22"/>
          <w:szCs w:val="22"/>
        </w:rPr>
        <w:t>;”</w:t>
      </w:r>
      <w:r>
        <w:rPr>
          <w:sz w:val="22"/>
          <w:szCs w:val="22"/>
        </w:rPr>
        <w:t>.</w:t>
      </w:r>
      <w:r w:rsidR="00D21E12">
        <w:rPr>
          <w:sz w:val="22"/>
          <w:szCs w:val="22"/>
        </w:rPr>
        <w:t xml:space="preserve"> </w:t>
      </w:r>
      <w:r w:rsidR="0024084E" w:rsidRPr="0024084E">
        <w:rPr>
          <w:sz w:val="22"/>
          <w:szCs w:val="22"/>
        </w:rPr>
        <w:t xml:space="preserve">A linha de defesa do </w:t>
      </w:r>
      <w:r w:rsidR="003F5DF0">
        <w:rPr>
          <w:sz w:val="22"/>
          <w:szCs w:val="22"/>
        </w:rPr>
        <w:t>responsável</w:t>
      </w:r>
      <w:r w:rsidR="0024084E" w:rsidRPr="0024084E">
        <w:rPr>
          <w:sz w:val="22"/>
          <w:szCs w:val="22"/>
        </w:rPr>
        <w:t xml:space="preserve"> paut</w:t>
      </w:r>
      <w:r w:rsidR="00A244FC">
        <w:rPr>
          <w:sz w:val="22"/>
          <w:szCs w:val="22"/>
        </w:rPr>
        <w:t>ou</w:t>
      </w:r>
      <w:r w:rsidR="0024084E" w:rsidRPr="0024084E">
        <w:rPr>
          <w:sz w:val="22"/>
          <w:szCs w:val="22"/>
        </w:rPr>
        <w:t>-se</w:t>
      </w:r>
      <w:r w:rsidR="00A244FC">
        <w:rPr>
          <w:sz w:val="22"/>
          <w:szCs w:val="22"/>
        </w:rPr>
        <w:t>, sobretudo,</w:t>
      </w:r>
      <w:r w:rsidR="0024084E" w:rsidRPr="0024084E">
        <w:rPr>
          <w:sz w:val="22"/>
          <w:szCs w:val="22"/>
        </w:rPr>
        <w:t xml:space="preserve"> nos seguintes argumentos:</w:t>
      </w:r>
      <w:r w:rsidR="00A244FC">
        <w:rPr>
          <w:sz w:val="22"/>
          <w:szCs w:val="22"/>
        </w:rPr>
        <w:t xml:space="preserve"> </w:t>
      </w:r>
      <w:r w:rsidR="003F5DF0">
        <w:rPr>
          <w:sz w:val="22"/>
          <w:szCs w:val="22"/>
        </w:rPr>
        <w:t>a</w:t>
      </w:r>
      <w:r w:rsidR="00A244FC">
        <w:rPr>
          <w:sz w:val="22"/>
          <w:szCs w:val="22"/>
        </w:rPr>
        <w:t xml:space="preserve">) </w:t>
      </w:r>
      <w:r w:rsidR="00A244FC" w:rsidRPr="00A244FC">
        <w:rPr>
          <w:i/>
          <w:sz w:val="22"/>
          <w:szCs w:val="22"/>
        </w:rPr>
        <w:t>“</w:t>
      </w:r>
      <w:r w:rsidR="0024084E" w:rsidRPr="00A244FC">
        <w:rPr>
          <w:i/>
          <w:sz w:val="22"/>
          <w:szCs w:val="22"/>
        </w:rPr>
        <w:t>não se aplicam as hipóteses exaustivas de proibição de celebração de contratos administrativos, previstas no art. 9º da lei nº 8.666/1993, à contratação de parente de servidor de entidade contratante</w:t>
      </w:r>
      <w:r w:rsidR="00A244FC" w:rsidRPr="00A244FC">
        <w:rPr>
          <w:i/>
          <w:sz w:val="22"/>
          <w:szCs w:val="22"/>
        </w:rPr>
        <w:t>”</w:t>
      </w:r>
      <w:r w:rsidR="0024084E" w:rsidRPr="0024084E">
        <w:rPr>
          <w:sz w:val="22"/>
          <w:szCs w:val="22"/>
        </w:rPr>
        <w:t>;</w:t>
      </w:r>
      <w:r w:rsidR="00A244FC">
        <w:rPr>
          <w:sz w:val="22"/>
          <w:szCs w:val="22"/>
        </w:rPr>
        <w:t xml:space="preserve"> </w:t>
      </w:r>
      <w:r w:rsidR="003F5DF0">
        <w:rPr>
          <w:sz w:val="22"/>
          <w:szCs w:val="22"/>
        </w:rPr>
        <w:t>b</w:t>
      </w:r>
      <w:r w:rsidR="00A244FC">
        <w:rPr>
          <w:sz w:val="22"/>
          <w:szCs w:val="22"/>
        </w:rPr>
        <w:t xml:space="preserve">) </w:t>
      </w:r>
      <w:r w:rsidR="00A244FC" w:rsidRPr="00A244FC">
        <w:rPr>
          <w:i/>
          <w:sz w:val="22"/>
          <w:szCs w:val="22"/>
        </w:rPr>
        <w:t>“</w:t>
      </w:r>
      <w:r w:rsidR="0024084E" w:rsidRPr="00A244FC">
        <w:rPr>
          <w:i/>
          <w:sz w:val="22"/>
          <w:szCs w:val="22"/>
        </w:rPr>
        <w:t>não há lacuna no rol de proibições do art. 9º, inciso III, da Lei nº 8.666/1993 e do art. 18, inciso II, da Lei nº 9.784/1999, que possa ser preenchida pela aplicação dos princípios gerais do direito e da analogia, conforme Lei de Introdução ao Código Civil, sob pena de usurpar a vontade do legislador ordinário</w:t>
      </w:r>
      <w:r w:rsidR="00A244FC" w:rsidRPr="00A244FC">
        <w:rPr>
          <w:i/>
          <w:sz w:val="22"/>
          <w:szCs w:val="22"/>
        </w:rPr>
        <w:t>”</w:t>
      </w:r>
      <w:r w:rsidR="00A244FC">
        <w:rPr>
          <w:sz w:val="22"/>
          <w:szCs w:val="22"/>
        </w:rPr>
        <w:t xml:space="preserve">. </w:t>
      </w:r>
      <w:r w:rsidR="00F84DBE">
        <w:rPr>
          <w:sz w:val="22"/>
          <w:szCs w:val="22"/>
        </w:rPr>
        <w:t>Em seu voto, o</w:t>
      </w:r>
      <w:r w:rsidR="006C1E77">
        <w:rPr>
          <w:sz w:val="22"/>
          <w:szCs w:val="22"/>
        </w:rPr>
        <w:t xml:space="preserve"> relator manifestou-se </w:t>
      </w:r>
      <w:r w:rsidR="0024084E" w:rsidRPr="0024084E">
        <w:rPr>
          <w:sz w:val="22"/>
          <w:szCs w:val="22"/>
        </w:rPr>
        <w:t xml:space="preserve">de acordo com o titular da </w:t>
      </w:r>
      <w:r w:rsidR="006C1E77">
        <w:rPr>
          <w:sz w:val="22"/>
          <w:szCs w:val="22"/>
        </w:rPr>
        <w:t>unidade técnica, no sentido de que a</w:t>
      </w:r>
      <w:r w:rsidR="0024084E" w:rsidRPr="0024084E">
        <w:rPr>
          <w:sz w:val="22"/>
          <w:szCs w:val="22"/>
        </w:rPr>
        <w:t xml:space="preserve"> interpretação sistemática e analógica do art. 9º, III e §§ 3º e 4º</w:t>
      </w:r>
      <w:r w:rsidR="006C1E77">
        <w:rPr>
          <w:sz w:val="22"/>
          <w:szCs w:val="22"/>
        </w:rPr>
        <w:t>,</w:t>
      </w:r>
      <w:r w:rsidR="0024084E" w:rsidRPr="0024084E">
        <w:rPr>
          <w:sz w:val="22"/>
          <w:szCs w:val="22"/>
        </w:rPr>
        <w:t xml:space="preserve"> da Lei n</w:t>
      </w:r>
      <w:r w:rsidR="00D73968">
        <w:rPr>
          <w:sz w:val="22"/>
          <w:szCs w:val="22"/>
        </w:rPr>
        <w:t>.</w:t>
      </w:r>
      <w:r w:rsidR="0024084E" w:rsidRPr="0024084E">
        <w:rPr>
          <w:sz w:val="22"/>
          <w:szCs w:val="22"/>
        </w:rPr>
        <w:t xml:space="preserve">º 8.666/93 legitima elastecer a hipótese de vedação da participação indireta de servidor ou dirigente de órgão e entidade com o prestador dos serviços, sem que tal exegese desvirtue a finalidade da norma legal, </w:t>
      </w:r>
      <w:r w:rsidR="00F84DBE">
        <w:rPr>
          <w:sz w:val="22"/>
          <w:szCs w:val="22"/>
        </w:rPr>
        <w:t xml:space="preserve">qual seja, </w:t>
      </w:r>
      <w:r w:rsidR="0024084E" w:rsidRPr="0024084E">
        <w:rPr>
          <w:sz w:val="22"/>
          <w:szCs w:val="22"/>
        </w:rPr>
        <w:t xml:space="preserve">a preservação dos princípios da moralidade administrativa, da impessoalidade e da isonomia. </w:t>
      </w:r>
      <w:r w:rsidR="006C1E77">
        <w:rPr>
          <w:sz w:val="22"/>
          <w:szCs w:val="22"/>
        </w:rPr>
        <w:t>Para o relator, o</w:t>
      </w:r>
      <w:r w:rsidR="0024084E" w:rsidRPr="0024084E">
        <w:rPr>
          <w:sz w:val="22"/>
          <w:szCs w:val="22"/>
        </w:rPr>
        <w:t xml:space="preserve"> fato de a lei considerar participação indireta a existência de qualquer vínculo de natureza técnica, comercial, econômica, financeira ou trabalhista entre o autor do projeto, pessoa física ou jurídica, e o licitante ou responsável pelos serviços, fornecimentos de obras e bens, incluindo-se, nessa proibição, os membros da comissão de licitação, </w:t>
      </w:r>
      <w:r w:rsidR="006C1E77" w:rsidRPr="006C1E77">
        <w:rPr>
          <w:i/>
          <w:sz w:val="22"/>
          <w:szCs w:val="22"/>
        </w:rPr>
        <w:t>“</w:t>
      </w:r>
      <w:r w:rsidR="0024084E" w:rsidRPr="006C1E77">
        <w:rPr>
          <w:i/>
          <w:sz w:val="22"/>
          <w:szCs w:val="22"/>
        </w:rPr>
        <w:t>não exclui a possibilidade de referida vedação ser estendida, por aplicação analógica, ao dirigente que autoriza e homologa o certame licitatório</w:t>
      </w:r>
      <w:r w:rsidR="006C1E77" w:rsidRPr="006C1E77">
        <w:rPr>
          <w:i/>
          <w:sz w:val="22"/>
          <w:szCs w:val="22"/>
        </w:rPr>
        <w:t>”</w:t>
      </w:r>
      <w:r w:rsidR="0024084E" w:rsidRPr="0024084E">
        <w:rPr>
          <w:sz w:val="22"/>
          <w:szCs w:val="22"/>
        </w:rPr>
        <w:t>.</w:t>
      </w:r>
      <w:r w:rsidR="006C1E77">
        <w:rPr>
          <w:sz w:val="22"/>
          <w:szCs w:val="22"/>
        </w:rPr>
        <w:t xml:space="preserve"> </w:t>
      </w:r>
      <w:r w:rsidR="0024084E" w:rsidRPr="0024084E">
        <w:rPr>
          <w:sz w:val="22"/>
          <w:szCs w:val="22"/>
        </w:rPr>
        <w:t xml:space="preserve">No caso em análise, </w:t>
      </w:r>
      <w:r w:rsidR="00FF6A4F" w:rsidRPr="00FF6A4F">
        <w:rPr>
          <w:i/>
          <w:sz w:val="22"/>
          <w:szCs w:val="22"/>
        </w:rPr>
        <w:t>“</w:t>
      </w:r>
      <w:r w:rsidR="0024084E" w:rsidRPr="00FF6A4F">
        <w:rPr>
          <w:i/>
          <w:sz w:val="22"/>
          <w:szCs w:val="22"/>
        </w:rPr>
        <w:t>não é lícito ao juiz deixar de aplicar o direito sob o argumento do non liquet – inexistência de norma legal expressa e específica</w:t>
      </w:r>
      <w:r w:rsidR="00FF6A4F" w:rsidRPr="00FF6A4F">
        <w:rPr>
          <w:i/>
          <w:sz w:val="22"/>
          <w:szCs w:val="22"/>
        </w:rPr>
        <w:t>”</w:t>
      </w:r>
      <w:r w:rsidR="00FF6A4F">
        <w:rPr>
          <w:sz w:val="22"/>
          <w:szCs w:val="22"/>
        </w:rPr>
        <w:t>, isso porque a</w:t>
      </w:r>
      <w:r w:rsidR="0024084E" w:rsidRPr="0024084E">
        <w:rPr>
          <w:sz w:val="22"/>
          <w:szCs w:val="22"/>
        </w:rPr>
        <w:t xml:space="preserve"> própria Lei de Introdução ao Código Civil autoriza-lhe integrar a norma legal, de maneira a dar-lhe completude e a fim de solucionar a lide. Portanto, </w:t>
      </w:r>
      <w:r w:rsidR="00FF6A4F" w:rsidRPr="00FF6A4F">
        <w:rPr>
          <w:i/>
          <w:sz w:val="22"/>
          <w:szCs w:val="22"/>
        </w:rPr>
        <w:t>“</w:t>
      </w:r>
      <w:r w:rsidR="0024084E" w:rsidRPr="00FF6A4F">
        <w:rPr>
          <w:i/>
          <w:sz w:val="22"/>
          <w:szCs w:val="22"/>
        </w:rPr>
        <w:t>a aplicação da interpretação analógica do art. 9º da Lei nº 8.666/1993 e dos princípios gerais da Administração Pública ao caso vertente não configura usurpação de competência do legislador ordinário</w:t>
      </w:r>
      <w:r w:rsidR="00FF6A4F" w:rsidRPr="00FF6A4F">
        <w:rPr>
          <w:i/>
          <w:sz w:val="22"/>
          <w:szCs w:val="22"/>
        </w:rPr>
        <w:t>”</w:t>
      </w:r>
      <w:r w:rsidR="0024084E" w:rsidRPr="0024084E">
        <w:rPr>
          <w:sz w:val="22"/>
          <w:szCs w:val="22"/>
        </w:rPr>
        <w:t>.</w:t>
      </w:r>
      <w:r w:rsidR="008B7C86">
        <w:rPr>
          <w:sz w:val="22"/>
          <w:szCs w:val="22"/>
        </w:rPr>
        <w:t xml:space="preserve"> Ainda conforme o relator, a </w:t>
      </w:r>
      <w:r w:rsidR="0024084E" w:rsidRPr="0024084E">
        <w:rPr>
          <w:sz w:val="22"/>
          <w:szCs w:val="22"/>
        </w:rPr>
        <w:t>desobediência às vedações albergadas no art. 9º da Lei n</w:t>
      </w:r>
      <w:r w:rsidR="00F84DBE">
        <w:rPr>
          <w:sz w:val="22"/>
          <w:szCs w:val="22"/>
        </w:rPr>
        <w:t>.</w:t>
      </w:r>
      <w:r w:rsidR="0024084E" w:rsidRPr="0024084E">
        <w:rPr>
          <w:sz w:val="22"/>
          <w:szCs w:val="22"/>
        </w:rPr>
        <w:t xml:space="preserve">º 8.666/1993 </w:t>
      </w:r>
      <w:r w:rsidR="008B7C86" w:rsidRPr="008B7C86">
        <w:rPr>
          <w:i/>
          <w:sz w:val="22"/>
          <w:szCs w:val="22"/>
        </w:rPr>
        <w:t>“</w:t>
      </w:r>
      <w:r w:rsidR="0024084E" w:rsidRPr="008B7C86">
        <w:rPr>
          <w:i/>
          <w:sz w:val="22"/>
          <w:szCs w:val="22"/>
        </w:rPr>
        <w:t>t</w:t>
      </w:r>
      <w:r w:rsidR="00F84DBE">
        <w:rPr>
          <w:i/>
          <w:sz w:val="22"/>
          <w:szCs w:val="22"/>
        </w:rPr>
        <w:t>e</w:t>
      </w:r>
      <w:r w:rsidR="0024084E" w:rsidRPr="008B7C86">
        <w:rPr>
          <w:i/>
          <w:sz w:val="22"/>
          <w:szCs w:val="22"/>
        </w:rPr>
        <w:t>m natureza eminentemente de ilícito formal, vale dizer, independe da concretização de dano de direcionamento ou de favorecimento indevido à contratada, ao contrário do que pretende fazer crer o então dirigente do DIF/DNIT</w:t>
      </w:r>
      <w:r w:rsidR="008B7C86" w:rsidRPr="008B7C86">
        <w:rPr>
          <w:i/>
          <w:sz w:val="22"/>
          <w:szCs w:val="22"/>
        </w:rPr>
        <w:t>”</w:t>
      </w:r>
      <w:r w:rsidR="0024084E" w:rsidRPr="0024084E">
        <w:rPr>
          <w:sz w:val="22"/>
          <w:szCs w:val="22"/>
        </w:rPr>
        <w:t xml:space="preserve">. </w:t>
      </w:r>
      <w:r w:rsidR="00F84DBE">
        <w:rPr>
          <w:sz w:val="22"/>
          <w:szCs w:val="22"/>
        </w:rPr>
        <w:t>Considerando que o responsável</w:t>
      </w:r>
      <w:r w:rsidR="0024084E" w:rsidRPr="0024084E">
        <w:rPr>
          <w:sz w:val="22"/>
          <w:szCs w:val="22"/>
        </w:rPr>
        <w:t xml:space="preserve"> tinha o poder de influir em questões técnicas que pudessem favorecer o consórcio do qual participava a empresa do seu enteado, e também de interferir na própria condução e fiscalização do contrato resultante da licitação, </w:t>
      </w:r>
      <w:r w:rsidR="00F84DBE" w:rsidRPr="00F84DBE">
        <w:rPr>
          <w:i/>
          <w:sz w:val="22"/>
          <w:szCs w:val="22"/>
        </w:rPr>
        <w:t>“</w:t>
      </w:r>
      <w:r w:rsidR="0024084E" w:rsidRPr="00F84DBE">
        <w:rPr>
          <w:i/>
          <w:sz w:val="22"/>
          <w:szCs w:val="22"/>
        </w:rPr>
        <w:t>o que já seria suficiente para caracterizar seu impedimento</w:t>
      </w:r>
      <w:r w:rsidR="00F84DBE" w:rsidRPr="00F84DBE">
        <w:rPr>
          <w:i/>
          <w:sz w:val="22"/>
          <w:szCs w:val="22"/>
        </w:rPr>
        <w:t>”</w:t>
      </w:r>
      <w:r w:rsidR="008B7C86">
        <w:rPr>
          <w:sz w:val="22"/>
          <w:szCs w:val="22"/>
        </w:rPr>
        <w:t>, o Plenário</w:t>
      </w:r>
      <w:r w:rsidR="00721C7E">
        <w:rPr>
          <w:sz w:val="22"/>
          <w:szCs w:val="22"/>
        </w:rPr>
        <w:t>, nos termos do voto do relator,</w:t>
      </w:r>
      <w:r w:rsidR="008B7C86">
        <w:rPr>
          <w:sz w:val="22"/>
          <w:szCs w:val="22"/>
        </w:rPr>
        <w:t xml:space="preserve"> decidiu </w:t>
      </w:r>
      <w:r w:rsidR="0024084E" w:rsidRPr="0024084E">
        <w:rPr>
          <w:sz w:val="22"/>
          <w:szCs w:val="22"/>
        </w:rPr>
        <w:t xml:space="preserve">rejeitar </w:t>
      </w:r>
      <w:r w:rsidR="00D73968">
        <w:rPr>
          <w:sz w:val="22"/>
          <w:szCs w:val="22"/>
        </w:rPr>
        <w:t xml:space="preserve">suas </w:t>
      </w:r>
      <w:r w:rsidR="0024084E" w:rsidRPr="0024084E">
        <w:rPr>
          <w:sz w:val="22"/>
          <w:szCs w:val="22"/>
        </w:rPr>
        <w:t xml:space="preserve">razões de justificativa </w:t>
      </w:r>
      <w:r w:rsidR="008B7C86">
        <w:rPr>
          <w:sz w:val="22"/>
          <w:szCs w:val="22"/>
        </w:rPr>
        <w:t xml:space="preserve">e aplicar-lhe multa. </w:t>
      </w:r>
      <w:r w:rsidR="00FF6A4F">
        <w:rPr>
          <w:sz w:val="22"/>
          <w:szCs w:val="22"/>
        </w:rPr>
        <w:t xml:space="preserve">Precedente citado: </w:t>
      </w:r>
      <w:r w:rsidR="00FF6A4F" w:rsidRPr="0024084E">
        <w:rPr>
          <w:sz w:val="22"/>
          <w:szCs w:val="22"/>
        </w:rPr>
        <w:t>Acórdão n</w:t>
      </w:r>
      <w:r w:rsidR="00FF6A4F">
        <w:rPr>
          <w:sz w:val="22"/>
          <w:szCs w:val="22"/>
        </w:rPr>
        <w:t>.</w:t>
      </w:r>
      <w:r w:rsidR="00FF6A4F" w:rsidRPr="0024084E">
        <w:rPr>
          <w:sz w:val="22"/>
          <w:szCs w:val="22"/>
        </w:rPr>
        <w:t>º 1.170/2010-Plenário</w:t>
      </w:r>
      <w:r w:rsidR="008B7C86">
        <w:rPr>
          <w:sz w:val="22"/>
          <w:szCs w:val="22"/>
        </w:rPr>
        <w:t xml:space="preserve">. </w:t>
      </w:r>
      <w:r w:rsidR="0024084E" w:rsidRPr="00337E16">
        <w:rPr>
          <w:b/>
          <w:i/>
          <w:sz w:val="22"/>
          <w:szCs w:val="22"/>
        </w:rPr>
        <w:t>Acórdão n.º 1</w:t>
      </w:r>
      <w:r w:rsidR="0024084E">
        <w:rPr>
          <w:b/>
          <w:i/>
          <w:sz w:val="22"/>
          <w:szCs w:val="22"/>
        </w:rPr>
        <w:t>893</w:t>
      </w:r>
      <w:r w:rsidR="0024084E" w:rsidRPr="00337E16">
        <w:rPr>
          <w:b/>
          <w:i/>
          <w:sz w:val="22"/>
          <w:szCs w:val="22"/>
        </w:rPr>
        <w:t>/2010</w:t>
      </w:r>
      <w:r w:rsidR="0024084E">
        <w:rPr>
          <w:b/>
          <w:i/>
          <w:sz w:val="22"/>
          <w:szCs w:val="22"/>
        </w:rPr>
        <w:t>-Plenário</w:t>
      </w:r>
      <w:r w:rsidR="0024084E" w:rsidRPr="00337E16">
        <w:rPr>
          <w:b/>
          <w:i/>
          <w:sz w:val="22"/>
          <w:szCs w:val="22"/>
        </w:rPr>
        <w:t>, TC-0</w:t>
      </w:r>
      <w:r w:rsidR="0024084E">
        <w:rPr>
          <w:b/>
          <w:i/>
          <w:sz w:val="22"/>
          <w:szCs w:val="22"/>
        </w:rPr>
        <w:t>20</w:t>
      </w:r>
      <w:r w:rsidR="0024084E" w:rsidRPr="00337E16">
        <w:rPr>
          <w:b/>
          <w:i/>
          <w:sz w:val="22"/>
          <w:szCs w:val="22"/>
        </w:rPr>
        <w:t>.</w:t>
      </w:r>
      <w:r w:rsidR="0024084E">
        <w:rPr>
          <w:b/>
          <w:i/>
          <w:sz w:val="22"/>
          <w:szCs w:val="22"/>
        </w:rPr>
        <w:t>787</w:t>
      </w:r>
      <w:r w:rsidR="0024084E" w:rsidRPr="00337E16">
        <w:rPr>
          <w:b/>
          <w:i/>
          <w:sz w:val="22"/>
          <w:szCs w:val="22"/>
        </w:rPr>
        <w:t>/20</w:t>
      </w:r>
      <w:r w:rsidR="0024084E">
        <w:rPr>
          <w:b/>
          <w:i/>
          <w:sz w:val="22"/>
          <w:szCs w:val="22"/>
        </w:rPr>
        <w:t>07</w:t>
      </w:r>
      <w:r w:rsidR="0024084E" w:rsidRPr="00337E16">
        <w:rPr>
          <w:b/>
          <w:i/>
          <w:sz w:val="22"/>
          <w:szCs w:val="22"/>
        </w:rPr>
        <w:t>-</w:t>
      </w:r>
      <w:r w:rsidR="007C737B">
        <w:rPr>
          <w:b/>
          <w:i/>
          <w:sz w:val="22"/>
          <w:szCs w:val="22"/>
        </w:rPr>
        <w:t>5</w:t>
      </w:r>
      <w:r w:rsidR="0024084E" w:rsidRPr="00337E16">
        <w:rPr>
          <w:b/>
          <w:i/>
          <w:sz w:val="22"/>
          <w:szCs w:val="22"/>
        </w:rPr>
        <w:t>, rel. Min</w:t>
      </w:r>
      <w:r w:rsidR="0024084E">
        <w:rPr>
          <w:b/>
          <w:i/>
          <w:sz w:val="22"/>
          <w:szCs w:val="22"/>
        </w:rPr>
        <w:t>. Walton Alencar Rodrigues</w:t>
      </w:r>
      <w:r w:rsidR="0024084E" w:rsidRPr="00337E16">
        <w:rPr>
          <w:b/>
          <w:i/>
          <w:sz w:val="22"/>
          <w:szCs w:val="22"/>
        </w:rPr>
        <w:t xml:space="preserve">, </w:t>
      </w:r>
      <w:r w:rsidR="0024084E">
        <w:rPr>
          <w:b/>
          <w:i/>
          <w:sz w:val="22"/>
          <w:szCs w:val="22"/>
        </w:rPr>
        <w:t>04</w:t>
      </w:r>
      <w:r w:rsidR="0024084E" w:rsidRPr="00337E16">
        <w:rPr>
          <w:b/>
          <w:i/>
          <w:sz w:val="22"/>
          <w:szCs w:val="22"/>
        </w:rPr>
        <w:t>.0</w:t>
      </w:r>
      <w:r w:rsidR="0024084E">
        <w:rPr>
          <w:b/>
          <w:i/>
          <w:sz w:val="22"/>
          <w:szCs w:val="22"/>
        </w:rPr>
        <w:t>8</w:t>
      </w:r>
      <w:r w:rsidR="0024084E" w:rsidRPr="00337E16">
        <w:rPr>
          <w:b/>
          <w:i/>
          <w:sz w:val="22"/>
          <w:szCs w:val="22"/>
        </w:rPr>
        <w:t>.2010</w:t>
      </w:r>
      <w:r w:rsidR="0024084E" w:rsidRPr="00337E16">
        <w:rPr>
          <w:sz w:val="22"/>
          <w:szCs w:val="22"/>
        </w:rPr>
        <w:t>.</w:t>
      </w:r>
    </w:p>
    <w:p w:rsidR="0024084E" w:rsidRPr="00337E16" w:rsidRDefault="0024084E" w:rsidP="0024084E">
      <w:pPr>
        <w:pStyle w:val="indice"/>
        <w:tabs>
          <w:tab w:val="left" w:pos="567"/>
        </w:tabs>
        <w:spacing w:before="60" w:line="240" w:lineRule="auto"/>
      </w:pPr>
    </w:p>
    <w:p w:rsidR="005044EF" w:rsidRPr="00572098" w:rsidRDefault="00572098" w:rsidP="005B2194">
      <w:pPr>
        <w:pStyle w:val="Pargrafo"/>
        <w:jc w:val="both"/>
        <w:rPr>
          <w:b/>
          <w:sz w:val="22"/>
          <w:szCs w:val="22"/>
        </w:rPr>
      </w:pPr>
      <w:r w:rsidRPr="00572098">
        <w:rPr>
          <w:b/>
          <w:sz w:val="22"/>
          <w:szCs w:val="22"/>
        </w:rPr>
        <w:t>Exigência de licença operacional ambiental para fim de habilitação</w:t>
      </w:r>
    </w:p>
    <w:p w:rsidR="00572098" w:rsidRPr="00337E16" w:rsidRDefault="004041BB" w:rsidP="00572098">
      <w:pPr>
        <w:pStyle w:val="Pargrafo"/>
        <w:jc w:val="both"/>
        <w:rPr>
          <w:sz w:val="22"/>
          <w:szCs w:val="22"/>
        </w:rPr>
      </w:pPr>
      <w:r>
        <w:rPr>
          <w:sz w:val="22"/>
          <w:szCs w:val="22"/>
        </w:rPr>
        <w:t>R</w:t>
      </w:r>
      <w:r w:rsidR="00572098" w:rsidRPr="00572098">
        <w:rPr>
          <w:sz w:val="22"/>
          <w:szCs w:val="22"/>
        </w:rPr>
        <w:t xml:space="preserve">epresentação </w:t>
      </w:r>
      <w:r>
        <w:rPr>
          <w:sz w:val="22"/>
          <w:szCs w:val="22"/>
        </w:rPr>
        <w:t>oferecida ao TCU apontou</w:t>
      </w:r>
      <w:r w:rsidR="00572098" w:rsidRPr="00572098">
        <w:rPr>
          <w:sz w:val="22"/>
          <w:szCs w:val="22"/>
        </w:rPr>
        <w:t xml:space="preserve"> supostas irregularidades na condução do Pregão Eletrônico </w:t>
      </w:r>
      <w:r>
        <w:rPr>
          <w:sz w:val="22"/>
          <w:szCs w:val="22"/>
        </w:rPr>
        <w:t xml:space="preserve">n.º </w:t>
      </w:r>
      <w:r w:rsidR="00572098" w:rsidRPr="00572098">
        <w:rPr>
          <w:sz w:val="22"/>
          <w:szCs w:val="22"/>
        </w:rPr>
        <w:t>92/2009, realizado pela Fundação Universidade do Amazonas</w:t>
      </w:r>
      <w:r w:rsidR="00572098">
        <w:rPr>
          <w:sz w:val="22"/>
          <w:szCs w:val="22"/>
        </w:rPr>
        <w:t xml:space="preserve"> (UFAM)</w:t>
      </w:r>
      <w:r w:rsidR="00572098" w:rsidRPr="00572098">
        <w:rPr>
          <w:sz w:val="22"/>
          <w:szCs w:val="22"/>
        </w:rPr>
        <w:t xml:space="preserve">, </w:t>
      </w:r>
      <w:r>
        <w:rPr>
          <w:sz w:val="22"/>
          <w:szCs w:val="22"/>
        </w:rPr>
        <w:t>cujo objeto era</w:t>
      </w:r>
      <w:r w:rsidR="00572098" w:rsidRPr="00572098">
        <w:rPr>
          <w:sz w:val="22"/>
          <w:szCs w:val="22"/>
        </w:rPr>
        <w:t xml:space="preserve"> a contratação de empresa especializada na prestação de serviços gerais, limpeza e conservação, jardinagem, capina, poda e corte de árvores de grande porte, realizados de forma continuada, nas unidades do campus universitário.</w:t>
      </w:r>
      <w:r w:rsidR="009176FF">
        <w:rPr>
          <w:sz w:val="22"/>
          <w:szCs w:val="22"/>
        </w:rPr>
        <w:t xml:space="preserve"> Entre as ocorrências noticiadas, encontrava-se a </w:t>
      </w:r>
      <w:r w:rsidR="009176FF" w:rsidRPr="009176FF">
        <w:rPr>
          <w:i/>
          <w:sz w:val="22"/>
          <w:szCs w:val="22"/>
        </w:rPr>
        <w:t>“</w:t>
      </w:r>
      <w:r w:rsidR="00572098" w:rsidRPr="009176FF">
        <w:rPr>
          <w:i/>
          <w:sz w:val="22"/>
          <w:szCs w:val="22"/>
        </w:rPr>
        <w:t>exigência prévia de licença operacional ambiental</w:t>
      </w:r>
      <w:r w:rsidR="009176FF" w:rsidRPr="009176FF">
        <w:rPr>
          <w:i/>
          <w:sz w:val="22"/>
          <w:szCs w:val="22"/>
        </w:rPr>
        <w:t>”</w:t>
      </w:r>
      <w:r w:rsidR="009176FF">
        <w:rPr>
          <w:sz w:val="22"/>
          <w:szCs w:val="22"/>
        </w:rPr>
        <w:t xml:space="preserve">. Em seu voto, o relator </w:t>
      </w:r>
      <w:r w:rsidR="00CE7A45">
        <w:rPr>
          <w:sz w:val="22"/>
          <w:szCs w:val="22"/>
        </w:rPr>
        <w:t>considerou</w:t>
      </w:r>
      <w:r w:rsidR="00572098" w:rsidRPr="00572098">
        <w:rPr>
          <w:sz w:val="22"/>
          <w:szCs w:val="22"/>
        </w:rPr>
        <w:t xml:space="preserve"> </w:t>
      </w:r>
      <w:r w:rsidR="00CE7A45">
        <w:rPr>
          <w:sz w:val="22"/>
          <w:szCs w:val="22"/>
        </w:rPr>
        <w:t>assistir</w:t>
      </w:r>
      <w:r w:rsidR="00572098" w:rsidRPr="00572098">
        <w:rPr>
          <w:sz w:val="22"/>
          <w:szCs w:val="22"/>
        </w:rPr>
        <w:t xml:space="preserve"> razão à UFAM, </w:t>
      </w:r>
      <w:r w:rsidR="00CE7A45">
        <w:rPr>
          <w:sz w:val="22"/>
          <w:szCs w:val="22"/>
        </w:rPr>
        <w:t xml:space="preserve">chamada a se manifestar nos autos, </w:t>
      </w:r>
      <w:r w:rsidR="00CE7A45" w:rsidRPr="00CE7A45">
        <w:rPr>
          <w:i/>
          <w:sz w:val="22"/>
          <w:szCs w:val="22"/>
        </w:rPr>
        <w:t>“</w:t>
      </w:r>
      <w:r w:rsidR="00572098" w:rsidRPr="00CE7A45">
        <w:rPr>
          <w:i/>
          <w:sz w:val="22"/>
          <w:szCs w:val="22"/>
        </w:rPr>
        <w:t>vez que amparada em legislação e normas específicas</w:t>
      </w:r>
      <w:r w:rsidR="00CE7A45" w:rsidRPr="00CE7A45">
        <w:rPr>
          <w:i/>
          <w:sz w:val="22"/>
          <w:szCs w:val="22"/>
        </w:rPr>
        <w:t>”</w:t>
      </w:r>
      <w:r w:rsidR="00572098" w:rsidRPr="00572098">
        <w:rPr>
          <w:sz w:val="22"/>
          <w:szCs w:val="22"/>
        </w:rPr>
        <w:t xml:space="preserve">. </w:t>
      </w:r>
      <w:r w:rsidR="00CE7A45">
        <w:rPr>
          <w:sz w:val="22"/>
          <w:szCs w:val="22"/>
        </w:rPr>
        <w:t xml:space="preserve">Segundo o relator, </w:t>
      </w:r>
      <w:r w:rsidR="00CA7833">
        <w:rPr>
          <w:sz w:val="22"/>
          <w:szCs w:val="22"/>
        </w:rPr>
        <w:t xml:space="preserve">a </w:t>
      </w:r>
      <w:r w:rsidR="00572098" w:rsidRPr="00572098">
        <w:rPr>
          <w:sz w:val="22"/>
          <w:szCs w:val="22"/>
        </w:rPr>
        <w:t>apresenta</w:t>
      </w:r>
      <w:r w:rsidR="00CA7833">
        <w:rPr>
          <w:sz w:val="22"/>
          <w:szCs w:val="22"/>
        </w:rPr>
        <w:t>ção</w:t>
      </w:r>
      <w:r w:rsidR="00572098" w:rsidRPr="00572098">
        <w:rPr>
          <w:sz w:val="22"/>
          <w:szCs w:val="22"/>
        </w:rPr>
        <w:t xml:space="preserve"> </w:t>
      </w:r>
      <w:r w:rsidR="00CA7833">
        <w:rPr>
          <w:sz w:val="22"/>
          <w:szCs w:val="22"/>
        </w:rPr>
        <w:t>d</w:t>
      </w:r>
      <w:r w:rsidR="00572098" w:rsidRPr="00572098">
        <w:rPr>
          <w:sz w:val="22"/>
          <w:szCs w:val="22"/>
        </w:rPr>
        <w:t xml:space="preserve">a referida licença deve ocorrer </w:t>
      </w:r>
      <w:r w:rsidR="00AB7256">
        <w:rPr>
          <w:sz w:val="22"/>
          <w:szCs w:val="22"/>
        </w:rPr>
        <w:t xml:space="preserve">mesmo </w:t>
      </w:r>
      <w:r w:rsidR="00572098" w:rsidRPr="00572098">
        <w:rPr>
          <w:sz w:val="22"/>
          <w:szCs w:val="22"/>
        </w:rPr>
        <w:t>na fase de habilitação</w:t>
      </w:r>
      <w:r w:rsidR="00CA7833">
        <w:rPr>
          <w:sz w:val="22"/>
          <w:szCs w:val="22"/>
        </w:rPr>
        <w:t>, c</w:t>
      </w:r>
      <w:r w:rsidR="00572098" w:rsidRPr="00572098">
        <w:rPr>
          <w:sz w:val="22"/>
          <w:szCs w:val="22"/>
        </w:rPr>
        <w:t xml:space="preserve">aso contrário, </w:t>
      </w:r>
      <w:r w:rsidR="00131503" w:rsidRPr="00131503">
        <w:rPr>
          <w:i/>
          <w:sz w:val="22"/>
          <w:szCs w:val="22"/>
        </w:rPr>
        <w:t>“</w:t>
      </w:r>
      <w:r w:rsidR="00572098" w:rsidRPr="00131503">
        <w:rPr>
          <w:i/>
          <w:sz w:val="22"/>
          <w:szCs w:val="22"/>
        </w:rPr>
        <w:t>como o prazo para obtenção da licença junto aos órgãos competentes pode demorar até 120 dias, não haveria garantias para a Administração de que, se a licitante vencesse o certame, seria, de modo célere, autorizada a operar, pelo IPAAM e Vigilância Sanitária, acarretando, desse modo, risco à execução contratual</w:t>
      </w:r>
      <w:r w:rsidR="00131503" w:rsidRPr="00131503">
        <w:rPr>
          <w:i/>
          <w:sz w:val="22"/>
          <w:szCs w:val="22"/>
        </w:rPr>
        <w:t>”</w:t>
      </w:r>
      <w:r w:rsidR="00572098" w:rsidRPr="00572098">
        <w:rPr>
          <w:sz w:val="22"/>
          <w:szCs w:val="22"/>
        </w:rPr>
        <w:t>.</w:t>
      </w:r>
      <w:r w:rsidR="00131503">
        <w:rPr>
          <w:sz w:val="22"/>
          <w:szCs w:val="22"/>
        </w:rPr>
        <w:t xml:space="preserve"> O relator fez, ainda, alusão ao voto prof</w:t>
      </w:r>
      <w:r w:rsidR="00572098" w:rsidRPr="00572098">
        <w:rPr>
          <w:sz w:val="22"/>
          <w:szCs w:val="22"/>
        </w:rPr>
        <w:t xml:space="preserve">erido </w:t>
      </w:r>
      <w:r w:rsidR="00CA7833">
        <w:rPr>
          <w:sz w:val="22"/>
          <w:szCs w:val="22"/>
        </w:rPr>
        <w:t>n</w:t>
      </w:r>
      <w:r w:rsidR="00572098" w:rsidRPr="00572098">
        <w:rPr>
          <w:sz w:val="22"/>
          <w:szCs w:val="22"/>
        </w:rPr>
        <w:t>o Acórdão n</w:t>
      </w:r>
      <w:r w:rsidR="00131503">
        <w:rPr>
          <w:sz w:val="22"/>
          <w:szCs w:val="22"/>
        </w:rPr>
        <w:t>.</w:t>
      </w:r>
      <w:r w:rsidR="00572098" w:rsidRPr="00572098">
        <w:rPr>
          <w:sz w:val="22"/>
          <w:szCs w:val="22"/>
        </w:rPr>
        <w:t xml:space="preserve">º 247/2009-Plenário, </w:t>
      </w:r>
      <w:r w:rsidR="00CA7833">
        <w:rPr>
          <w:sz w:val="22"/>
          <w:szCs w:val="22"/>
        </w:rPr>
        <w:t>no qual</w:t>
      </w:r>
      <w:r w:rsidR="00131503">
        <w:rPr>
          <w:sz w:val="22"/>
          <w:szCs w:val="22"/>
        </w:rPr>
        <w:t xml:space="preserve"> rest</w:t>
      </w:r>
      <w:r w:rsidR="00CA7833">
        <w:rPr>
          <w:sz w:val="22"/>
          <w:szCs w:val="22"/>
        </w:rPr>
        <w:t xml:space="preserve">ou assente que </w:t>
      </w:r>
      <w:r w:rsidR="00CA7833">
        <w:rPr>
          <w:i/>
          <w:sz w:val="22"/>
          <w:szCs w:val="22"/>
        </w:rPr>
        <w:t>“</w:t>
      </w:r>
      <w:r w:rsidR="00572098" w:rsidRPr="00572098">
        <w:rPr>
          <w:i/>
          <w:sz w:val="22"/>
          <w:szCs w:val="22"/>
        </w:rPr>
        <w:t>o cumprimento da legislação ambiental deve ser verificado ainda na fase de habilitação dos licitantes</w:t>
      </w:r>
      <w:r w:rsidR="00131503">
        <w:rPr>
          <w:i/>
          <w:sz w:val="22"/>
          <w:szCs w:val="22"/>
        </w:rPr>
        <w:t>,</w:t>
      </w:r>
      <w:r w:rsidR="00572098" w:rsidRPr="00572098">
        <w:rPr>
          <w:i/>
          <w:sz w:val="22"/>
          <w:szCs w:val="22"/>
        </w:rPr>
        <w:t xml:space="preserve"> conforme os arts. 28, inciso V, e 30, inciso IV, da Lei 8.666/1993 </w:t>
      </w:r>
      <w:r w:rsidR="00CA7833">
        <w:rPr>
          <w:i/>
          <w:sz w:val="22"/>
          <w:szCs w:val="22"/>
        </w:rPr>
        <w:t>[</w:t>
      </w:r>
      <w:r w:rsidR="00131503">
        <w:rPr>
          <w:i/>
          <w:sz w:val="22"/>
          <w:szCs w:val="22"/>
        </w:rPr>
        <w:t>...</w:t>
      </w:r>
      <w:r w:rsidR="00CA7833">
        <w:rPr>
          <w:i/>
          <w:sz w:val="22"/>
          <w:szCs w:val="22"/>
        </w:rPr>
        <w:t xml:space="preserve">]. </w:t>
      </w:r>
      <w:r w:rsidR="00572098" w:rsidRPr="00572098">
        <w:rPr>
          <w:i/>
          <w:sz w:val="22"/>
          <w:szCs w:val="22"/>
        </w:rPr>
        <w:t>A lei não previu outro momento para se exigir o cumprimento de leis específicas (como as ambientais), nem para aquelas que impõem o cumprimento de certas condições para o funcionamento da licitante.”</w:t>
      </w:r>
      <w:r w:rsidR="00131503">
        <w:rPr>
          <w:sz w:val="22"/>
          <w:szCs w:val="22"/>
        </w:rPr>
        <w:t xml:space="preserve">. O Plenário acolheu o voto do relator. </w:t>
      </w:r>
      <w:r w:rsidR="00572098" w:rsidRPr="00337E16">
        <w:rPr>
          <w:b/>
          <w:i/>
          <w:sz w:val="22"/>
          <w:szCs w:val="22"/>
        </w:rPr>
        <w:t>Acórdão n.º 1</w:t>
      </w:r>
      <w:r w:rsidR="00572098">
        <w:rPr>
          <w:b/>
          <w:i/>
          <w:sz w:val="22"/>
          <w:szCs w:val="22"/>
        </w:rPr>
        <w:t>895</w:t>
      </w:r>
      <w:r w:rsidR="00572098" w:rsidRPr="00337E16">
        <w:rPr>
          <w:b/>
          <w:i/>
          <w:sz w:val="22"/>
          <w:szCs w:val="22"/>
        </w:rPr>
        <w:t>/2010</w:t>
      </w:r>
      <w:r w:rsidR="00572098">
        <w:rPr>
          <w:b/>
          <w:i/>
          <w:sz w:val="22"/>
          <w:szCs w:val="22"/>
        </w:rPr>
        <w:t>-Plenário</w:t>
      </w:r>
      <w:r w:rsidR="00572098" w:rsidRPr="00337E16">
        <w:rPr>
          <w:b/>
          <w:i/>
          <w:sz w:val="22"/>
          <w:szCs w:val="22"/>
        </w:rPr>
        <w:t>, TC-0</w:t>
      </w:r>
      <w:r w:rsidR="00572098">
        <w:rPr>
          <w:b/>
          <w:i/>
          <w:sz w:val="22"/>
          <w:szCs w:val="22"/>
        </w:rPr>
        <w:t>01</w:t>
      </w:r>
      <w:r w:rsidR="00572098" w:rsidRPr="00337E16">
        <w:rPr>
          <w:b/>
          <w:i/>
          <w:sz w:val="22"/>
          <w:szCs w:val="22"/>
        </w:rPr>
        <w:t>.</w:t>
      </w:r>
      <w:r w:rsidR="00572098">
        <w:rPr>
          <w:b/>
          <w:i/>
          <w:sz w:val="22"/>
          <w:szCs w:val="22"/>
        </w:rPr>
        <w:t>597</w:t>
      </w:r>
      <w:r w:rsidR="00572098" w:rsidRPr="00337E16">
        <w:rPr>
          <w:b/>
          <w:i/>
          <w:sz w:val="22"/>
          <w:szCs w:val="22"/>
        </w:rPr>
        <w:t>/20</w:t>
      </w:r>
      <w:r w:rsidR="00572098">
        <w:rPr>
          <w:b/>
          <w:i/>
          <w:sz w:val="22"/>
          <w:szCs w:val="22"/>
        </w:rPr>
        <w:t>10</w:t>
      </w:r>
      <w:r w:rsidR="00572098" w:rsidRPr="00337E16">
        <w:rPr>
          <w:b/>
          <w:i/>
          <w:sz w:val="22"/>
          <w:szCs w:val="22"/>
        </w:rPr>
        <w:t>-</w:t>
      </w:r>
      <w:r w:rsidR="00572098">
        <w:rPr>
          <w:b/>
          <w:i/>
          <w:sz w:val="22"/>
          <w:szCs w:val="22"/>
        </w:rPr>
        <w:t>8</w:t>
      </w:r>
      <w:r w:rsidR="00572098" w:rsidRPr="00337E16">
        <w:rPr>
          <w:b/>
          <w:i/>
          <w:sz w:val="22"/>
          <w:szCs w:val="22"/>
        </w:rPr>
        <w:t>, rel. Min</w:t>
      </w:r>
      <w:r w:rsidR="00572098">
        <w:rPr>
          <w:b/>
          <w:i/>
          <w:sz w:val="22"/>
          <w:szCs w:val="22"/>
        </w:rPr>
        <w:t>. Augusto Nardes</w:t>
      </w:r>
      <w:r w:rsidR="00572098" w:rsidRPr="00337E16">
        <w:rPr>
          <w:b/>
          <w:i/>
          <w:sz w:val="22"/>
          <w:szCs w:val="22"/>
        </w:rPr>
        <w:t xml:space="preserve">, </w:t>
      </w:r>
      <w:r w:rsidR="00572098">
        <w:rPr>
          <w:b/>
          <w:i/>
          <w:sz w:val="22"/>
          <w:szCs w:val="22"/>
        </w:rPr>
        <w:t>04</w:t>
      </w:r>
      <w:r w:rsidR="00572098" w:rsidRPr="00337E16">
        <w:rPr>
          <w:b/>
          <w:i/>
          <w:sz w:val="22"/>
          <w:szCs w:val="22"/>
        </w:rPr>
        <w:t>.0</w:t>
      </w:r>
      <w:r w:rsidR="00572098">
        <w:rPr>
          <w:b/>
          <w:i/>
          <w:sz w:val="22"/>
          <w:szCs w:val="22"/>
        </w:rPr>
        <w:t>8</w:t>
      </w:r>
      <w:r w:rsidR="00572098" w:rsidRPr="00337E16">
        <w:rPr>
          <w:b/>
          <w:i/>
          <w:sz w:val="22"/>
          <w:szCs w:val="22"/>
        </w:rPr>
        <w:t>.2010</w:t>
      </w:r>
      <w:r w:rsidR="00572098" w:rsidRPr="00337E16">
        <w:rPr>
          <w:sz w:val="22"/>
          <w:szCs w:val="22"/>
        </w:rPr>
        <w:t>.</w:t>
      </w:r>
    </w:p>
    <w:p w:rsidR="00572098" w:rsidRDefault="00572098" w:rsidP="005B2194">
      <w:pPr>
        <w:pStyle w:val="Pargrafo"/>
        <w:jc w:val="both"/>
        <w:rPr>
          <w:sz w:val="22"/>
          <w:szCs w:val="22"/>
        </w:rPr>
      </w:pPr>
    </w:p>
    <w:p w:rsidR="00572098" w:rsidRPr="00F70C87" w:rsidRDefault="00F70C87" w:rsidP="005B2194">
      <w:pPr>
        <w:pStyle w:val="Pargrafo"/>
        <w:jc w:val="both"/>
        <w:rPr>
          <w:b/>
          <w:sz w:val="22"/>
          <w:szCs w:val="22"/>
        </w:rPr>
      </w:pPr>
      <w:r w:rsidRPr="00F70C87">
        <w:rPr>
          <w:b/>
          <w:sz w:val="22"/>
          <w:szCs w:val="22"/>
        </w:rPr>
        <w:t>Contratação, mediante pregão, de serviços de elaboração de estudo de caracterização e análise socioambiental de linhas de transmissão</w:t>
      </w:r>
    </w:p>
    <w:p w:rsidR="00F70C87" w:rsidRPr="00337E16" w:rsidRDefault="00C00F1D" w:rsidP="00F70C87">
      <w:pPr>
        <w:pStyle w:val="Pargrafo"/>
        <w:jc w:val="both"/>
        <w:rPr>
          <w:sz w:val="22"/>
          <w:szCs w:val="22"/>
        </w:rPr>
      </w:pPr>
      <w:r>
        <w:rPr>
          <w:sz w:val="22"/>
          <w:szCs w:val="22"/>
        </w:rPr>
        <w:t>R</w:t>
      </w:r>
      <w:r w:rsidR="00F70C87" w:rsidRPr="00F70C87">
        <w:rPr>
          <w:sz w:val="22"/>
          <w:szCs w:val="22"/>
        </w:rPr>
        <w:t xml:space="preserve">epresentação formulada </w:t>
      </w:r>
      <w:r>
        <w:rPr>
          <w:sz w:val="22"/>
          <w:szCs w:val="22"/>
        </w:rPr>
        <w:t>ao TCU indicou</w:t>
      </w:r>
      <w:r w:rsidR="00F70C87" w:rsidRPr="00F70C87">
        <w:rPr>
          <w:sz w:val="22"/>
          <w:szCs w:val="22"/>
        </w:rPr>
        <w:t xml:space="preserve"> </w:t>
      </w:r>
      <w:r w:rsidR="004D1A60">
        <w:rPr>
          <w:sz w:val="22"/>
          <w:szCs w:val="22"/>
        </w:rPr>
        <w:t>possível</w:t>
      </w:r>
      <w:r w:rsidR="00F70C87" w:rsidRPr="00F70C87">
        <w:rPr>
          <w:sz w:val="22"/>
          <w:szCs w:val="22"/>
        </w:rPr>
        <w:t xml:space="preserve"> ilegalidade praticada pela Companhia Hidro</w:t>
      </w:r>
      <w:r w:rsidR="004D1A60">
        <w:rPr>
          <w:sz w:val="22"/>
          <w:szCs w:val="22"/>
        </w:rPr>
        <w:t>e</w:t>
      </w:r>
      <w:r w:rsidR="00F70C87" w:rsidRPr="00F70C87">
        <w:rPr>
          <w:sz w:val="22"/>
          <w:szCs w:val="22"/>
        </w:rPr>
        <w:t xml:space="preserve">létrica do São Francisco </w:t>
      </w:r>
      <w:r>
        <w:rPr>
          <w:sz w:val="22"/>
          <w:szCs w:val="22"/>
        </w:rPr>
        <w:t>(</w:t>
      </w:r>
      <w:r w:rsidR="00F70C87" w:rsidRPr="00F70C87">
        <w:rPr>
          <w:sz w:val="22"/>
          <w:szCs w:val="22"/>
        </w:rPr>
        <w:t>Chesf</w:t>
      </w:r>
      <w:r>
        <w:rPr>
          <w:sz w:val="22"/>
          <w:szCs w:val="22"/>
        </w:rPr>
        <w:t>)</w:t>
      </w:r>
      <w:r w:rsidR="00F70C87" w:rsidRPr="00F70C87">
        <w:rPr>
          <w:sz w:val="22"/>
          <w:szCs w:val="22"/>
        </w:rPr>
        <w:t xml:space="preserve"> na contratação de </w:t>
      </w:r>
      <w:r w:rsidR="00F70C87" w:rsidRPr="00F70C87">
        <w:rPr>
          <w:i/>
          <w:sz w:val="22"/>
          <w:szCs w:val="22"/>
        </w:rPr>
        <w:t>“serviços de elaboração de estudo de caracterização e análise socioambiental das linhas de transmissão – LTs 230KV Picos/Tauá e Paraíso/Açu”</w:t>
      </w:r>
      <w:r w:rsidR="00F70C87" w:rsidRPr="00F70C87">
        <w:rPr>
          <w:sz w:val="22"/>
          <w:szCs w:val="22"/>
        </w:rPr>
        <w:t xml:space="preserve">, </w:t>
      </w:r>
      <w:r>
        <w:rPr>
          <w:sz w:val="22"/>
          <w:szCs w:val="22"/>
        </w:rPr>
        <w:t>ao utilizar-se</w:t>
      </w:r>
      <w:r w:rsidR="00F70C87" w:rsidRPr="00F70C87">
        <w:rPr>
          <w:sz w:val="22"/>
          <w:szCs w:val="22"/>
        </w:rPr>
        <w:t xml:space="preserve"> da modalidade </w:t>
      </w:r>
      <w:r w:rsidR="00F05F2D">
        <w:rPr>
          <w:sz w:val="22"/>
          <w:szCs w:val="22"/>
        </w:rPr>
        <w:t xml:space="preserve">de </w:t>
      </w:r>
      <w:r w:rsidR="00F70C87" w:rsidRPr="00F70C87">
        <w:rPr>
          <w:sz w:val="22"/>
          <w:szCs w:val="22"/>
        </w:rPr>
        <w:t>pregão.</w:t>
      </w:r>
      <w:r>
        <w:rPr>
          <w:sz w:val="22"/>
          <w:szCs w:val="22"/>
        </w:rPr>
        <w:t xml:space="preserve"> </w:t>
      </w:r>
      <w:r w:rsidR="00F70C87" w:rsidRPr="00F70C87">
        <w:rPr>
          <w:sz w:val="22"/>
          <w:szCs w:val="22"/>
        </w:rPr>
        <w:t xml:space="preserve">Segundo a representante, o objeto do </w:t>
      </w:r>
      <w:r>
        <w:rPr>
          <w:sz w:val="22"/>
          <w:szCs w:val="22"/>
        </w:rPr>
        <w:t xml:space="preserve">certame </w:t>
      </w:r>
      <w:r w:rsidR="00AD1063">
        <w:rPr>
          <w:sz w:val="22"/>
          <w:szCs w:val="22"/>
        </w:rPr>
        <w:t xml:space="preserve">envolvia </w:t>
      </w:r>
      <w:r w:rsidR="00F70C87" w:rsidRPr="00F70C87">
        <w:rPr>
          <w:sz w:val="22"/>
          <w:szCs w:val="22"/>
        </w:rPr>
        <w:t xml:space="preserve">a contratação de serviços de engenharia consultiva, revestidos de natureza predominantemente intelectual, não </w:t>
      </w:r>
      <w:r w:rsidR="00F05F2D">
        <w:rPr>
          <w:sz w:val="22"/>
          <w:szCs w:val="22"/>
        </w:rPr>
        <w:t xml:space="preserve">se </w:t>
      </w:r>
      <w:r w:rsidR="00F70C87" w:rsidRPr="00F70C87">
        <w:rPr>
          <w:sz w:val="22"/>
          <w:szCs w:val="22"/>
        </w:rPr>
        <w:t>caracteriza</w:t>
      </w:r>
      <w:r w:rsidR="00F05F2D">
        <w:rPr>
          <w:sz w:val="22"/>
          <w:szCs w:val="22"/>
        </w:rPr>
        <w:t>ndo, pois, como</w:t>
      </w:r>
      <w:r w:rsidR="00F70C87" w:rsidRPr="00F70C87">
        <w:rPr>
          <w:sz w:val="22"/>
          <w:szCs w:val="22"/>
        </w:rPr>
        <w:t xml:space="preserve"> serviços comuns, nos termos definidos pelo parágrafo único do art. 1º da Lei n</w:t>
      </w:r>
      <w:r>
        <w:rPr>
          <w:sz w:val="22"/>
          <w:szCs w:val="22"/>
        </w:rPr>
        <w:t>.</w:t>
      </w:r>
      <w:r w:rsidR="00F70C87" w:rsidRPr="00F70C87">
        <w:rPr>
          <w:sz w:val="22"/>
          <w:szCs w:val="22"/>
        </w:rPr>
        <w:t xml:space="preserve">º 10.520/2002. </w:t>
      </w:r>
      <w:r>
        <w:rPr>
          <w:sz w:val="22"/>
          <w:szCs w:val="22"/>
        </w:rPr>
        <w:t xml:space="preserve">A </w:t>
      </w:r>
      <w:r w:rsidR="00F70C87" w:rsidRPr="00F70C87">
        <w:rPr>
          <w:sz w:val="22"/>
          <w:szCs w:val="22"/>
        </w:rPr>
        <w:t>unidade técnica considerou que</w:t>
      </w:r>
      <w:r w:rsidR="00AE4C4C">
        <w:rPr>
          <w:sz w:val="22"/>
          <w:szCs w:val="22"/>
        </w:rPr>
        <w:t>, de fato,</w:t>
      </w:r>
      <w:r w:rsidR="00F70C87" w:rsidRPr="00F70C87">
        <w:rPr>
          <w:sz w:val="22"/>
          <w:szCs w:val="22"/>
        </w:rPr>
        <w:t xml:space="preserve"> certas exigências contidas </w:t>
      </w:r>
      <w:r w:rsidR="00F05F2D">
        <w:rPr>
          <w:sz w:val="22"/>
          <w:szCs w:val="22"/>
        </w:rPr>
        <w:t>n</w:t>
      </w:r>
      <w:r w:rsidR="00F70C87" w:rsidRPr="00F70C87">
        <w:rPr>
          <w:sz w:val="22"/>
          <w:szCs w:val="22"/>
        </w:rPr>
        <w:t xml:space="preserve">o edital vão de encontro à ideia de </w:t>
      </w:r>
      <w:r w:rsidR="00F05F2D">
        <w:rPr>
          <w:sz w:val="22"/>
          <w:szCs w:val="22"/>
        </w:rPr>
        <w:t>prestação</w:t>
      </w:r>
      <w:r w:rsidR="00F70C87" w:rsidRPr="00F70C87">
        <w:rPr>
          <w:sz w:val="22"/>
          <w:szCs w:val="22"/>
        </w:rPr>
        <w:t xml:space="preserve"> de um serviço comum, especificável por padrões usuais de mercado, </w:t>
      </w:r>
      <w:r w:rsidR="00F05F2D">
        <w:rPr>
          <w:sz w:val="22"/>
          <w:szCs w:val="22"/>
        </w:rPr>
        <w:t>não sendo</w:t>
      </w:r>
      <w:r w:rsidR="00F70C87" w:rsidRPr="00F70C87">
        <w:rPr>
          <w:sz w:val="22"/>
          <w:szCs w:val="22"/>
        </w:rPr>
        <w:t xml:space="preserve"> padronizáveis ou disponíveis no mercado de forma preconcebida, carecendo de parâmetros objetivos de definição dos padrões de desempenho e qualidade pretendidos.</w:t>
      </w:r>
      <w:r>
        <w:rPr>
          <w:sz w:val="22"/>
          <w:szCs w:val="22"/>
        </w:rPr>
        <w:t xml:space="preserve"> </w:t>
      </w:r>
      <w:r w:rsidR="00F05F2D">
        <w:rPr>
          <w:sz w:val="22"/>
          <w:szCs w:val="22"/>
        </w:rPr>
        <w:t>A título de exemplo</w:t>
      </w:r>
      <w:r w:rsidR="009D69CC">
        <w:rPr>
          <w:sz w:val="22"/>
          <w:szCs w:val="22"/>
        </w:rPr>
        <w:t xml:space="preserve">, a unidade técnica fez </w:t>
      </w:r>
      <w:r w:rsidR="00F05F2D">
        <w:rPr>
          <w:sz w:val="22"/>
          <w:szCs w:val="22"/>
        </w:rPr>
        <w:t>menção</w:t>
      </w:r>
      <w:r w:rsidR="009D69CC">
        <w:rPr>
          <w:sz w:val="22"/>
          <w:szCs w:val="22"/>
        </w:rPr>
        <w:t xml:space="preserve"> </w:t>
      </w:r>
      <w:r w:rsidR="00AE4C4C">
        <w:rPr>
          <w:sz w:val="22"/>
          <w:szCs w:val="22"/>
        </w:rPr>
        <w:t>a</w:t>
      </w:r>
      <w:r w:rsidR="00F70C87" w:rsidRPr="00F70C87">
        <w:rPr>
          <w:sz w:val="22"/>
          <w:szCs w:val="22"/>
        </w:rPr>
        <w:t>o item 5 da Especificação Técnica n</w:t>
      </w:r>
      <w:r w:rsidR="00F05F2D">
        <w:rPr>
          <w:sz w:val="22"/>
          <w:szCs w:val="22"/>
        </w:rPr>
        <w:t>.</w:t>
      </w:r>
      <w:r w:rsidR="00F70C87" w:rsidRPr="00F70C87">
        <w:rPr>
          <w:sz w:val="22"/>
          <w:szCs w:val="22"/>
        </w:rPr>
        <w:t>º 001/2006, que trata das diretrizes para a execução dos serviços, estabelece</w:t>
      </w:r>
      <w:r w:rsidR="009D69CC">
        <w:rPr>
          <w:sz w:val="22"/>
          <w:szCs w:val="22"/>
        </w:rPr>
        <w:t>ndo</w:t>
      </w:r>
      <w:r w:rsidR="00F70C87" w:rsidRPr="00F70C87">
        <w:rPr>
          <w:sz w:val="22"/>
          <w:szCs w:val="22"/>
        </w:rPr>
        <w:t xml:space="preserve"> que </w:t>
      </w:r>
      <w:r w:rsidR="00F70C87" w:rsidRPr="00F70C87">
        <w:rPr>
          <w:i/>
          <w:sz w:val="22"/>
          <w:szCs w:val="22"/>
        </w:rPr>
        <w:t>“a Contratada deverá apresentar um plano de trabalho preliminar 48 horas após a Ordem de Início de Serviço – OS</w:t>
      </w:r>
      <w:r w:rsidR="00F05F2D">
        <w:rPr>
          <w:i/>
          <w:sz w:val="22"/>
          <w:szCs w:val="22"/>
        </w:rPr>
        <w:t xml:space="preserve"> [...]</w:t>
      </w:r>
      <w:r w:rsidR="00F70C87" w:rsidRPr="00F70C87">
        <w:rPr>
          <w:i/>
          <w:sz w:val="22"/>
          <w:szCs w:val="22"/>
        </w:rPr>
        <w:t>, descrevendo as atividades que serão desenvolvidas para o objeto dessa Especificação”</w:t>
      </w:r>
      <w:r w:rsidR="009D69CC">
        <w:rPr>
          <w:sz w:val="22"/>
          <w:szCs w:val="22"/>
        </w:rPr>
        <w:t xml:space="preserve">. Também para a unidade </w:t>
      </w:r>
      <w:r w:rsidR="00AE4C4C">
        <w:rPr>
          <w:sz w:val="22"/>
          <w:szCs w:val="22"/>
        </w:rPr>
        <w:t>instrutiva</w:t>
      </w:r>
      <w:r w:rsidR="009D69CC">
        <w:rPr>
          <w:sz w:val="22"/>
          <w:szCs w:val="22"/>
        </w:rPr>
        <w:t xml:space="preserve">, </w:t>
      </w:r>
      <w:r w:rsidR="006F6414">
        <w:rPr>
          <w:sz w:val="22"/>
          <w:szCs w:val="22"/>
        </w:rPr>
        <w:t xml:space="preserve">o edital </w:t>
      </w:r>
      <w:r w:rsidR="00F70C87" w:rsidRPr="00F70C87">
        <w:rPr>
          <w:sz w:val="22"/>
          <w:szCs w:val="22"/>
        </w:rPr>
        <w:t>prevê a execução de etapas que não se harmonizam com o conceito de serviço comum</w:t>
      </w:r>
      <w:r w:rsidR="009D69CC">
        <w:rPr>
          <w:sz w:val="22"/>
          <w:szCs w:val="22"/>
        </w:rPr>
        <w:t xml:space="preserve">, </w:t>
      </w:r>
      <w:r w:rsidR="00AE4C4C">
        <w:rPr>
          <w:sz w:val="22"/>
          <w:szCs w:val="22"/>
        </w:rPr>
        <w:t>merecendo destaque</w:t>
      </w:r>
      <w:r w:rsidR="009D69CC">
        <w:rPr>
          <w:sz w:val="22"/>
          <w:szCs w:val="22"/>
        </w:rPr>
        <w:t xml:space="preserve">: </w:t>
      </w:r>
      <w:r w:rsidR="00F70C87" w:rsidRPr="00F70C87">
        <w:rPr>
          <w:sz w:val="22"/>
          <w:szCs w:val="22"/>
        </w:rPr>
        <w:t xml:space="preserve">a) </w:t>
      </w:r>
      <w:r w:rsidR="009D69CC" w:rsidRPr="009D69CC">
        <w:rPr>
          <w:i/>
          <w:sz w:val="22"/>
          <w:szCs w:val="22"/>
        </w:rPr>
        <w:t>“</w:t>
      </w:r>
      <w:r w:rsidR="00F70C87" w:rsidRPr="009D69CC">
        <w:rPr>
          <w:i/>
          <w:sz w:val="22"/>
          <w:szCs w:val="22"/>
        </w:rPr>
        <w:t>análise ambiental comparativa das alternativas visando à escolha do traçado preferencial, segundo aspectos que definam a sensibilidade ambiental desse traçado</w:t>
      </w:r>
      <w:r w:rsidR="009D69CC" w:rsidRPr="009D69CC">
        <w:rPr>
          <w:i/>
          <w:sz w:val="22"/>
          <w:szCs w:val="22"/>
        </w:rPr>
        <w:t>”</w:t>
      </w:r>
      <w:r w:rsidR="00F70C87" w:rsidRPr="00F70C87">
        <w:rPr>
          <w:sz w:val="22"/>
          <w:szCs w:val="22"/>
        </w:rPr>
        <w:t>;</w:t>
      </w:r>
      <w:r w:rsidR="009D69CC">
        <w:rPr>
          <w:sz w:val="22"/>
          <w:szCs w:val="22"/>
        </w:rPr>
        <w:t xml:space="preserve"> </w:t>
      </w:r>
      <w:r w:rsidR="00F70C87" w:rsidRPr="00F70C87">
        <w:rPr>
          <w:sz w:val="22"/>
          <w:szCs w:val="22"/>
        </w:rPr>
        <w:t xml:space="preserve">b) </w:t>
      </w:r>
      <w:r w:rsidR="009D69CC" w:rsidRPr="009D69CC">
        <w:rPr>
          <w:i/>
          <w:sz w:val="22"/>
          <w:szCs w:val="22"/>
        </w:rPr>
        <w:t>“</w:t>
      </w:r>
      <w:r w:rsidR="00F70C87" w:rsidRPr="009D69CC">
        <w:rPr>
          <w:i/>
          <w:sz w:val="22"/>
          <w:szCs w:val="22"/>
        </w:rPr>
        <w:t>diagnóstico ambiental do traçado selecionado oferecendo informações integradas das áreas de influência, direta e indireta, dos meios físico (clima, geologia, solo, recursos minerais e hídricos), biótico (fauna e flora) e socioeconômico (aspectos demográficos, uso e ocupação do solo, patrimônio histórico, cultural e arqueológico, comunidades indígenas e quilombolas), que permitam a identificação de fatores e áreas de restrição ao projeto de implantação do sistema de transmissão</w:t>
      </w:r>
      <w:r w:rsidR="009D69CC" w:rsidRPr="009D69CC">
        <w:rPr>
          <w:i/>
          <w:sz w:val="22"/>
          <w:szCs w:val="22"/>
        </w:rPr>
        <w:t>”</w:t>
      </w:r>
      <w:r w:rsidR="009D69CC">
        <w:rPr>
          <w:sz w:val="22"/>
          <w:szCs w:val="22"/>
        </w:rPr>
        <w:t xml:space="preserve">. </w:t>
      </w:r>
      <w:r w:rsidR="006F6414">
        <w:rPr>
          <w:sz w:val="22"/>
          <w:szCs w:val="22"/>
        </w:rPr>
        <w:t>Ao sopesar</w:t>
      </w:r>
      <w:r w:rsidR="00F70C87" w:rsidRPr="00F70C87">
        <w:rPr>
          <w:sz w:val="22"/>
          <w:szCs w:val="22"/>
        </w:rPr>
        <w:t xml:space="preserve"> a complexidade e a especificidade do objeto licitado, </w:t>
      </w:r>
      <w:r w:rsidR="009D69CC">
        <w:rPr>
          <w:sz w:val="22"/>
          <w:szCs w:val="22"/>
        </w:rPr>
        <w:t xml:space="preserve">o relator </w:t>
      </w:r>
      <w:r w:rsidR="006F6414">
        <w:rPr>
          <w:sz w:val="22"/>
          <w:szCs w:val="22"/>
        </w:rPr>
        <w:t>considerou</w:t>
      </w:r>
      <w:r w:rsidR="00F70C87" w:rsidRPr="00F70C87">
        <w:rPr>
          <w:sz w:val="22"/>
          <w:szCs w:val="22"/>
        </w:rPr>
        <w:t xml:space="preserve"> não ser possível classificá-lo como serviço comum</w:t>
      </w:r>
      <w:r w:rsidR="006F6414">
        <w:rPr>
          <w:sz w:val="22"/>
          <w:szCs w:val="22"/>
        </w:rPr>
        <w:t xml:space="preserve">, razão por que a representação </w:t>
      </w:r>
      <w:r w:rsidR="00AE4C4C">
        <w:rPr>
          <w:sz w:val="22"/>
          <w:szCs w:val="22"/>
        </w:rPr>
        <w:t>deveria</w:t>
      </w:r>
      <w:r w:rsidR="006F6414">
        <w:rPr>
          <w:sz w:val="22"/>
          <w:szCs w:val="22"/>
        </w:rPr>
        <w:t xml:space="preserve"> ser considerada procedente</w:t>
      </w:r>
      <w:r w:rsidR="00F70C87" w:rsidRPr="00F70C87">
        <w:rPr>
          <w:sz w:val="22"/>
          <w:szCs w:val="22"/>
        </w:rPr>
        <w:t xml:space="preserve">. No entanto, </w:t>
      </w:r>
      <w:r w:rsidR="00AE4C4C">
        <w:rPr>
          <w:sz w:val="22"/>
          <w:szCs w:val="22"/>
        </w:rPr>
        <w:t>fez questão de ressaltar</w:t>
      </w:r>
      <w:r w:rsidR="00F70C87" w:rsidRPr="00F70C87">
        <w:rPr>
          <w:sz w:val="22"/>
          <w:szCs w:val="22"/>
        </w:rPr>
        <w:t xml:space="preserve"> que o </w:t>
      </w:r>
      <w:r w:rsidR="006F6414">
        <w:rPr>
          <w:sz w:val="22"/>
          <w:szCs w:val="22"/>
        </w:rPr>
        <w:t>contrato</w:t>
      </w:r>
      <w:r w:rsidR="00F70C87" w:rsidRPr="00F70C87">
        <w:rPr>
          <w:sz w:val="22"/>
          <w:szCs w:val="22"/>
        </w:rPr>
        <w:t xml:space="preserve"> resultante do </w:t>
      </w:r>
      <w:r w:rsidR="006F6414">
        <w:rPr>
          <w:sz w:val="22"/>
          <w:szCs w:val="22"/>
        </w:rPr>
        <w:t>p</w:t>
      </w:r>
      <w:r w:rsidR="00F70C87" w:rsidRPr="00F70C87">
        <w:rPr>
          <w:sz w:val="22"/>
          <w:szCs w:val="22"/>
        </w:rPr>
        <w:t xml:space="preserve">regão foi devidamente finalizado e os serviços prestados nos </w:t>
      </w:r>
      <w:r w:rsidR="00AE4C4C">
        <w:rPr>
          <w:sz w:val="22"/>
          <w:szCs w:val="22"/>
        </w:rPr>
        <w:t>moldes</w:t>
      </w:r>
      <w:r w:rsidR="00F70C87" w:rsidRPr="00F70C87">
        <w:rPr>
          <w:sz w:val="22"/>
          <w:szCs w:val="22"/>
        </w:rPr>
        <w:t xml:space="preserve"> pactuados, inexistindo indícios de dano ao erário. </w:t>
      </w:r>
      <w:r w:rsidR="00AE4C4C">
        <w:rPr>
          <w:sz w:val="22"/>
          <w:szCs w:val="22"/>
        </w:rPr>
        <w:t>Portanto</w:t>
      </w:r>
      <w:r w:rsidR="006F6414">
        <w:rPr>
          <w:sz w:val="22"/>
          <w:szCs w:val="22"/>
        </w:rPr>
        <w:t>,</w:t>
      </w:r>
      <w:r w:rsidR="00F70C87" w:rsidRPr="00F70C87">
        <w:rPr>
          <w:sz w:val="22"/>
          <w:szCs w:val="22"/>
        </w:rPr>
        <w:t xml:space="preserve"> a adoção do pregão, no caso concreto, não trouxe prejuízos ou consequências negativas à Administração.</w:t>
      </w:r>
      <w:r w:rsidR="009D69CC">
        <w:rPr>
          <w:sz w:val="22"/>
          <w:szCs w:val="22"/>
        </w:rPr>
        <w:t xml:space="preserve"> </w:t>
      </w:r>
      <w:r w:rsidR="006F6414">
        <w:rPr>
          <w:sz w:val="22"/>
          <w:szCs w:val="22"/>
        </w:rPr>
        <w:t>C</w:t>
      </w:r>
      <w:r w:rsidR="00F70C87" w:rsidRPr="00F70C87">
        <w:rPr>
          <w:sz w:val="22"/>
          <w:szCs w:val="22"/>
        </w:rPr>
        <w:t xml:space="preserve">onsiderando que </w:t>
      </w:r>
      <w:r w:rsidR="009D69CC">
        <w:rPr>
          <w:sz w:val="22"/>
          <w:szCs w:val="22"/>
        </w:rPr>
        <w:t>o TCU</w:t>
      </w:r>
      <w:r w:rsidR="00F70C87" w:rsidRPr="00F70C87">
        <w:rPr>
          <w:sz w:val="22"/>
          <w:szCs w:val="22"/>
        </w:rPr>
        <w:t>, mediante o Acórdão n</w:t>
      </w:r>
      <w:r w:rsidR="009D69CC">
        <w:rPr>
          <w:sz w:val="22"/>
          <w:szCs w:val="22"/>
        </w:rPr>
        <w:t>.</w:t>
      </w:r>
      <w:r w:rsidR="00F70C87" w:rsidRPr="00F70C87">
        <w:rPr>
          <w:sz w:val="22"/>
          <w:szCs w:val="22"/>
        </w:rPr>
        <w:t xml:space="preserve">º 1.978/2009-Plenário, já </w:t>
      </w:r>
      <w:r w:rsidR="009D69CC">
        <w:rPr>
          <w:sz w:val="22"/>
          <w:szCs w:val="22"/>
        </w:rPr>
        <w:t>havia determinado</w:t>
      </w:r>
      <w:r w:rsidR="00F70C87" w:rsidRPr="00F70C87">
        <w:rPr>
          <w:sz w:val="22"/>
          <w:szCs w:val="22"/>
        </w:rPr>
        <w:t xml:space="preserve"> à Chesf que se </w:t>
      </w:r>
      <w:r w:rsidR="009D69CC">
        <w:rPr>
          <w:sz w:val="22"/>
          <w:szCs w:val="22"/>
        </w:rPr>
        <w:t>abstivesse</w:t>
      </w:r>
      <w:r w:rsidR="00F70C87" w:rsidRPr="00F70C87">
        <w:rPr>
          <w:sz w:val="22"/>
          <w:szCs w:val="22"/>
        </w:rPr>
        <w:t xml:space="preserve"> de </w:t>
      </w:r>
      <w:r w:rsidR="00F70C87" w:rsidRPr="00F70C87">
        <w:rPr>
          <w:i/>
          <w:sz w:val="22"/>
          <w:szCs w:val="22"/>
        </w:rPr>
        <w:t>“realizar licitações na modalidade pregão eletrônico para contratações de serviços especializados e complexos, reservando a adoção desse tipo de certame para contratações de serviços que possam ser enquadrados como comuns”</w:t>
      </w:r>
      <w:r w:rsidR="00F70C87" w:rsidRPr="00F70C87">
        <w:rPr>
          <w:sz w:val="22"/>
          <w:szCs w:val="22"/>
        </w:rPr>
        <w:t xml:space="preserve">, </w:t>
      </w:r>
      <w:r w:rsidR="009D69CC">
        <w:rPr>
          <w:sz w:val="22"/>
          <w:szCs w:val="22"/>
        </w:rPr>
        <w:t>o relator entendeu</w:t>
      </w:r>
      <w:r w:rsidR="00F70C87" w:rsidRPr="00F70C87">
        <w:rPr>
          <w:sz w:val="22"/>
          <w:szCs w:val="22"/>
        </w:rPr>
        <w:t xml:space="preserve"> dispensável a adoção de providências adicionais</w:t>
      </w:r>
      <w:r w:rsidR="006F6414">
        <w:rPr>
          <w:sz w:val="22"/>
          <w:szCs w:val="22"/>
        </w:rPr>
        <w:t>, no que foi acompanhado pelo</w:t>
      </w:r>
      <w:r w:rsidR="008E7D2A">
        <w:rPr>
          <w:sz w:val="22"/>
          <w:szCs w:val="22"/>
        </w:rPr>
        <w:t>s</w:t>
      </w:r>
      <w:r w:rsidR="009D69CC">
        <w:rPr>
          <w:sz w:val="22"/>
          <w:szCs w:val="22"/>
        </w:rPr>
        <w:t xml:space="preserve"> </w:t>
      </w:r>
      <w:r w:rsidR="008E7D2A">
        <w:rPr>
          <w:sz w:val="22"/>
          <w:szCs w:val="22"/>
        </w:rPr>
        <w:t>demais ministros</w:t>
      </w:r>
      <w:r w:rsidR="009D69CC">
        <w:rPr>
          <w:sz w:val="22"/>
          <w:szCs w:val="22"/>
        </w:rPr>
        <w:t>.</w:t>
      </w:r>
      <w:r w:rsidR="00E6525D">
        <w:rPr>
          <w:sz w:val="22"/>
          <w:szCs w:val="22"/>
        </w:rPr>
        <w:t xml:space="preserve"> </w:t>
      </w:r>
      <w:r w:rsidR="00F70C87" w:rsidRPr="00337E16">
        <w:rPr>
          <w:b/>
          <w:i/>
          <w:sz w:val="22"/>
          <w:szCs w:val="22"/>
        </w:rPr>
        <w:t>Acórdão n.º 1</w:t>
      </w:r>
      <w:r w:rsidR="00F70C87">
        <w:rPr>
          <w:b/>
          <w:i/>
          <w:sz w:val="22"/>
          <w:szCs w:val="22"/>
        </w:rPr>
        <w:t>903</w:t>
      </w:r>
      <w:r w:rsidR="00F70C87" w:rsidRPr="00337E16">
        <w:rPr>
          <w:b/>
          <w:i/>
          <w:sz w:val="22"/>
          <w:szCs w:val="22"/>
        </w:rPr>
        <w:t>/2010</w:t>
      </w:r>
      <w:r w:rsidR="00F70C87">
        <w:rPr>
          <w:b/>
          <w:i/>
          <w:sz w:val="22"/>
          <w:szCs w:val="22"/>
        </w:rPr>
        <w:t>-Plenário</w:t>
      </w:r>
      <w:r w:rsidR="00F70C87" w:rsidRPr="00337E16">
        <w:rPr>
          <w:b/>
          <w:i/>
          <w:sz w:val="22"/>
          <w:szCs w:val="22"/>
        </w:rPr>
        <w:t>, TC-0</w:t>
      </w:r>
      <w:r w:rsidR="00F70C87">
        <w:rPr>
          <w:b/>
          <w:i/>
          <w:sz w:val="22"/>
          <w:szCs w:val="22"/>
        </w:rPr>
        <w:t>10</w:t>
      </w:r>
      <w:r w:rsidR="00F70C87" w:rsidRPr="00337E16">
        <w:rPr>
          <w:b/>
          <w:i/>
          <w:sz w:val="22"/>
          <w:szCs w:val="22"/>
        </w:rPr>
        <w:t>.</w:t>
      </w:r>
      <w:r w:rsidR="00F70C87">
        <w:rPr>
          <w:b/>
          <w:i/>
          <w:sz w:val="22"/>
          <w:szCs w:val="22"/>
        </w:rPr>
        <w:t>314</w:t>
      </w:r>
      <w:r w:rsidR="00F70C87" w:rsidRPr="00337E16">
        <w:rPr>
          <w:b/>
          <w:i/>
          <w:sz w:val="22"/>
          <w:szCs w:val="22"/>
        </w:rPr>
        <w:t>/20</w:t>
      </w:r>
      <w:r w:rsidR="00F70C87">
        <w:rPr>
          <w:b/>
          <w:i/>
          <w:sz w:val="22"/>
          <w:szCs w:val="22"/>
        </w:rPr>
        <w:t>06</w:t>
      </w:r>
      <w:r w:rsidR="00F70C87" w:rsidRPr="00337E16">
        <w:rPr>
          <w:b/>
          <w:i/>
          <w:sz w:val="22"/>
          <w:szCs w:val="22"/>
        </w:rPr>
        <w:t>-</w:t>
      </w:r>
      <w:r w:rsidR="00F70C87">
        <w:rPr>
          <w:b/>
          <w:i/>
          <w:sz w:val="22"/>
          <w:szCs w:val="22"/>
        </w:rPr>
        <w:t>5</w:t>
      </w:r>
      <w:r w:rsidR="00F70C87" w:rsidRPr="00337E16">
        <w:rPr>
          <w:b/>
          <w:i/>
          <w:sz w:val="22"/>
          <w:szCs w:val="22"/>
        </w:rPr>
        <w:t>, rel. Min</w:t>
      </w:r>
      <w:r w:rsidR="00F70C87">
        <w:rPr>
          <w:b/>
          <w:i/>
          <w:sz w:val="22"/>
          <w:szCs w:val="22"/>
        </w:rPr>
        <w:t>. Raimundo Carreiro</w:t>
      </w:r>
      <w:r w:rsidR="00F70C87" w:rsidRPr="00337E16">
        <w:rPr>
          <w:b/>
          <w:i/>
          <w:sz w:val="22"/>
          <w:szCs w:val="22"/>
        </w:rPr>
        <w:t xml:space="preserve">, </w:t>
      </w:r>
      <w:r w:rsidR="00F70C87">
        <w:rPr>
          <w:b/>
          <w:i/>
          <w:sz w:val="22"/>
          <w:szCs w:val="22"/>
        </w:rPr>
        <w:t>04</w:t>
      </w:r>
      <w:r w:rsidR="00F70C87" w:rsidRPr="00337E16">
        <w:rPr>
          <w:b/>
          <w:i/>
          <w:sz w:val="22"/>
          <w:szCs w:val="22"/>
        </w:rPr>
        <w:t>.0</w:t>
      </w:r>
      <w:r w:rsidR="00F70C87">
        <w:rPr>
          <w:b/>
          <w:i/>
          <w:sz w:val="22"/>
          <w:szCs w:val="22"/>
        </w:rPr>
        <w:t>8</w:t>
      </w:r>
      <w:r w:rsidR="00F70C87" w:rsidRPr="00337E16">
        <w:rPr>
          <w:b/>
          <w:i/>
          <w:sz w:val="22"/>
          <w:szCs w:val="22"/>
        </w:rPr>
        <w:t>.2010</w:t>
      </w:r>
      <w:r w:rsidR="00F70C87" w:rsidRPr="00337E16">
        <w:rPr>
          <w:sz w:val="22"/>
          <w:szCs w:val="22"/>
        </w:rPr>
        <w:t>.</w:t>
      </w:r>
    </w:p>
    <w:p w:rsidR="00BC5737" w:rsidRPr="00337E16" w:rsidRDefault="00BC5737" w:rsidP="00BC5737">
      <w:pPr>
        <w:pStyle w:val="enter-3pt"/>
        <w:spacing w:line="240" w:lineRule="auto"/>
        <w:rPr>
          <w:sz w:val="22"/>
          <w:szCs w:val="22"/>
        </w:rPr>
      </w:pPr>
    </w:p>
    <w:p w:rsidR="00BC5737" w:rsidRPr="00337E16" w:rsidRDefault="00BC5737" w:rsidP="00BC573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w:t>
      </w:r>
      <w:r w:rsidRPr="00337E16">
        <w:rPr>
          <w:rFonts w:ascii="Cambria" w:hAnsi="Cambria"/>
          <w:b/>
          <w:bCs/>
          <w:smallCaps/>
          <w:sz w:val="22"/>
          <w:szCs w:val="22"/>
        </w:rPr>
        <w:t xml:space="preserve"> CÂMARA</w:t>
      </w:r>
    </w:p>
    <w:p w:rsidR="00BC5737" w:rsidRPr="00337E16" w:rsidRDefault="00BC5737" w:rsidP="00BC5737">
      <w:pPr>
        <w:pStyle w:val="Pargrafo"/>
        <w:jc w:val="both"/>
        <w:rPr>
          <w:b/>
          <w:sz w:val="22"/>
          <w:szCs w:val="22"/>
        </w:rPr>
      </w:pPr>
    </w:p>
    <w:p w:rsidR="00BC5737" w:rsidRPr="003D5BFD" w:rsidRDefault="003D5BFD" w:rsidP="00BC5737">
      <w:pPr>
        <w:pStyle w:val="Pargrafo"/>
        <w:jc w:val="both"/>
        <w:rPr>
          <w:b/>
          <w:sz w:val="22"/>
          <w:szCs w:val="22"/>
        </w:rPr>
      </w:pPr>
      <w:r w:rsidRPr="003D5BFD">
        <w:rPr>
          <w:b/>
          <w:sz w:val="22"/>
          <w:szCs w:val="22"/>
        </w:rPr>
        <w:t>Responsabilidade do pregoeiro pela realização de pesquisa de preços</w:t>
      </w:r>
    </w:p>
    <w:p w:rsidR="00BC5737" w:rsidRPr="00337E16" w:rsidRDefault="001A47C5" w:rsidP="00BC5737">
      <w:pPr>
        <w:pStyle w:val="Pargrafo"/>
        <w:jc w:val="both"/>
        <w:rPr>
          <w:sz w:val="22"/>
          <w:szCs w:val="22"/>
        </w:rPr>
      </w:pPr>
      <w:r w:rsidRPr="00730E6E">
        <w:rPr>
          <w:sz w:val="22"/>
          <w:szCs w:val="22"/>
        </w:rPr>
        <w:t xml:space="preserve">Não constitui incumbência obrigatória da </w:t>
      </w:r>
      <w:r w:rsidR="008B23F0">
        <w:rPr>
          <w:sz w:val="22"/>
          <w:szCs w:val="22"/>
        </w:rPr>
        <w:t>c</w:t>
      </w:r>
      <w:r w:rsidR="008B23F0" w:rsidRPr="00730E6E">
        <w:rPr>
          <w:sz w:val="22"/>
          <w:szCs w:val="22"/>
        </w:rPr>
        <w:t xml:space="preserve">omissão </w:t>
      </w:r>
      <w:r w:rsidR="008B23F0">
        <w:rPr>
          <w:sz w:val="22"/>
          <w:szCs w:val="22"/>
        </w:rPr>
        <w:t>p</w:t>
      </w:r>
      <w:r w:rsidR="008B23F0" w:rsidRPr="00730E6E">
        <w:rPr>
          <w:sz w:val="22"/>
          <w:szCs w:val="22"/>
        </w:rPr>
        <w:t xml:space="preserve">ermanente de </w:t>
      </w:r>
      <w:r w:rsidR="008B23F0">
        <w:rPr>
          <w:sz w:val="22"/>
          <w:szCs w:val="22"/>
        </w:rPr>
        <w:t>l</w:t>
      </w:r>
      <w:r w:rsidR="008B23F0" w:rsidRPr="00730E6E">
        <w:rPr>
          <w:sz w:val="22"/>
          <w:szCs w:val="22"/>
        </w:rPr>
        <w:t xml:space="preserve">icitação </w:t>
      </w:r>
      <w:r w:rsidR="008B23F0">
        <w:rPr>
          <w:sz w:val="22"/>
          <w:szCs w:val="22"/>
        </w:rPr>
        <w:t>(</w:t>
      </w:r>
      <w:r w:rsidR="008B23F0" w:rsidRPr="00730E6E">
        <w:rPr>
          <w:sz w:val="22"/>
          <w:szCs w:val="22"/>
        </w:rPr>
        <w:t>CPL</w:t>
      </w:r>
      <w:r w:rsidR="008B23F0">
        <w:rPr>
          <w:sz w:val="22"/>
          <w:szCs w:val="22"/>
        </w:rPr>
        <w:t>)</w:t>
      </w:r>
      <w:r w:rsidRPr="00730E6E">
        <w:rPr>
          <w:sz w:val="22"/>
          <w:szCs w:val="22"/>
        </w:rPr>
        <w:t>, do pregoeiro ou da autoridade superior realizar pesquisa de preços no mercado e em outros entes públicos, sendo essa atribuição, tendo em vista a complexidade dos diversos objetos licitados, dos setores ou pessoas competentes envolvidos na aquisição do objeto.</w:t>
      </w:r>
      <w:r w:rsidR="00CD1F5D">
        <w:rPr>
          <w:sz w:val="22"/>
          <w:szCs w:val="22"/>
        </w:rPr>
        <w:t xml:space="preserve"> Foi esse o entendimento defendido pelo relator, ao apreciar </w:t>
      </w:r>
      <w:r w:rsidR="00730E6E" w:rsidRPr="00730E6E">
        <w:rPr>
          <w:sz w:val="22"/>
          <w:szCs w:val="22"/>
        </w:rPr>
        <w:t xml:space="preserve">pedido de reexame </w:t>
      </w:r>
      <w:r w:rsidR="00CD1F5D">
        <w:rPr>
          <w:sz w:val="22"/>
          <w:szCs w:val="22"/>
        </w:rPr>
        <w:t xml:space="preserve">interposto contra </w:t>
      </w:r>
      <w:r w:rsidR="00730E6E" w:rsidRPr="00730E6E">
        <w:rPr>
          <w:sz w:val="22"/>
          <w:szCs w:val="22"/>
        </w:rPr>
        <w:t>o Acórdão n</w:t>
      </w:r>
      <w:r w:rsidR="00CD1F5D">
        <w:rPr>
          <w:sz w:val="22"/>
          <w:szCs w:val="22"/>
        </w:rPr>
        <w:t>.</w:t>
      </w:r>
      <w:r w:rsidR="00730E6E" w:rsidRPr="00730E6E">
        <w:rPr>
          <w:sz w:val="22"/>
          <w:szCs w:val="22"/>
        </w:rPr>
        <w:t xml:space="preserve">º 6.753/2009-1ª Câmara, por meio do qual </w:t>
      </w:r>
      <w:r w:rsidR="00CD1F5D">
        <w:rPr>
          <w:sz w:val="22"/>
          <w:szCs w:val="22"/>
        </w:rPr>
        <w:t>o Tribunal</w:t>
      </w:r>
      <w:r w:rsidR="00730E6E" w:rsidRPr="00730E6E">
        <w:rPr>
          <w:sz w:val="22"/>
          <w:szCs w:val="22"/>
        </w:rPr>
        <w:t xml:space="preserve"> aplicou multa ao</w:t>
      </w:r>
      <w:r w:rsidR="00B3167A">
        <w:rPr>
          <w:sz w:val="22"/>
          <w:szCs w:val="22"/>
        </w:rPr>
        <w:t xml:space="preserve"> ora recorrente (pregoeiro)</w:t>
      </w:r>
      <w:r w:rsidR="00730E6E" w:rsidRPr="00730E6E">
        <w:rPr>
          <w:sz w:val="22"/>
          <w:szCs w:val="22"/>
        </w:rPr>
        <w:t xml:space="preserve">, </w:t>
      </w:r>
      <w:r w:rsidR="008B23F0">
        <w:rPr>
          <w:sz w:val="22"/>
          <w:szCs w:val="22"/>
        </w:rPr>
        <w:t>em decorrência</w:t>
      </w:r>
      <w:r w:rsidR="00730E6E" w:rsidRPr="00730E6E">
        <w:rPr>
          <w:sz w:val="22"/>
          <w:szCs w:val="22"/>
        </w:rPr>
        <w:t xml:space="preserve"> de irregularidades </w:t>
      </w:r>
      <w:r w:rsidR="008B23F0">
        <w:rPr>
          <w:sz w:val="22"/>
          <w:szCs w:val="22"/>
        </w:rPr>
        <w:t>identificadas em</w:t>
      </w:r>
      <w:r w:rsidR="00730E6E" w:rsidRPr="00730E6E">
        <w:rPr>
          <w:sz w:val="22"/>
          <w:szCs w:val="22"/>
        </w:rPr>
        <w:t xml:space="preserve"> pregão instaurado pelo Governo do Estado de Roraima.</w:t>
      </w:r>
      <w:r w:rsidR="00CD1F5D">
        <w:rPr>
          <w:sz w:val="22"/>
          <w:szCs w:val="22"/>
        </w:rPr>
        <w:t xml:space="preserve"> Em seu voto, o relator constatou que </w:t>
      </w:r>
      <w:r w:rsidR="00730E6E" w:rsidRPr="00730E6E">
        <w:rPr>
          <w:sz w:val="22"/>
          <w:szCs w:val="22"/>
        </w:rPr>
        <w:t>a CPL public</w:t>
      </w:r>
      <w:r w:rsidR="00B3167A">
        <w:rPr>
          <w:sz w:val="22"/>
          <w:szCs w:val="22"/>
        </w:rPr>
        <w:t>ara</w:t>
      </w:r>
      <w:r w:rsidR="00730E6E" w:rsidRPr="00730E6E">
        <w:rPr>
          <w:sz w:val="22"/>
          <w:szCs w:val="22"/>
        </w:rPr>
        <w:t xml:space="preserve">, em 29/12/2008, o </w:t>
      </w:r>
      <w:r w:rsidR="00CD1F5D">
        <w:rPr>
          <w:sz w:val="22"/>
          <w:szCs w:val="22"/>
        </w:rPr>
        <w:t>e</w:t>
      </w:r>
      <w:r w:rsidR="00730E6E" w:rsidRPr="00730E6E">
        <w:rPr>
          <w:sz w:val="22"/>
          <w:szCs w:val="22"/>
        </w:rPr>
        <w:t>dital d</w:t>
      </w:r>
      <w:r w:rsidR="00CD1F5D">
        <w:rPr>
          <w:sz w:val="22"/>
          <w:szCs w:val="22"/>
        </w:rPr>
        <w:t>o</w:t>
      </w:r>
      <w:r w:rsidR="00730E6E" w:rsidRPr="00730E6E">
        <w:rPr>
          <w:sz w:val="22"/>
          <w:szCs w:val="22"/>
        </w:rPr>
        <w:t xml:space="preserve"> Pregão Presencial n</w:t>
      </w:r>
      <w:r w:rsidR="00CD1F5D">
        <w:rPr>
          <w:sz w:val="22"/>
          <w:szCs w:val="22"/>
        </w:rPr>
        <w:t>.</w:t>
      </w:r>
      <w:r w:rsidR="00730E6E" w:rsidRPr="00730E6E">
        <w:rPr>
          <w:sz w:val="22"/>
          <w:szCs w:val="22"/>
        </w:rPr>
        <w:t xml:space="preserve">º 414/2008, cujo objeto era o registro de preços para eventual aquisição de gêneros alimentícios. Após a apresentação dos lances verbais, foi declarada vencedora empresa que </w:t>
      </w:r>
      <w:r w:rsidR="00B3167A">
        <w:rPr>
          <w:sz w:val="22"/>
          <w:szCs w:val="22"/>
        </w:rPr>
        <w:t>ofertou</w:t>
      </w:r>
      <w:r w:rsidR="00730E6E" w:rsidRPr="00730E6E">
        <w:rPr>
          <w:sz w:val="22"/>
          <w:szCs w:val="22"/>
        </w:rPr>
        <w:t xml:space="preserve"> proposta de R$ 6.241.000,00, </w:t>
      </w:r>
      <w:r w:rsidR="00B3167A">
        <w:rPr>
          <w:sz w:val="22"/>
          <w:szCs w:val="22"/>
        </w:rPr>
        <w:t>ao passo que</w:t>
      </w:r>
      <w:r w:rsidR="00730E6E" w:rsidRPr="00730E6E">
        <w:rPr>
          <w:sz w:val="22"/>
          <w:szCs w:val="22"/>
        </w:rPr>
        <w:t xml:space="preserve"> o valor estimado pela administração correspondia a R$ 9.160.477,95.</w:t>
      </w:r>
      <w:r w:rsidR="00CD1F5D">
        <w:rPr>
          <w:sz w:val="22"/>
          <w:szCs w:val="22"/>
        </w:rPr>
        <w:t xml:space="preserve"> </w:t>
      </w:r>
      <w:r w:rsidR="00730E6E" w:rsidRPr="00730E6E">
        <w:rPr>
          <w:sz w:val="22"/>
          <w:szCs w:val="22"/>
        </w:rPr>
        <w:t xml:space="preserve">Após </w:t>
      </w:r>
      <w:r w:rsidR="008B23F0">
        <w:rPr>
          <w:sz w:val="22"/>
          <w:szCs w:val="22"/>
        </w:rPr>
        <w:t>a interposição de recurso</w:t>
      </w:r>
      <w:r w:rsidR="00730E6E" w:rsidRPr="00730E6E">
        <w:rPr>
          <w:sz w:val="22"/>
          <w:szCs w:val="22"/>
        </w:rPr>
        <w:t xml:space="preserve">, o pregoeiro decidiu desclassificar </w:t>
      </w:r>
      <w:r w:rsidR="008B23F0">
        <w:rPr>
          <w:sz w:val="22"/>
          <w:szCs w:val="22"/>
        </w:rPr>
        <w:t>a</w:t>
      </w:r>
      <w:r w:rsidR="00730E6E" w:rsidRPr="00730E6E">
        <w:rPr>
          <w:sz w:val="22"/>
          <w:szCs w:val="22"/>
        </w:rPr>
        <w:t xml:space="preserve"> vencedora, além de declarar fracassado o certame, por entender que </w:t>
      </w:r>
      <w:r w:rsidR="008B23F0" w:rsidRPr="008B23F0">
        <w:rPr>
          <w:i/>
          <w:sz w:val="22"/>
          <w:szCs w:val="22"/>
        </w:rPr>
        <w:t>“</w:t>
      </w:r>
      <w:r w:rsidR="00730E6E" w:rsidRPr="008B23F0">
        <w:rPr>
          <w:i/>
          <w:sz w:val="22"/>
          <w:szCs w:val="22"/>
        </w:rPr>
        <w:t>a desclassificação das melhores propostas de preços infringiria o princípio da economicidade</w:t>
      </w:r>
      <w:r w:rsidR="008B23F0" w:rsidRPr="008B23F0">
        <w:rPr>
          <w:i/>
          <w:sz w:val="22"/>
          <w:szCs w:val="22"/>
        </w:rPr>
        <w:t>”</w:t>
      </w:r>
      <w:r w:rsidR="00730E6E" w:rsidRPr="00730E6E">
        <w:rPr>
          <w:sz w:val="22"/>
          <w:szCs w:val="22"/>
        </w:rPr>
        <w:t>.</w:t>
      </w:r>
      <w:r w:rsidR="00CD1F5D">
        <w:rPr>
          <w:sz w:val="22"/>
          <w:szCs w:val="22"/>
        </w:rPr>
        <w:t xml:space="preserve"> </w:t>
      </w:r>
      <w:r w:rsidR="00B3167A">
        <w:rPr>
          <w:sz w:val="22"/>
          <w:szCs w:val="22"/>
        </w:rPr>
        <w:t>E</w:t>
      </w:r>
      <w:r w:rsidR="00730E6E" w:rsidRPr="00730E6E">
        <w:rPr>
          <w:sz w:val="22"/>
          <w:szCs w:val="22"/>
        </w:rPr>
        <w:t>m 19/2/2009</w:t>
      </w:r>
      <w:r w:rsidR="008B23F0">
        <w:rPr>
          <w:sz w:val="22"/>
          <w:szCs w:val="22"/>
        </w:rPr>
        <w:t>,</w:t>
      </w:r>
      <w:r w:rsidR="00730E6E" w:rsidRPr="00730E6E">
        <w:rPr>
          <w:sz w:val="22"/>
          <w:szCs w:val="22"/>
        </w:rPr>
        <w:t xml:space="preserve"> foi publicado o </w:t>
      </w:r>
      <w:r w:rsidR="00CD1F5D">
        <w:rPr>
          <w:sz w:val="22"/>
          <w:szCs w:val="22"/>
        </w:rPr>
        <w:t>e</w:t>
      </w:r>
      <w:r w:rsidR="00730E6E" w:rsidRPr="00730E6E">
        <w:rPr>
          <w:sz w:val="22"/>
          <w:szCs w:val="22"/>
        </w:rPr>
        <w:t>dital d</w:t>
      </w:r>
      <w:r w:rsidR="00CD1F5D">
        <w:rPr>
          <w:sz w:val="22"/>
          <w:szCs w:val="22"/>
        </w:rPr>
        <w:t>o</w:t>
      </w:r>
      <w:r w:rsidR="00730E6E" w:rsidRPr="00730E6E">
        <w:rPr>
          <w:sz w:val="22"/>
          <w:szCs w:val="22"/>
        </w:rPr>
        <w:t xml:space="preserve"> Pregão Presencial n</w:t>
      </w:r>
      <w:r w:rsidR="00CD1F5D">
        <w:rPr>
          <w:sz w:val="22"/>
          <w:szCs w:val="22"/>
        </w:rPr>
        <w:t>.</w:t>
      </w:r>
      <w:r w:rsidR="00730E6E" w:rsidRPr="00730E6E">
        <w:rPr>
          <w:sz w:val="22"/>
          <w:szCs w:val="22"/>
        </w:rPr>
        <w:t>º 019/2009, idêntico ao certame anterior, sagrando-se vencedora, mais uma vez, a</w:t>
      </w:r>
      <w:r w:rsidR="00CD1F5D">
        <w:rPr>
          <w:sz w:val="22"/>
          <w:szCs w:val="22"/>
        </w:rPr>
        <w:t>quela mesma</w:t>
      </w:r>
      <w:r w:rsidR="00730E6E" w:rsidRPr="00730E6E">
        <w:rPr>
          <w:sz w:val="22"/>
          <w:szCs w:val="22"/>
        </w:rPr>
        <w:t xml:space="preserve"> empresa, oferecendo, desta feita, proposta</w:t>
      </w:r>
      <w:r w:rsidR="00CD1F5D">
        <w:rPr>
          <w:sz w:val="22"/>
          <w:szCs w:val="22"/>
        </w:rPr>
        <w:t xml:space="preserve"> no valor total de </w:t>
      </w:r>
      <w:r w:rsidR="008B23F0">
        <w:rPr>
          <w:sz w:val="22"/>
          <w:szCs w:val="22"/>
        </w:rPr>
        <w:t xml:space="preserve">R$ </w:t>
      </w:r>
      <w:r w:rsidR="00CD1F5D">
        <w:rPr>
          <w:sz w:val="22"/>
          <w:szCs w:val="22"/>
        </w:rPr>
        <w:t>7.279.999,74</w:t>
      </w:r>
      <w:r w:rsidR="00730E6E" w:rsidRPr="00730E6E">
        <w:rPr>
          <w:sz w:val="22"/>
          <w:szCs w:val="22"/>
        </w:rPr>
        <w:t>.</w:t>
      </w:r>
      <w:r w:rsidR="00CD1F5D">
        <w:rPr>
          <w:sz w:val="22"/>
          <w:szCs w:val="22"/>
        </w:rPr>
        <w:t xml:space="preserve"> </w:t>
      </w:r>
      <w:r w:rsidR="00730E6E" w:rsidRPr="00730E6E">
        <w:rPr>
          <w:sz w:val="22"/>
          <w:szCs w:val="22"/>
        </w:rPr>
        <w:t xml:space="preserve">Considerando que o valor vencedor </w:t>
      </w:r>
      <w:r w:rsidR="00D86EE3">
        <w:rPr>
          <w:sz w:val="22"/>
          <w:szCs w:val="22"/>
        </w:rPr>
        <w:t>havia sido</w:t>
      </w:r>
      <w:r w:rsidR="00730E6E" w:rsidRPr="00730E6E">
        <w:rPr>
          <w:sz w:val="22"/>
          <w:szCs w:val="22"/>
        </w:rPr>
        <w:t xml:space="preserve"> superior ao anterior, mas bastante inferior ao </w:t>
      </w:r>
      <w:r w:rsidR="00B3167A">
        <w:rPr>
          <w:sz w:val="22"/>
          <w:szCs w:val="22"/>
        </w:rPr>
        <w:t>orçado</w:t>
      </w:r>
      <w:r w:rsidR="00730E6E" w:rsidRPr="00730E6E">
        <w:rPr>
          <w:sz w:val="22"/>
          <w:szCs w:val="22"/>
        </w:rPr>
        <w:t xml:space="preserve"> (R$ 9.160.477,95), além do que </w:t>
      </w:r>
      <w:r w:rsidR="00F96C28">
        <w:rPr>
          <w:sz w:val="22"/>
          <w:szCs w:val="22"/>
        </w:rPr>
        <w:t>o intervalo</w:t>
      </w:r>
      <w:r w:rsidR="00730E6E" w:rsidRPr="00730E6E">
        <w:rPr>
          <w:sz w:val="22"/>
          <w:szCs w:val="22"/>
        </w:rPr>
        <w:t xml:space="preserve"> de tempo entre os editais </w:t>
      </w:r>
      <w:r w:rsidR="00B3167A">
        <w:rPr>
          <w:sz w:val="22"/>
          <w:szCs w:val="22"/>
        </w:rPr>
        <w:t>fora</w:t>
      </w:r>
      <w:r w:rsidR="00730E6E" w:rsidRPr="00730E6E">
        <w:rPr>
          <w:sz w:val="22"/>
          <w:szCs w:val="22"/>
        </w:rPr>
        <w:t xml:space="preserve"> de apenas pouco mais de um mês, o relator </w:t>
      </w:r>
      <w:r w:rsidR="00B3167A">
        <w:rPr>
          <w:sz w:val="22"/>
          <w:szCs w:val="22"/>
        </w:rPr>
        <w:t>da deliberação recorrida</w:t>
      </w:r>
      <w:r w:rsidR="00730E6E" w:rsidRPr="00730E6E">
        <w:rPr>
          <w:sz w:val="22"/>
          <w:szCs w:val="22"/>
        </w:rPr>
        <w:t xml:space="preserve"> </w:t>
      </w:r>
      <w:r w:rsidR="00AA629E">
        <w:rPr>
          <w:sz w:val="22"/>
          <w:szCs w:val="22"/>
        </w:rPr>
        <w:t>concluiu</w:t>
      </w:r>
      <w:r w:rsidR="00730E6E" w:rsidRPr="00730E6E">
        <w:rPr>
          <w:sz w:val="22"/>
          <w:szCs w:val="22"/>
        </w:rPr>
        <w:t xml:space="preserve"> que os preços de referência estavam superiores aos de mercado, </w:t>
      </w:r>
      <w:r w:rsidR="00D86EE3">
        <w:rPr>
          <w:sz w:val="22"/>
          <w:szCs w:val="22"/>
        </w:rPr>
        <w:t>imputando responsabilidade</w:t>
      </w:r>
      <w:r w:rsidR="00730E6E" w:rsidRPr="00730E6E">
        <w:rPr>
          <w:sz w:val="22"/>
          <w:szCs w:val="22"/>
        </w:rPr>
        <w:t xml:space="preserve"> </w:t>
      </w:r>
      <w:r w:rsidR="00D86EE3">
        <w:rPr>
          <w:sz w:val="22"/>
          <w:szCs w:val="22"/>
        </w:rPr>
        <w:t>a</w:t>
      </w:r>
      <w:r w:rsidR="00730E6E" w:rsidRPr="00730E6E">
        <w:rPr>
          <w:sz w:val="22"/>
          <w:szCs w:val="22"/>
        </w:rPr>
        <w:t xml:space="preserve">o pregoeiro, </w:t>
      </w:r>
      <w:r w:rsidR="00D86EE3">
        <w:rPr>
          <w:sz w:val="22"/>
          <w:szCs w:val="22"/>
        </w:rPr>
        <w:t>a</w:t>
      </w:r>
      <w:r w:rsidR="00730E6E" w:rsidRPr="00730E6E">
        <w:rPr>
          <w:sz w:val="22"/>
          <w:szCs w:val="22"/>
        </w:rPr>
        <w:t xml:space="preserve">o responsável pela elaboração do edital e </w:t>
      </w:r>
      <w:r w:rsidR="00D86EE3">
        <w:rPr>
          <w:sz w:val="22"/>
          <w:szCs w:val="22"/>
        </w:rPr>
        <w:t>a</w:t>
      </w:r>
      <w:r w:rsidR="00730E6E" w:rsidRPr="00730E6E">
        <w:rPr>
          <w:sz w:val="22"/>
          <w:szCs w:val="22"/>
        </w:rPr>
        <w:t xml:space="preserve">o diretor do departamento </w:t>
      </w:r>
      <w:r w:rsidR="00B3167A">
        <w:rPr>
          <w:sz w:val="22"/>
          <w:szCs w:val="22"/>
        </w:rPr>
        <w:t>encarregado da</w:t>
      </w:r>
      <w:r w:rsidR="00730E6E" w:rsidRPr="00730E6E">
        <w:rPr>
          <w:sz w:val="22"/>
          <w:szCs w:val="22"/>
        </w:rPr>
        <w:t xml:space="preserve"> compra.</w:t>
      </w:r>
      <w:r w:rsidR="00CD1F5D">
        <w:rPr>
          <w:sz w:val="22"/>
          <w:szCs w:val="22"/>
        </w:rPr>
        <w:t xml:space="preserve"> Para o relator do recurso, no entanto, </w:t>
      </w:r>
      <w:r w:rsidR="00730E6E" w:rsidRPr="00730E6E">
        <w:rPr>
          <w:sz w:val="22"/>
          <w:szCs w:val="22"/>
        </w:rPr>
        <w:t xml:space="preserve">as responsabilidades </w:t>
      </w:r>
      <w:r w:rsidR="00CD1F5D" w:rsidRPr="00CD1F5D">
        <w:rPr>
          <w:i/>
          <w:sz w:val="22"/>
          <w:szCs w:val="22"/>
        </w:rPr>
        <w:t>“</w:t>
      </w:r>
      <w:r w:rsidR="00730E6E" w:rsidRPr="00CD1F5D">
        <w:rPr>
          <w:i/>
          <w:sz w:val="22"/>
          <w:szCs w:val="22"/>
        </w:rPr>
        <w:t>devem ser imputadas tão</w:t>
      </w:r>
      <w:r w:rsidR="00CD1F5D" w:rsidRPr="00CD1F5D">
        <w:rPr>
          <w:i/>
          <w:sz w:val="22"/>
          <w:szCs w:val="22"/>
        </w:rPr>
        <w:t xml:space="preserve"> </w:t>
      </w:r>
      <w:r w:rsidR="00730E6E" w:rsidRPr="00CD1F5D">
        <w:rPr>
          <w:i/>
          <w:sz w:val="22"/>
          <w:szCs w:val="22"/>
        </w:rPr>
        <w:t>somente a quem de direito</w:t>
      </w:r>
      <w:r w:rsidR="00CD1F5D" w:rsidRPr="00CD1F5D">
        <w:rPr>
          <w:i/>
          <w:sz w:val="22"/>
          <w:szCs w:val="22"/>
        </w:rPr>
        <w:t>”</w:t>
      </w:r>
      <w:r w:rsidR="00B3167A">
        <w:rPr>
          <w:sz w:val="22"/>
          <w:szCs w:val="22"/>
        </w:rPr>
        <w:t xml:space="preserve">, não </w:t>
      </w:r>
      <w:r w:rsidR="00D86EE3">
        <w:rPr>
          <w:sz w:val="22"/>
          <w:szCs w:val="22"/>
        </w:rPr>
        <w:t>cabendo aplicação de</w:t>
      </w:r>
      <w:r w:rsidR="00730E6E" w:rsidRPr="00730E6E">
        <w:rPr>
          <w:sz w:val="22"/>
          <w:szCs w:val="22"/>
        </w:rPr>
        <w:t xml:space="preserve"> multa ao </w:t>
      </w:r>
      <w:r w:rsidR="00CD1F5D">
        <w:rPr>
          <w:sz w:val="22"/>
          <w:szCs w:val="22"/>
        </w:rPr>
        <w:t>pregoeiro</w:t>
      </w:r>
      <w:r w:rsidR="00730E6E" w:rsidRPr="00730E6E">
        <w:rPr>
          <w:sz w:val="22"/>
          <w:szCs w:val="22"/>
        </w:rPr>
        <w:t xml:space="preserve">, </w:t>
      </w:r>
      <w:r w:rsidR="00CD1F5D" w:rsidRPr="00CD1F5D">
        <w:rPr>
          <w:i/>
          <w:sz w:val="22"/>
          <w:szCs w:val="22"/>
        </w:rPr>
        <w:t>“</w:t>
      </w:r>
      <w:r w:rsidR="00730E6E" w:rsidRPr="00CD1F5D">
        <w:rPr>
          <w:i/>
          <w:sz w:val="22"/>
          <w:szCs w:val="22"/>
        </w:rPr>
        <w:t>pois ele não foi o responsável pela elaboração do edital e, principalmente, ateve-se estritamente aos termos deste</w:t>
      </w:r>
      <w:r w:rsidR="00CD1F5D" w:rsidRPr="00CD1F5D">
        <w:rPr>
          <w:i/>
          <w:sz w:val="22"/>
          <w:szCs w:val="22"/>
        </w:rPr>
        <w:t>”</w:t>
      </w:r>
      <w:r w:rsidR="00730E6E" w:rsidRPr="00730E6E">
        <w:rPr>
          <w:sz w:val="22"/>
          <w:szCs w:val="22"/>
        </w:rPr>
        <w:t xml:space="preserve">. </w:t>
      </w:r>
      <w:r w:rsidR="00D86EE3">
        <w:rPr>
          <w:sz w:val="22"/>
          <w:szCs w:val="22"/>
        </w:rPr>
        <w:t>Com efeito</w:t>
      </w:r>
      <w:r w:rsidR="00730E6E" w:rsidRPr="00730E6E">
        <w:rPr>
          <w:sz w:val="22"/>
          <w:szCs w:val="22"/>
        </w:rPr>
        <w:t xml:space="preserve">, </w:t>
      </w:r>
      <w:r w:rsidR="00FB2D9C">
        <w:rPr>
          <w:i/>
          <w:sz w:val="22"/>
          <w:szCs w:val="22"/>
        </w:rPr>
        <w:t>“</w:t>
      </w:r>
      <w:r w:rsidR="00730E6E" w:rsidRPr="00730E6E">
        <w:rPr>
          <w:i/>
          <w:sz w:val="22"/>
          <w:szCs w:val="22"/>
        </w:rPr>
        <w:t>não haveria amparo legal, nem sequer editalício, para</w:t>
      </w:r>
      <w:r w:rsidR="00B3167A">
        <w:rPr>
          <w:i/>
          <w:sz w:val="22"/>
          <w:szCs w:val="22"/>
        </w:rPr>
        <w:t xml:space="preserve"> que</w:t>
      </w:r>
      <w:r w:rsidR="00730E6E" w:rsidRPr="00730E6E">
        <w:rPr>
          <w:i/>
          <w:sz w:val="22"/>
          <w:szCs w:val="22"/>
        </w:rPr>
        <w:t>, após a abertura das propostas, o pregoeiro deixasse de adjudicar o certame à empresa vencedora, com fundamento, unicamente, na última proposta apresentada pela atual vencedora em certame diverso, eis que aquele procedimento já se encontrava findo, tendo sido considerado, à época, fracassado. O que talvez pudesse ter sido feito seria, antes mesmo da publicação do referido edital, alterar as planilhas orçamentárias, ante as propostas apresentadas no certame precedente, mas tal atribuição caberia ao responsável por sua elaboração ou à autoridade responsável pelo certame, e não, frise-se, ao pregoeiro</w:t>
      </w:r>
      <w:r w:rsidR="00AA629E">
        <w:rPr>
          <w:i/>
          <w:sz w:val="22"/>
          <w:szCs w:val="22"/>
        </w:rPr>
        <w:t>,</w:t>
      </w:r>
      <w:r w:rsidR="00730E6E" w:rsidRPr="00730E6E">
        <w:rPr>
          <w:i/>
          <w:sz w:val="22"/>
          <w:szCs w:val="22"/>
        </w:rPr>
        <w:t xml:space="preserve"> que deveria, no caso concreto, conduzir o certame nos limites legais e do edital, previamente aprovado.”</w:t>
      </w:r>
      <w:r w:rsidR="00FB2D9C">
        <w:rPr>
          <w:sz w:val="22"/>
          <w:szCs w:val="22"/>
        </w:rPr>
        <w:t xml:space="preserve">. </w:t>
      </w:r>
      <w:r w:rsidR="00721C7E">
        <w:rPr>
          <w:sz w:val="22"/>
          <w:szCs w:val="22"/>
        </w:rPr>
        <w:t>Com base nos fundamentos apresentados pel</w:t>
      </w:r>
      <w:r w:rsidR="00FB2D9C">
        <w:rPr>
          <w:sz w:val="22"/>
          <w:szCs w:val="22"/>
        </w:rPr>
        <w:t>o relator</w:t>
      </w:r>
      <w:r w:rsidR="00721C7E">
        <w:rPr>
          <w:sz w:val="22"/>
          <w:szCs w:val="22"/>
        </w:rPr>
        <w:t>,</w:t>
      </w:r>
      <w:r w:rsidR="00FB2D9C">
        <w:rPr>
          <w:sz w:val="22"/>
          <w:szCs w:val="22"/>
        </w:rPr>
        <w:t xml:space="preserve"> a Primeira Câmara decidiu dar provimento ao </w:t>
      </w:r>
      <w:r w:rsidR="00B3167A">
        <w:rPr>
          <w:sz w:val="22"/>
          <w:szCs w:val="22"/>
        </w:rPr>
        <w:t>recurso</w:t>
      </w:r>
      <w:r w:rsidR="00FB2D9C">
        <w:rPr>
          <w:sz w:val="22"/>
          <w:szCs w:val="22"/>
        </w:rPr>
        <w:t xml:space="preserve">. Precedentes citados: </w:t>
      </w:r>
      <w:r w:rsidR="00FB2D9C" w:rsidRPr="00730E6E">
        <w:rPr>
          <w:sz w:val="22"/>
          <w:szCs w:val="22"/>
        </w:rPr>
        <w:t>Acórdãos n</w:t>
      </w:r>
      <w:r w:rsidR="00FB2D9C">
        <w:rPr>
          <w:sz w:val="22"/>
          <w:szCs w:val="22"/>
        </w:rPr>
        <w:t>.</w:t>
      </w:r>
      <w:r w:rsidR="00FB2D9C" w:rsidRPr="00FB2D9C">
        <w:rPr>
          <w:sz w:val="22"/>
          <w:szCs w:val="22"/>
          <w:vertAlign w:val="superscript"/>
        </w:rPr>
        <w:t>os</w:t>
      </w:r>
      <w:r w:rsidR="00FB2D9C" w:rsidRPr="00730E6E">
        <w:rPr>
          <w:sz w:val="22"/>
          <w:szCs w:val="22"/>
        </w:rPr>
        <w:t xml:space="preserve"> 1.445/2004</w:t>
      </w:r>
      <w:r w:rsidR="00FB2D9C">
        <w:rPr>
          <w:sz w:val="22"/>
          <w:szCs w:val="22"/>
        </w:rPr>
        <w:t xml:space="preserve"> e</w:t>
      </w:r>
      <w:r w:rsidR="00FB2D9C" w:rsidRPr="00730E6E">
        <w:rPr>
          <w:sz w:val="22"/>
          <w:szCs w:val="22"/>
        </w:rPr>
        <w:t xml:space="preserve"> 2.289/2006</w:t>
      </w:r>
      <w:r w:rsidR="00FB2D9C">
        <w:rPr>
          <w:sz w:val="22"/>
          <w:szCs w:val="22"/>
        </w:rPr>
        <w:t xml:space="preserve">, ambos do </w:t>
      </w:r>
      <w:r w:rsidR="00FB2D9C" w:rsidRPr="00730E6E">
        <w:rPr>
          <w:sz w:val="22"/>
          <w:szCs w:val="22"/>
        </w:rPr>
        <w:t>Plenário</w:t>
      </w:r>
      <w:r w:rsidR="00FB2D9C">
        <w:rPr>
          <w:sz w:val="22"/>
          <w:szCs w:val="22"/>
        </w:rPr>
        <w:t>; Acórdãos n.</w:t>
      </w:r>
      <w:r w:rsidR="00FB2D9C" w:rsidRPr="00FB2D9C">
        <w:rPr>
          <w:sz w:val="22"/>
          <w:szCs w:val="22"/>
          <w:vertAlign w:val="superscript"/>
        </w:rPr>
        <w:t>os</w:t>
      </w:r>
      <w:r w:rsidR="00FB2D9C">
        <w:rPr>
          <w:sz w:val="22"/>
          <w:szCs w:val="22"/>
        </w:rPr>
        <w:t xml:space="preserve"> </w:t>
      </w:r>
      <w:r w:rsidR="00FB2D9C" w:rsidRPr="00730E6E">
        <w:rPr>
          <w:sz w:val="22"/>
          <w:szCs w:val="22"/>
        </w:rPr>
        <w:t>3.516/2007-1ª Câmara e 201/2006-2ª Câmara</w:t>
      </w:r>
      <w:r w:rsidR="00FB2D9C">
        <w:rPr>
          <w:sz w:val="22"/>
          <w:szCs w:val="22"/>
        </w:rPr>
        <w:t xml:space="preserve">. </w:t>
      </w:r>
      <w:r w:rsidR="00BC5737" w:rsidRPr="00337E16">
        <w:rPr>
          <w:b/>
          <w:i/>
          <w:sz w:val="22"/>
          <w:szCs w:val="22"/>
        </w:rPr>
        <w:t xml:space="preserve">Acórdão n.º </w:t>
      </w:r>
      <w:r w:rsidR="00730E6E">
        <w:rPr>
          <w:b/>
          <w:i/>
          <w:sz w:val="22"/>
          <w:szCs w:val="22"/>
        </w:rPr>
        <w:t>4848</w:t>
      </w:r>
      <w:r w:rsidR="00BC5737" w:rsidRPr="00337E16">
        <w:rPr>
          <w:b/>
          <w:i/>
          <w:sz w:val="22"/>
          <w:szCs w:val="22"/>
        </w:rPr>
        <w:t>/2010</w:t>
      </w:r>
      <w:r w:rsidR="00BC5737">
        <w:rPr>
          <w:b/>
          <w:i/>
          <w:sz w:val="22"/>
          <w:szCs w:val="22"/>
        </w:rPr>
        <w:t>-</w:t>
      </w:r>
      <w:r w:rsidR="00304A73">
        <w:rPr>
          <w:b/>
          <w:i/>
          <w:sz w:val="22"/>
          <w:szCs w:val="22"/>
        </w:rPr>
        <w:t>1</w:t>
      </w:r>
      <w:r w:rsidR="00BC5737">
        <w:rPr>
          <w:b/>
          <w:i/>
          <w:sz w:val="22"/>
          <w:szCs w:val="22"/>
        </w:rPr>
        <w:t>ª Câmara</w:t>
      </w:r>
      <w:r w:rsidR="00BC5737" w:rsidRPr="00337E16">
        <w:rPr>
          <w:b/>
          <w:i/>
          <w:sz w:val="22"/>
          <w:szCs w:val="22"/>
        </w:rPr>
        <w:t>, TC-0</w:t>
      </w:r>
      <w:r w:rsidR="00730E6E">
        <w:rPr>
          <w:b/>
          <w:i/>
          <w:sz w:val="22"/>
          <w:szCs w:val="22"/>
        </w:rPr>
        <w:t>10</w:t>
      </w:r>
      <w:r w:rsidR="00BC5737" w:rsidRPr="00337E16">
        <w:rPr>
          <w:b/>
          <w:i/>
          <w:sz w:val="22"/>
          <w:szCs w:val="22"/>
        </w:rPr>
        <w:t>.</w:t>
      </w:r>
      <w:r w:rsidR="00730E6E">
        <w:rPr>
          <w:b/>
          <w:i/>
          <w:sz w:val="22"/>
          <w:szCs w:val="22"/>
        </w:rPr>
        <w:t>697</w:t>
      </w:r>
      <w:r w:rsidR="00BC5737" w:rsidRPr="00337E16">
        <w:rPr>
          <w:b/>
          <w:i/>
          <w:sz w:val="22"/>
          <w:szCs w:val="22"/>
        </w:rPr>
        <w:t>/200</w:t>
      </w:r>
      <w:r w:rsidR="00730E6E">
        <w:rPr>
          <w:b/>
          <w:i/>
          <w:sz w:val="22"/>
          <w:szCs w:val="22"/>
        </w:rPr>
        <w:t>9</w:t>
      </w:r>
      <w:r w:rsidR="00BC5737" w:rsidRPr="00337E16">
        <w:rPr>
          <w:b/>
          <w:i/>
          <w:sz w:val="22"/>
          <w:szCs w:val="22"/>
        </w:rPr>
        <w:t>-</w:t>
      </w:r>
      <w:r w:rsidR="00730E6E">
        <w:rPr>
          <w:b/>
          <w:i/>
          <w:sz w:val="22"/>
          <w:szCs w:val="22"/>
        </w:rPr>
        <w:t>9</w:t>
      </w:r>
      <w:r w:rsidR="00BC5737" w:rsidRPr="00337E16">
        <w:rPr>
          <w:b/>
          <w:i/>
          <w:sz w:val="22"/>
          <w:szCs w:val="22"/>
        </w:rPr>
        <w:t xml:space="preserve">, rel. Min. </w:t>
      </w:r>
      <w:r w:rsidR="00730E6E">
        <w:rPr>
          <w:b/>
          <w:i/>
          <w:sz w:val="22"/>
          <w:szCs w:val="22"/>
        </w:rPr>
        <w:t>Augusto Nardes</w:t>
      </w:r>
      <w:r w:rsidR="00BC5737" w:rsidRPr="00337E16">
        <w:rPr>
          <w:b/>
          <w:i/>
          <w:sz w:val="22"/>
          <w:szCs w:val="22"/>
        </w:rPr>
        <w:t xml:space="preserve">, </w:t>
      </w:r>
      <w:r w:rsidR="00730E6E">
        <w:rPr>
          <w:b/>
          <w:i/>
          <w:sz w:val="22"/>
          <w:szCs w:val="22"/>
        </w:rPr>
        <w:t>03</w:t>
      </w:r>
      <w:r w:rsidR="00BC5737" w:rsidRPr="00337E16">
        <w:rPr>
          <w:b/>
          <w:i/>
          <w:sz w:val="22"/>
          <w:szCs w:val="22"/>
        </w:rPr>
        <w:t>.0</w:t>
      </w:r>
      <w:r w:rsidR="00730E6E">
        <w:rPr>
          <w:b/>
          <w:i/>
          <w:sz w:val="22"/>
          <w:szCs w:val="22"/>
        </w:rPr>
        <w:t>8</w:t>
      </w:r>
      <w:r w:rsidR="00BC5737" w:rsidRPr="00337E16">
        <w:rPr>
          <w:b/>
          <w:i/>
          <w:sz w:val="22"/>
          <w:szCs w:val="22"/>
        </w:rPr>
        <w:t>.2010</w:t>
      </w:r>
      <w:r w:rsidR="00BC5737" w:rsidRPr="00337E16">
        <w:rPr>
          <w:sz w:val="22"/>
          <w:szCs w:val="22"/>
        </w:rPr>
        <w:t>.</w:t>
      </w:r>
    </w:p>
    <w:p w:rsidR="00981FA0" w:rsidRPr="00337E16" w:rsidRDefault="00981FA0" w:rsidP="00337E16">
      <w:pPr>
        <w:pStyle w:val="enter-3pt"/>
        <w:spacing w:line="240" w:lineRule="auto"/>
        <w:rPr>
          <w:sz w:val="22"/>
          <w:szCs w:val="22"/>
        </w:rPr>
      </w:pPr>
    </w:p>
    <w:p w:rsidR="008A2417" w:rsidRPr="00337E16" w:rsidRDefault="008A2417" w:rsidP="008A241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8A2417" w:rsidRPr="00337E16" w:rsidRDefault="008A2417" w:rsidP="008A2417">
      <w:pPr>
        <w:pStyle w:val="Pargrafo"/>
        <w:jc w:val="both"/>
        <w:rPr>
          <w:b/>
          <w:sz w:val="22"/>
          <w:szCs w:val="22"/>
        </w:rPr>
      </w:pPr>
    </w:p>
    <w:p w:rsidR="008A2417" w:rsidRPr="00231A6D" w:rsidRDefault="00231A6D" w:rsidP="008A2417">
      <w:pPr>
        <w:pStyle w:val="Pargrafo"/>
        <w:jc w:val="both"/>
        <w:rPr>
          <w:b/>
          <w:sz w:val="22"/>
          <w:szCs w:val="22"/>
        </w:rPr>
      </w:pPr>
      <w:r w:rsidRPr="00231A6D">
        <w:rPr>
          <w:b/>
          <w:sz w:val="22"/>
          <w:szCs w:val="22"/>
        </w:rPr>
        <w:t xml:space="preserve">Contratação de fundação de apoio </w:t>
      </w:r>
      <w:r w:rsidR="003D5BFD">
        <w:rPr>
          <w:b/>
          <w:sz w:val="22"/>
          <w:szCs w:val="22"/>
        </w:rPr>
        <w:t>mediante</w:t>
      </w:r>
      <w:r w:rsidRPr="00231A6D">
        <w:rPr>
          <w:b/>
          <w:sz w:val="22"/>
          <w:szCs w:val="22"/>
        </w:rPr>
        <w:t xml:space="preserve"> dispensa de licitação</w:t>
      </w:r>
    </w:p>
    <w:p w:rsidR="00F70C87" w:rsidRPr="00337E16" w:rsidRDefault="00231A6D" w:rsidP="00F70C87">
      <w:pPr>
        <w:pStyle w:val="Pargrafo"/>
        <w:jc w:val="both"/>
        <w:rPr>
          <w:sz w:val="22"/>
          <w:szCs w:val="22"/>
        </w:rPr>
      </w:pPr>
      <w:r w:rsidRPr="00231A6D">
        <w:rPr>
          <w:sz w:val="22"/>
          <w:szCs w:val="22"/>
        </w:rPr>
        <w:t xml:space="preserve">É ilegal a contratação de fundação de apoio, por dispensa de licitação, para </w:t>
      </w:r>
      <w:r w:rsidR="002566B1">
        <w:rPr>
          <w:sz w:val="22"/>
          <w:szCs w:val="22"/>
        </w:rPr>
        <w:t>a execução</w:t>
      </w:r>
      <w:r w:rsidRPr="00231A6D">
        <w:rPr>
          <w:sz w:val="22"/>
          <w:szCs w:val="22"/>
        </w:rPr>
        <w:t xml:space="preserve"> de despesas que não se enquadrem como projetos de apoio a pesquisa, ensino, extensão ou desenvolvimento institucional, científico e tecnológico de interesse da Instituição Federal de Ensino Superior </w:t>
      </w:r>
      <w:r w:rsidR="002566B1">
        <w:rPr>
          <w:sz w:val="22"/>
          <w:szCs w:val="22"/>
        </w:rPr>
        <w:t>(</w:t>
      </w:r>
      <w:r w:rsidRPr="00231A6D">
        <w:rPr>
          <w:sz w:val="22"/>
          <w:szCs w:val="22"/>
        </w:rPr>
        <w:t>IFES</w:t>
      </w:r>
      <w:r w:rsidR="002566B1">
        <w:rPr>
          <w:sz w:val="22"/>
          <w:szCs w:val="22"/>
        </w:rPr>
        <w:t>)</w:t>
      </w:r>
      <w:r w:rsidRPr="00231A6D">
        <w:rPr>
          <w:sz w:val="22"/>
          <w:szCs w:val="22"/>
        </w:rPr>
        <w:t xml:space="preserve"> contratante, nos termos </w:t>
      </w:r>
      <w:r w:rsidR="002566B1">
        <w:rPr>
          <w:sz w:val="22"/>
          <w:szCs w:val="22"/>
        </w:rPr>
        <w:t>d</w:t>
      </w:r>
      <w:r w:rsidRPr="00231A6D">
        <w:rPr>
          <w:sz w:val="22"/>
          <w:szCs w:val="22"/>
        </w:rPr>
        <w:t>a Lei n.º 8.958</w:t>
      </w:r>
      <w:r w:rsidR="002566B1">
        <w:rPr>
          <w:sz w:val="22"/>
          <w:szCs w:val="22"/>
        </w:rPr>
        <w:t>/</w:t>
      </w:r>
      <w:r w:rsidRPr="00231A6D">
        <w:rPr>
          <w:sz w:val="22"/>
          <w:szCs w:val="22"/>
        </w:rPr>
        <w:t>94.</w:t>
      </w:r>
      <w:r w:rsidR="00B33B27">
        <w:rPr>
          <w:sz w:val="22"/>
          <w:szCs w:val="22"/>
        </w:rPr>
        <w:t xml:space="preserve"> Fo</w:t>
      </w:r>
      <w:r w:rsidR="002F691E">
        <w:rPr>
          <w:sz w:val="22"/>
          <w:szCs w:val="22"/>
        </w:rPr>
        <w:t>i</w:t>
      </w:r>
      <w:r w:rsidR="00B33B27">
        <w:rPr>
          <w:sz w:val="22"/>
          <w:szCs w:val="22"/>
        </w:rPr>
        <w:t xml:space="preserve"> esse o entendimento defendido pelo relator, ao apreciar a p</w:t>
      </w:r>
      <w:r w:rsidRPr="00231A6D">
        <w:rPr>
          <w:sz w:val="22"/>
          <w:szCs w:val="22"/>
        </w:rPr>
        <w:t xml:space="preserve">restação de </w:t>
      </w:r>
      <w:r w:rsidR="00B33B27">
        <w:rPr>
          <w:sz w:val="22"/>
          <w:szCs w:val="22"/>
        </w:rPr>
        <w:t>c</w:t>
      </w:r>
      <w:r w:rsidRPr="00231A6D">
        <w:rPr>
          <w:sz w:val="22"/>
          <w:szCs w:val="22"/>
        </w:rPr>
        <w:t xml:space="preserve">ontas da Fundação Universidade Federal do Mato Grosso </w:t>
      </w:r>
      <w:r w:rsidR="00B33B27">
        <w:rPr>
          <w:sz w:val="22"/>
          <w:szCs w:val="22"/>
        </w:rPr>
        <w:t>(</w:t>
      </w:r>
      <w:r w:rsidRPr="00231A6D">
        <w:rPr>
          <w:sz w:val="22"/>
          <w:szCs w:val="22"/>
        </w:rPr>
        <w:t>UFMT</w:t>
      </w:r>
      <w:r w:rsidR="00B33B27">
        <w:rPr>
          <w:sz w:val="22"/>
          <w:szCs w:val="22"/>
        </w:rPr>
        <w:t>)</w:t>
      </w:r>
      <w:r w:rsidRPr="00231A6D">
        <w:rPr>
          <w:sz w:val="22"/>
          <w:szCs w:val="22"/>
        </w:rPr>
        <w:t xml:space="preserve"> referente ao exercício de 2004</w:t>
      </w:r>
      <w:r w:rsidR="00270E70">
        <w:rPr>
          <w:sz w:val="22"/>
          <w:szCs w:val="22"/>
        </w:rPr>
        <w:t>, cuja</w:t>
      </w:r>
      <w:r w:rsidR="004D5F52">
        <w:rPr>
          <w:sz w:val="22"/>
          <w:szCs w:val="22"/>
        </w:rPr>
        <w:t xml:space="preserve"> </w:t>
      </w:r>
      <w:r w:rsidRPr="00231A6D">
        <w:rPr>
          <w:sz w:val="22"/>
          <w:szCs w:val="22"/>
        </w:rPr>
        <w:t xml:space="preserve">principal irregularidade </w:t>
      </w:r>
      <w:r w:rsidR="002566B1">
        <w:rPr>
          <w:sz w:val="22"/>
          <w:szCs w:val="22"/>
        </w:rPr>
        <w:t>dizia respeito à</w:t>
      </w:r>
      <w:r w:rsidRPr="00231A6D">
        <w:rPr>
          <w:sz w:val="22"/>
          <w:szCs w:val="22"/>
        </w:rPr>
        <w:t xml:space="preserve"> transferência de recursos da IFES para a Fundação de Apoio Uniselva, por meio de contratos firmados sem o devido processo licitatório, </w:t>
      </w:r>
      <w:r w:rsidR="00270E70">
        <w:rPr>
          <w:sz w:val="22"/>
          <w:szCs w:val="22"/>
        </w:rPr>
        <w:t>objetivando</w:t>
      </w:r>
      <w:r w:rsidR="002566B1">
        <w:rPr>
          <w:sz w:val="22"/>
          <w:szCs w:val="22"/>
        </w:rPr>
        <w:t xml:space="preserve"> a</w:t>
      </w:r>
      <w:r w:rsidRPr="00231A6D">
        <w:rPr>
          <w:sz w:val="22"/>
          <w:szCs w:val="22"/>
        </w:rPr>
        <w:t xml:space="preserve"> execução de obras </w:t>
      </w:r>
      <w:r w:rsidR="00F51A98" w:rsidRPr="00FF2D20">
        <w:rPr>
          <w:sz w:val="22"/>
          <w:szCs w:val="22"/>
        </w:rPr>
        <w:t>(</w:t>
      </w:r>
      <w:r w:rsidR="00F51A98" w:rsidRPr="00F51A98">
        <w:rPr>
          <w:i/>
          <w:sz w:val="22"/>
          <w:szCs w:val="22"/>
        </w:rPr>
        <w:t>“construção do biotério, de salas de aulas e do bloco de computação”</w:t>
      </w:r>
      <w:r w:rsidR="00F51A98">
        <w:rPr>
          <w:sz w:val="22"/>
          <w:szCs w:val="22"/>
        </w:rPr>
        <w:t xml:space="preserve">) </w:t>
      </w:r>
      <w:r w:rsidRPr="00231A6D">
        <w:rPr>
          <w:sz w:val="22"/>
          <w:szCs w:val="22"/>
        </w:rPr>
        <w:t>e</w:t>
      </w:r>
      <w:r w:rsidR="00F51A98">
        <w:rPr>
          <w:sz w:val="22"/>
          <w:szCs w:val="22"/>
        </w:rPr>
        <w:t xml:space="preserve"> a</w:t>
      </w:r>
      <w:r w:rsidRPr="00231A6D">
        <w:rPr>
          <w:sz w:val="22"/>
          <w:szCs w:val="22"/>
        </w:rPr>
        <w:t xml:space="preserve"> aquisição de bens </w:t>
      </w:r>
      <w:r w:rsidR="00F51A98">
        <w:rPr>
          <w:sz w:val="22"/>
          <w:szCs w:val="22"/>
        </w:rPr>
        <w:t>(</w:t>
      </w:r>
      <w:r w:rsidR="00F51A98" w:rsidRPr="00FF2D20">
        <w:rPr>
          <w:i/>
          <w:sz w:val="22"/>
          <w:szCs w:val="22"/>
        </w:rPr>
        <w:t>“equipamentos e animais para a fazenda experimental, aquisição de equipamentos de informática para laboratórios de ensino de graduação”</w:t>
      </w:r>
      <w:r w:rsidR="00F51A98">
        <w:rPr>
          <w:sz w:val="22"/>
          <w:szCs w:val="22"/>
        </w:rPr>
        <w:t xml:space="preserve">) </w:t>
      </w:r>
      <w:r w:rsidRPr="00231A6D">
        <w:rPr>
          <w:sz w:val="22"/>
          <w:szCs w:val="22"/>
        </w:rPr>
        <w:t>para a universidade, atividades que não se enquadram nas hipóteses do art. 1º da Lei n.º 8.958</w:t>
      </w:r>
      <w:r w:rsidR="002566B1">
        <w:rPr>
          <w:sz w:val="22"/>
          <w:szCs w:val="22"/>
        </w:rPr>
        <w:t>/</w:t>
      </w:r>
      <w:r w:rsidRPr="00231A6D">
        <w:rPr>
          <w:sz w:val="22"/>
          <w:szCs w:val="22"/>
        </w:rPr>
        <w:t>94.</w:t>
      </w:r>
      <w:r w:rsidR="004D5F52">
        <w:rPr>
          <w:sz w:val="22"/>
          <w:szCs w:val="22"/>
        </w:rPr>
        <w:t xml:space="preserve"> Em seu voto, o relator destacou que</w:t>
      </w:r>
      <w:r w:rsidR="002566B1">
        <w:rPr>
          <w:sz w:val="22"/>
          <w:szCs w:val="22"/>
        </w:rPr>
        <w:t xml:space="preserve">, à luz da jurisprudência do TCU, </w:t>
      </w:r>
      <w:r w:rsidR="004D5F52" w:rsidRPr="004D5F52">
        <w:rPr>
          <w:i/>
          <w:sz w:val="22"/>
          <w:szCs w:val="22"/>
        </w:rPr>
        <w:t>“</w:t>
      </w:r>
      <w:r w:rsidRPr="004D5F52">
        <w:rPr>
          <w:i/>
          <w:sz w:val="22"/>
          <w:szCs w:val="22"/>
        </w:rPr>
        <w:t>a transferência de recursos à fundação de apoio deve estar vinculada a projeto específico, com prazo determinado, previamente aprovado e voltado às mencionadas atividades, a ser aferido mediante efetiva melhoria de desempenho da universidade, o que, no caso vertente, não restou comprovado</w:t>
      </w:r>
      <w:r w:rsidR="004D5F52" w:rsidRPr="004D5F52">
        <w:rPr>
          <w:i/>
          <w:sz w:val="22"/>
          <w:szCs w:val="22"/>
        </w:rPr>
        <w:t>”</w:t>
      </w:r>
      <w:r w:rsidRPr="00231A6D">
        <w:rPr>
          <w:sz w:val="22"/>
          <w:szCs w:val="22"/>
        </w:rPr>
        <w:t xml:space="preserve">. </w:t>
      </w:r>
      <w:r w:rsidR="002A0E56">
        <w:rPr>
          <w:sz w:val="22"/>
          <w:szCs w:val="22"/>
        </w:rPr>
        <w:t>O principal argumento declinado para a contratação direta da Fundação Uniselva foi a ausência de tempo hábil para a realização da licitação, pelo fato de a liberação dos recursos ter ocorrido somente no final do exercício.</w:t>
      </w:r>
      <w:r w:rsidR="002566B1">
        <w:rPr>
          <w:sz w:val="22"/>
          <w:szCs w:val="22"/>
        </w:rPr>
        <w:t xml:space="preserve"> Não obstante frisar</w:t>
      </w:r>
      <w:r w:rsidR="004D5F52">
        <w:rPr>
          <w:sz w:val="22"/>
          <w:szCs w:val="22"/>
        </w:rPr>
        <w:t xml:space="preserve"> que </w:t>
      </w:r>
      <w:r w:rsidRPr="00231A6D">
        <w:rPr>
          <w:sz w:val="22"/>
          <w:szCs w:val="22"/>
        </w:rPr>
        <w:t xml:space="preserve">essa prática </w:t>
      </w:r>
      <w:r w:rsidR="004D5F52" w:rsidRPr="004D5F52">
        <w:rPr>
          <w:i/>
          <w:sz w:val="22"/>
          <w:szCs w:val="22"/>
        </w:rPr>
        <w:t>“</w:t>
      </w:r>
      <w:r w:rsidRPr="004D5F52">
        <w:rPr>
          <w:i/>
          <w:sz w:val="22"/>
          <w:szCs w:val="22"/>
        </w:rPr>
        <w:t>representa burla ao processo licitatório, não se coadunando com o espírito da Lei n.º 8.958, de 1994</w:t>
      </w:r>
      <w:r w:rsidR="002566B1">
        <w:rPr>
          <w:i/>
          <w:sz w:val="22"/>
          <w:szCs w:val="22"/>
        </w:rPr>
        <w:t>”</w:t>
      </w:r>
      <w:r w:rsidR="002566B1" w:rsidRPr="002566B1">
        <w:rPr>
          <w:sz w:val="22"/>
          <w:szCs w:val="22"/>
        </w:rPr>
        <w:t>,</w:t>
      </w:r>
      <w:r w:rsidRPr="002566B1">
        <w:rPr>
          <w:sz w:val="22"/>
          <w:szCs w:val="22"/>
        </w:rPr>
        <w:t xml:space="preserve"> </w:t>
      </w:r>
      <w:r w:rsidR="002566B1">
        <w:rPr>
          <w:sz w:val="22"/>
          <w:szCs w:val="22"/>
        </w:rPr>
        <w:t>o</w:t>
      </w:r>
      <w:r w:rsidR="004D5F52">
        <w:rPr>
          <w:sz w:val="22"/>
          <w:szCs w:val="22"/>
        </w:rPr>
        <w:t xml:space="preserve"> relator </w:t>
      </w:r>
      <w:r w:rsidR="002566B1">
        <w:rPr>
          <w:sz w:val="22"/>
          <w:szCs w:val="22"/>
        </w:rPr>
        <w:t>ponderou que</w:t>
      </w:r>
      <w:r w:rsidR="004D5F52">
        <w:rPr>
          <w:sz w:val="22"/>
          <w:szCs w:val="22"/>
        </w:rPr>
        <w:t xml:space="preserve"> </w:t>
      </w:r>
      <w:r w:rsidRPr="00231A6D">
        <w:rPr>
          <w:sz w:val="22"/>
          <w:szCs w:val="22"/>
        </w:rPr>
        <w:t xml:space="preserve">várias deliberações </w:t>
      </w:r>
      <w:r w:rsidR="004D5F52">
        <w:rPr>
          <w:sz w:val="22"/>
          <w:szCs w:val="22"/>
        </w:rPr>
        <w:t>do TCU</w:t>
      </w:r>
      <w:r w:rsidRPr="00231A6D">
        <w:rPr>
          <w:sz w:val="22"/>
          <w:szCs w:val="22"/>
        </w:rPr>
        <w:t xml:space="preserve"> têm</w:t>
      </w:r>
      <w:r w:rsidR="00270E70">
        <w:rPr>
          <w:sz w:val="22"/>
          <w:szCs w:val="22"/>
        </w:rPr>
        <w:t>-</w:t>
      </w:r>
      <w:r w:rsidRPr="00231A6D">
        <w:rPr>
          <w:sz w:val="22"/>
          <w:szCs w:val="22"/>
        </w:rPr>
        <w:t xml:space="preserve">se mostrado sensíveis à questão e, conquanto tenham </w:t>
      </w:r>
      <w:r w:rsidR="006C4832">
        <w:rPr>
          <w:sz w:val="22"/>
          <w:szCs w:val="22"/>
        </w:rPr>
        <w:t>concluído</w:t>
      </w:r>
      <w:r w:rsidRPr="00231A6D">
        <w:rPr>
          <w:sz w:val="22"/>
          <w:szCs w:val="22"/>
        </w:rPr>
        <w:t xml:space="preserve"> pela não</w:t>
      </w:r>
      <w:r w:rsidR="004D5F52">
        <w:rPr>
          <w:sz w:val="22"/>
          <w:szCs w:val="22"/>
        </w:rPr>
        <w:t xml:space="preserve"> </w:t>
      </w:r>
      <w:r w:rsidRPr="00231A6D">
        <w:rPr>
          <w:sz w:val="22"/>
          <w:szCs w:val="22"/>
        </w:rPr>
        <w:t>descaracterização da irregularidade, consideraram que a ocorrência, isoladamente, não te</w:t>
      </w:r>
      <w:r w:rsidR="006C4832">
        <w:rPr>
          <w:sz w:val="22"/>
          <w:szCs w:val="22"/>
        </w:rPr>
        <w:t>ria</w:t>
      </w:r>
      <w:r w:rsidRPr="00231A6D">
        <w:rPr>
          <w:sz w:val="22"/>
          <w:szCs w:val="22"/>
        </w:rPr>
        <w:t xml:space="preserve"> força </w:t>
      </w:r>
      <w:r w:rsidR="006C4832">
        <w:rPr>
          <w:sz w:val="22"/>
          <w:szCs w:val="22"/>
        </w:rPr>
        <w:t>para</w:t>
      </w:r>
      <w:r w:rsidRPr="00231A6D">
        <w:rPr>
          <w:sz w:val="22"/>
          <w:szCs w:val="22"/>
        </w:rPr>
        <w:t xml:space="preserve"> macular as contas dos responsáveis.</w:t>
      </w:r>
      <w:r w:rsidR="00D6647D">
        <w:rPr>
          <w:sz w:val="22"/>
          <w:szCs w:val="22"/>
        </w:rPr>
        <w:t xml:space="preserve"> O relator também </w:t>
      </w:r>
      <w:r w:rsidR="00DA7C1D">
        <w:rPr>
          <w:sz w:val="22"/>
          <w:szCs w:val="22"/>
        </w:rPr>
        <w:t>frisou</w:t>
      </w:r>
      <w:r w:rsidR="00D6647D">
        <w:rPr>
          <w:sz w:val="22"/>
          <w:szCs w:val="22"/>
        </w:rPr>
        <w:t xml:space="preserve"> que </w:t>
      </w:r>
      <w:r w:rsidRPr="00231A6D">
        <w:rPr>
          <w:sz w:val="22"/>
          <w:szCs w:val="22"/>
        </w:rPr>
        <w:t xml:space="preserve">não são todas as situações que podem ensejar </w:t>
      </w:r>
      <w:r w:rsidR="00DA7C1D">
        <w:rPr>
          <w:sz w:val="22"/>
          <w:szCs w:val="22"/>
        </w:rPr>
        <w:t>o referido desfecho</w:t>
      </w:r>
      <w:r w:rsidRPr="00231A6D">
        <w:rPr>
          <w:sz w:val="22"/>
          <w:szCs w:val="22"/>
        </w:rPr>
        <w:t xml:space="preserve">, mas apenas aquelas extremadas e que não decorram da inércia do gestor, sendo, inequivocamente, a contratação direta da fundação de apoio a única opção restante para que os recursos recebidos sejam aproveitados, sob pena de comprometer o alcance dos fins da instituição. </w:t>
      </w:r>
      <w:r w:rsidR="00D6647D">
        <w:rPr>
          <w:sz w:val="22"/>
          <w:szCs w:val="22"/>
        </w:rPr>
        <w:t xml:space="preserve">No caso concreto, </w:t>
      </w:r>
      <w:r w:rsidRPr="00231A6D">
        <w:rPr>
          <w:sz w:val="22"/>
          <w:szCs w:val="22"/>
        </w:rPr>
        <w:t xml:space="preserve">a liberação dos recursos ocorreu somente nos últimos dias do ano de 2004, </w:t>
      </w:r>
      <w:r w:rsidR="00D6647D" w:rsidRPr="00D6647D">
        <w:rPr>
          <w:i/>
          <w:sz w:val="22"/>
          <w:szCs w:val="22"/>
        </w:rPr>
        <w:t>“</w:t>
      </w:r>
      <w:r w:rsidRPr="00D6647D">
        <w:rPr>
          <w:i/>
          <w:sz w:val="22"/>
          <w:szCs w:val="22"/>
        </w:rPr>
        <w:t>obviamente em tempo insuficiente para que a licitação fosse processada e concluída até o findar do exercício financeiro</w:t>
      </w:r>
      <w:r w:rsidR="00D6647D" w:rsidRPr="00D6647D">
        <w:rPr>
          <w:i/>
          <w:sz w:val="22"/>
          <w:szCs w:val="22"/>
        </w:rPr>
        <w:t>”</w:t>
      </w:r>
      <w:r w:rsidRPr="00231A6D">
        <w:rPr>
          <w:sz w:val="22"/>
          <w:szCs w:val="22"/>
        </w:rPr>
        <w:t xml:space="preserve">. </w:t>
      </w:r>
      <w:r w:rsidR="00DA7C1D">
        <w:rPr>
          <w:sz w:val="22"/>
          <w:szCs w:val="22"/>
        </w:rPr>
        <w:t>A</w:t>
      </w:r>
      <w:r w:rsidRPr="00231A6D">
        <w:rPr>
          <w:sz w:val="22"/>
          <w:szCs w:val="22"/>
        </w:rPr>
        <w:t xml:space="preserve">pesar de não se caracterizarem como projetos de pesquisa, ensino, extensão ou desenvolvimento institucional, científico e tecnológico de interesse da UFMT, </w:t>
      </w:r>
      <w:r w:rsidR="00D6647D" w:rsidRPr="00D6647D">
        <w:rPr>
          <w:i/>
          <w:sz w:val="22"/>
          <w:szCs w:val="22"/>
        </w:rPr>
        <w:t>“</w:t>
      </w:r>
      <w:r w:rsidRPr="00D6647D">
        <w:rPr>
          <w:i/>
          <w:sz w:val="22"/>
          <w:szCs w:val="22"/>
        </w:rPr>
        <w:t>os objetos contratados contribuíram de alguma forma para o desenvolvimento de área carente da entidade, voltados indubitavelmente para os fins educacionais e acadêmicos da entidade</w:t>
      </w:r>
      <w:r w:rsidR="00D6647D" w:rsidRPr="00D6647D">
        <w:rPr>
          <w:i/>
          <w:sz w:val="22"/>
          <w:szCs w:val="22"/>
        </w:rPr>
        <w:t>”</w:t>
      </w:r>
      <w:r w:rsidRPr="00231A6D">
        <w:rPr>
          <w:sz w:val="22"/>
          <w:szCs w:val="22"/>
        </w:rPr>
        <w:t xml:space="preserve">. </w:t>
      </w:r>
      <w:r w:rsidR="00DA7C1D">
        <w:rPr>
          <w:sz w:val="22"/>
          <w:szCs w:val="22"/>
        </w:rPr>
        <w:t>C</w:t>
      </w:r>
      <w:r w:rsidRPr="00231A6D">
        <w:rPr>
          <w:sz w:val="22"/>
          <w:szCs w:val="22"/>
        </w:rPr>
        <w:t>onsiderando</w:t>
      </w:r>
      <w:r w:rsidR="002F691E">
        <w:rPr>
          <w:sz w:val="22"/>
          <w:szCs w:val="22"/>
        </w:rPr>
        <w:t>, ainda,</w:t>
      </w:r>
      <w:r w:rsidRPr="00231A6D">
        <w:rPr>
          <w:sz w:val="22"/>
          <w:szCs w:val="22"/>
        </w:rPr>
        <w:t xml:space="preserve"> não restar comprovado prejuízo ou dano ao erário, </w:t>
      </w:r>
      <w:r w:rsidR="00D6647D">
        <w:rPr>
          <w:sz w:val="22"/>
          <w:szCs w:val="22"/>
        </w:rPr>
        <w:t xml:space="preserve">o relator </w:t>
      </w:r>
      <w:r w:rsidR="00DA7C1D">
        <w:rPr>
          <w:sz w:val="22"/>
          <w:szCs w:val="22"/>
        </w:rPr>
        <w:t>e</w:t>
      </w:r>
      <w:r w:rsidR="006C4832">
        <w:rPr>
          <w:sz w:val="22"/>
          <w:szCs w:val="22"/>
        </w:rPr>
        <w:t>ntendeu</w:t>
      </w:r>
      <w:r w:rsidRPr="00231A6D">
        <w:rPr>
          <w:sz w:val="22"/>
          <w:szCs w:val="22"/>
        </w:rPr>
        <w:t xml:space="preserve"> que pode</w:t>
      </w:r>
      <w:r w:rsidR="00D6647D">
        <w:rPr>
          <w:sz w:val="22"/>
          <w:szCs w:val="22"/>
        </w:rPr>
        <w:t>riam</w:t>
      </w:r>
      <w:r w:rsidRPr="00231A6D">
        <w:rPr>
          <w:sz w:val="22"/>
          <w:szCs w:val="22"/>
        </w:rPr>
        <w:t xml:space="preserve"> ser parcialmente acolhidas as razões de justificativa </w:t>
      </w:r>
      <w:r w:rsidR="00D6647D">
        <w:rPr>
          <w:sz w:val="22"/>
          <w:szCs w:val="22"/>
        </w:rPr>
        <w:t>do</w:t>
      </w:r>
      <w:r w:rsidRPr="00231A6D">
        <w:rPr>
          <w:sz w:val="22"/>
          <w:szCs w:val="22"/>
        </w:rPr>
        <w:t xml:space="preserve"> Reitor da UFMT</w:t>
      </w:r>
      <w:r w:rsidR="00D6647D">
        <w:rPr>
          <w:sz w:val="22"/>
          <w:szCs w:val="22"/>
        </w:rPr>
        <w:t xml:space="preserve"> e do</w:t>
      </w:r>
      <w:r w:rsidRPr="00231A6D">
        <w:rPr>
          <w:sz w:val="22"/>
          <w:szCs w:val="22"/>
        </w:rPr>
        <w:t xml:space="preserve"> Pró Reitor de Planejamento, </w:t>
      </w:r>
      <w:r w:rsidR="006C4832">
        <w:rPr>
          <w:sz w:val="22"/>
          <w:szCs w:val="22"/>
        </w:rPr>
        <w:t>e</w:t>
      </w:r>
      <w:r w:rsidRPr="00231A6D">
        <w:rPr>
          <w:sz w:val="22"/>
          <w:szCs w:val="22"/>
        </w:rPr>
        <w:t xml:space="preserve"> julgadas regulares com ressalva as contas desses responsáveis</w:t>
      </w:r>
      <w:r>
        <w:rPr>
          <w:sz w:val="22"/>
          <w:szCs w:val="22"/>
        </w:rPr>
        <w:t>.</w:t>
      </w:r>
      <w:r w:rsidR="00D6647D">
        <w:rPr>
          <w:sz w:val="22"/>
          <w:szCs w:val="22"/>
        </w:rPr>
        <w:t xml:space="preserve"> A Segunda Câmara acolheu o voto do relator. </w:t>
      </w:r>
      <w:r w:rsidR="002A0E56">
        <w:rPr>
          <w:sz w:val="22"/>
          <w:szCs w:val="22"/>
        </w:rPr>
        <w:t>Precedentes citados: Acórdãos n.</w:t>
      </w:r>
      <w:r w:rsidR="002A0E56" w:rsidRPr="002A0E56">
        <w:rPr>
          <w:sz w:val="22"/>
          <w:szCs w:val="22"/>
          <w:vertAlign w:val="superscript"/>
        </w:rPr>
        <w:t>os</w:t>
      </w:r>
      <w:r w:rsidR="002A0E56">
        <w:rPr>
          <w:sz w:val="22"/>
          <w:szCs w:val="22"/>
        </w:rPr>
        <w:t xml:space="preserve"> </w:t>
      </w:r>
      <w:r w:rsidR="002A0E56" w:rsidRPr="00231A6D">
        <w:rPr>
          <w:sz w:val="22"/>
          <w:szCs w:val="22"/>
        </w:rPr>
        <w:t>599/2009</w:t>
      </w:r>
      <w:r w:rsidR="00D6647D">
        <w:rPr>
          <w:sz w:val="22"/>
          <w:szCs w:val="22"/>
        </w:rPr>
        <w:t xml:space="preserve"> e</w:t>
      </w:r>
      <w:r w:rsidR="002A0E56" w:rsidRPr="00231A6D">
        <w:rPr>
          <w:sz w:val="22"/>
          <w:szCs w:val="22"/>
        </w:rPr>
        <w:t xml:space="preserve"> 158/2010</w:t>
      </w:r>
      <w:r w:rsidR="00D6647D">
        <w:rPr>
          <w:sz w:val="22"/>
          <w:szCs w:val="22"/>
        </w:rPr>
        <w:t>, ambos do P</w:t>
      </w:r>
      <w:r w:rsidR="002A0E56" w:rsidRPr="00231A6D">
        <w:rPr>
          <w:sz w:val="22"/>
          <w:szCs w:val="22"/>
        </w:rPr>
        <w:t>lenário</w:t>
      </w:r>
      <w:r w:rsidR="00D6647D">
        <w:rPr>
          <w:sz w:val="22"/>
          <w:szCs w:val="22"/>
        </w:rPr>
        <w:t>; Acórdãos n.</w:t>
      </w:r>
      <w:r w:rsidR="00D6647D" w:rsidRPr="00D6647D">
        <w:rPr>
          <w:sz w:val="22"/>
          <w:szCs w:val="22"/>
          <w:vertAlign w:val="superscript"/>
        </w:rPr>
        <w:t>os</w:t>
      </w:r>
      <w:r w:rsidR="00D6647D">
        <w:rPr>
          <w:sz w:val="22"/>
          <w:szCs w:val="22"/>
        </w:rPr>
        <w:t xml:space="preserve"> </w:t>
      </w:r>
      <w:r w:rsidR="002A0E56" w:rsidRPr="00231A6D">
        <w:rPr>
          <w:sz w:val="22"/>
          <w:szCs w:val="22"/>
        </w:rPr>
        <w:t>2.396/2009, 5</w:t>
      </w:r>
      <w:r w:rsidR="00D6647D">
        <w:rPr>
          <w:sz w:val="22"/>
          <w:szCs w:val="22"/>
        </w:rPr>
        <w:t>.</w:t>
      </w:r>
      <w:r w:rsidR="002A0E56" w:rsidRPr="00231A6D">
        <w:rPr>
          <w:sz w:val="22"/>
          <w:szCs w:val="22"/>
        </w:rPr>
        <w:t>091</w:t>
      </w:r>
      <w:r w:rsidR="00D6647D">
        <w:rPr>
          <w:sz w:val="22"/>
          <w:szCs w:val="22"/>
        </w:rPr>
        <w:t>/</w:t>
      </w:r>
      <w:r w:rsidR="002A0E56" w:rsidRPr="00231A6D">
        <w:rPr>
          <w:sz w:val="22"/>
          <w:szCs w:val="22"/>
        </w:rPr>
        <w:t>2009</w:t>
      </w:r>
      <w:r w:rsidR="00D6647D">
        <w:rPr>
          <w:sz w:val="22"/>
          <w:szCs w:val="22"/>
        </w:rPr>
        <w:t xml:space="preserve">, </w:t>
      </w:r>
      <w:r w:rsidR="002A0E56" w:rsidRPr="00231A6D">
        <w:rPr>
          <w:sz w:val="22"/>
          <w:szCs w:val="22"/>
        </w:rPr>
        <w:t>6</w:t>
      </w:r>
      <w:r w:rsidR="00D6647D">
        <w:rPr>
          <w:sz w:val="22"/>
          <w:szCs w:val="22"/>
        </w:rPr>
        <w:t>.</w:t>
      </w:r>
      <w:r w:rsidR="002A0E56" w:rsidRPr="00231A6D">
        <w:rPr>
          <w:sz w:val="22"/>
          <w:szCs w:val="22"/>
        </w:rPr>
        <w:t>109/2009</w:t>
      </w:r>
      <w:r w:rsidR="00D6647D">
        <w:rPr>
          <w:sz w:val="22"/>
          <w:szCs w:val="22"/>
        </w:rPr>
        <w:t xml:space="preserve"> e </w:t>
      </w:r>
      <w:r w:rsidR="002A0E56" w:rsidRPr="00231A6D">
        <w:rPr>
          <w:sz w:val="22"/>
          <w:szCs w:val="22"/>
        </w:rPr>
        <w:t>2</w:t>
      </w:r>
      <w:r w:rsidR="00D6647D">
        <w:rPr>
          <w:sz w:val="22"/>
          <w:szCs w:val="22"/>
        </w:rPr>
        <w:t>.</w:t>
      </w:r>
      <w:r w:rsidR="002A0E56" w:rsidRPr="00231A6D">
        <w:rPr>
          <w:sz w:val="22"/>
          <w:szCs w:val="22"/>
        </w:rPr>
        <w:t>396/2010</w:t>
      </w:r>
      <w:r w:rsidR="00D6647D">
        <w:rPr>
          <w:sz w:val="22"/>
          <w:szCs w:val="22"/>
        </w:rPr>
        <w:t xml:space="preserve">, todos da </w:t>
      </w:r>
      <w:r w:rsidR="002A0E56" w:rsidRPr="00231A6D">
        <w:rPr>
          <w:sz w:val="22"/>
          <w:szCs w:val="22"/>
        </w:rPr>
        <w:t>2ª Câmara.</w:t>
      </w:r>
      <w:r w:rsidR="00D6647D">
        <w:rPr>
          <w:sz w:val="22"/>
          <w:szCs w:val="22"/>
        </w:rPr>
        <w:t xml:space="preserve"> </w:t>
      </w:r>
      <w:r w:rsidR="00F70C87" w:rsidRPr="00337E16">
        <w:rPr>
          <w:b/>
          <w:i/>
          <w:sz w:val="22"/>
          <w:szCs w:val="22"/>
        </w:rPr>
        <w:t xml:space="preserve">Acórdão n.º </w:t>
      </w:r>
      <w:r>
        <w:rPr>
          <w:b/>
          <w:i/>
          <w:sz w:val="22"/>
          <w:szCs w:val="22"/>
        </w:rPr>
        <w:t>4190</w:t>
      </w:r>
      <w:r w:rsidR="00F70C87" w:rsidRPr="00337E16">
        <w:rPr>
          <w:b/>
          <w:i/>
          <w:sz w:val="22"/>
          <w:szCs w:val="22"/>
        </w:rPr>
        <w:t>/2010</w:t>
      </w:r>
      <w:r w:rsidR="00F70C87">
        <w:rPr>
          <w:b/>
          <w:i/>
          <w:sz w:val="22"/>
          <w:szCs w:val="22"/>
        </w:rPr>
        <w:t>-2ª Câmara</w:t>
      </w:r>
      <w:r w:rsidR="00F70C87" w:rsidRPr="00337E16">
        <w:rPr>
          <w:b/>
          <w:i/>
          <w:sz w:val="22"/>
          <w:szCs w:val="22"/>
        </w:rPr>
        <w:t>, TC-0</w:t>
      </w:r>
      <w:r>
        <w:rPr>
          <w:b/>
          <w:i/>
          <w:sz w:val="22"/>
          <w:szCs w:val="22"/>
        </w:rPr>
        <w:t>12</w:t>
      </w:r>
      <w:r w:rsidR="00F70C87" w:rsidRPr="00337E16">
        <w:rPr>
          <w:b/>
          <w:i/>
          <w:sz w:val="22"/>
          <w:szCs w:val="22"/>
        </w:rPr>
        <w:t>.</w:t>
      </w:r>
      <w:r>
        <w:rPr>
          <w:b/>
          <w:i/>
          <w:sz w:val="22"/>
          <w:szCs w:val="22"/>
        </w:rPr>
        <w:t>825</w:t>
      </w:r>
      <w:r w:rsidR="00F70C87" w:rsidRPr="00337E16">
        <w:rPr>
          <w:b/>
          <w:i/>
          <w:sz w:val="22"/>
          <w:szCs w:val="22"/>
        </w:rPr>
        <w:t>/20</w:t>
      </w:r>
      <w:r w:rsidR="00F70C87">
        <w:rPr>
          <w:b/>
          <w:i/>
          <w:sz w:val="22"/>
          <w:szCs w:val="22"/>
        </w:rPr>
        <w:t>0</w:t>
      </w:r>
      <w:r>
        <w:rPr>
          <w:b/>
          <w:i/>
          <w:sz w:val="22"/>
          <w:szCs w:val="22"/>
        </w:rPr>
        <w:t>5</w:t>
      </w:r>
      <w:r w:rsidR="00F70C87" w:rsidRPr="00337E16">
        <w:rPr>
          <w:b/>
          <w:i/>
          <w:sz w:val="22"/>
          <w:szCs w:val="22"/>
        </w:rPr>
        <w:t>-</w:t>
      </w:r>
      <w:r>
        <w:rPr>
          <w:b/>
          <w:i/>
          <w:sz w:val="22"/>
          <w:szCs w:val="22"/>
        </w:rPr>
        <w:t>7</w:t>
      </w:r>
      <w:r w:rsidR="00F70C87" w:rsidRPr="00337E16">
        <w:rPr>
          <w:b/>
          <w:i/>
          <w:sz w:val="22"/>
          <w:szCs w:val="22"/>
        </w:rPr>
        <w:t>, rel. Min</w:t>
      </w:r>
      <w:r w:rsidR="00F70C87">
        <w:rPr>
          <w:b/>
          <w:i/>
          <w:sz w:val="22"/>
          <w:szCs w:val="22"/>
        </w:rPr>
        <w:t xml:space="preserve">. </w:t>
      </w:r>
      <w:r>
        <w:rPr>
          <w:b/>
          <w:i/>
          <w:sz w:val="22"/>
          <w:szCs w:val="22"/>
        </w:rPr>
        <w:t>José Jorge</w:t>
      </w:r>
      <w:r w:rsidR="00F70C87" w:rsidRPr="00337E16">
        <w:rPr>
          <w:b/>
          <w:i/>
          <w:sz w:val="22"/>
          <w:szCs w:val="22"/>
        </w:rPr>
        <w:t xml:space="preserve">, </w:t>
      </w:r>
      <w:r>
        <w:rPr>
          <w:b/>
          <w:i/>
          <w:sz w:val="22"/>
          <w:szCs w:val="22"/>
        </w:rPr>
        <w:t>03</w:t>
      </w:r>
      <w:r w:rsidR="00F70C87" w:rsidRPr="00337E16">
        <w:rPr>
          <w:b/>
          <w:i/>
          <w:sz w:val="22"/>
          <w:szCs w:val="22"/>
        </w:rPr>
        <w:t>.0</w:t>
      </w:r>
      <w:r>
        <w:rPr>
          <w:b/>
          <w:i/>
          <w:sz w:val="22"/>
          <w:szCs w:val="22"/>
        </w:rPr>
        <w:t>8</w:t>
      </w:r>
      <w:r w:rsidR="00F70C87" w:rsidRPr="00337E16">
        <w:rPr>
          <w:b/>
          <w:i/>
          <w:sz w:val="22"/>
          <w:szCs w:val="22"/>
        </w:rPr>
        <w:t>.2010</w:t>
      </w:r>
      <w:r w:rsidR="00F70C87" w:rsidRPr="00337E16">
        <w:rPr>
          <w:sz w:val="22"/>
          <w:szCs w:val="22"/>
        </w:rPr>
        <w:t>.</w:t>
      </w:r>
    </w:p>
    <w:p w:rsidR="00785CF8" w:rsidRPr="00337E16" w:rsidRDefault="00785CF8" w:rsidP="00337E1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337E16" w:rsidTr="00F03AB9">
        <w:trPr>
          <w:trHeight w:val="779"/>
          <w:jc w:val="center"/>
        </w:trPr>
        <w:tc>
          <w:tcPr>
            <w:tcW w:w="0" w:type="auto"/>
            <w:vAlign w:val="center"/>
          </w:tcPr>
          <w:p w:rsidR="00F27170" w:rsidRPr="00337E16" w:rsidRDefault="005E5FF1" w:rsidP="00337E16">
            <w:pPr>
              <w:pStyle w:val="enter-3pt"/>
              <w:spacing w:line="240" w:lineRule="auto"/>
              <w:jc w:val="center"/>
              <w:rPr>
                <w:b/>
                <w:i/>
                <w:sz w:val="18"/>
                <w:szCs w:val="18"/>
              </w:rPr>
            </w:pPr>
            <w:r w:rsidRPr="00337E16">
              <w:rPr>
                <w:b/>
                <w:i/>
                <w:sz w:val="18"/>
                <w:szCs w:val="18"/>
              </w:rPr>
              <w:t>R</w:t>
            </w:r>
            <w:r w:rsidR="00F27170" w:rsidRPr="00337E16">
              <w:rPr>
                <w:b/>
                <w:i/>
                <w:sz w:val="18"/>
                <w:szCs w:val="18"/>
              </w:rPr>
              <w:t>esponsáve</w:t>
            </w:r>
            <w:r w:rsidRPr="00337E16">
              <w:rPr>
                <w:b/>
                <w:i/>
                <w:sz w:val="18"/>
                <w:szCs w:val="18"/>
              </w:rPr>
              <w:t>is</w:t>
            </w:r>
            <w:r w:rsidR="00F27170" w:rsidRPr="00337E16">
              <w:rPr>
                <w:b/>
                <w:i/>
                <w:sz w:val="18"/>
                <w:szCs w:val="18"/>
              </w:rPr>
              <w:t xml:space="preserve"> pelo Informativo:</w:t>
            </w:r>
          </w:p>
          <w:p w:rsidR="00F27170" w:rsidRPr="00337E16" w:rsidRDefault="00713DE5" w:rsidP="00337E16">
            <w:pPr>
              <w:pStyle w:val="enter-3pt"/>
              <w:spacing w:line="240" w:lineRule="auto"/>
              <w:jc w:val="center"/>
              <w:rPr>
                <w:i/>
                <w:sz w:val="18"/>
                <w:szCs w:val="18"/>
              </w:rPr>
            </w:pPr>
            <w:r w:rsidRPr="00337E16">
              <w:rPr>
                <w:b/>
                <w:i/>
                <w:sz w:val="18"/>
                <w:szCs w:val="18"/>
              </w:rPr>
              <w:t>Elaboração:</w:t>
            </w:r>
            <w:r w:rsidRPr="00337E16">
              <w:rPr>
                <w:i/>
                <w:sz w:val="18"/>
                <w:szCs w:val="18"/>
              </w:rPr>
              <w:t xml:space="preserve"> </w:t>
            </w:r>
            <w:r w:rsidR="00F27170" w:rsidRPr="00337E16">
              <w:rPr>
                <w:i/>
                <w:sz w:val="18"/>
                <w:szCs w:val="18"/>
              </w:rPr>
              <w:t>Luiz Felipe Bezerra Almeida Simões</w:t>
            </w:r>
            <w:r w:rsidRPr="00337E16">
              <w:rPr>
                <w:i/>
                <w:sz w:val="18"/>
                <w:szCs w:val="18"/>
              </w:rPr>
              <w:t>, Assessor da Secretaria das Sessões</w:t>
            </w:r>
          </w:p>
          <w:p w:rsidR="005E5FF1" w:rsidRPr="00337E16" w:rsidRDefault="00A30683" w:rsidP="00337E16">
            <w:pPr>
              <w:pStyle w:val="enter-3pt"/>
              <w:spacing w:line="240" w:lineRule="auto"/>
              <w:jc w:val="center"/>
              <w:rPr>
                <w:i/>
                <w:sz w:val="18"/>
                <w:szCs w:val="18"/>
              </w:rPr>
            </w:pPr>
            <w:r>
              <w:rPr>
                <w:b/>
                <w:i/>
                <w:sz w:val="18"/>
                <w:szCs w:val="18"/>
              </w:rPr>
              <w:t>Revisão</w:t>
            </w:r>
            <w:r w:rsidR="00713DE5" w:rsidRPr="00337E16">
              <w:rPr>
                <w:b/>
                <w:i/>
                <w:sz w:val="18"/>
                <w:szCs w:val="18"/>
              </w:rPr>
              <w:t>:</w:t>
            </w:r>
            <w:r w:rsidR="00713DE5" w:rsidRPr="00337E16">
              <w:rPr>
                <w:i/>
                <w:sz w:val="18"/>
                <w:szCs w:val="18"/>
              </w:rPr>
              <w:t xml:space="preserve"> </w:t>
            </w:r>
            <w:r w:rsidR="005E5FF1" w:rsidRPr="00337E16">
              <w:rPr>
                <w:i/>
                <w:sz w:val="18"/>
                <w:szCs w:val="18"/>
              </w:rPr>
              <w:t>Odilon Cavallari de Oliveira</w:t>
            </w:r>
            <w:r w:rsidR="00713DE5" w:rsidRPr="00337E16">
              <w:rPr>
                <w:i/>
                <w:sz w:val="18"/>
                <w:szCs w:val="18"/>
              </w:rPr>
              <w:t>, Secretário das Sessões</w:t>
            </w:r>
          </w:p>
          <w:p w:rsidR="00D2041E" w:rsidRPr="00337E16" w:rsidRDefault="00D2041E" w:rsidP="00337E16">
            <w:pPr>
              <w:pStyle w:val="enter-3pt"/>
              <w:spacing w:line="240" w:lineRule="auto"/>
              <w:jc w:val="center"/>
              <w:rPr>
                <w:b/>
                <w:i/>
                <w:sz w:val="22"/>
                <w:szCs w:val="22"/>
              </w:rPr>
            </w:pPr>
            <w:r w:rsidRPr="00337E16">
              <w:rPr>
                <w:b/>
                <w:i/>
                <w:sz w:val="18"/>
                <w:szCs w:val="18"/>
              </w:rPr>
              <w:t xml:space="preserve">Contato: </w:t>
            </w:r>
            <w:hyperlink r:id="rId8" w:history="1">
              <w:r w:rsidRPr="00337E16">
                <w:rPr>
                  <w:rStyle w:val="Hyperlink"/>
                  <w:b/>
                  <w:i/>
                  <w:color w:val="auto"/>
                  <w:sz w:val="18"/>
                  <w:szCs w:val="18"/>
                </w:rPr>
                <w:t>infojuris@tcu.gov.br</w:t>
              </w:r>
            </w:hyperlink>
          </w:p>
        </w:tc>
      </w:tr>
    </w:tbl>
    <w:p w:rsidR="00D2041E" w:rsidRPr="00337E16" w:rsidRDefault="00D2041E" w:rsidP="00337E16">
      <w:pPr>
        <w:pStyle w:val="enter-3pt"/>
        <w:spacing w:line="240" w:lineRule="auto"/>
        <w:jc w:val="center"/>
        <w:rPr>
          <w:b/>
          <w:sz w:val="22"/>
          <w:szCs w:val="22"/>
        </w:rPr>
      </w:pPr>
    </w:p>
    <w:sectPr w:rsidR="00D2041E" w:rsidRPr="00337E16" w:rsidSect="00337E16">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62" w:rsidRDefault="00777B62" w:rsidP="008B0547">
      <w:pPr>
        <w:spacing w:after="0"/>
      </w:pPr>
      <w:r>
        <w:separator/>
      </w:r>
    </w:p>
  </w:endnote>
  <w:endnote w:type="continuationSeparator" w:id="0">
    <w:p w:rsidR="00777B62" w:rsidRDefault="00777B6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A8" w:rsidRPr="00C906CD" w:rsidRDefault="00F329A8"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D61C3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62" w:rsidRDefault="00777B62" w:rsidP="008B0547">
      <w:pPr>
        <w:spacing w:after="0"/>
      </w:pPr>
      <w:r>
        <w:separator/>
      </w:r>
    </w:p>
  </w:footnote>
  <w:footnote w:type="continuationSeparator" w:id="0">
    <w:p w:rsidR="00777B62" w:rsidRDefault="00777B6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A8" w:rsidRDefault="00A838B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9A8">
      <w:rPr>
        <w:rFonts w:ascii="Arial" w:hAnsi="Arial" w:cs="Arial"/>
        <w:b/>
      </w:rPr>
      <w:t>TRIBUNAL DE CONTAS DA UNIÃO</w:t>
    </w:r>
  </w:p>
  <w:p w:rsidR="00F329A8" w:rsidRPr="00515E7B" w:rsidRDefault="00A838B5"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930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F329A8" w:rsidRPr="00515E7B">
      <w:rPr>
        <w:rFonts w:ascii="Arial" w:hAnsi="Arial" w:cs="Arial"/>
        <w:noProof/>
        <w:lang w:eastAsia="pt-BR"/>
      </w:rPr>
      <w:t>Info</w:t>
    </w:r>
    <w:r w:rsidR="00F329A8">
      <w:rPr>
        <w:rFonts w:ascii="Arial" w:hAnsi="Arial" w:cs="Arial"/>
        <w:noProof/>
        <w:lang w:eastAsia="pt-BR"/>
      </w:rPr>
      <w:t>rmativo de Jurisprudência sobre L</w:t>
    </w:r>
    <w:r w:rsidR="00F329A8" w:rsidRPr="00515E7B">
      <w:rPr>
        <w:rFonts w:ascii="Arial" w:hAnsi="Arial" w:cs="Arial"/>
        <w:noProof/>
        <w:lang w:eastAsia="pt-BR"/>
      </w:rPr>
      <w:t xml:space="preserve">icitações e </w:t>
    </w:r>
    <w:r w:rsidR="00F329A8">
      <w:rPr>
        <w:rFonts w:ascii="Arial" w:hAnsi="Arial" w:cs="Arial"/>
        <w:noProof/>
        <w:lang w:eastAsia="pt-BR"/>
      </w:rPr>
      <w:t>C</w:t>
    </w:r>
    <w:r w:rsidR="00F329A8" w:rsidRPr="00515E7B">
      <w:rPr>
        <w:rFonts w:ascii="Arial" w:hAnsi="Arial" w:cs="Arial"/>
        <w:noProof/>
        <w:lang w:eastAsia="pt-BR"/>
      </w:rPr>
      <w:t>ontratos</w:t>
    </w:r>
    <w:r w:rsidR="00F329A8">
      <w:rPr>
        <w:rFonts w:ascii="Arial" w:hAnsi="Arial" w:cs="Arial"/>
        <w:noProof/>
        <w:lang w:eastAsia="pt-BR"/>
      </w:rPr>
      <w:t xml:space="preserve"> nº 28</w:t>
    </w:r>
  </w:p>
  <w:p w:rsidR="00F329A8" w:rsidRDefault="00F329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F011B6A"/>
    <w:multiLevelType w:val="hybridMultilevel"/>
    <w:tmpl w:val="D0F6E352"/>
    <w:lvl w:ilvl="0" w:tplc="744882CC">
      <w:start w:val="2"/>
      <w:numFmt w:val="decimal"/>
      <w:pStyle w:val="TextoRec"/>
      <w:lvlText w:val="%1."/>
      <w:lvlJc w:val="left"/>
      <w:pPr>
        <w:ind w:left="720" w:hanging="360"/>
      </w:pPr>
      <w:rPr>
        <w:rFonts w:cs="Times New Roman" w:hint="default"/>
        <w:b w:val="0"/>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9"/>
  </w:num>
  <w:num w:numId="3">
    <w:abstractNumId w:val="4"/>
  </w:num>
  <w:num w:numId="4">
    <w:abstractNumId w:val="0"/>
  </w:num>
  <w:num w:numId="5">
    <w:abstractNumId w:val="5"/>
  </w:num>
  <w:num w:numId="6">
    <w:abstractNumId w:val="8"/>
  </w:num>
  <w:num w:numId="7">
    <w:abstractNumId w:val="15"/>
  </w:num>
  <w:num w:numId="8">
    <w:abstractNumId w:val="13"/>
  </w:num>
  <w:num w:numId="9">
    <w:abstractNumId w:val="10"/>
  </w:num>
  <w:num w:numId="10">
    <w:abstractNumId w:val="3"/>
  </w:num>
  <w:num w:numId="11">
    <w:abstractNumId w:val="16"/>
  </w:num>
  <w:num w:numId="12">
    <w:abstractNumId w:val="2"/>
  </w:num>
  <w:num w:numId="13">
    <w:abstractNumId w:val="7"/>
  </w:num>
  <w:num w:numId="14">
    <w:abstractNumId w:val="14"/>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3CEA"/>
    <w:rsid w:val="00004614"/>
    <w:rsid w:val="00005435"/>
    <w:rsid w:val="00005E1E"/>
    <w:rsid w:val="00012468"/>
    <w:rsid w:val="0001636D"/>
    <w:rsid w:val="000208FC"/>
    <w:rsid w:val="00023D72"/>
    <w:rsid w:val="000271FA"/>
    <w:rsid w:val="00031C58"/>
    <w:rsid w:val="00032198"/>
    <w:rsid w:val="00037EF5"/>
    <w:rsid w:val="00041450"/>
    <w:rsid w:val="0004660A"/>
    <w:rsid w:val="00050960"/>
    <w:rsid w:val="00052B15"/>
    <w:rsid w:val="00054432"/>
    <w:rsid w:val="000562CD"/>
    <w:rsid w:val="00056D51"/>
    <w:rsid w:val="0006028E"/>
    <w:rsid w:val="00065E95"/>
    <w:rsid w:val="00080148"/>
    <w:rsid w:val="00084727"/>
    <w:rsid w:val="0009133A"/>
    <w:rsid w:val="00092C2E"/>
    <w:rsid w:val="000A2C56"/>
    <w:rsid w:val="000B0ECB"/>
    <w:rsid w:val="000B0FEA"/>
    <w:rsid w:val="000B2AFA"/>
    <w:rsid w:val="000D1FD7"/>
    <w:rsid w:val="000D4911"/>
    <w:rsid w:val="000D6418"/>
    <w:rsid w:val="000D7DB6"/>
    <w:rsid w:val="000D7DED"/>
    <w:rsid w:val="000E3B31"/>
    <w:rsid w:val="000F6D85"/>
    <w:rsid w:val="000F7CEE"/>
    <w:rsid w:val="001020DB"/>
    <w:rsid w:val="001104BA"/>
    <w:rsid w:val="00112676"/>
    <w:rsid w:val="0011373A"/>
    <w:rsid w:val="00114511"/>
    <w:rsid w:val="00126026"/>
    <w:rsid w:val="00126423"/>
    <w:rsid w:val="00131503"/>
    <w:rsid w:val="00133EA9"/>
    <w:rsid w:val="00141D7A"/>
    <w:rsid w:val="001420D1"/>
    <w:rsid w:val="001444A2"/>
    <w:rsid w:val="00151F92"/>
    <w:rsid w:val="0015258E"/>
    <w:rsid w:val="00152ECC"/>
    <w:rsid w:val="001532E4"/>
    <w:rsid w:val="00156A48"/>
    <w:rsid w:val="00157AFE"/>
    <w:rsid w:val="00157C0F"/>
    <w:rsid w:val="001744E7"/>
    <w:rsid w:val="00176375"/>
    <w:rsid w:val="00187850"/>
    <w:rsid w:val="001942ED"/>
    <w:rsid w:val="001A330B"/>
    <w:rsid w:val="001A47C5"/>
    <w:rsid w:val="001A60A2"/>
    <w:rsid w:val="001B3E8E"/>
    <w:rsid w:val="001B4F90"/>
    <w:rsid w:val="001C0575"/>
    <w:rsid w:val="001C437E"/>
    <w:rsid w:val="001D03C7"/>
    <w:rsid w:val="001D1478"/>
    <w:rsid w:val="001D74CE"/>
    <w:rsid w:val="001E0BF1"/>
    <w:rsid w:val="001E1E28"/>
    <w:rsid w:val="001E2620"/>
    <w:rsid w:val="001E4147"/>
    <w:rsid w:val="001E7C3D"/>
    <w:rsid w:val="001F00DF"/>
    <w:rsid w:val="001F64F1"/>
    <w:rsid w:val="002002CE"/>
    <w:rsid w:val="0020066F"/>
    <w:rsid w:val="00203A6F"/>
    <w:rsid w:val="00211816"/>
    <w:rsid w:val="00226D9D"/>
    <w:rsid w:val="00231A6D"/>
    <w:rsid w:val="00232158"/>
    <w:rsid w:val="002328F9"/>
    <w:rsid w:val="00233CE3"/>
    <w:rsid w:val="0024084E"/>
    <w:rsid w:val="0024593F"/>
    <w:rsid w:val="002476B6"/>
    <w:rsid w:val="00254590"/>
    <w:rsid w:val="002566B1"/>
    <w:rsid w:val="0026362E"/>
    <w:rsid w:val="002649A7"/>
    <w:rsid w:val="002663B7"/>
    <w:rsid w:val="00270E70"/>
    <w:rsid w:val="00271D81"/>
    <w:rsid w:val="00273E72"/>
    <w:rsid w:val="00276DC0"/>
    <w:rsid w:val="002810D9"/>
    <w:rsid w:val="00281830"/>
    <w:rsid w:val="00283C3B"/>
    <w:rsid w:val="0029043B"/>
    <w:rsid w:val="0029211E"/>
    <w:rsid w:val="0029450E"/>
    <w:rsid w:val="002A0E56"/>
    <w:rsid w:val="002A190F"/>
    <w:rsid w:val="002A3B3F"/>
    <w:rsid w:val="002B14E0"/>
    <w:rsid w:val="002B71BA"/>
    <w:rsid w:val="002C7B61"/>
    <w:rsid w:val="002C7B6D"/>
    <w:rsid w:val="002D35F5"/>
    <w:rsid w:val="002D47FE"/>
    <w:rsid w:val="002D739A"/>
    <w:rsid w:val="002D76AB"/>
    <w:rsid w:val="002E361C"/>
    <w:rsid w:val="002E3943"/>
    <w:rsid w:val="002E4254"/>
    <w:rsid w:val="002F145F"/>
    <w:rsid w:val="002F5F3B"/>
    <w:rsid w:val="002F691E"/>
    <w:rsid w:val="002F693C"/>
    <w:rsid w:val="003020F4"/>
    <w:rsid w:val="00304A73"/>
    <w:rsid w:val="003069F9"/>
    <w:rsid w:val="00310208"/>
    <w:rsid w:val="0031058F"/>
    <w:rsid w:val="0031089E"/>
    <w:rsid w:val="00310D69"/>
    <w:rsid w:val="003147B7"/>
    <w:rsid w:val="00317E59"/>
    <w:rsid w:val="00322AE7"/>
    <w:rsid w:val="00323915"/>
    <w:rsid w:val="003275E4"/>
    <w:rsid w:val="00337E16"/>
    <w:rsid w:val="00340E66"/>
    <w:rsid w:val="00340F10"/>
    <w:rsid w:val="0034486B"/>
    <w:rsid w:val="00344D92"/>
    <w:rsid w:val="003455A2"/>
    <w:rsid w:val="00350E87"/>
    <w:rsid w:val="00353B7C"/>
    <w:rsid w:val="0035438E"/>
    <w:rsid w:val="00355828"/>
    <w:rsid w:val="00357CBE"/>
    <w:rsid w:val="00361661"/>
    <w:rsid w:val="00364F23"/>
    <w:rsid w:val="003824E4"/>
    <w:rsid w:val="00385DAB"/>
    <w:rsid w:val="0038696B"/>
    <w:rsid w:val="00392509"/>
    <w:rsid w:val="003943E5"/>
    <w:rsid w:val="00397D8E"/>
    <w:rsid w:val="003A2222"/>
    <w:rsid w:val="003A5479"/>
    <w:rsid w:val="003A5C1B"/>
    <w:rsid w:val="003A78E1"/>
    <w:rsid w:val="003A7C7F"/>
    <w:rsid w:val="003B0304"/>
    <w:rsid w:val="003B043F"/>
    <w:rsid w:val="003B2E10"/>
    <w:rsid w:val="003B33CE"/>
    <w:rsid w:val="003B343D"/>
    <w:rsid w:val="003B56D7"/>
    <w:rsid w:val="003B6E77"/>
    <w:rsid w:val="003B772E"/>
    <w:rsid w:val="003C1B4F"/>
    <w:rsid w:val="003C2288"/>
    <w:rsid w:val="003C6DEB"/>
    <w:rsid w:val="003C7A5C"/>
    <w:rsid w:val="003D5BFD"/>
    <w:rsid w:val="003D606A"/>
    <w:rsid w:val="003D73BD"/>
    <w:rsid w:val="003D7CCE"/>
    <w:rsid w:val="003E1B68"/>
    <w:rsid w:val="003E65D7"/>
    <w:rsid w:val="003F413A"/>
    <w:rsid w:val="003F54FB"/>
    <w:rsid w:val="003F5DF0"/>
    <w:rsid w:val="003F6D1F"/>
    <w:rsid w:val="004041BB"/>
    <w:rsid w:val="004169D8"/>
    <w:rsid w:val="004201AF"/>
    <w:rsid w:val="00425FF9"/>
    <w:rsid w:val="00427B3B"/>
    <w:rsid w:val="00427EBF"/>
    <w:rsid w:val="004362AB"/>
    <w:rsid w:val="004415FB"/>
    <w:rsid w:val="00441CE3"/>
    <w:rsid w:val="0044434A"/>
    <w:rsid w:val="00445E76"/>
    <w:rsid w:val="00452C60"/>
    <w:rsid w:val="0046384E"/>
    <w:rsid w:val="0046706B"/>
    <w:rsid w:val="00471284"/>
    <w:rsid w:val="00473696"/>
    <w:rsid w:val="0047491E"/>
    <w:rsid w:val="004837C6"/>
    <w:rsid w:val="00483998"/>
    <w:rsid w:val="00484E4C"/>
    <w:rsid w:val="00491438"/>
    <w:rsid w:val="00492E3F"/>
    <w:rsid w:val="00492EE1"/>
    <w:rsid w:val="00493F5C"/>
    <w:rsid w:val="004A0F8A"/>
    <w:rsid w:val="004A171B"/>
    <w:rsid w:val="004B1DC3"/>
    <w:rsid w:val="004C780C"/>
    <w:rsid w:val="004D1A60"/>
    <w:rsid w:val="004D3CA7"/>
    <w:rsid w:val="004D5F52"/>
    <w:rsid w:val="004E357A"/>
    <w:rsid w:val="004E65EB"/>
    <w:rsid w:val="004F7174"/>
    <w:rsid w:val="00501F36"/>
    <w:rsid w:val="0050355D"/>
    <w:rsid w:val="005044EF"/>
    <w:rsid w:val="005055B5"/>
    <w:rsid w:val="00511BBF"/>
    <w:rsid w:val="00514FAE"/>
    <w:rsid w:val="00515E7B"/>
    <w:rsid w:val="005217F8"/>
    <w:rsid w:val="0052267A"/>
    <w:rsid w:val="00531143"/>
    <w:rsid w:val="00536121"/>
    <w:rsid w:val="00536332"/>
    <w:rsid w:val="00543EB8"/>
    <w:rsid w:val="00554A33"/>
    <w:rsid w:val="005560D1"/>
    <w:rsid w:val="00557953"/>
    <w:rsid w:val="00560E55"/>
    <w:rsid w:val="0056301A"/>
    <w:rsid w:val="005640E1"/>
    <w:rsid w:val="00564EA1"/>
    <w:rsid w:val="0056534C"/>
    <w:rsid w:val="00566545"/>
    <w:rsid w:val="00566D92"/>
    <w:rsid w:val="00567CEE"/>
    <w:rsid w:val="005713F4"/>
    <w:rsid w:val="00571E64"/>
    <w:rsid w:val="00572098"/>
    <w:rsid w:val="00580F26"/>
    <w:rsid w:val="0058427E"/>
    <w:rsid w:val="00590907"/>
    <w:rsid w:val="005A72F2"/>
    <w:rsid w:val="005B2194"/>
    <w:rsid w:val="005B2BC3"/>
    <w:rsid w:val="005B4CFA"/>
    <w:rsid w:val="005C1A79"/>
    <w:rsid w:val="005E269C"/>
    <w:rsid w:val="005E3586"/>
    <w:rsid w:val="005E4DEE"/>
    <w:rsid w:val="005E5FF1"/>
    <w:rsid w:val="005F01CE"/>
    <w:rsid w:val="005F70B6"/>
    <w:rsid w:val="00604DBE"/>
    <w:rsid w:val="006063E1"/>
    <w:rsid w:val="006065E4"/>
    <w:rsid w:val="00612045"/>
    <w:rsid w:val="00613AC9"/>
    <w:rsid w:val="006147A4"/>
    <w:rsid w:val="00620E86"/>
    <w:rsid w:val="006219DD"/>
    <w:rsid w:val="00632ACC"/>
    <w:rsid w:val="00641797"/>
    <w:rsid w:val="00650463"/>
    <w:rsid w:val="00650BE8"/>
    <w:rsid w:val="00651660"/>
    <w:rsid w:val="00652171"/>
    <w:rsid w:val="00670FEA"/>
    <w:rsid w:val="0067353C"/>
    <w:rsid w:val="00676163"/>
    <w:rsid w:val="00677C22"/>
    <w:rsid w:val="00685899"/>
    <w:rsid w:val="00692D30"/>
    <w:rsid w:val="0069532E"/>
    <w:rsid w:val="00697477"/>
    <w:rsid w:val="006A037E"/>
    <w:rsid w:val="006A7796"/>
    <w:rsid w:val="006B0495"/>
    <w:rsid w:val="006B0DCB"/>
    <w:rsid w:val="006B2408"/>
    <w:rsid w:val="006B3AF9"/>
    <w:rsid w:val="006B414C"/>
    <w:rsid w:val="006B4B0F"/>
    <w:rsid w:val="006B65EC"/>
    <w:rsid w:val="006C1E77"/>
    <w:rsid w:val="006C4832"/>
    <w:rsid w:val="006D6F41"/>
    <w:rsid w:val="006F4DE0"/>
    <w:rsid w:val="006F5174"/>
    <w:rsid w:val="006F5915"/>
    <w:rsid w:val="006F6414"/>
    <w:rsid w:val="006F7332"/>
    <w:rsid w:val="00700260"/>
    <w:rsid w:val="0070385B"/>
    <w:rsid w:val="0070494F"/>
    <w:rsid w:val="00705758"/>
    <w:rsid w:val="0070717A"/>
    <w:rsid w:val="00713124"/>
    <w:rsid w:val="00713DE5"/>
    <w:rsid w:val="007174DA"/>
    <w:rsid w:val="00720910"/>
    <w:rsid w:val="00720F29"/>
    <w:rsid w:val="00721C7E"/>
    <w:rsid w:val="007224C2"/>
    <w:rsid w:val="00730E6E"/>
    <w:rsid w:val="00737FEC"/>
    <w:rsid w:val="00756AA0"/>
    <w:rsid w:val="00757CE6"/>
    <w:rsid w:val="007671DA"/>
    <w:rsid w:val="007719A8"/>
    <w:rsid w:val="00774593"/>
    <w:rsid w:val="00777599"/>
    <w:rsid w:val="00777B62"/>
    <w:rsid w:val="00785CF8"/>
    <w:rsid w:val="00796CC0"/>
    <w:rsid w:val="007A1A35"/>
    <w:rsid w:val="007A4F70"/>
    <w:rsid w:val="007A5922"/>
    <w:rsid w:val="007B259B"/>
    <w:rsid w:val="007B5018"/>
    <w:rsid w:val="007C670D"/>
    <w:rsid w:val="007C737B"/>
    <w:rsid w:val="007D0ED0"/>
    <w:rsid w:val="007D4A4A"/>
    <w:rsid w:val="007E0E05"/>
    <w:rsid w:val="007E209F"/>
    <w:rsid w:val="007E4655"/>
    <w:rsid w:val="007E55E0"/>
    <w:rsid w:val="007E5C50"/>
    <w:rsid w:val="007F22A5"/>
    <w:rsid w:val="00810CC2"/>
    <w:rsid w:val="0081324B"/>
    <w:rsid w:val="00816193"/>
    <w:rsid w:val="008165E4"/>
    <w:rsid w:val="00825155"/>
    <w:rsid w:val="00825EB9"/>
    <w:rsid w:val="008303E2"/>
    <w:rsid w:val="008341F8"/>
    <w:rsid w:val="008359F3"/>
    <w:rsid w:val="00836AC2"/>
    <w:rsid w:val="00844C5B"/>
    <w:rsid w:val="008501A4"/>
    <w:rsid w:val="008505A1"/>
    <w:rsid w:val="00850817"/>
    <w:rsid w:val="0086124E"/>
    <w:rsid w:val="008652C9"/>
    <w:rsid w:val="00866992"/>
    <w:rsid w:val="00871EB3"/>
    <w:rsid w:val="00875991"/>
    <w:rsid w:val="00877FDD"/>
    <w:rsid w:val="00880D39"/>
    <w:rsid w:val="00880FED"/>
    <w:rsid w:val="008841C8"/>
    <w:rsid w:val="00892BB8"/>
    <w:rsid w:val="00893014"/>
    <w:rsid w:val="00896755"/>
    <w:rsid w:val="008A2417"/>
    <w:rsid w:val="008A5D49"/>
    <w:rsid w:val="008A751E"/>
    <w:rsid w:val="008B0547"/>
    <w:rsid w:val="008B11A3"/>
    <w:rsid w:val="008B1FE5"/>
    <w:rsid w:val="008B23F0"/>
    <w:rsid w:val="008B434A"/>
    <w:rsid w:val="008B7B55"/>
    <w:rsid w:val="008B7C86"/>
    <w:rsid w:val="008C3A5B"/>
    <w:rsid w:val="008D2A1C"/>
    <w:rsid w:val="008D6F5D"/>
    <w:rsid w:val="008E003A"/>
    <w:rsid w:val="008E15E3"/>
    <w:rsid w:val="008E2026"/>
    <w:rsid w:val="008E4C62"/>
    <w:rsid w:val="008E727E"/>
    <w:rsid w:val="008E7D2A"/>
    <w:rsid w:val="008F2902"/>
    <w:rsid w:val="008F60BE"/>
    <w:rsid w:val="008F660B"/>
    <w:rsid w:val="009005CE"/>
    <w:rsid w:val="00901376"/>
    <w:rsid w:val="009021A4"/>
    <w:rsid w:val="0091511B"/>
    <w:rsid w:val="009176FF"/>
    <w:rsid w:val="009239AA"/>
    <w:rsid w:val="009245B5"/>
    <w:rsid w:val="0093795C"/>
    <w:rsid w:val="009444E6"/>
    <w:rsid w:val="00944A8E"/>
    <w:rsid w:val="009455E6"/>
    <w:rsid w:val="00956BA7"/>
    <w:rsid w:val="00956FD8"/>
    <w:rsid w:val="009575F7"/>
    <w:rsid w:val="0096021A"/>
    <w:rsid w:val="00960F73"/>
    <w:rsid w:val="00971139"/>
    <w:rsid w:val="009727D9"/>
    <w:rsid w:val="0097401F"/>
    <w:rsid w:val="00980C14"/>
    <w:rsid w:val="00981FA0"/>
    <w:rsid w:val="00984366"/>
    <w:rsid w:val="00984E80"/>
    <w:rsid w:val="0098690F"/>
    <w:rsid w:val="00987EE5"/>
    <w:rsid w:val="009951E5"/>
    <w:rsid w:val="00997C8A"/>
    <w:rsid w:val="009A1339"/>
    <w:rsid w:val="009A3006"/>
    <w:rsid w:val="009A3994"/>
    <w:rsid w:val="009B62AF"/>
    <w:rsid w:val="009D1B99"/>
    <w:rsid w:val="009D5445"/>
    <w:rsid w:val="009D565F"/>
    <w:rsid w:val="009D65B9"/>
    <w:rsid w:val="009D69CC"/>
    <w:rsid w:val="009E04DC"/>
    <w:rsid w:val="009E0FB3"/>
    <w:rsid w:val="009E2C10"/>
    <w:rsid w:val="00A0244C"/>
    <w:rsid w:val="00A033FF"/>
    <w:rsid w:val="00A12C3F"/>
    <w:rsid w:val="00A1329C"/>
    <w:rsid w:val="00A14E25"/>
    <w:rsid w:val="00A16A60"/>
    <w:rsid w:val="00A17A3D"/>
    <w:rsid w:val="00A2062A"/>
    <w:rsid w:val="00A21E19"/>
    <w:rsid w:val="00A244FC"/>
    <w:rsid w:val="00A30683"/>
    <w:rsid w:val="00A3115F"/>
    <w:rsid w:val="00A33030"/>
    <w:rsid w:val="00A378A2"/>
    <w:rsid w:val="00A55080"/>
    <w:rsid w:val="00A63B4C"/>
    <w:rsid w:val="00A664E7"/>
    <w:rsid w:val="00A66E7F"/>
    <w:rsid w:val="00A75C52"/>
    <w:rsid w:val="00A767B2"/>
    <w:rsid w:val="00A82B9E"/>
    <w:rsid w:val="00A838B5"/>
    <w:rsid w:val="00A84186"/>
    <w:rsid w:val="00A85B14"/>
    <w:rsid w:val="00A9150E"/>
    <w:rsid w:val="00A94440"/>
    <w:rsid w:val="00A9704A"/>
    <w:rsid w:val="00A97714"/>
    <w:rsid w:val="00A97AD0"/>
    <w:rsid w:val="00AA1377"/>
    <w:rsid w:val="00AA49AF"/>
    <w:rsid w:val="00AA57CE"/>
    <w:rsid w:val="00AA629E"/>
    <w:rsid w:val="00AA7540"/>
    <w:rsid w:val="00AB7256"/>
    <w:rsid w:val="00AC0BAE"/>
    <w:rsid w:val="00AC126F"/>
    <w:rsid w:val="00AD1063"/>
    <w:rsid w:val="00AE1128"/>
    <w:rsid w:val="00AE1AB0"/>
    <w:rsid w:val="00AE2609"/>
    <w:rsid w:val="00AE439A"/>
    <w:rsid w:val="00AE4C4C"/>
    <w:rsid w:val="00AF09C7"/>
    <w:rsid w:val="00B02CBF"/>
    <w:rsid w:val="00B05065"/>
    <w:rsid w:val="00B05194"/>
    <w:rsid w:val="00B076C5"/>
    <w:rsid w:val="00B17303"/>
    <w:rsid w:val="00B25143"/>
    <w:rsid w:val="00B2585D"/>
    <w:rsid w:val="00B27359"/>
    <w:rsid w:val="00B3167A"/>
    <w:rsid w:val="00B33B27"/>
    <w:rsid w:val="00B347F1"/>
    <w:rsid w:val="00B3502B"/>
    <w:rsid w:val="00B357CD"/>
    <w:rsid w:val="00B35C3E"/>
    <w:rsid w:val="00B36473"/>
    <w:rsid w:val="00B44029"/>
    <w:rsid w:val="00B47943"/>
    <w:rsid w:val="00B50446"/>
    <w:rsid w:val="00B530FD"/>
    <w:rsid w:val="00B5639B"/>
    <w:rsid w:val="00B60C3E"/>
    <w:rsid w:val="00B64775"/>
    <w:rsid w:val="00B81718"/>
    <w:rsid w:val="00B86AF6"/>
    <w:rsid w:val="00B86E2A"/>
    <w:rsid w:val="00B957DB"/>
    <w:rsid w:val="00B96EA4"/>
    <w:rsid w:val="00B97A3E"/>
    <w:rsid w:val="00BA119F"/>
    <w:rsid w:val="00BA2FFD"/>
    <w:rsid w:val="00BB37AF"/>
    <w:rsid w:val="00BB4C08"/>
    <w:rsid w:val="00BC5737"/>
    <w:rsid w:val="00BD3C68"/>
    <w:rsid w:val="00BD421D"/>
    <w:rsid w:val="00BE4614"/>
    <w:rsid w:val="00BE4E6F"/>
    <w:rsid w:val="00BE529D"/>
    <w:rsid w:val="00BE6637"/>
    <w:rsid w:val="00BF10E8"/>
    <w:rsid w:val="00BF3158"/>
    <w:rsid w:val="00C00F1D"/>
    <w:rsid w:val="00C03A04"/>
    <w:rsid w:val="00C046F7"/>
    <w:rsid w:val="00C10C0B"/>
    <w:rsid w:val="00C16ED9"/>
    <w:rsid w:val="00C1776A"/>
    <w:rsid w:val="00C22519"/>
    <w:rsid w:val="00C2305C"/>
    <w:rsid w:val="00C233D0"/>
    <w:rsid w:val="00C24162"/>
    <w:rsid w:val="00C2509D"/>
    <w:rsid w:val="00C32633"/>
    <w:rsid w:val="00C34ABD"/>
    <w:rsid w:val="00C35F43"/>
    <w:rsid w:val="00C44BDC"/>
    <w:rsid w:val="00C45BFB"/>
    <w:rsid w:val="00C54B14"/>
    <w:rsid w:val="00C6352A"/>
    <w:rsid w:val="00C65871"/>
    <w:rsid w:val="00C65B2D"/>
    <w:rsid w:val="00C65C5D"/>
    <w:rsid w:val="00C711E5"/>
    <w:rsid w:val="00C83AEE"/>
    <w:rsid w:val="00C85AC7"/>
    <w:rsid w:val="00C906CD"/>
    <w:rsid w:val="00CA6716"/>
    <w:rsid w:val="00CA7833"/>
    <w:rsid w:val="00CB571A"/>
    <w:rsid w:val="00CC42D4"/>
    <w:rsid w:val="00CC5406"/>
    <w:rsid w:val="00CD1F5D"/>
    <w:rsid w:val="00CD2536"/>
    <w:rsid w:val="00CE5163"/>
    <w:rsid w:val="00CE7A45"/>
    <w:rsid w:val="00CF230D"/>
    <w:rsid w:val="00CF5489"/>
    <w:rsid w:val="00CF7615"/>
    <w:rsid w:val="00D003F8"/>
    <w:rsid w:val="00D021E0"/>
    <w:rsid w:val="00D10769"/>
    <w:rsid w:val="00D116C7"/>
    <w:rsid w:val="00D13AC5"/>
    <w:rsid w:val="00D14E5F"/>
    <w:rsid w:val="00D2041E"/>
    <w:rsid w:val="00D21E12"/>
    <w:rsid w:val="00D341C9"/>
    <w:rsid w:val="00D3447D"/>
    <w:rsid w:val="00D3488B"/>
    <w:rsid w:val="00D361DE"/>
    <w:rsid w:val="00D46C4C"/>
    <w:rsid w:val="00D50578"/>
    <w:rsid w:val="00D5067B"/>
    <w:rsid w:val="00D51F18"/>
    <w:rsid w:val="00D564BB"/>
    <w:rsid w:val="00D565FA"/>
    <w:rsid w:val="00D568ED"/>
    <w:rsid w:val="00D6014E"/>
    <w:rsid w:val="00D61C32"/>
    <w:rsid w:val="00D630E7"/>
    <w:rsid w:val="00D6647D"/>
    <w:rsid w:val="00D73968"/>
    <w:rsid w:val="00D76186"/>
    <w:rsid w:val="00D8134D"/>
    <w:rsid w:val="00D86DD4"/>
    <w:rsid w:val="00D86EE3"/>
    <w:rsid w:val="00D92529"/>
    <w:rsid w:val="00DA5AAB"/>
    <w:rsid w:val="00DA6858"/>
    <w:rsid w:val="00DA7C1D"/>
    <w:rsid w:val="00DB1CD7"/>
    <w:rsid w:val="00DB4717"/>
    <w:rsid w:val="00DC0FCC"/>
    <w:rsid w:val="00DD6D82"/>
    <w:rsid w:val="00DE045E"/>
    <w:rsid w:val="00DE23D6"/>
    <w:rsid w:val="00DE2CB6"/>
    <w:rsid w:val="00DE2DDE"/>
    <w:rsid w:val="00DE5414"/>
    <w:rsid w:val="00DF0C37"/>
    <w:rsid w:val="00DF2506"/>
    <w:rsid w:val="00DF3469"/>
    <w:rsid w:val="00DF3BE2"/>
    <w:rsid w:val="00DF75EC"/>
    <w:rsid w:val="00E04C2E"/>
    <w:rsid w:val="00E079C6"/>
    <w:rsid w:val="00E10847"/>
    <w:rsid w:val="00E146CF"/>
    <w:rsid w:val="00E21611"/>
    <w:rsid w:val="00E23C05"/>
    <w:rsid w:val="00E247E2"/>
    <w:rsid w:val="00E304EB"/>
    <w:rsid w:val="00E314C9"/>
    <w:rsid w:val="00E329D0"/>
    <w:rsid w:val="00E33746"/>
    <w:rsid w:val="00E36B53"/>
    <w:rsid w:val="00E37585"/>
    <w:rsid w:val="00E469D5"/>
    <w:rsid w:val="00E46CD5"/>
    <w:rsid w:val="00E500D9"/>
    <w:rsid w:val="00E50FF3"/>
    <w:rsid w:val="00E51AB5"/>
    <w:rsid w:val="00E52345"/>
    <w:rsid w:val="00E52763"/>
    <w:rsid w:val="00E563AE"/>
    <w:rsid w:val="00E6525D"/>
    <w:rsid w:val="00E662CD"/>
    <w:rsid w:val="00E73271"/>
    <w:rsid w:val="00E74214"/>
    <w:rsid w:val="00E74D11"/>
    <w:rsid w:val="00E74D52"/>
    <w:rsid w:val="00E75855"/>
    <w:rsid w:val="00E86566"/>
    <w:rsid w:val="00E875F5"/>
    <w:rsid w:val="00E92527"/>
    <w:rsid w:val="00E97045"/>
    <w:rsid w:val="00EA270C"/>
    <w:rsid w:val="00EA5CF4"/>
    <w:rsid w:val="00EB09B9"/>
    <w:rsid w:val="00EB5EBC"/>
    <w:rsid w:val="00EB7CB1"/>
    <w:rsid w:val="00EC1301"/>
    <w:rsid w:val="00EC1C35"/>
    <w:rsid w:val="00EC7BCE"/>
    <w:rsid w:val="00ED0557"/>
    <w:rsid w:val="00ED34D4"/>
    <w:rsid w:val="00EE30EE"/>
    <w:rsid w:val="00EE6DE6"/>
    <w:rsid w:val="00EE72D9"/>
    <w:rsid w:val="00EF057C"/>
    <w:rsid w:val="00EF1D14"/>
    <w:rsid w:val="00EF296E"/>
    <w:rsid w:val="00F01B31"/>
    <w:rsid w:val="00F03AB9"/>
    <w:rsid w:val="00F05F2D"/>
    <w:rsid w:val="00F06479"/>
    <w:rsid w:val="00F07522"/>
    <w:rsid w:val="00F076C5"/>
    <w:rsid w:val="00F120D9"/>
    <w:rsid w:val="00F124BE"/>
    <w:rsid w:val="00F14645"/>
    <w:rsid w:val="00F27170"/>
    <w:rsid w:val="00F30016"/>
    <w:rsid w:val="00F31C75"/>
    <w:rsid w:val="00F329A8"/>
    <w:rsid w:val="00F341CC"/>
    <w:rsid w:val="00F40CAB"/>
    <w:rsid w:val="00F4242E"/>
    <w:rsid w:val="00F47C5C"/>
    <w:rsid w:val="00F507A1"/>
    <w:rsid w:val="00F51A98"/>
    <w:rsid w:val="00F54856"/>
    <w:rsid w:val="00F61863"/>
    <w:rsid w:val="00F64F51"/>
    <w:rsid w:val="00F70C87"/>
    <w:rsid w:val="00F72884"/>
    <w:rsid w:val="00F765E8"/>
    <w:rsid w:val="00F84DBE"/>
    <w:rsid w:val="00F86D88"/>
    <w:rsid w:val="00F87FA7"/>
    <w:rsid w:val="00F9473C"/>
    <w:rsid w:val="00F96C28"/>
    <w:rsid w:val="00FA40A3"/>
    <w:rsid w:val="00FB2D9C"/>
    <w:rsid w:val="00FB3BA6"/>
    <w:rsid w:val="00FB4D65"/>
    <w:rsid w:val="00FB5954"/>
    <w:rsid w:val="00FC0CDF"/>
    <w:rsid w:val="00FC183A"/>
    <w:rsid w:val="00FC1DCD"/>
    <w:rsid w:val="00FC3D1C"/>
    <w:rsid w:val="00FD08A7"/>
    <w:rsid w:val="00FD2E55"/>
    <w:rsid w:val="00FD2FA9"/>
    <w:rsid w:val="00FF025A"/>
    <w:rsid w:val="00FF088B"/>
    <w:rsid w:val="00FF10AF"/>
    <w:rsid w:val="00FF2D20"/>
    <w:rsid w:val="00FF334E"/>
    <w:rsid w:val="00FF6A4F"/>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572360F9-FC6E-43FC-BABA-A876E5DE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TextoRec">
    <w:name w:val="Texto Rec"/>
    <w:basedOn w:val="Normal"/>
    <w:autoRedefine/>
    <w:rsid w:val="0024084E"/>
    <w:pPr>
      <w:numPr>
        <w:numId w:val="17"/>
      </w:numPr>
      <w:tabs>
        <w:tab w:val="left" w:pos="851"/>
      </w:tabs>
    </w:pPr>
    <w:rPr>
      <w:rFonts w:eastAsia="Times New Roman"/>
      <w:lang w:eastAsia="pt-BR"/>
    </w:rPr>
  </w:style>
  <w:style w:type="paragraph" w:styleId="Recuodecorpodetexto3">
    <w:name w:val="Body Text Indent 3"/>
    <w:basedOn w:val="Normal"/>
    <w:link w:val="Recuodecorpodetexto3Char"/>
    <w:uiPriority w:val="99"/>
    <w:semiHidden/>
    <w:unhideWhenUsed/>
    <w:rsid w:val="00572098"/>
    <w:pPr>
      <w:ind w:left="283"/>
      <w:jc w:val="left"/>
    </w:pPr>
    <w:rPr>
      <w:rFonts w:eastAsia="Times New Roman"/>
      <w:sz w:val="16"/>
      <w:szCs w:val="16"/>
    </w:rPr>
  </w:style>
  <w:style w:type="character" w:customStyle="1" w:styleId="Recuodecorpodetexto3Char">
    <w:name w:val="Recuo de corpo de texto 3 Char"/>
    <w:basedOn w:val="Fontepargpadro"/>
    <w:link w:val="Recuodecorpodetexto3"/>
    <w:uiPriority w:val="99"/>
    <w:semiHidden/>
    <w:rsid w:val="00572098"/>
    <w:rPr>
      <w:rFonts w:eastAsia="Times New Roman" w:cs="Times New Roman"/>
      <w:sz w:val="16"/>
      <w:szCs w:val="16"/>
      <w:lang w:eastAsia="en-US"/>
    </w:rPr>
  </w:style>
  <w:style w:type="paragraph" w:customStyle="1" w:styleId="TCU-Ac-item9-">
    <w:name w:val="TCU - Ac - item 9 - §§"/>
    <w:basedOn w:val="TCU-RelVoto-1"/>
    <w:qFormat/>
    <w:rsid w:val="00F70C87"/>
    <w:pPr>
      <w:spacing w:after="0"/>
    </w:pPr>
  </w:style>
  <w:style w:type="paragraph" w:customStyle="1" w:styleId="TCU-Sumrio">
    <w:name w:val="TCU - Sumário"/>
    <w:basedOn w:val="Normal"/>
    <w:qFormat/>
    <w:rsid w:val="00231A6D"/>
    <w:pPr>
      <w:spacing w:after="0"/>
      <w:ind w:left="5103"/>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ettings" Target="settings.xml"/><Relationship Id="rId7" Type="http://schemas.openxmlformats.org/officeDocument/2006/relationships/hyperlink" Target="http://www.licita&#231;&#245;es-e.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4432</Words>
  <Characters>23937</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28313</CharactersWithSpaces>
  <SharedDoc>false</SharedDoc>
  <HLinks>
    <vt:vector size="12" baseType="variant">
      <vt:variant>
        <vt:i4>7602203</vt:i4>
      </vt:variant>
      <vt:variant>
        <vt:i4>3</vt:i4>
      </vt:variant>
      <vt:variant>
        <vt:i4>0</vt:i4>
      </vt:variant>
      <vt:variant>
        <vt:i4>5</vt:i4>
      </vt:variant>
      <vt:variant>
        <vt:lpwstr>mailto:infojuris@tcu.gov.br</vt:lpwstr>
      </vt:variant>
      <vt:variant>
        <vt:lpwstr/>
      </vt:variant>
      <vt:variant>
        <vt:i4>14811326</vt:i4>
      </vt:variant>
      <vt:variant>
        <vt:i4>0</vt:i4>
      </vt:variant>
      <vt:variant>
        <vt:i4>0</vt:i4>
      </vt:variant>
      <vt:variant>
        <vt:i4>5</vt:i4>
      </vt:variant>
      <vt:variant>
        <vt:lpwstr>http://www.licitações-e.com.br/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2015-05-07T12:28:00Z</dcterms:created>
  <dcterms:modified xsi:type="dcterms:W3CDTF">2015-05-07T12:28:00Z</dcterms:modified>
</cp:coreProperties>
</file>