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0E6" w:rsidRDefault="003D00E6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i w:val="0"/>
          <w:sz w:val="22"/>
          <w:szCs w:val="22"/>
        </w:rPr>
        <w:t>Sessões: 29 e 30 de junho de 2010</w:t>
      </w:r>
    </w:p>
    <w:p w:rsidR="003D00E6" w:rsidRDefault="003D00E6">
      <w:pPr>
        <w:pStyle w:val="Corpodetexto2"/>
        <w:spacing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na(s) data(s) acima indicada(s), relativas a licitações e contratos, e tem por finalidade facilitar o acompanhamento, pelo leitor, da jurisprudência do TCU quanto aos aspectos relevantes que envolvem o tema. Por esse motivo, a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</w:t>
      </w:r>
    </w:p>
    <w:p w:rsidR="003D00E6" w:rsidRDefault="003D00E6">
      <w:pPr>
        <w:pStyle w:val="Corpodetexto2"/>
        <w:spacing w:after="0" w:line="240" w:lineRule="auto"/>
        <w:ind w:left="0"/>
        <w:rPr>
          <w:sz w:val="22"/>
          <w:szCs w:val="22"/>
        </w:rPr>
      </w:pPr>
    </w:p>
    <w:p w:rsidR="003D00E6" w:rsidRDefault="003D00E6">
      <w:pPr>
        <w:pBdr>
          <w:top w:val="threeDEmboss" w:sz="24" w:space="0" w:color="auto"/>
        </w:pBdr>
        <w:tabs>
          <w:tab w:val="left" w:pos="284"/>
        </w:tabs>
        <w:spacing w:after="0"/>
        <w:ind w:left="0"/>
        <w:jc w:val="center"/>
        <w:rPr>
          <w:rFonts w:ascii="Cambria" w:hAnsi="Cambria"/>
          <w:b/>
          <w:bCs/>
          <w:smallCaps/>
          <w:sz w:val="22"/>
          <w:szCs w:val="22"/>
        </w:rPr>
      </w:pPr>
      <w:r>
        <w:rPr>
          <w:rFonts w:ascii="Cambria" w:hAnsi="Cambria"/>
          <w:b/>
          <w:bCs/>
          <w:smallCaps/>
          <w:sz w:val="22"/>
          <w:szCs w:val="22"/>
        </w:rPr>
        <w:t>SUMÁRIO</w:t>
      </w:r>
    </w:p>
    <w:p w:rsidR="003D00E6" w:rsidRDefault="003D00E6">
      <w:pPr>
        <w:pStyle w:val="tita"/>
        <w:spacing w:before="45" w:after="0" w:line="240" w:lineRule="auto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Plenário</w:t>
      </w:r>
    </w:p>
    <w:p w:rsidR="003D00E6" w:rsidRDefault="003D00E6">
      <w:pPr>
        <w:pStyle w:val="indice"/>
        <w:spacing w:before="60" w:line="240" w:lineRule="auto"/>
      </w:pPr>
      <w:r>
        <w:t>Contratação para execução de obras:</w:t>
      </w:r>
    </w:p>
    <w:p w:rsidR="003D00E6" w:rsidRDefault="003D00E6">
      <w:pPr>
        <w:pStyle w:val="indice"/>
        <w:tabs>
          <w:tab w:val="left" w:pos="567"/>
        </w:tabs>
        <w:spacing w:before="60" w:line="240" w:lineRule="auto"/>
      </w:pPr>
      <w:r>
        <w:tab/>
        <w:t>1 - Distorção nos preços conhecida como “jogo de planilha”;</w:t>
      </w:r>
    </w:p>
    <w:p w:rsidR="003D00E6" w:rsidRDefault="003D00E6">
      <w:pPr>
        <w:pStyle w:val="indice"/>
        <w:tabs>
          <w:tab w:val="left" w:pos="567"/>
        </w:tabs>
        <w:spacing w:before="60" w:line="240" w:lineRule="auto"/>
      </w:pPr>
      <w:r>
        <w:tab/>
        <w:t>2 - Revisão contratual para expurgo da parcela referente à extinta CPMF.</w:t>
      </w:r>
    </w:p>
    <w:p w:rsidR="003D00E6" w:rsidRDefault="003D00E6">
      <w:pPr>
        <w:pStyle w:val="indice"/>
        <w:tabs>
          <w:tab w:val="left" w:pos="567"/>
        </w:tabs>
        <w:spacing w:before="60" w:line="240" w:lineRule="auto"/>
      </w:pPr>
      <w:r>
        <w:t>Exigência, para fim de habilitação, da apresentação da rede credenciada de estabelecimentos comerciais fornecedores de refeição.</w:t>
      </w:r>
    </w:p>
    <w:p w:rsidR="003D00E6" w:rsidRDefault="003D00E6">
      <w:pPr>
        <w:pStyle w:val="enter-3pt"/>
        <w:spacing w:before="60" w:line="240" w:lineRule="auto"/>
        <w:rPr>
          <w:sz w:val="22"/>
          <w:szCs w:val="22"/>
        </w:rPr>
      </w:pPr>
      <w:r>
        <w:rPr>
          <w:sz w:val="22"/>
          <w:szCs w:val="22"/>
        </w:rPr>
        <w:t>Possibilidade da contratação de fundação de apoio, por dispensa de licitação, para a realização de concurso vestibular.</w:t>
      </w:r>
    </w:p>
    <w:p w:rsidR="003D00E6" w:rsidRDefault="003D00E6">
      <w:pPr>
        <w:pStyle w:val="indice"/>
        <w:tabs>
          <w:tab w:val="left" w:pos="567"/>
        </w:tabs>
        <w:spacing w:before="60" w:line="240" w:lineRule="auto"/>
      </w:pPr>
      <w:r>
        <w:t>Alcance da sanção prevista no art. 87, III, da Lei n.º 8.666/93.</w:t>
      </w:r>
    </w:p>
    <w:p w:rsidR="003D00E6" w:rsidRDefault="003D00E6">
      <w:pPr>
        <w:pStyle w:val="tita"/>
        <w:spacing w:before="60" w:after="0" w:line="240" w:lineRule="auto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Segunda Câmara</w:t>
      </w:r>
    </w:p>
    <w:p w:rsidR="003D00E6" w:rsidRDefault="003D00E6">
      <w:pPr>
        <w:pStyle w:val="enter-3pt"/>
        <w:spacing w:before="60" w:line="240" w:lineRule="auto"/>
        <w:rPr>
          <w:sz w:val="22"/>
          <w:szCs w:val="22"/>
        </w:rPr>
      </w:pPr>
      <w:r>
        <w:rPr>
          <w:sz w:val="22"/>
          <w:szCs w:val="22"/>
        </w:rPr>
        <w:t>Ata de registro de preços:</w:t>
      </w:r>
    </w:p>
    <w:p w:rsidR="003D00E6" w:rsidRDefault="003D00E6">
      <w:pPr>
        <w:pStyle w:val="indice"/>
        <w:tabs>
          <w:tab w:val="left" w:pos="567"/>
        </w:tabs>
        <w:spacing w:before="60" w:line="240" w:lineRule="auto"/>
      </w:pPr>
      <w:r>
        <w:tab/>
        <w:t xml:space="preserve">1 - Distinção entre </w:t>
      </w:r>
      <w:r>
        <w:rPr>
          <w:i/>
          <w:iCs/>
        </w:rPr>
        <w:t>ata</w:t>
      </w:r>
      <w:r>
        <w:t xml:space="preserve"> e </w:t>
      </w:r>
      <w:r>
        <w:rPr>
          <w:i/>
          <w:iCs/>
        </w:rPr>
        <w:t>contrato</w:t>
      </w:r>
      <w:r>
        <w:t>;</w:t>
      </w:r>
    </w:p>
    <w:p w:rsidR="003D00E6" w:rsidRDefault="003D00E6">
      <w:pPr>
        <w:pStyle w:val="indice"/>
        <w:tabs>
          <w:tab w:val="left" w:pos="567"/>
        </w:tabs>
        <w:spacing w:before="60" w:line="240" w:lineRule="auto"/>
      </w:pPr>
      <w:r>
        <w:tab/>
        <w:t>2 - Encerramento da ata com a execução do seu objeto ou com o fim do prazo de vigência;</w:t>
      </w:r>
    </w:p>
    <w:p w:rsidR="003D00E6" w:rsidRDefault="003D00E6">
      <w:pPr>
        <w:pStyle w:val="indice"/>
        <w:tabs>
          <w:tab w:val="left" w:pos="567"/>
        </w:tabs>
        <w:spacing w:before="60" w:line="240" w:lineRule="auto"/>
      </w:pPr>
      <w:r>
        <w:tab/>
        <w:t>3 - Prorrogação da vigência da ata e restabelecimento de quantitativos.</w:t>
      </w:r>
    </w:p>
    <w:p w:rsidR="003D00E6" w:rsidRDefault="003D00E6">
      <w:pPr>
        <w:pStyle w:val="tita"/>
        <w:spacing w:before="60" w:after="0" w:line="240" w:lineRule="auto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Novas Súmulas</w:t>
      </w:r>
    </w:p>
    <w:p w:rsidR="003D00E6" w:rsidRDefault="003D00E6">
      <w:pPr>
        <w:pStyle w:val="enter-3pt"/>
        <w:spacing w:before="60"/>
        <w:rPr>
          <w:sz w:val="22"/>
          <w:szCs w:val="22"/>
        </w:rPr>
      </w:pPr>
      <w:r>
        <w:rPr>
          <w:sz w:val="22"/>
          <w:szCs w:val="22"/>
        </w:rPr>
        <w:t>Súmula n.º 260</w:t>
      </w:r>
    </w:p>
    <w:p w:rsidR="003D00E6" w:rsidRDefault="003D00E6">
      <w:pPr>
        <w:pStyle w:val="enter-3pt"/>
        <w:spacing w:before="60"/>
        <w:rPr>
          <w:sz w:val="22"/>
          <w:szCs w:val="22"/>
        </w:rPr>
      </w:pPr>
      <w:r>
        <w:rPr>
          <w:sz w:val="22"/>
          <w:szCs w:val="22"/>
        </w:rPr>
        <w:t>Súmula n.º 261</w:t>
      </w:r>
    </w:p>
    <w:p w:rsidR="003D00E6" w:rsidRDefault="003D00E6">
      <w:pPr>
        <w:pStyle w:val="indice"/>
        <w:spacing w:line="240" w:lineRule="auto"/>
      </w:pPr>
    </w:p>
    <w:p w:rsidR="003D00E6" w:rsidRDefault="003D00E6">
      <w:pPr>
        <w:pBdr>
          <w:top w:val="threeDEmboss" w:sz="24" w:space="0" w:color="auto"/>
        </w:pBdr>
        <w:tabs>
          <w:tab w:val="left" w:pos="284"/>
        </w:tabs>
        <w:spacing w:after="0"/>
        <w:ind w:left="0"/>
        <w:jc w:val="center"/>
        <w:rPr>
          <w:rFonts w:ascii="Cambria" w:hAnsi="Cambria"/>
          <w:b/>
          <w:bCs/>
          <w:smallCaps/>
          <w:sz w:val="22"/>
          <w:szCs w:val="22"/>
        </w:rPr>
      </w:pPr>
      <w:r>
        <w:rPr>
          <w:rFonts w:ascii="Cambria" w:hAnsi="Cambria"/>
          <w:b/>
          <w:bCs/>
          <w:smallCaps/>
          <w:sz w:val="22"/>
          <w:szCs w:val="22"/>
        </w:rPr>
        <w:t>PLENÁRIO</w:t>
      </w:r>
    </w:p>
    <w:p w:rsidR="003D00E6" w:rsidRDefault="003D00E6">
      <w:pPr>
        <w:pStyle w:val="tita"/>
        <w:spacing w:before="0" w:after="0" w:line="240" w:lineRule="auto"/>
        <w:jc w:val="both"/>
        <w:rPr>
          <w:i w:val="0"/>
          <w:iCs w:val="0"/>
          <w:sz w:val="22"/>
          <w:szCs w:val="22"/>
        </w:rPr>
      </w:pPr>
    </w:p>
    <w:p w:rsidR="003D00E6" w:rsidRDefault="003D00E6">
      <w:pPr>
        <w:pStyle w:val="indice"/>
        <w:spacing w:before="60" w:line="240" w:lineRule="auto"/>
        <w:rPr>
          <w:b/>
          <w:bCs/>
        </w:rPr>
      </w:pPr>
      <w:r>
        <w:rPr>
          <w:b/>
          <w:bCs/>
        </w:rPr>
        <w:t>Contratação para execução de obras: 1 - Distorção nos preços conhecida como “jogo de planilha”</w:t>
      </w:r>
    </w:p>
    <w:p w:rsidR="003D00E6" w:rsidRDefault="003D00E6">
      <w:pPr>
        <w:pStyle w:val="Pargrafo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Representação formulada ao TCU apontou possível sobrepreço nas obras da 2ª fase do </w:t>
      </w:r>
      <w:r>
        <w:rPr>
          <w:i/>
          <w:sz w:val="22"/>
          <w:szCs w:val="22"/>
        </w:rPr>
        <w:t>“Perímetro de Irrigação Tabuleiros Litorâneos”</w:t>
      </w:r>
      <w:r>
        <w:rPr>
          <w:sz w:val="22"/>
          <w:szCs w:val="22"/>
        </w:rPr>
        <w:t xml:space="preserve">, no Estado do Piauí. Para subsidiar a sua conclusão, a representante elaborou laudo de avaliação dos preços praticados na proposta da licitante vencedora, comparando-os com valores de mercado e com tabelas de referência (Sicro e Sinapi). Relatório da auditoria realizada pelo TCU nas aludidas obras identificou sobrepreço no fornecimento de tubos de ferro dúctil e aço carbono de 7,09% e 2,90%, respectivamente, porém </w:t>
      </w:r>
      <w:r>
        <w:rPr>
          <w:i/>
          <w:sz w:val="22"/>
          <w:szCs w:val="22"/>
        </w:rPr>
        <w:t>“desconto nos serviços comuns de engenharia de 5,27%, que, somados, não apresentavam sobrepreço”</w:t>
      </w:r>
      <w:r>
        <w:rPr>
          <w:sz w:val="22"/>
          <w:szCs w:val="22"/>
        </w:rPr>
        <w:t xml:space="preserve">. Portanto, analisado de forma global, o contrato do Departamento Nacional de Obras Contra as Secas (Dnocs) não continha sobrepreço, mas a equipe de auditoria </w:t>
      </w:r>
      <w:r>
        <w:rPr>
          <w:i/>
          <w:sz w:val="22"/>
          <w:szCs w:val="22"/>
        </w:rPr>
        <w:t>“encontrou vários itens individuais com elevado sobrepreço ou desconto em relação aos sistemas de referência”</w:t>
      </w:r>
      <w:r>
        <w:rPr>
          <w:sz w:val="22"/>
          <w:szCs w:val="22"/>
        </w:rPr>
        <w:t xml:space="preserve">. Assim sendo, a fim de evitar a distorção nos preços conhecida como “jogo de planilha”, o relator propôs e o Plenário decidiu determinar ao Dnocs que: a) </w:t>
      </w:r>
      <w:r>
        <w:rPr>
          <w:i/>
          <w:sz w:val="22"/>
          <w:szCs w:val="22"/>
        </w:rPr>
        <w:t>“reavalie, possibilitando à empresa contratada o prévio contraditório, os preços dos itens de fornecimento do Contrato PGE nº 44/2002, considerando os indícios de sobrepreço levantados [...] no fornecimento de tubos de ferro dúctil e aço carbono do contrato;”</w:t>
      </w:r>
      <w:r>
        <w:rPr>
          <w:sz w:val="22"/>
          <w:szCs w:val="22"/>
        </w:rPr>
        <w:t xml:space="preserve">; b) </w:t>
      </w:r>
      <w:r>
        <w:rPr>
          <w:i/>
          <w:sz w:val="22"/>
          <w:szCs w:val="22"/>
        </w:rPr>
        <w:t>“em caso de acréscimos de quantitativos em itens presentes na planilha orçamentária do Contrato PGE nº 44/2002 ou quando da necessidade de acrescer serviços ou materiais/equipamentos não presentes na planilha orçamentária original do contrato, adote preços comprovadamente praticados no mercado, não admitindo redução na diferença percentual entre o valor global do contrato e o obtido a partir dos custos unitários do Sinapi em favor do contratado, conforme previsto no art. 109, § 6º, da Lei nº 11.768/2008 (LDO 2009).”</w:t>
      </w:r>
      <w:r>
        <w:rPr>
          <w:sz w:val="22"/>
          <w:szCs w:val="22"/>
        </w:rPr>
        <w:t xml:space="preserve">. </w:t>
      </w:r>
      <w:r>
        <w:rPr>
          <w:b/>
          <w:i/>
          <w:sz w:val="22"/>
          <w:szCs w:val="22"/>
        </w:rPr>
        <w:t xml:space="preserve">Acórdão n.º 1515/2010-Plenário, TC-008.137/2009-6, rel. </w:t>
      </w:r>
      <w:r>
        <w:rPr>
          <w:b/>
          <w:i/>
          <w:sz w:val="22"/>
          <w:szCs w:val="22"/>
          <w:lang w:val="en-US"/>
        </w:rPr>
        <w:t>Min. Benjamin Zymler, 30.06.2010</w:t>
      </w:r>
      <w:r>
        <w:rPr>
          <w:sz w:val="22"/>
          <w:szCs w:val="22"/>
          <w:lang w:val="en-US"/>
        </w:rPr>
        <w:t>.</w:t>
      </w:r>
    </w:p>
    <w:p w:rsidR="003D00E6" w:rsidRDefault="003D00E6">
      <w:pPr>
        <w:pStyle w:val="indice"/>
        <w:tabs>
          <w:tab w:val="left" w:pos="567"/>
        </w:tabs>
        <w:spacing w:before="60" w:line="240" w:lineRule="auto"/>
        <w:rPr>
          <w:lang w:val="en-US"/>
        </w:rPr>
      </w:pPr>
    </w:p>
    <w:p w:rsidR="003D00E6" w:rsidRDefault="003D00E6">
      <w:pPr>
        <w:pStyle w:val="indice"/>
        <w:spacing w:before="60" w:line="240" w:lineRule="auto"/>
        <w:rPr>
          <w:b/>
          <w:bCs/>
        </w:rPr>
      </w:pPr>
      <w:r>
        <w:rPr>
          <w:b/>
          <w:bCs/>
        </w:rPr>
        <w:t>Contratação para execução de obras: 2 - Revisão contratual para expurgo da parcela referente à extinta CPMF</w:t>
      </w:r>
    </w:p>
    <w:p w:rsidR="003D00E6" w:rsidRDefault="003D00E6">
      <w:pPr>
        <w:pStyle w:val="Pargrafo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Ainda quanto ao Contrato PGE n.º 44/2002, referente às obras da 2ª fase do </w:t>
      </w:r>
      <w:r>
        <w:rPr>
          <w:i/>
          <w:sz w:val="22"/>
          <w:szCs w:val="22"/>
        </w:rPr>
        <w:t>“Perímetro de Irrigação Tabuleiros Litorâneos”</w:t>
      </w:r>
      <w:r>
        <w:rPr>
          <w:sz w:val="22"/>
          <w:szCs w:val="22"/>
        </w:rPr>
        <w:t xml:space="preserve">, no Estado do Piauí, a equipe de auditoria concluiu não haver qualquer evidência de que o BDI do referido contrato tivesse sido revisto para o expurgo da parcela referente à CPMF, extinta em 2007. Por essa razão, o relator propôs e o Plenário decidiu determinar ao Departamento Nacional de Obras Contra as Secas (Dnocs) que, </w:t>
      </w:r>
      <w:r>
        <w:rPr>
          <w:i/>
          <w:sz w:val="22"/>
          <w:szCs w:val="22"/>
        </w:rPr>
        <w:t>“nos termos do art. 65, § 5º, da Lei nº 8.666/1993, formalize termo aditivo ao Contrato PGE nº 44/2002, possibilitando à empresa contratada o prévio contraditório, com vistas a reduzir os percentuais de BDI aplicáveis aos pagamentos efetuados após 31/12/2007 em decorrência da extinção da CPMF, e adote medidas para, nas faturas vincendas, compensar eventuais valores indevidamente pagos”</w:t>
      </w:r>
      <w:r>
        <w:rPr>
          <w:sz w:val="22"/>
          <w:szCs w:val="22"/>
        </w:rPr>
        <w:t xml:space="preserve">. </w:t>
      </w:r>
      <w:r>
        <w:rPr>
          <w:b/>
          <w:i/>
          <w:sz w:val="22"/>
          <w:szCs w:val="22"/>
        </w:rPr>
        <w:t xml:space="preserve">Acórdão n.º 1515/2010-Plenário, TC-008.137/2009-6, rel. </w:t>
      </w:r>
      <w:r>
        <w:rPr>
          <w:b/>
          <w:i/>
          <w:sz w:val="22"/>
          <w:szCs w:val="22"/>
          <w:lang w:val="en-US"/>
        </w:rPr>
        <w:t>Min. Benjamin Zymler, 30.06.2010</w:t>
      </w:r>
      <w:r>
        <w:rPr>
          <w:sz w:val="22"/>
          <w:szCs w:val="22"/>
          <w:lang w:val="en-US"/>
        </w:rPr>
        <w:t>.</w:t>
      </w:r>
    </w:p>
    <w:p w:rsidR="003D00E6" w:rsidRDefault="003D00E6">
      <w:pPr>
        <w:pStyle w:val="indice"/>
        <w:tabs>
          <w:tab w:val="left" w:pos="567"/>
        </w:tabs>
        <w:spacing w:before="60" w:line="240" w:lineRule="auto"/>
        <w:rPr>
          <w:lang w:val="en-US"/>
        </w:rPr>
      </w:pPr>
    </w:p>
    <w:p w:rsidR="003D00E6" w:rsidRDefault="003D00E6">
      <w:pPr>
        <w:pStyle w:val="Pargraf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Exigência, para fim de habilitação, da apresentação da rede credenciada de estabelecimentos comerciais fornecedores de refeição</w:t>
      </w:r>
    </w:p>
    <w:p w:rsidR="003D00E6" w:rsidRDefault="003D00E6">
      <w:pPr>
        <w:pStyle w:val="Pargrafo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O relator comunicou ao Plenário ter adotado medida cautelar determinando a suspensão, pelo Serviço Social do Comércio no Estado de São Paulo (SESC-SP), do lote 1 – fornecimento de vale</w:t>
      </w:r>
      <w:r w:rsidR="00857FF3">
        <w:rPr>
          <w:sz w:val="22"/>
          <w:szCs w:val="22"/>
        </w:rPr>
        <w:t>-</w:t>
      </w:r>
      <w:r>
        <w:rPr>
          <w:sz w:val="22"/>
          <w:szCs w:val="22"/>
        </w:rPr>
        <w:t xml:space="preserve">refeição – do Pregão Presencial 14/2010, até que o Tribunal decida sobre o mérito da questão levantada em processo de representação. A licitação tem por objeto o </w:t>
      </w:r>
      <w:r>
        <w:rPr>
          <w:i/>
          <w:iCs/>
          <w:sz w:val="22"/>
          <w:szCs w:val="22"/>
        </w:rPr>
        <w:t>“serviço de gerenciamento, distribuição, implementação e administração dos benefícios de vales</w:t>
      </w:r>
      <w:r w:rsidR="00857FF3">
        <w:rPr>
          <w:i/>
          <w:iCs/>
          <w:sz w:val="22"/>
          <w:szCs w:val="22"/>
        </w:rPr>
        <w:t>-</w:t>
      </w:r>
      <w:r>
        <w:rPr>
          <w:i/>
          <w:iCs/>
          <w:sz w:val="22"/>
          <w:szCs w:val="22"/>
        </w:rPr>
        <w:t>refeição e transporte”</w:t>
      </w:r>
      <w:r>
        <w:rPr>
          <w:sz w:val="22"/>
          <w:szCs w:val="22"/>
        </w:rPr>
        <w:t xml:space="preserve"> para as unidades do SESC-SP. A representante alegou ter sido inserida, no edital da licitação, exigência excessiva e desarrazoada, referente à obrigatoriedade da apresentação da rede de estabelecimentos credenciados (</w:t>
      </w:r>
      <w:r>
        <w:rPr>
          <w:i/>
          <w:iCs/>
          <w:sz w:val="22"/>
          <w:szCs w:val="22"/>
        </w:rPr>
        <w:t>“</w:t>
      </w:r>
      <w:r>
        <w:rPr>
          <w:i/>
          <w:sz w:val="22"/>
          <w:szCs w:val="22"/>
        </w:rPr>
        <w:t>mínimo dois estabelecimentos comerciais que aceitem o vale como forma de pagamento da refeição, e estejam a uma distância máxima de 500 metros da Unidade do SESC”</w:t>
      </w:r>
      <w:r>
        <w:rPr>
          <w:sz w:val="22"/>
          <w:szCs w:val="22"/>
        </w:rPr>
        <w:t xml:space="preserve">) como condição de habilitação técnica. Ao concluir estarem presentes os pressupostos para a concessão de medida cautelar, a unidade instrutiva defendeu o entendimento de que, </w:t>
      </w:r>
      <w:r>
        <w:rPr>
          <w:i/>
          <w:sz w:val="22"/>
          <w:szCs w:val="22"/>
        </w:rPr>
        <w:t>“Na fase de habilitação técnica, pode a entidade aferir a experiência e a capacidade técnica das empresas concorrentes para cumprir o objeto do certame, exigindo delas a apresentação de atestados fornecidos por pessoa jurídica de direito público ou privado. As exigências de credenciamento de estabelecimentos credenciados devem sim ocorrer, mas na fase de contratação, permitindo, dessa forma, à empresa vencedora, dentro de prazo razoável, se for o caso, promover os credenciamentos solicitados.”</w:t>
      </w:r>
      <w:r>
        <w:rPr>
          <w:sz w:val="22"/>
          <w:szCs w:val="22"/>
        </w:rPr>
        <w:t xml:space="preserve">. Para o relator, considerando que a licitação abrangia 32 instalações do SESC/SP, </w:t>
      </w:r>
      <w:r>
        <w:rPr>
          <w:i/>
          <w:sz w:val="22"/>
          <w:szCs w:val="22"/>
        </w:rPr>
        <w:t>“consistiria em desarrazoado ônus para as licitantes, tanto financeiro quanto operacional, a exigência de que elas cadastrem 64 estabelecimentos apenas para participar</w:t>
      </w:r>
      <w:r w:rsidR="00857FF3">
        <w:rPr>
          <w:i/>
          <w:sz w:val="22"/>
          <w:szCs w:val="22"/>
        </w:rPr>
        <w:t>em</w:t>
      </w:r>
      <w:r>
        <w:rPr>
          <w:i/>
          <w:sz w:val="22"/>
          <w:szCs w:val="22"/>
        </w:rPr>
        <w:t xml:space="preserve"> do certame”</w:t>
      </w:r>
      <w:r>
        <w:rPr>
          <w:iCs/>
          <w:sz w:val="22"/>
          <w:szCs w:val="22"/>
        </w:rPr>
        <w:t xml:space="preserve">. Nesse caso, </w:t>
      </w:r>
      <w:r>
        <w:rPr>
          <w:i/>
          <w:sz w:val="22"/>
          <w:szCs w:val="22"/>
        </w:rPr>
        <w:t>“somente a empresa que já estivesse prestando os serviços ou grandes empresas desse seguimento comercial restariam habilitadas”</w:t>
      </w:r>
      <w:r>
        <w:rPr>
          <w:sz w:val="22"/>
          <w:szCs w:val="22"/>
        </w:rPr>
        <w:t xml:space="preserve">. Ao final, o relator assinalou que a exigência da apresentação da rede credenciada deveria ocorrer somente na fase de contratação, com a concessão de prazo razoável para a vencedora do certame credenciar os estabelecimentos comerciais fornecedores de refeição. O Plenário referendou a cautelar. </w:t>
      </w:r>
      <w:r>
        <w:rPr>
          <w:b/>
          <w:i/>
          <w:sz w:val="22"/>
          <w:szCs w:val="22"/>
        </w:rPr>
        <w:t xml:space="preserve">Decisão monocrática no TC-016.159/2010-1, rel. </w:t>
      </w:r>
      <w:r>
        <w:rPr>
          <w:b/>
          <w:i/>
          <w:sz w:val="22"/>
          <w:szCs w:val="22"/>
          <w:lang w:val="en-US"/>
        </w:rPr>
        <w:t>Min. Benjamin Zymler, 30.06.2010</w:t>
      </w:r>
      <w:r>
        <w:rPr>
          <w:sz w:val="22"/>
          <w:szCs w:val="22"/>
          <w:lang w:val="en-US"/>
        </w:rPr>
        <w:t>.</w:t>
      </w:r>
    </w:p>
    <w:p w:rsidR="003D00E6" w:rsidRDefault="003D00E6">
      <w:pPr>
        <w:pStyle w:val="indice"/>
        <w:tabs>
          <w:tab w:val="left" w:pos="567"/>
        </w:tabs>
        <w:spacing w:before="60" w:line="240" w:lineRule="auto"/>
        <w:rPr>
          <w:lang w:val="en-US"/>
        </w:rPr>
      </w:pPr>
    </w:p>
    <w:p w:rsidR="003D00E6" w:rsidRDefault="003D00E6">
      <w:pPr>
        <w:pStyle w:val="indice"/>
        <w:tabs>
          <w:tab w:val="left" w:pos="567"/>
        </w:tabs>
        <w:spacing w:line="240" w:lineRule="auto"/>
        <w:rPr>
          <w:b/>
          <w:bCs/>
        </w:rPr>
      </w:pPr>
      <w:r>
        <w:rPr>
          <w:b/>
          <w:bCs/>
        </w:rPr>
        <w:t>Possibilidade da contratação de fundação de apoio, por dispensa de licitação, para a realização de concurso vestibular</w:t>
      </w:r>
    </w:p>
    <w:p w:rsidR="003D00E6" w:rsidRDefault="003D00E6">
      <w:pPr>
        <w:pStyle w:val="Pargraf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Em sede de tomada de contas especial, instaurada em decorrência de irregularidades identificadas na execução do Convênio n.º 10/2003, celebrado entre a Universidade Federal do Piauí (UFPI) e a Fundação de Desenvolvimento e Apoio à Pesquisa, Ensino e Extensão do Piauí (FUNDAPE) – cujo objeto era </w:t>
      </w:r>
      <w:r>
        <w:rPr>
          <w:i/>
          <w:iCs/>
          <w:sz w:val="22"/>
          <w:szCs w:val="22"/>
        </w:rPr>
        <w:t>“a execução das 1ª, 2ª e 3ª Etapas do Programa Seriado de Ingresso na Universidade”</w:t>
      </w:r>
      <w:r>
        <w:rPr>
          <w:sz w:val="22"/>
          <w:szCs w:val="22"/>
        </w:rPr>
        <w:t xml:space="preserve"> –, o Ministério Público junto ao TCU manifestou-se por que fosse expedida determinação à UFPI para se abster de celebrar convênios ou contratos com entidades privadas, sem licitação, com fundamento no art. 1º da Lei n.º 8.958/94 c/c o art. 24, XIII, da Lei n.º 8.666/1993, objetivando a </w:t>
      </w:r>
      <w:r>
        <w:rPr>
          <w:i/>
          <w:iCs/>
          <w:sz w:val="22"/>
          <w:szCs w:val="22"/>
        </w:rPr>
        <w:t>“realização de concurso para a seleção de novos alunos”</w:t>
      </w:r>
      <w:r>
        <w:rPr>
          <w:sz w:val="22"/>
          <w:szCs w:val="22"/>
        </w:rPr>
        <w:t xml:space="preserve">. Em seu voto, ao dissentir da proposta do </w:t>
      </w:r>
      <w:r>
        <w:rPr>
          <w:i/>
          <w:iCs/>
          <w:sz w:val="22"/>
          <w:szCs w:val="22"/>
        </w:rPr>
        <w:t>Parquet</w:t>
      </w:r>
      <w:r>
        <w:rPr>
          <w:sz w:val="22"/>
          <w:szCs w:val="22"/>
        </w:rPr>
        <w:t>, o relator mencionou o Acórdão n.º 887/2010-2ª Câmara, frisando que, na naquela assentada, em que se apreciava a prestação de contas de 2005 da Fundação Universidade Federal do Maranhão, restou admitida a possibilidade da contratação de fundações de apoio para a realização de vestibulares, por dispensa de licitação, nos termos do art. 1º da Lei n.º 8.958/94. O Plenário anuiu ao entendimento do relator. Precedentes citados: Acórdão n.º 1.534/2009-1ª Câmara e Acórdãos n.</w:t>
      </w:r>
      <w:r>
        <w:rPr>
          <w:sz w:val="22"/>
          <w:szCs w:val="22"/>
          <w:vertAlign w:val="superscript"/>
        </w:rPr>
        <w:t>os</w:t>
      </w:r>
      <w:r>
        <w:rPr>
          <w:sz w:val="22"/>
          <w:szCs w:val="22"/>
        </w:rPr>
        <w:t xml:space="preserve"> 1.192/2006 e 2.149/2006, ambos da 2ª Câmara. </w:t>
      </w:r>
      <w:r>
        <w:rPr>
          <w:b/>
          <w:i/>
          <w:sz w:val="22"/>
          <w:szCs w:val="22"/>
        </w:rPr>
        <w:t>Acórdão n.º 1533/2010-Plenário, TC-006.995/2005-1, rel. Min. José Jorge, 30.06.2010</w:t>
      </w:r>
      <w:r>
        <w:rPr>
          <w:sz w:val="22"/>
          <w:szCs w:val="22"/>
        </w:rPr>
        <w:t>.</w:t>
      </w:r>
    </w:p>
    <w:p w:rsidR="003D00E6" w:rsidRDefault="003D00E6">
      <w:pPr>
        <w:pStyle w:val="indice"/>
        <w:tabs>
          <w:tab w:val="left" w:pos="567"/>
        </w:tabs>
        <w:spacing w:before="60" w:line="240" w:lineRule="auto"/>
        <w:rPr>
          <w:lang w:val="en-US"/>
        </w:rPr>
      </w:pPr>
    </w:p>
    <w:p w:rsidR="003D00E6" w:rsidRDefault="003D00E6">
      <w:pPr>
        <w:pStyle w:val="Pargrafo"/>
        <w:jc w:val="both"/>
        <w:rPr>
          <w:b/>
          <w:bCs/>
          <w:sz w:val="22"/>
          <w:szCs w:val="22"/>
        </w:rPr>
      </w:pPr>
      <w:r>
        <w:rPr>
          <w:b/>
          <w:bCs/>
          <w:sz w:val="22"/>
        </w:rPr>
        <w:t>Alcance da sanção prevista no art. 87, III, da Lei n.º 8.666/93</w:t>
      </w:r>
    </w:p>
    <w:p w:rsidR="003D00E6" w:rsidRDefault="003D00E6">
      <w:pPr>
        <w:pStyle w:val="Pargraf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Representação formulada ao TCU noticiou suposta irregularidade no Convite n.º 2008/033, promovido pelo Banco do Nordeste do Brasil S/A (BNB), cujo objeto era a </w:t>
      </w:r>
      <w:r>
        <w:rPr>
          <w:i/>
          <w:sz w:val="22"/>
          <w:szCs w:val="22"/>
        </w:rPr>
        <w:t>“contratação de serviços de infraestrutura na área de informática do Banco”</w:t>
      </w:r>
      <w:r>
        <w:rPr>
          <w:sz w:val="22"/>
          <w:szCs w:val="22"/>
        </w:rPr>
        <w:t xml:space="preserve">. Em suma, alegou a representante que o BNB estaria impedido de contratar com a licitante vencedora do certame, haja vista ter sido aplicada a esta, com base no art. 87, III, da Lei de Licitações, a pena de </w:t>
      </w:r>
      <w:r>
        <w:rPr>
          <w:i/>
          <w:iCs/>
          <w:sz w:val="22"/>
          <w:szCs w:val="22"/>
        </w:rPr>
        <w:t>“suspensão de licitar e contratar com a Administração pelo período de um ano”</w:t>
      </w:r>
      <w:r>
        <w:rPr>
          <w:sz w:val="22"/>
          <w:szCs w:val="22"/>
        </w:rPr>
        <w:t xml:space="preserve">, conforme ato administrativo do Tribunal de Justiça do Estado do Ceará (TJ/CE). Instado a se manifestar, o Ministério Público junto ao TCU alinhou-se </w:t>
      </w:r>
      <w:r>
        <w:rPr>
          <w:i/>
          <w:sz w:val="22"/>
          <w:szCs w:val="22"/>
        </w:rPr>
        <w:t>“ao posicionamento da parcela da doutrina que considera que a sanção aplicada com supedâneo no art. 87, inciso III, da Lei das Licitações restringe-se ao órgão ou entidade contratante, não sendo, portanto, extensível a toda a Administração Pública”</w:t>
      </w:r>
      <w:r>
        <w:rPr>
          <w:iCs/>
          <w:sz w:val="22"/>
          <w:szCs w:val="22"/>
        </w:rPr>
        <w:t xml:space="preserve">. Portanto, para o </w:t>
      </w:r>
      <w:r>
        <w:rPr>
          <w:i/>
          <w:sz w:val="22"/>
          <w:szCs w:val="22"/>
        </w:rPr>
        <w:t>Parquet</w:t>
      </w:r>
      <w:r>
        <w:rPr>
          <w:iCs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“o impedimento temporário de participar de procedimentos licitatórios está restrito à Administração, assim compreendida pela definição do inciso XII do art. 6º da Lei de Licitações.”. </w:t>
      </w:r>
      <w:r>
        <w:rPr>
          <w:sz w:val="22"/>
          <w:szCs w:val="22"/>
        </w:rPr>
        <w:t xml:space="preserve">Anuindo ao entendimento do </w:t>
      </w:r>
      <w:r>
        <w:rPr>
          <w:iCs/>
          <w:sz w:val="22"/>
          <w:szCs w:val="22"/>
        </w:rPr>
        <w:t>MP/TCU</w:t>
      </w:r>
      <w:r>
        <w:rPr>
          <w:sz w:val="22"/>
          <w:szCs w:val="22"/>
        </w:rPr>
        <w:t>, o relator propôs e o Plenário decidiu considerar improcedente a representação. Precedentes citados: Decisão n.º 352/98-Plenário e Acórdãos n.</w:t>
      </w:r>
      <w:r>
        <w:rPr>
          <w:sz w:val="22"/>
          <w:szCs w:val="22"/>
          <w:vertAlign w:val="superscript"/>
        </w:rPr>
        <w:t>os</w:t>
      </w:r>
      <w:r>
        <w:rPr>
          <w:sz w:val="22"/>
          <w:szCs w:val="22"/>
        </w:rPr>
        <w:t xml:space="preserve"> 1.727/2006-1ª Câmara e 3.858/2009-2ª Câmara. </w:t>
      </w:r>
      <w:r>
        <w:rPr>
          <w:b/>
          <w:i/>
          <w:sz w:val="22"/>
          <w:szCs w:val="22"/>
        </w:rPr>
        <w:t>Acórdão n.º 1539/2010-Plenário, TC-026.855/2008-2, rel. Min. José Múcio Monteiro, 30.06.2010</w:t>
      </w:r>
      <w:r>
        <w:rPr>
          <w:sz w:val="22"/>
          <w:szCs w:val="22"/>
        </w:rPr>
        <w:t>.</w:t>
      </w:r>
    </w:p>
    <w:p w:rsidR="003D00E6" w:rsidRDefault="003D00E6">
      <w:pPr>
        <w:pStyle w:val="Pargrafo"/>
        <w:jc w:val="both"/>
        <w:rPr>
          <w:sz w:val="22"/>
          <w:szCs w:val="22"/>
        </w:rPr>
      </w:pPr>
    </w:p>
    <w:p w:rsidR="003D00E6" w:rsidRDefault="003D00E6">
      <w:pPr>
        <w:pBdr>
          <w:top w:val="threeDEmboss" w:sz="24" w:space="0" w:color="auto"/>
        </w:pBdr>
        <w:tabs>
          <w:tab w:val="left" w:pos="284"/>
        </w:tabs>
        <w:spacing w:after="0"/>
        <w:ind w:left="0"/>
        <w:jc w:val="center"/>
        <w:rPr>
          <w:rFonts w:ascii="Cambria" w:hAnsi="Cambria"/>
          <w:b/>
          <w:bCs/>
          <w:smallCaps/>
          <w:sz w:val="22"/>
          <w:szCs w:val="22"/>
        </w:rPr>
      </w:pPr>
      <w:r>
        <w:rPr>
          <w:rFonts w:ascii="Cambria" w:hAnsi="Cambria"/>
          <w:b/>
          <w:bCs/>
          <w:smallCaps/>
          <w:sz w:val="22"/>
          <w:szCs w:val="22"/>
        </w:rPr>
        <w:t>SEGUNDA CÂMARA</w:t>
      </w:r>
    </w:p>
    <w:p w:rsidR="003D00E6" w:rsidRDefault="003D00E6">
      <w:pPr>
        <w:pStyle w:val="Pargrafo"/>
        <w:jc w:val="both"/>
        <w:rPr>
          <w:b/>
          <w:sz w:val="22"/>
          <w:szCs w:val="22"/>
        </w:rPr>
      </w:pPr>
    </w:p>
    <w:p w:rsidR="003D00E6" w:rsidRDefault="003D00E6">
      <w:pPr>
        <w:pStyle w:val="enter-3pt"/>
        <w:spacing w:before="6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Ata de registro de preços: 1 - Distinção entre </w:t>
      </w:r>
      <w:r>
        <w:rPr>
          <w:b/>
          <w:i/>
          <w:iCs/>
          <w:sz w:val="22"/>
          <w:szCs w:val="22"/>
        </w:rPr>
        <w:t>ata</w:t>
      </w:r>
      <w:r>
        <w:rPr>
          <w:b/>
          <w:sz w:val="22"/>
          <w:szCs w:val="22"/>
        </w:rPr>
        <w:t xml:space="preserve"> e </w:t>
      </w:r>
      <w:r>
        <w:rPr>
          <w:b/>
          <w:i/>
          <w:iCs/>
          <w:sz w:val="22"/>
          <w:szCs w:val="22"/>
        </w:rPr>
        <w:t>contrato</w:t>
      </w:r>
    </w:p>
    <w:p w:rsidR="003D00E6" w:rsidRDefault="003D00E6">
      <w:pPr>
        <w:pStyle w:val="Pargrafo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Representação formulada ao TCU apontou indícios de irregularidade no Pregão n.º 187/2007, sob o sistema de registro de preços, realizado pelo Governo do Estado de Roraima para eventual aquisição de gêneros alimentícios</w:t>
      </w:r>
      <w:r w:rsidR="00857FF3">
        <w:rPr>
          <w:sz w:val="22"/>
          <w:szCs w:val="22"/>
        </w:rPr>
        <w:t>,</w:t>
      </w:r>
      <w:r>
        <w:rPr>
          <w:sz w:val="22"/>
          <w:szCs w:val="22"/>
        </w:rPr>
        <w:t xml:space="preserve"> destinados a atender aos alunos da rede pública estadual de ensino. Em consequência, foi realizada inspeção pela unidade técnica, tendo sido constatado que a formalização da ata de registro de preços e a celebração do contrato para fornecimento das mercadorias </w:t>
      </w:r>
      <w:r>
        <w:rPr>
          <w:i/>
          <w:iCs/>
          <w:sz w:val="22"/>
          <w:szCs w:val="22"/>
        </w:rPr>
        <w:t>“ocorreram em um mesmo instrumento”</w:t>
      </w:r>
      <w:r>
        <w:rPr>
          <w:sz w:val="22"/>
          <w:szCs w:val="22"/>
        </w:rPr>
        <w:t xml:space="preserve">, isto é, ao mesmo tempo em que foram estabelecidas características de uma ata de registro de preços, tais como a vigência do registro e os prazos e condições para contratação, foram fixadas condições, direitos, obrigações e regras próprias de um termo contratual, tais como o valor pactuado, as penalidades a que se sujeita a contratada e as obrigações das partes. Com base no Decreto Federal n.º 3.931/2001 – que regulamenta o registro de preços previsto na Lei n.º 8.666/93 –, o relator salientou que a ata de registro de preços tem natureza diversa da do contrato. Na verdade, </w:t>
      </w:r>
      <w:r>
        <w:rPr>
          <w:i/>
          <w:sz w:val="22"/>
          <w:szCs w:val="22"/>
        </w:rPr>
        <w:t>“a ata firma compromissos para futura contratação, ou seja, caso venha a ser concretizado o contrato, há que se obedecer às condições previstas na ata”</w:t>
      </w:r>
      <w:r>
        <w:rPr>
          <w:sz w:val="22"/>
          <w:szCs w:val="22"/>
        </w:rPr>
        <w:t xml:space="preserve">. Ademais, </w:t>
      </w:r>
      <w:r>
        <w:rPr>
          <w:i/>
          <w:sz w:val="22"/>
          <w:szCs w:val="22"/>
        </w:rPr>
        <w:t>“a ata de registro de preços impõe compromissos, basicamente, ao fornecedor (e não à Administração Pública), sobretudo em relação aos preços e às condições de entrega. Já o contrato estabelece deveres e direitos tanto ao contratado quanto ao contratante, numa relação de bilateralidade e comutatividade típicas do instituto”</w:t>
      </w:r>
      <w:r>
        <w:rPr>
          <w:sz w:val="22"/>
          <w:szCs w:val="22"/>
        </w:rPr>
        <w:t xml:space="preserve">. No caso em tela, o contrato foi celebrado pelo valor total da proposta apresentada pela vencedora da licitação, o que significa </w:t>
      </w:r>
      <w:r>
        <w:rPr>
          <w:i/>
          <w:sz w:val="22"/>
          <w:szCs w:val="22"/>
        </w:rPr>
        <w:t>“desvirtuamento do instituto do registro de preços”</w:t>
      </w:r>
      <w:r>
        <w:rPr>
          <w:iCs/>
          <w:sz w:val="22"/>
          <w:szCs w:val="22"/>
        </w:rPr>
        <w:t>, além do que, para o relator,</w:t>
      </w:r>
      <w:r>
        <w:rPr>
          <w:sz w:val="22"/>
          <w:szCs w:val="22"/>
        </w:rPr>
        <w:t xml:space="preserve"> nenhuma das situações delineadas no art. 2º do Decreto 3.931/2001 – que elenca as hipóteses em que o sistema de registro de preços deve ser preferencialmente utilizado – foi atendida. Após concluir que teria sido </w:t>
      </w:r>
      <w:r>
        <w:rPr>
          <w:i/>
          <w:iCs/>
          <w:sz w:val="22"/>
          <w:szCs w:val="22"/>
        </w:rPr>
        <w:t>“mais apropriada a realização de pregão eletrônico para fornecimento de bens de forma parcelada, na sua forma ordinária, sem a formalização de ata de registro de preços”</w:t>
      </w:r>
      <w:r>
        <w:rPr>
          <w:sz w:val="22"/>
          <w:szCs w:val="22"/>
        </w:rPr>
        <w:t xml:space="preserve">, o relator propôs e a Segunda Câmara decidiu expedir determinação corretiva à Secretaria de Estado da Educação, Cultura e Desporto de Roraima, para a gestão de recursos federais. </w:t>
      </w:r>
      <w:r>
        <w:rPr>
          <w:b/>
          <w:i/>
          <w:sz w:val="22"/>
          <w:szCs w:val="22"/>
        </w:rPr>
        <w:t xml:space="preserve">Acórdão n.º 3273/2010-2ª Câmara, TC-018.717/2007-3, rel. </w:t>
      </w:r>
      <w:r>
        <w:rPr>
          <w:b/>
          <w:i/>
          <w:sz w:val="22"/>
          <w:szCs w:val="22"/>
          <w:lang w:val="en-US"/>
        </w:rPr>
        <w:t>Min-Subst. Augusto Sherman Cavalcanti, 29.06.2010</w:t>
      </w:r>
      <w:r>
        <w:rPr>
          <w:sz w:val="22"/>
          <w:szCs w:val="22"/>
          <w:lang w:val="en-US"/>
        </w:rPr>
        <w:t>.</w:t>
      </w:r>
    </w:p>
    <w:p w:rsidR="003D00E6" w:rsidRDefault="003D00E6">
      <w:pPr>
        <w:pStyle w:val="indice"/>
        <w:tabs>
          <w:tab w:val="left" w:pos="567"/>
        </w:tabs>
        <w:spacing w:before="60" w:line="240" w:lineRule="auto"/>
        <w:rPr>
          <w:lang w:val="en-US"/>
        </w:rPr>
      </w:pPr>
    </w:p>
    <w:p w:rsidR="003D00E6" w:rsidRDefault="003D00E6">
      <w:pPr>
        <w:pStyle w:val="enter-3pt"/>
        <w:spacing w:before="6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Ata de registro de preços: 2 - Encerramento da ata com a execução do seu objeto ou com o fim do prazo de vigência</w:t>
      </w:r>
    </w:p>
    <w:p w:rsidR="003D00E6" w:rsidRDefault="003D00E6">
      <w:pPr>
        <w:pStyle w:val="Pargrafo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Ainda com relação ao Pregão n.º 187/2007, sob o sistema de registro de preços, realizado pelo Governo do Estado de Roraima para eventual aquisição de gêneros alimentícios, o relator frisou que a formalização da ata e a celebração do contrato num mesmo instrumento acabaram por revelar outra impropriedade, isso porque, ao firmar contrato pela totalidade do valor da ata, </w:t>
      </w:r>
      <w:r>
        <w:rPr>
          <w:i/>
          <w:sz w:val="22"/>
          <w:szCs w:val="22"/>
        </w:rPr>
        <w:t>“presume-se que todos os contratos vinculados à ata já foram celebrados”</w:t>
      </w:r>
      <w:r>
        <w:rPr>
          <w:sz w:val="22"/>
          <w:szCs w:val="22"/>
        </w:rPr>
        <w:t xml:space="preserve">. Por conseguinte, </w:t>
      </w:r>
      <w:r>
        <w:rPr>
          <w:i/>
          <w:sz w:val="22"/>
          <w:szCs w:val="22"/>
        </w:rPr>
        <w:t>“embora o prazo inicial de vigência da ata fosse de 12 (doze) meses, a ata se aperfeiçoou (foi executada) já na data de sua celebração, visto que seu objeto foi totalmente contratado de uma só vez. Partindo-se da hipótese de que a ata expira ou com a execução do seu objeto ou com o fim de seu prazo de vigência, pode-se afirmar que a ata de registro de preços em questão expirou um ano antes da formalização de seu primeiro aditivo”</w:t>
      </w:r>
      <w:r>
        <w:rPr>
          <w:sz w:val="22"/>
          <w:szCs w:val="22"/>
        </w:rPr>
        <w:t xml:space="preserve">. Para o relator, se o contrato firmado não havia sido executado </w:t>
      </w:r>
      <w:r>
        <w:rPr>
          <w:i/>
          <w:sz w:val="22"/>
          <w:szCs w:val="22"/>
        </w:rPr>
        <w:t>in totum</w:t>
      </w:r>
      <w:r>
        <w:rPr>
          <w:sz w:val="22"/>
          <w:szCs w:val="22"/>
        </w:rPr>
        <w:t xml:space="preserve"> após os primeiros doze meses de vigência, o mais adequado teria sido a celebração de aditivo ao contrato, </w:t>
      </w:r>
      <w:r>
        <w:rPr>
          <w:i/>
          <w:iCs/>
          <w:sz w:val="22"/>
          <w:szCs w:val="22"/>
        </w:rPr>
        <w:t>“com fundamento na necessidade de se restabelecer o equilíbrio econômico-financeiro”</w:t>
      </w:r>
      <w:r>
        <w:rPr>
          <w:sz w:val="22"/>
          <w:szCs w:val="22"/>
        </w:rPr>
        <w:t xml:space="preserve">, e não à ata de registro de preços, porquanto esta já havia expirado. Ao final, o relator propôs e a Segunda Câmara decidiu expedir determinação corretiva à Secretaria de Estado da Educação, Cultura e Desporto de Roraima, para a gestão de recursos federais. </w:t>
      </w:r>
      <w:r>
        <w:rPr>
          <w:b/>
          <w:i/>
          <w:sz w:val="22"/>
          <w:szCs w:val="22"/>
        </w:rPr>
        <w:t xml:space="preserve">Acórdão n.º 3273/2010-2ª Câmara, TC-018.717/2007-3, rel. </w:t>
      </w:r>
      <w:r>
        <w:rPr>
          <w:b/>
          <w:i/>
          <w:sz w:val="22"/>
          <w:szCs w:val="22"/>
          <w:lang w:val="en-US"/>
        </w:rPr>
        <w:t>Min-Subst. Augusto Sherman Cavalcanti, 29.06.2010</w:t>
      </w:r>
      <w:r>
        <w:rPr>
          <w:sz w:val="22"/>
          <w:szCs w:val="22"/>
          <w:lang w:val="en-US"/>
        </w:rPr>
        <w:t>.</w:t>
      </w:r>
    </w:p>
    <w:p w:rsidR="003D00E6" w:rsidRDefault="003D00E6">
      <w:pPr>
        <w:pStyle w:val="indice"/>
        <w:tabs>
          <w:tab w:val="left" w:pos="567"/>
        </w:tabs>
        <w:spacing w:before="60" w:line="240" w:lineRule="auto"/>
        <w:rPr>
          <w:lang w:val="en-US"/>
        </w:rPr>
      </w:pPr>
    </w:p>
    <w:p w:rsidR="003D00E6" w:rsidRDefault="003D00E6">
      <w:pPr>
        <w:pStyle w:val="enter-3pt"/>
        <w:spacing w:before="6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Ata de registro de preços: 3 - Prorrogação da vigência da ata e restabelecimento de quantitativos</w:t>
      </w:r>
    </w:p>
    <w:p w:rsidR="003D00E6" w:rsidRDefault="003D00E6">
      <w:pPr>
        <w:pStyle w:val="Pargrafo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Ainda quanto ao Pregão n.º 187/2007, sob o sistema de registro de preços, realizado pelo Governo do Estado de Roraima, constatou-se que a decisão de </w:t>
      </w:r>
      <w:r>
        <w:rPr>
          <w:i/>
          <w:iCs/>
          <w:sz w:val="22"/>
          <w:szCs w:val="22"/>
        </w:rPr>
        <w:t>“</w:t>
      </w:r>
      <w:r>
        <w:rPr>
          <w:i/>
          <w:iCs/>
          <w:sz w:val="22"/>
        </w:rPr>
        <w:t>aditivar a ata em 25% do quantitativo inicial solicitado”</w:t>
      </w:r>
      <w:r>
        <w:rPr>
          <w:sz w:val="22"/>
        </w:rPr>
        <w:t xml:space="preserve"> (segundo aditivo) foi tomada em razão do </w:t>
      </w:r>
      <w:r>
        <w:rPr>
          <w:i/>
          <w:sz w:val="22"/>
        </w:rPr>
        <w:t>fracasso do Processo 12457/08-95 (Pregão 414/08), cujo objeto também era o Registro de Preços para aquisição de gêneros alimentícios, com vistas a substituir o Registro de Preços vigente, oriundo do Pregão 187/2007 ora combatido”</w:t>
      </w:r>
      <w:r>
        <w:rPr>
          <w:iCs/>
          <w:sz w:val="22"/>
        </w:rPr>
        <w:t>. Segundo o Secretário de Estado da Educação, Cultura e Desportos à época, o referido procedimento</w:t>
      </w:r>
      <w:r>
        <w:rPr>
          <w:i/>
          <w:sz w:val="22"/>
        </w:rPr>
        <w:t xml:space="preserve"> “fazia-se necessário para que não viesse a ocorrer o fracasso no cardápio oferecido nem a descontinuidade no atendimento dos alunos da rede pública estadual de ensino no interior do Estado.”</w:t>
      </w:r>
      <w:r>
        <w:rPr>
          <w:iCs/>
          <w:sz w:val="22"/>
        </w:rPr>
        <w:t xml:space="preserve">. </w:t>
      </w:r>
      <w:r>
        <w:rPr>
          <w:sz w:val="22"/>
          <w:szCs w:val="22"/>
        </w:rPr>
        <w:t xml:space="preserve">O relator salientou que esse segundo aditivo, que acabou também por prorrogar a validade da ata de registro de preços por mais um ano, carecia de respaldo legal, </w:t>
      </w:r>
      <w:r>
        <w:rPr>
          <w:i/>
          <w:sz w:val="22"/>
          <w:szCs w:val="22"/>
        </w:rPr>
        <w:t>“ainda que tenha como motivação o fato de que o Pregão realizado no ano de 2008 não teve continuidade e que a atividade concernente à alimentação escolar não deve sofrer interrupção”</w:t>
      </w:r>
      <w:r>
        <w:rPr>
          <w:sz w:val="22"/>
          <w:szCs w:val="22"/>
        </w:rPr>
        <w:t xml:space="preserve">. Isso porque o Plenário do Tribunal, mediante o Acórdão n.º 991/2009, em resposta a consulta que lhe foi formulada, decidiu </w:t>
      </w:r>
      <w:r>
        <w:rPr>
          <w:i/>
          <w:sz w:val="22"/>
          <w:szCs w:val="22"/>
        </w:rPr>
        <w:t>“responder ao interessado que, no caso de eventual prorrogação da ata de registro de preços, dentro do prazo de vigência não superior a um ano, não se restabelecem os quantitativos inicialmente fixados na licitação, sob pena de se infringirem os princípios que regem o procedimento licitatório, indicados no art. 3º da Lei 8.666/93”</w:t>
      </w:r>
      <w:r>
        <w:rPr>
          <w:sz w:val="22"/>
          <w:szCs w:val="22"/>
        </w:rPr>
        <w:t xml:space="preserve">. Não obstante, tendo em vista que a prefalada consulta somente foi julgada em meados de 2009, o relator considerou razoável admitir que a deliberação não tenha chegado ao conhecimento do órgão estadual antes da celebração do segundo aditivo, além do que a formalização deste obteve parecer jurídico favorável da </w:t>
      </w:r>
      <w:r>
        <w:rPr>
          <w:i/>
          <w:iCs/>
          <w:sz w:val="22"/>
          <w:szCs w:val="22"/>
        </w:rPr>
        <w:t>“Assessoria Especializada vinculada à Comissão Permanente de Licitação”</w:t>
      </w:r>
      <w:r>
        <w:rPr>
          <w:sz w:val="22"/>
          <w:szCs w:val="22"/>
        </w:rPr>
        <w:t xml:space="preserve">. Ao final, o relator propôs e a Segunda Câmara decidiu expedir apenas determinação corretiva à Secretaria de Estado da Educação, Cultura e Desporto de Roraima, para a gestão de recursos federais. </w:t>
      </w:r>
      <w:r>
        <w:rPr>
          <w:b/>
          <w:i/>
          <w:sz w:val="22"/>
          <w:szCs w:val="22"/>
        </w:rPr>
        <w:t xml:space="preserve">Acórdão n.º 3273/2010-2ª Câmara, TC-018.717/2007-3, rel. </w:t>
      </w:r>
      <w:r>
        <w:rPr>
          <w:b/>
          <w:i/>
          <w:sz w:val="22"/>
          <w:szCs w:val="22"/>
          <w:lang w:val="en-US"/>
        </w:rPr>
        <w:t>Min-Subst. Augusto Sherman Cavalcanti, 29.06.2010</w:t>
      </w:r>
      <w:r>
        <w:rPr>
          <w:sz w:val="22"/>
          <w:szCs w:val="22"/>
          <w:lang w:val="en-US"/>
        </w:rPr>
        <w:t>.</w:t>
      </w:r>
    </w:p>
    <w:p w:rsidR="003D00E6" w:rsidRDefault="003D00E6">
      <w:pPr>
        <w:pStyle w:val="Pargrafo"/>
        <w:jc w:val="both"/>
        <w:rPr>
          <w:sz w:val="22"/>
          <w:szCs w:val="22"/>
          <w:lang w:val="en-US"/>
        </w:rPr>
      </w:pPr>
    </w:p>
    <w:p w:rsidR="003D00E6" w:rsidRDefault="003D00E6">
      <w:pPr>
        <w:pBdr>
          <w:top w:val="threeDEmboss" w:sz="24" w:space="0" w:color="auto"/>
        </w:pBdr>
        <w:tabs>
          <w:tab w:val="left" w:pos="284"/>
        </w:tabs>
        <w:spacing w:after="0"/>
        <w:ind w:left="0"/>
        <w:jc w:val="center"/>
        <w:rPr>
          <w:rFonts w:ascii="Cambria" w:hAnsi="Cambria"/>
          <w:b/>
          <w:bCs/>
          <w:smallCaps/>
          <w:sz w:val="22"/>
          <w:szCs w:val="22"/>
        </w:rPr>
      </w:pPr>
      <w:r>
        <w:rPr>
          <w:rFonts w:ascii="Cambria" w:hAnsi="Cambria"/>
          <w:b/>
          <w:bCs/>
          <w:smallCaps/>
          <w:sz w:val="22"/>
          <w:szCs w:val="22"/>
        </w:rPr>
        <w:t>NOVAS SÚMULAS</w:t>
      </w:r>
    </w:p>
    <w:p w:rsidR="003D00E6" w:rsidRDefault="003D00E6">
      <w:pPr>
        <w:pStyle w:val="enter-3pt"/>
        <w:spacing w:line="240" w:lineRule="auto"/>
        <w:rPr>
          <w:b/>
          <w:sz w:val="22"/>
          <w:szCs w:val="22"/>
        </w:rPr>
      </w:pPr>
    </w:p>
    <w:p w:rsidR="003D00E6" w:rsidRDefault="003D00E6">
      <w:pPr>
        <w:pStyle w:val="Pargraf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Súmula n.º 260</w:t>
      </w:r>
    </w:p>
    <w:p w:rsidR="003D00E6" w:rsidRDefault="003D00E6">
      <w:pPr>
        <w:pStyle w:val="Pargrafo"/>
        <w:jc w:val="both"/>
        <w:rPr>
          <w:sz w:val="22"/>
          <w:szCs w:val="22"/>
        </w:rPr>
      </w:pPr>
      <w:r>
        <w:rPr>
          <w:sz w:val="22"/>
          <w:szCs w:val="22"/>
        </w:rPr>
        <w:t>É dever do gestor exigir apresentação de Anotação de Responsabilidade Técnica – ART referente a projeto, execução, supervisão e fiscalização de obras e serviços de engenharia, com indicação do responsável pela elaboração de plantas, orçamento-base, especificações técnicas, composições de custos unitários, cronograma físico-financeiro e outras peças técnicas.</w:t>
      </w:r>
    </w:p>
    <w:p w:rsidR="003D00E6" w:rsidRDefault="003D00E6">
      <w:pPr>
        <w:pStyle w:val="Pargrafo"/>
        <w:jc w:val="both"/>
        <w:rPr>
          <w:sz w:val="22"/>
          <w:szCs w:val="22"/>
        </w:rPr>
      </w:pPr>
    </w:p>
    <w:p w:rsidR="003D00E6" w:rsidRDefault="003D00E6">
      <w:pPr>
        <w:pStyle w:val="Pargraf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Súmula n.º 261</w:t>
      </w:r>
    </w:p>
    <w:p w:rsidR="003D00E6" w:rsidRDefault="003D00E6">
      <w:pPr>
        <w:pStyle w:val="Pargrafo"/>
        <w:jc w:val="both"/>
        <w:rPr>
          <w:sz w:val="22"/>
          <w:szCs w:val="22"/>
        </w:rPr>
      </w:pPr>
      <w:r>
        <w:rPr>
          <w:sz w:val="22"/>
          <w:szCs w:val="22"/>
        </w:rPr>
        <w:t>Em licitações de obras e serviços de engenharia, é necessária a elaboração de projeto básico adequado e atualizado, assim considerado aquele aprovado com todos os elementos descritos no art. 6º, inciso IX, da Lei n.º 8.666, de 21 de junho de 1993, constituindo prática ilegal a revisão de projeto básico ou a elaboração de projeto executivo que transfigure o objeto originalmente contratado em outro de natureza e propósito diversos.</w:t>
      </w:r>
    </w:p>
    <w:p w:rsidR="003D00E6" w:rsidRDefault="003D00E6">
      <w:pPr>
        <w:pStyle w:val="enter-3pt"/>
        <w:spacing w:line="240" w:lineRule="auto"/>
        <w:jc w:val="center"/>
        <w:rPr>
          <w:b/>
          <w:sz w:val="22"/>
          <w:szCs w:val="22"/>
          <w:bdr w:val="single" w:sz="4" w:space="0" w:color="aut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41"/>
      </w:tblGrid>
      <w:tr w:rsidR="003D00E6">
        <w:trPr>
          <w:trHeight w:val="779"/>
          <w:jc w:val="center"/>
        </w:trPr>
        <w:tc>
          <w:tcPr>
            <w:tcW w:w="0" w:type="auto"/>
            <w:vAlign w:val="center"/>
          </w:tcPr>
          <w:p w:rsidR="003D00E6" w:rsidRDefault="003D00E6">
            <w:pPr>
              <w:pStyle w:val="enter-3pt"/>
              <w:spacing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Responsáveis pelo Informativo:</w:t>
            </w:r>
          </w:p>
          <w:p w:rsidR="003D00E6" w:rsidRDefault="003D00E6">
            <w:pPr>
              <w:pStyle w:val="enter-3pt"/>
              <w:spacing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Elaboração:</w:t>
            </w:r>
            <w:r>
              <w:rPr>
                <w:i/>
                <w:sz w:val="18"/>
                <w:szCs w:val="18"/>
              </w:rPr>
              <w:t xml:space="preserve"> Luiz Felipe Bezerra Almeida Simões, Assessor da Secretaria das Sessões</w:t>
            </w:r>
          </w:p>
          <w:p w:rsidR="003D00E6" w:rsidRDefault="003D00E6">
            <w:pPr>
              <w:pStyle w:val="enter-3pt"/>
              <w:spacing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Revisão:</w:t>
            </w:r>
            <w:r>
              <w:rPr>
                <w:i/>
                <w:sz w:val="18"/>
                <w:szCs w:val="18"/>
              </w:rPr>
              <w:t xml:space="preserve"> Odilon Cavallari de Oliveira, Secretário das Sessões</w:t>
            </w:r>
          </w:p>
          <w:p w:rsidR="003D00E6" w:rsidRDefault="003D00E6">
            <w:pPr>
              <w:pStyle w:val="enter-3pt"/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18"/>
                <w:szCs w:val="18"/>
              </w:rPr>
              <w:t xml:space="preserve">Contato: </w:t>
            </w:r>
            <w:hyperlink r:id="rId7" w:history="1">
              <w:r>
                <w:rPr>
                  <w:rStyle w:val="Hyperlink"/>
                  <w:b/>
                  <w:i/>
                  <w:color w:val="auto"/>
                  <w:sz w:val="18"/>
                  <w:szCs w:val="18"/>
                </w:rPr>
                <w:t>infojuris@tcu.gov.br</w:t>
              </w:r>
            </w:hyperlink>
          </w:p>
        </w:tc>
      </w:tr>
    </w:tbl>
    <w:p w:rsidR="003D00E6" w:rsidRDefault="003D00E6">
      <w:pPr>
        <w:pStyle w:val="enter-3pt"/>
        <w:spacing w:line="240" w:lineRule="auto"/>
        <w:jc w:val="center"/>
        <w:rPr>
          <w:b/>
          <w:sz w:val="22"/>
          <w:szCs w:val="22"/>
        </w:rPr>
      </w:pPr>
    </w:p>
    <w:sectPr w:rsidR="003D00E6">
      <w:headerReference w:type="default" r:id="rId8"/>
      <w:footerReference w:type="default" r:id="rId9"/>
      <w:pgSz w:w="11906" w:h="16838" w:code="9"/>
      <w:pgMar w:top="1134" w:right="851" w:bottom="85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2AB" w:rsidRDefault="00D662AB">
      <w:pPr>
        <w:spacing w:after="0"/>
      </w:pPr>
      <w:r>
        <w:separator/>
      </w:r>
    </w:p>
  </w:endnote>
  <w:endnote w:type="continuationSeparator" w:id="0">
    <w:p w:rsidR="00D662AB" w:rsidRDefault="00D662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0E6" w:rsidRDefault="003D00E6">
    <w:pPr>
      <w:pStyle w:val="Rodap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B175F8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2AB" w:rsidRDefault="00D662AB">
      <w:pPr>
        <w:spacing w:after="0"/>
      </w:pPr>
      <w:r>
        <w:separator/>
      </w:r>
    </w:p>
  </w:footnote>
  <w:footnote w:type="continuationSeparator" w:id="0">
    <w:p w:rsidR="00D662AB" w:rsidRDefault="00D662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0E6" w:rsidRDefault="00964EF5">
    <w:pPr>
      <w:spacing w:after="0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-37465</wp:posOffset>
          </wp:positionH>
          <wp:positionV relativeFrom="paragraph">
            <wp:posOffset>-71120</wp:posOffset>
          </wp:positionV>
          <wp:extent cx="551815" cy="436880"/>
          <wp:effectExtent l="0" t="0" r="635" b="1270"/>
          <wp:wrapNone/>
          <wp:docPr id="2" name="Imagem 1" descr="LogoT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0E6">
      <w:rPr>
        <w:rFonts w:ascii="Arial" w:hAnsi="Arial" w:cs="Arial"/>
        <w:b/>
      </w:rPr>
      <w:t>TRIBUNAL DE CONTAS DA UNIÃO</w:t>
    </w:r>
  </w:p>
  <w:p w:rsidR="003D00E6" w:rsidRDefault="00964EF5">
    <w:pPr>
      <w:spacing w:after="0"/>
      <w:rPr>
        <w:rFonts w:ascii="Arial" w:hAnsi="Arial" w:cs="Arial"/>
        <w:b/>
      </w:rPr>
    </w:pPr>
    <w:r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37465</wp:posOffset>
              </wp:positionH>
              <wp:positionV relativeFrom="paragraph">
                <wp:posOffset>243840</wp:posOffset>
              </wp:positionV>
              <wp:extent cx="6120130" cy="0"/>
              <wp:effectExtent l="8890" t="5715" r="5080" b="1333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B5ABB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95pt,19.2pt" to="484.8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R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">
              <w10:wrap anchorx="margin"/>
            </v:line>
          </w:pict>
        </mc:Fallback>
      </mc:AlternateContent>
    </w:r>
    <w:r w:rsidR="003D00E6">
      <w:rPr>
        <w:rFonts w:ascii="Arial" w:hAnsi="Arial" w:cs="Arial"/>
        <w:noProof/>
        <w:lang w:eastAsia="pt-BR"/>
      </w:rPr>
      <w:t>Informativo de Jurisprudência sobre Licitações e Contratos nº 23</w:t>
    </w:r>
  </w:p>
  <w:p w:rsidR="003D00E6" w:rsidRDefault="003D00E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BB1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202DB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85F349C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A66630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14212D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7">
    <w:nsid w:val="33836ED7"/>
    <w:multiLevelType w:val="singleLevel"/>
    <w:tmpl w:val="06C863B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8">
    <w:nsid w:val="39384A0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B0318E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25027A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C576ABE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55823643"/>
    <w:multiLevelType w:val="singleLevel"/>
    <w:tmpl w:val="79040E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561A6E6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CFC6DC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671316A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6E4770F8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7E7641F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16"/>
  </w:num>
  <w:num w:numId="8">
    <w:abstractNumId w:val="14"/>
  </w:num>
  <w:num w:numId="9">
    <w:abstractNumId w:val="11"/>
  </w:num>
  <w:num w:numId="10">
    <w:abstractNumId w:val="3"/>
  </w:num>
  <w:num w:numId="11">
    <w:abstractNumId w:val="17"/>
  </w:num>
  <w:num w:numId="12">
    <w:abstractNumId w:val="2"/>
  </w:num>
  <w:num w:numId="13">
    <w:abstractNumId w:val="8"/>
  </w:num>
  <w:num w:numId="14">
    <w:abstractNumId w:val="15"/>
  </w:num>
  <w:num w:numId="15">
    <w:abstractNumId w:val="6"/>
  </w:num>
  <w:num w:numId="16">
    <w:abstractNumId w:val="1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F3"/>
    <w:rsid w:val="003D00E6"/>
    <w:rsid w:val="00846611"/>
    <w:rsid w:val="00857FF3"/>
    <w:rsid w:val="00964EF5"/>
    <w:rsid w:val="00B175F8"/>
    <w:rsid w:val="00D6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F22CA40A-FC4F-4100-AD15-3E3AC79F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qFormat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eastAsia="pt-BR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semiHidden/>
    <w:unhideWhenUsed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semiHidden/>
  </w:style>
  <w:style w:type="paragraph" w:customStyle="1" w:styleId="RUPCorpo1">
    <w:name w:val="RUP Corpo 1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basedOn w:val="Fontepargpadro"/>
    <w:rPr>
      <w:rFonts w:eastAsia="Times New Roman"/>
      <w:sz w:val="24"/>
    </w:rPr>
  </w:style>
  <w:style w:type="paragraph" w:styleId="Recuodecorpodetexto">
    <w:name w:val="Body Text Indent"/>
    <w:basedOn w:val="Normal"/>
    <w:semiHidden/>
    <w:pPr>
      <w:spacing w:after="0"/>
      <w:ind w:left="0" w:firstLine="1134"/>
      <w:jc w:val="left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semiHidden/>
    <w:rPr>
      <w:rFonts w:eastAsia="Times New Roman"/>
      <w:sz w:val="24"/>
    </w:rPr>
  </w:style>
  <w:style w:type="paragraph" w:styleId="MapadoDocumento">
    <w:name w:val="Document Map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semiHidden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semiHidden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semiHidden/>
    <w:unhideWhenUsed/>
  </w:style>
  <w:style w:type="character" w:customStyle="1" w:styleId="CorpodetextoChar">
    <w:name w:val="Corpo de texto Char"/>
    <w:basedOn w:val="Fontepargpadro"/>
    <w:semiHidden/>
    <w:rPr>
      <w:sz w:val="24"/>
      <w:szCs w:val="24"/>
      <w:lang w:eastAsia="en-US"/>
    </w:rPr>
  </w:style>
  <w:style w:type="paragraph" w:styleId="Corpodetexto2">
    <w:name w:val="Body Text 2"/>
    <w:basedOn w:val="Normal"/>
    <w:semiHidden/>
    <w:unhideWhenUsed/>
    <w:pPr>
      <w:spacing w:line="480" w:lineRule="auto"/>
    </w:pPr>
  </w:style>
  <w:style w:type="character" w:customStyle="1" w:styleId="Corpodetexto2Char">
    <w:name w:val="Corpo de texto 2 Char"/>
    <w:basedOn w:val="Fontepargpadro"/>
    <w:semiHidden/>
    <w:rPr>
      <w:sz w:val="24"/>
      <w:szCs w:val="24"/>
      <w:lang w:eastAsia="en-US"/>
    </w:rPr>
  </w:style>
  <w:style w:type="character" w:styleId="Hyperlink">
    <w:name w:val="Hyperlink"/>
    <w:basedOn w:val="Fontepargpadro"/>
    <w:semiHidden/>
    <w:unhideWhenUsed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semiHidden/>
    <w:unhideWhenUsed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qFormat/>
    <w:rPr>
      <w:b/>
      <w:bCs/>
    </w:rPr>
  </w:style>
  <w:style w:type="character" w:customStyle="1" w:styleId="Ttulo8Char">
    <w:name w:val="Título 8 Char"/>
    <w:basedOn w:val="Fontepargpadro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semiHidden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pPr>
      <w:numPr>
        <w:numId w:val="15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pPr>
      <w:numPr>
        <w:numId w:val="16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semiHidden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semiHidden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TCU-Ac-item9-">
    <w:name w:val="TCU - Ac - item 9 - §§"/>
    <w:basedOn w:val="TCU-RelVoto-1"/>
    <w:qFormat/>
    <w:pPr>
      <w:spacing w:after="0"/>
    </w:pPr>
  </w:style>
  <w:style w:type="paragraph" w:styleId="Textodenotaderodap">
    <w:name w:val="footnote text"/>
    <w:basedOn w:val="Normal"/>
    <w:semiHidden/>
    <w:unhideWhenUsed/>
    <w:pPr>
      <w:spacing w:after="0"/>
      <w:ind w:left="0"/>
      <w:jc w:val="left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juris@tcu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2767</Words>
  <Characters>14947</Characters>
  <Application>Microsoft Office Word</Application>
  <DocSecurity>4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17679</CharactersWithSpaces>
  <SharedDoc>false</SharedDoc>
  <HLinks>
    <vt:vector size="6" baseType="variant">
      <vt:variant>
        <vt:i4>7602203</vt:i4>
      </vt:variant>
      <vt:variant>
        <vt:i4>0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Porto</dc:creator>
  <cp:keywords/>
  <dc:description/>
  <cp:lastModifiedBy>LUIZ FELYPE TABOSA PORTO</cp:lastModifiedBy>
  <cp:revision>2</cp:revision>
  <cp:lastPrinted>2010-07-08T20:34:00Z</cp:lastPrinted>
  <dcterms:created xsi:type="dcterms:W3CDTF">2015-05-07T12:28:00Z</dcterms:created>
  <dcterms:modified xsi:type="dcterms:W3CDTF">2015-05-07T12:28:00Z</dcterms:modified>
</cp:coreProperties>
</file>