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1D" w:rsidRDefault="00AC671D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2"/>
          <w:szCs w:val="22"/>
        </w:rPr>
        <w:t>Sessões: 25 e 26 de maio de 2010</w:t>
      </w:r>
    </w:p>
    <w:p w:rsidR="00AC671D" w:rsidRDefault="00AC671D">
      <w:pPr>
        <w:pStyle w:val="Corpodetexto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na(s) data(s) acima indicada(s),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AC671D" w:rsidRDefault="00AC671D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AC671D" w:rsidRDefault="00AC671D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SUMÁRIO</w:t>
      </w:r>
    </w:p>
    <w:p w:rsidR="00AC671D" w:rsidRDefault="00AC671D">
      <w:pPr>
        <w:pStyle w:val="tita"/>
        <w:spacing w:before="45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Plenário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>Contratação direta, sem licitação, de empresa cujo sócio-administrador é também diretor da entidade contratante.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>Licitação como regra para a elaboração dos projetos de instalações e serviços complementares, ainda que os projetos de arquitetura e urbanismo tenham sido contratados por inexigibilidade.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>Pregão para a contratação de serviços especializados de gerenciamento ambiental de obra.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>Adesão a atas de registro de preços constituídas a partir de licitações realizadas por entidades integrantes do Sistema “S”.</w:t>
      </w:r>
    </w:p>
    <w:p w:rsidR="00AC671D" w:rsidRDefault="00AC671D">
      <w:pPr>
        <w:pStyle w:val="indice"/>
        <w:spacing w:before="60" w:line="240" w:lineRule="auto"/>
      </w:pPr>
      <w:r>
        <w:t>Alterações contratuais unilaterais quantitativas: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ab/>
        <w:t>1 - Aplicação dos limites legais ao conjunto de acréscimos e ao conjunto de supressões, individualmente e sem nenhum tipo de compensação entre eles;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ab/>
        <w:t>2 - Aplicação do percentual de desconto, ofertado pela licitante vencedora em relação ao orçamento, sobre o valor global do contrato, antes e depois do aditivo, e não sobre o valor total dos itens novos.</w:t>
      </w:r>
    </w:p>
    <w:p w:rsidR="00AC671D" w:rsidRDefault="00AC671D">
      <w:pPr>
        <w:pStyle w:val="tita"/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Segunda Câmara</w:t>
      </w:r>
    </w:p>
    <w:p w:rsidR="00AC671D" w:rsidRDefault="00AC671D">
      <w:pPr>
        <w:pStyle w:val="indice"/>
        <w:spacing w:before="60" w:line="240" w:lineRule="auto"/>
      </w:pPr>
      <w:r>
        <w:t>Licitação para prestação de serviços: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ab/>
        <w:t>1 - Exigência, para fim de habilitação, da apresentação de certidão negativa de débitos salariais;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ab/>
        <w:t>2 - Participação, em licitação, de empresa à qual tenha sido aplicada, por outro órgão ou entidade, a pena de suspensão temporária.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  <w:r>
        <w:t>Licitação como regra para a contratação de serviços advocatícios.</w:t>
      </w:r>
    </w:p>
    <w:p w:rsidR="003251BF" w:rsidRDefault="003251BF">
      <w:pPr>
        <w:pStyle w:val="indice"/>
        <w:spacing w:line="240" w:lineRule="auto"/>
      </w:pPr>
    </w:p>
    <w:p w:rsidR="00ED50F6" w:rsidRDefault="00ED50F6">
      <w:pPr>
        <w:pStyle w:val="indice"/>
        <w:spacing w:line="240" w:lineRule="auto"/>
      </w:pPr>
    </w:p>
    <w:p w:rsidR="00AC671D" w:rsidRDefault="00AC671D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AC671D" w:rsidRDefault="00AC671D">
      <w:pPr>
        <w:pStyle w:val="indice"/>
        <w:tabs>
          <w:tab w:val="left" w:pos="567"/>
        </w:tabs>
        <w:spacing w:line="240" w:lineRule="auto"/>
      </w:pPr>
    </w:p>
    <w:p w:rsidR="00AC671D" w:rsidRDefault="00AC671D">
      <w:pPr>
        <w:pStyle w:val="Pargraf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Contratação direta, sem licitação, de empresa cujo sócio-administrador é também diretor da entidade contratante</w:t>
      </w:r>
    </w:p>
    <w:p w:rsidR="00AC671D" w:rsidRDefault="00AC671D">
      <w:pPr>
        <w:pStyle w:val="Pargraf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O relator propôs e o Plenário decidiu negar provimento ao pedido de reexame interposto contra o Acórdão n.º 854/2009, por meio do qual o Pleno aplicou multa ao recorrente e inabilitou-o para o exercício de cargo em comissão ou função de confiança, no âmbito da administração pública, pelo prazo de cinco anos. Para o relator, no que diz respeito ao contrato de prestação de serviços celebrado entre a empresa Cobra Tecnologia S/A, controlada pelo Banco do Brasil, e a empresa Outsite Support Consultoria e Serviços Ltda., sem licitação, ficou demonstrado que o recorrente </w:t>
      </w:r>
      <w:r>
        <w:rPr>
          <w:i/>
          <w:sz w:val="22"/>
          <w:szCs w:val="22"/>
        </w:rPr>
        <w:t>“detinha a condição de Diretor de Relacionamento com o Governo, da primeira empresa, e de sócio-administrador da segunda”</w:t>
      </w:r>
      <w:r>
        <w:rPr>
          <w:sz w:val="22"/>
          <w:szCs w:val="22"/>
        </w:rPr>
        <w:t xml:space="preserve">. Além da clara afronta ao art. 9º, III, da Lei n.º 8.666/93, o relator ressaltou que foram desrespeitados os princípios da impessoalidade, da moralidade e da isonomia, em razão da condição jurídica ostentada pelo recorrente em ambas as empresas. </w:t>
      </w:r>
      <w:r>
        <w:rPr>
          <w:b/>
          <w:i/>
          <w:sz w:val="22"/>
          <w:szCs w:val="22"/>
        </w:rPr>
        <w:t xml:space="preserve">Acórdão n.º 1171/2010-Plenário, TC-025.698/2008-4, rel. </w:t>
      </w:r>
      <w:r>
        <w:rPr>
          <w:b/>
          <w:i/>
          <w:sz w:val="22"/>
          <w:szCs w:val="22"/>
          <w:lang w:val="en-US"/>
        </w:rPr>
        <w:t>Min. Benjamin Zymler, 26.05.2010</w:t>
      </w:r>
      <w:r>
        <w:rPr>
          <w:sz w:val="22"/>
          <w:szCs w:val="22"/>
          <w:lang w:val="en-US"/>
        </w:rPr>
        <w:t>.</w:t>
      </w:r>
    </w:p>
    <w:p w:rsidR="00AC671D" w:rsidRDefault="00AC671D">
      <w:pPr>
        <w:pStyle w:val="indice"/>
        <w:tabs>
          <w:tab w:val="left" w:pos="567"/>
        </w:tabs>
        <w:spacing w:line="240" w:lineRule="auto"/>
        <w:rPr>
          <w:lang w:val="en-US"/>
        </w:rPr>
      </w:pPr>
    </w:p>
    <w:p w:rsidR="00AC671D" w:rsidRDefault="00AC671D">
      <w:pPr>
        <w:pStyle w:val="Pargraf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Licitação como regra para a elaboração dos projetos de instalações e serviços complementares, ainda que os projetos de arquitetura e urbanismo tenham sido contratados por inexigibilidade</w:t>
      </w:r>
    </w:p>
    <w:p w:rsidR="00AC671D" w:rsidRDefault="00AC671D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 contratações de projetos de arquitetura e urbanismo, por inexigibilidade de licitação, os projetos de instalações e serviços complementares devem ser licitados, salvo se demonstrada a inviabilidade técnica e econômica de tal procedimento, ante a complexidade do empreendimento. Foi esse o entendimento defendido pelo relator, ao apreciar relatório de levantamento de auditoria envolvendo a construção do Anexo III do Ministério das Relações Exteriores (MRE). A equipe técnica constatou que a contratação da empresa Arquitetura e Urbanismo Oscar Niemeyer S/C Ltda., por inexigibilidade de licitação, </w:t>
      </w:r>
      <w:r>
        <w:rPr>
          <w:i/>
          <w:sz w:val="22"/>
          <w:szCs w:val="22"/>
        </w:rPr>
        <w:t>“englobou indevidamente a elaboração de projetos de instalações e serviços complementares, cuja natureza não pode ser considerada singular”</w:t>
      </w:r>
      <w:r>
        <w:rPr>
          <w:sz w:val="22"/>
          <w:szCs w:val="22"/>
        </w:rPr>
        <w:t xml:space="preserve">. Ouvidos em audiência, os responsáveis alegaram que </w:t>
      </w:r>
      <w:r>
        <w:rPr>
          <w:i/>
          <w:sz w:val="22"/>
          <w:szCs w:val="22"/>
        </w:rPr>
        <w:t>“a extensão da inexigibilidade decorreu: (a) da singularidade da edificação, à luz das peculiaridades arquitetônicas e urbanísticas da região adjacente; (b) da existência de pareceres técnicos e jurídicos favoráveis; (c) da conexão existente entre o projeto arquitetônico e os projetos complementares, e da necessidade de evitar problemas de compatibilidade e coordenação entre eles; (d) de sua incapacidade técnica para aferir a viabilidade da divisão do objeto contratado; (e) da similitude com procedimentos adotados por outros órgãos federais (TRF-1, TST, TSE e TCU), e do entendimento do TCU na Decisão n.º 781/97-Plenário.”</w:t>
      </w:r>
      <w:r>
        <w:rPr>
          <w:sz w:val="22"/>
          <w:szCs w:val="22"/>
        </w:rPr>
        <w:t>. Para a unidade técnica, embora seja indiscutível a notória especialização da contratada, e se possa reconhecer a singularidade do projeto arquitetônico do empreendimento, esta última característica</w:t>
      </w:r>
      <w:r>
        <w:rPr>
          <w:i/>
          <w:sz w:val="22"/>
          <w:szCs w:val="22"/>
        </w:rPr>
        <w:t xml:space="preserve"> “não se estende necessariamente aos projetos de instalações e serviços complementares”</w:t>
      </w:r>
      <w:r>
        <w:rPr>
          <w:sz w:val="22"/>
          <w:szCs w:val="22"/>
        </w:rPr>
        <w:t xml:space="preserve">. Em seu voto, o relator destacou que a garantia de compatibilidade e coordenação de projetos arquitetônicos e complementares </w:t>
      </w:r>
      <w:r>
        <w:rPr>
          <w:i/>
          <w:sz w:val="22"/>
          <w:szCs w:val="22"/>
        </w:rPr>
        <w:t>“não é assegurada exclusivamente por intermédio da contratação de uma única empresa para elaborá-los, e pode ser garantida pela atuação da área técnica do órgão contratante, ou até mesmo mediante contratação de empresa especializada”</w:t>
      </w:r>
      <w:r>
        <w:rPr>
          <w:sz w:val="22"/>
          <w:szCs w:val="22"/>
        </w:rPr>
        <w:t xml:space="preserve">. Ressaltou, também, que o fato de outros órgãos federais terem adotado procedimento similar ao do MRE </w:t>
      </w:r>
      <w:r>
        <w:rPr>
          <w:i/>
          <w:sz w:val="22"/>
          <w:szCs w:val="22"/>
        </w:rPr>
        <w:t>“pode mitigar a responsabilidade dos gestores, mas não descaracteriza a já demonstrada impropriedade da contratação em foco”</w:t>
      </w:r>
      <w:r>
        <w:rPr>
          <w:sz w:val="22"/>
          <w:szCs w:val="22"/>
        </w:rPr>
        <w:t xml:space="preserve">. No caso das obras executadas pelo TCU, mencionadas nas justificativas como um dos paradigmas adotados, </w:t>
      </w:r>
      <w:r>
        <w:rPr>
          <w:i/>
          <w:sz w:val="22"/>
          <w:szCs w:val="22"/>
        </w:rPr>
        <w:t>“a conduta observada foi outra, já que esta Corte, na recente construção do Anexo III de sua sede, optou por contratar separadamente os projetos arquitetônico e complementares, como manda a Lei de Licitações”</w:t>
      </w:r>
      <w:r>
        <w:rPr>
          <w:sz w:val="22"/>
          <w:szCs w:val="22"/>
        </w:rPr>
        <w:t xml:space="preserve">. Não obstante a irregularidade constatada, o relator concordou com a unidade técnica que, ante as peculiaridades do caso concreto, os responsáveis ouvidos não mereciam ser apenados. Ao final, o relator propôs e o Plenário decidiu </w:t>
      </w:r>
      <w:r>
        <w:rPr>
          <w:i/>
          <w:sz w:val="22"/>
          <w:szCs w:val="22"/>
        </w:rPr>
        <w:t>“firmar o entendimento de que, nas contratações de projetos de arquitetura e urbanismo com inexigibilidade de licitação, na forma do inciso II do art. 25 da Lei 8.666/1993, devem ser obrigatoriamente licitados os projetos de instalações e serviços complementares (cálculo estrutural, água fria, esgoto sanitário, águas pluviais, instalações elétricas, cabeamento estruturado, circuito fechado de televisão, controle de acesso, antena coletiva de televisão, sonorização, detecção e alarme de incêndio, supervisão, comando e controle de edificações, ar-condicionado central, ventilação mecânica, prevenção e combate a incêndios, gás liquefeito de petróleo, acústica, ambiente de segurança, irrigação, coleta de lixo, aspiração central e outros), conforme preveem o art. 2º do Estatuto Licitatório e o inciso XXI do art. 37 da Constituição Federal, salvo se cabalmente demonstrada a inviabilidade técnica ou econômica da dissociação, nos termos do § 1º do art. 23 da Lei de Licitações”</w:t>
      </w:r>
      <w:r>
        <w:rPr>
          <w:sz w:val="22"/>
          <w:szCs w:val="22"/>
        </w:rPr>
        <w:t xml:space="preserve">. Precedentes citados: Decisão n.º 949/99-Plenário, Acórdão n.º 23/2001-Plenário e Decisão n.º 324/94-2ª Câmara. </w:t>
      </w:r>
      <w:r>
        <w:rPr>
          <w:b/>
          <w:i/>
          <w:sz w:val="22"/>
          <w:szCs w:val="22"/>
        </w:rPr>
        <w:t>Acórdão n.º 1183/2010-Plenário, TC-015.162/2009-9, rel. Min. Aroldo Cedraz, 26.05.2010</w:t>
      </w:r>
      <w:r>
        <w:rPr>
          <w:sz w:val="22"/>
          <w:szCs w:val="22"/>
        </w:rPr>
        <w:t>.</w:t>
      </w:r>
    </w:p>
    <w:p w:rsidR="00AC671D" w:rsidRDefault="00AC671D">
      <w:pPr>
        <w:pStyle w:val="Pargrafo"/>
        <w:jc w:val="both"/>
        <w:rPr>
          <w:sz w:val="22"/>
          <w:szCs w:val="22"/>
        </w:rPr>
      </w:pPr>
    </w:p>
    <w:p w:rsidR="00AC671D" w:rsidRDefault="00AC671D">
      <w:pPr>
        <w:pStyle w:val="Pargraf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Pregão para a contratação de serviços especializados de gerenciamento ambiental de obra</w:t>
      </w:r>
    </w:p>
    <w:p w:rsidR="00AC671D" w:rsidRDefault="00AC671D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relator comunicou ao Plenário ter adotado medida cautelar determinando </w:t>
      </w:r>
      <w:r>
        <w:rPr>
          <w:i/>
          <w:sz w:val="22"/>
          <w:szCs w:val="22"/>
        </w:rPr>
        <w:t>“que a Companhia Docas do Espírito Santo (Codesa) suspenda o processamento do Pregão Eletrônico n.º 31/2010, na fase em que se encontre, ou, se já ultimado, abstenha-se de celebrar o contrato com a vencedora do certame, ou ainda, se já formalizado o ajuste, que não adote qualquer medida tendente a iniciar a execução dos serviços”</w:t>
      </w:r>
      <w:r>
        <w:rPr>
          <w:sz w:val="22"/>
          <w:szCs w:val="22"/>
        </w:rPr>
        <w:t xml:space="preserve">, até que o Tribunal decida sobre o mérito das irregularidades suscitadas em processo de representação. A referida licitação visa à seleção de empresa para a prestação de serviços técnicos especializados de gerenciamento ambiental das obras de dragagem de aprofundamento e de derrocagem do canal de acesso, da bacia de evolução e dos berços de atracação do Porto de Vitória/ES. Segundo a representante, a modalidade licitatória utilizada pela Codesa foi inadequada, porquanto os serviços discriminados no termo de referência ostentam, a seu ver, natureza intelectual, além de apresentar elevado grau de complexidade técnica, demandando ampla experiência da empresa e dos profissionais a serem mobilizados. Não deveriam, portanto, ser classificados como serviços comuns, conforme definição constante do art. 1º, parágrafo único, da Lei n.º 10.520/2002. Em sua instrução, a unidade técnica chamou a atenção para o fato de que </w:t>
      </w:r>
      <w:r>
        <w:rPr>
          <w:i/>
          <w:sz w:val="22"/>
          <w:szCs w:val="22"/>
        </w:rPr>
        <w:t xml:space="preserve">“o produto pretendido não é um estudo e um relatório, mas são as informações produzidas a partir de um estudo e registradas em documentos denominados EIA/Rima”. </w:t>
      </w:r>
      <w:r>
        <w:rPr>
          <w:sz w:val="22"/>
          <w:szCs w:val="22"/>
        </w:rPr>
        <w:t xml:space="preserve">Nesse sentido, </w:t>
      </w:r>
      <w:r>
        <w:rPr>
          <w:i/>
          <w:sz w:val="22"/>
          <w:szCs w:val="22"/>
        </w:rPr>
        <w:t>“A principal qualidade desejável dessas informações é a sua precisão, a qual não é passível de ser objetivamente descrita ou definida pelo edital, pois isto importaria realizar o próprio estudo que se pretende contratar. A precisão da informação, por sua vez, depende diretamente da qualidade dos métodos utilizados para a coleta e do tratamento dos dados disponíveis. No entanto, não está caracterizada nos autos a existência, no mercado, de definição dos métodos mais adequados de coleta e de tratamento de dados para a produção do conhecimento pretendido, nem estes foram objetivamente determinados pela entidade contratante. Ou seja, há liberdade para o prestador de serviço na escolha da metodologia de estudo que entender mais adequada. Assim, mesmo empresas igualmente qualificadas podem elaborar produtos díspares”.</w:t>
      </w:r>
      <w:r>
        <w:rPr>
          <w:sz w:val="22"/>
          <w:szCs w:val="22"/>
        </w:rPr>
        <w:t xml:space="preserve"> Anuindo às conclusões da unidade técnica, o relator enfatizou que o significativo grau de especificidade dos serviços licitados confere-lhes, em juízo de cognição sumária, cunho predominantemente intelectual. Nesse contexto, não lhe pareceu razoável </w:t>
      </w:r>
      <w:r>
        <w:rPr>
          <w:i/>
          <w:sz w:val="22"/>
          <w:szCs w:val="22"/>
        </w:rPr>
        <w:t xml:space="preserve">“que as propostas sejam aferidas unicamente pelo critério de menor preço, regente da modalidade pregão, reclamando análise mais criteriosa para constatação do atendimento ou não das exigências editalícias, a qual não se compatibiliza com o simplificado rito do pregão, configurando o </w:t>
      </w:r>
      <w:r>
        <w:rPr>
          <w:b/>
          <w:i/>
          <w:sz w:val="22"/>
          <w:szCs w:val="22"/>
        </w:rPr>
        <w:t>fumus boni iuris</w:t>
      </w:r>
      <w:r>
        <w:rPr>
          <w:i/>
          <w:sz w:val="22"/>
          <w:szCs w:val="22"/>
        </w:rPr>
        <w:t xml:space="preserve">.” </w:t>
      </w:r>
      <w:r>
        <w:rPr>
          <w:sz w:val="22"/>
          <w:szCs w:val="22"/>
        </w:rPr>
        <w:t xml:space="preserve">Tendo em vista a iminência da homologação, adjudicação e contratação do objeto licitado, entendeu estar presente o </w:t>
      </w:r>
      <w:r>
        <w:rPr>
          <w:b/>
          <w:sz w:val="22"/>
          <w:szCs w:val="22"/>
        </w:rPr>
        <w:t>periculum in mora</w:t>
      </w:r>
      <w:r>
        <w:rPr>
          <w:sz w:val="22"/>
          <w:szCs w:val="22"/>
        </w:rPr>
        <w:t xml:space="preserve">. O Plenário referendou a cautelar. </w:t>
      </w:r>
      <w:r>
        <w:rPr>
          <w:b/>
          <w:i/>
          <w:sz w:val="22"/>
          <w:szCs w:val="22"/>
        </w:rPr>
        <w:t>Decisão monocrática no TC-012.761/2010-9, rel. Min. Raimundo Carreiro, 26.05.2010</w:t>
      </w:r>
      <w:r>
        <w:rPr>
          <w:sz w:val="22"/>
          <w:szCs w:val="22"/>
        </w:rPr>
        <w:t>.</w:t>
      </w:r>
    </w:p>
    <w:p w:rsidR="00AC671D" w:rsidRDefault="00AC671D">
      <w:pPr>
        <w:pStyle w:val="Pargrafo"/>
        <w:jc w:val="both"/>
        <w:rPr>
          <w:sz w:val="22"/>
          <w:szCs w:val="22"/>
        </w:rPr>
      </w:pPr>
    </w:p>
    <w:p w:rsidR="00AC671D" w:rsidRDefault="00AC671D">
      <w:pPr>
        <w:pStyle w:val="Pargraf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Adesão a atas de registro de preços constituídas a partir de licitações realizadas por entidades integrantes do Sistema “S”</w:t>
      </w:r>
    </w:p>
    <w:p w:rsidR="00AC671D" w:rsidRDefault="00AC671D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consulta formulada ao TCU, o Ministro da Secretaria Especial de Portos indagou sobre a possibilidade de os órgãos e entidades da Administração Pública Federal aderirem a atas de registro de preços decorrentes de certames licitatórios realizados por entidades integrantes do Sistema “S”. Para o relator, a dúvida levantada relaciona-se com o alcance da expressão </w:t>
      </w:r>
      <w:r>
        <w:rPr>
          <w:i/>
          <w:sz w:val="22"/>
          <w:szCs w:val="22"/>
        </w:rPr>
        <w:t>“e demais entidades controladas, direta ou indiretamente, pela União”</w:t>
      </w:r>
      <w:r>
        <w:rPr>
          <w:sz w:val="22"/>
          <w:szCs w:val="22"/>
        </w:rPr>
        <w:t xml:space="preserve">, contida no art. 1º do Decreto Federal n.º 3.931/2001 – que regulamenta o sistema de registro de preços na esfera federal –, ou seja, se a expressão abrange ou não o Sistema “S”. Em seu voto, o relator destacou que o TCU, em remansosa jurisprudência, tem afirmado que os serviços sociais autônomos, por não integrarem, em sentido estrito, a Administração Pública, não se sujeitam aos ditames da Lei n.º 8.666/93, mas sim aos princípios gerais que regem a matéria, devendo contemplá-los em seus regulamentos próprios. E tais regulamentos, mesmo obedecendo aos princípios gerais do processo licitatório, podem não contemplar procedimentos constantes da Lei de Licitações, de obediência compulsória por parte dos órgãos e entidades da Administração Pública. Assim sendo, o relator propôs e o Plenário decidiu responder ao consulente que </w:t>
      </w:r>
      <w:r>
        <w:rPr>
          <w:i/>
          <w:sz w:val="22"/>
          <w:szCs w:val="22"/>
        </w:rPr>
        <w:t>“não há viabilidade jurídica para a adesão, por órgãos da Administração Pública, a atas de registro de preços relativas a certames licitatórios realizados por entidades integrantes do Sistema “S”, uma vez que não se sujeitam aos procedimentos estritos da Lei n.º 8.666/1993, podendo seguir regulamentos próprios devidamente publicados, assim como não se submetem às disposições do Decreto n.º 3.931/2001, que disciplina o sistema de registro de preços”</w:t>
      </w:r>
      <w:r>
        <w:rPr>
          <w:sz w:val="22"/>
          <w:szCs w:val="22"/>
        </w:rPr>
        <w:t>. Precedentes citados: Decisões n.</w:t>
      </w:r>
      <w:r>
        <w:rPr>
          <w:sz w:val="22"/>
          <w:szCs w:val="22"/>
          <w:vertAlign w:val="superscript"/>
        </w:rPr>
        <w:t>os</w:t>
      </w:r>
      <w:r>
        <w:rPr>
          <w:sz w:val="22"/>
          <w:szCs w:val="22"/>
        </w:rPr>
        <w:t xml:space="preserve"> 907/97 e 461/98, ambas do Plenário; Acórdão n.º 2.522/2009-2ª Câmara. </w:t>
      </w:r>
      <w:r>
        <w:rPr>
          <w:b/>
          <w:i/>
          <w:sz w:val="22"/>
          <w:szCs w:val="22"/>
        </w:rPr>
        <w:t>Acórdão n.º 1192/2010-Plenário, TC-007.469/2010-1, rel. Min. José Múcio Monteiro, 26.05.2010</w:t>
      </w:r>
      <w:r>
        <w:rPr>
          <w:sz w:val="22"/>
          <w:szCs w:val="22"/>
        </w:rPr>
        <w:t>.</w:t>
      </w:r>
    </w:p>
    <w:p w:rsidR="00AC671D" w:rsidRDefault="00AC671D">
      <w:pPr>
        <w:pStyle w:val="Pargrafo"/>
        <w:jc w:val="both"/>
        <w:rPr>
          <w:sz w:val="22"/>
          <w:szCs w:val="22"/>
        </w:rPr>
      </w:pPr>
    </w:p>
    <w:p w:rsidR="00AC671D" w:rsidRDefault="00AC671D">
      <w:pPr>
        <w:pStyle w:val="indice"/>
        <w:spacing w:before="45" w:line="240" w:lineRule="auto"/>
        <w:rPr>
          <w:b/>
        </w:rPr>
      </w:pPr>
      <w:r>
        <w:rPr>
          <w:b/>
        </w:rPr>
        <w:t>Alterações contratuais unilaterais quantitativas: 1 - Aplicação dos limites legais ao conjunto de acréscimos e ao conjunto de supressões, individualmente e sem nenhum tipo de compensação entre eles</w:t>
      </w:r>
    </w:p>
    <w:p w:rsidR="00AC671D" w:rsidRDefault="00AC671D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Relatório de levantamento de auditoria no Fundo Nacional de Habitação de Interesse Social apontou, em relação às obras em assentamentos no Município de Itapecerica da Serra/SP, realizadas com recursos transferidos por meio de contrato de repasse firmado entre o aludido município e o Ministério das Cidades, a </w:t>
      </w:r>
      <w:r>
        <w:rPr>
          <w:i/>
          <w:iCs/>
          <w:sz w:val="22"/>
          <w:szCs w:val="22"/>
        </w:rPr>
        <w:t>“extrapolação do limite de 25 % para a realização de acréscimos e supressões”</w:t>
      </w:r>
      <w:r>
        <w:rPr>
          <w:sz w:val="22"/>
          <w:szCs w:val="22"/>
        </w:rPr>
        <w:t xml:space="preserve">. A equipe de auditoria também identificou uma série de alterações de projeto indevidas, </w:t>
      </w:r>
      <w:r>
        <w:rPr>
          <w:i/>
          <w:iCs/>
          <w:sz w:val="22"/>
          <w:szCs w:val="22"/>
        </w:rPr>
        <w:t>“tendo em vista que tais mudanças foram solicitadas pela empresa contratada, sem que nenhuma das hipóteses previstas no art. 65, inciso II, da Lei n.º 8.666/93 estivesse presente”</w:t>
      </w:r>
      <w:r>
        <w:rPr>
          <w:sz w:val="22"/>
          <w:szCs w:val="22"/>
        </w:rPr>
        <w:t xml:space="preserve">. Para o relator, nada obsta que a empresa comunique a contratante sobre a possibilidade de troca de uma solução por outra, </w:t>
      </w:r>
      <w:r>
        <w:rPr>
          <w:i/>
          <w:iCs/>
          <w:sz w:val="22"/>
          <w:szCs w:val="22"/>
        </w:rPr>
        <w:t>“mas quem deve motivar o aditivo, inclusive justificando o porquê de o projeto não ter previsto a melhor solução, é a entidade que licitou.”</w:t>
      </w:r>
      <w:r>
        <w:rPr>
          <w:sz w:val="22"/>
          <w:szCs w:val="22"/>
        </w:rPr>
        <w:t xml:space="preserve">. Ao final, o relator propôs e o Plenário decidiu determinar ao município que, nas próximas licitações realizadas com recursos públicos federais, em caso de aditivos contratuais em que se incluam ou se suprimam quantitativos de serviços, </w:t>
      </w:r>
      <w:r>
        <w:rPr>
          <w:i/>
          <w:iCs/>
          <w:sz w:val="22"/>
          <w:szCs w:val="22"/>
        </w:rPr>
        <w:t>“abstenha-se de extrapolar os limites de alterações contratuais previstos no art. 65 da Lei n.º 8.666/1993, tendo em vista que o conjunto de reduções e o conjunto de acréscimos devem ser sempre calculados sobre o valor original do contrato, aplicando-se a cada um desses conjuntos, individualmente e sem nenhum tipo de compensação entre eles, os limites de alteração estabelecidos no referido dispositivo legal”</w:t>
      </w:r>
      <w:r>
        <w:rPr>
          <w:sz w:val="22"/>
          <w:szCs w:val="22"/>
        </w:rPr>
        <w:t xml:space="preserve">. Além disso, </w:t>
      </w:r>
      <w:r>
        <w:rPr>
          <w:i/>
          <w:iCs/>
          <w:sz w:val="22"/>
          <w:szCs w:val="22"/>
        </w:rPr>
        <w:t>“abstenha-se de efetuar alterações contratuais, a pedido da contratada, em casos não insertos no inciso II do art. 65 da Lei n.º 8.666/1993, bem como aquelas baseadas no art. 65, inciso I, do dispositivo legal, desacompanhadas das justificativas para o projeto não ter previsto a solução almejada ou os quantitativos corretos (exceto em caso de ampliação discricionária do objeto), e respectiva comprovação de abertura de procedimento administrativo para apurar as responsabilidades pela imprevisão ou erro”</w:t>
      </w:r>
      <w:r>
        <w:rPr>
          <w:sz w:val="22"/>
          <w:szCs w:val="22"/>
        </w:rPr>
        <w:t xml:space="preserve">. Precedente citado: Acórdão n.º 749/2010-Plenário. </w:t>
      </w:r>
      <w:r>
        <w:rPr>
          <w:b/>
          <w:i/>
          <w:sz w:val="22"/>
          <w:szCs w:val="22"/>
        </w:rPr>
        <w:t>Acórdão n.º 1200/2010-Plenário, TC-000.344/2010-9, rel. Min-Subst. Marcos Bemquerer Costa, 26.05.2010</w:t>
      </w:r>
      <w:r>
        <w:rPr>
          <w:sz w:val="22"/>
          <w:szCs w:val="22"/>
        </w:rPr>
        <w:t>.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</w:p>
    <w:p w:rsidR="00AC671D" w:rsidRDefault="00AC671D">
      <w:pPr>
        <w:pStyle w:val="indice"/>
        <w:spacing w:before="45" w:line="240" w:lineRule="auto"/>
        <w:rPr>
          <w:b/>
        </w:rPr>
      </w:pPr>
      <w:r>
        <w:rPr>
          <w:b/>
        </w:rPr>
        <w:t>Alterações contratuais unilaterais quantitativas: 2 - Aplicação do percentual de desconto, ofertado pela licitante vencedora em relação ao orçamento, sobre o valor global do contrato, antes e depois do aditivo, e não sobre o valor total dos itens novos</w:t>
      </w:r>
    </w:p>
    <w:p w:rsidR="00AC671D" w:rsidRDefault="00AC671D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Sobre o achado de auditoria referente ao </w:t>
      </w:r>
      <w:r>
        <w:rPr>
          <w:i/>
          <w:iCs/>
          <w:sz w:val="22"/>
          <w:szCs w:val="22"/>
        </w:rPr>
        <w:t>“desequilíbrio econômico-financeiro do contrato, decorrente do aditivo que incluiu serviços sem a aplicação do desconto global de 11,3 %, verificado na proposta vencedora da licitação, em relação ao orçamento”</w:t>
      </w:r>
      <w:r>
        <w:rPr>
          <w:sz w:val="22"/>
          <w:szCs w:val="22"/>
        </w:rPr>
        <w:t xml:space="preserve">, o relator observou que o cálculo da vantagem indevida, efetuado pela unidade técnica, resultou da aplicação do aludido percentual sobre o valor total dos itens novos incluídos na modificação contratual. Segundo o relator, tal procedimento não indica, necessariamente, descumprimento do art. 112, § 6º, da Lei n.º 12.017/2009 (LDO 2010), que assim dispõe: </w:t>
      </w:r>
      <w:r>
        <w:rPr>
          <w:i/>
          <w:sz w:val="22"/>
          <w:szCs w:val="22"/>
        </w:rPr>
        <w:t xml:space="preserve">“§ 6º A diferença percentual entre o valor global do contrato e o obtido a partir dos custos unitários do SINAPI ou do SICRO não poderá ser reduzida, em favor do contratado, em decorrência de aditamentos que modifiquem a planilha orçamentária.” </w:t>
      </w:r>
      <w:r>
        <w:rPr>
          <w:iCs/>
          <w:sz w:val="22"/>
          <w:szCs w:val="22"/>
        </w:rPr>
        <w:t>Portanto, p</w:t>
      </w:r>
      <w:r>
        <w:rPr>
          <w:sz w:val="22"/>
          <w:szCs w:val="22"/>
        </w:rPr>
        <w:t xml:space="preserve">ara que se pudesse afirmar que o desconto global não fora mantido, gerando vantagem indevida, </w:t>
      </w:r>
      <w:r>
        <w:rPr>
          <w:i/>
          <w:iCs/>
          <w:sz w:val="22"/>
          <w:szCs w:val="22"/>
        </w:rPr>
        <w:t>“haveria que se calcular o abatimento total do contrato, ou, pelo menos, de uma Curva ABC materialmente representativa, antes e depois do aditivo [...], pois o dispositivo que obriga a manutenção do desconto estabelece o valor global como referência. Tal premissa só é verdadeira quando as alterações contratuais consistem apenas na inclusão de itens novos, o que não é o caso, porquanto, na obra em comento, há supressões e acréscimos de outros serviços”</w:t>
      </w:r>
      <w:r>
        <w:rPr>
          <w:sz w:val="22"/>
          <w:szCs w:val="22"/>
        </w:rPr>
        <w:t xml:space="preserve">. O relator acrescentou, ainda, que nem todos os serviços unitários contêm o mesmo desconto global, </w:t>
      </w:r>
      <w:r>
        <w:rPr>
          <w:i/>
          <w:iCs/>
          <w:sz w:val="22"/>
          <w:szCs w:val="22"/>
        </w:rPr>
        <w:t>“o qual é uma média ponderada dos descontos individuais”</w:t>
      </w:r>
      <w:r>
        <w:rPr>
          <w:sz w:val="22"/>
          <w:szCs w:val="22"/>
        </w:rPr>
        <w:t xml:space="preserve">. Frisou, também, que alguns serviços novos, incluídos pelo preço de mercado, substituíram outros, que foram totalmente suprimidos, como, por exemplo, a </w:t>
      </w:r>
      <w:r>
        <w:rPr>
          <w:i/>
          <w:iCs/>
          <w:sz w:val="22"/>
          <w:szCs w:val="22"/>
        </w:rPr>
        <w:t>“manta asfáltica impermeabilizante”</w:t>
      </w:r>
      <w:r>
        <w:rPr>
          <w:sz w:val="22"/>
          <w:szCs w:val="22"/>
        </w:rPr>
        <w:t xml:space="preserve">, que foi trocada por </w:t>
      </w:r>
      <w:r>
        <w:rPr>
          <w:i/>
          <w:iCs/>
          <w:sz w:val="22"/>
          <w:szCs w:val="22"/>
        </w:rPr>
        <w:t>“telhado com cobertura de fibrocimento”</w:t>
      </w:r>
      <w:r>
        <w:rPr>
          <w:sz w:val="22"/>
          <w:szCs w:val="22"/>
        </w:rPr>
        <w:t xml:space="preserve">. Para o relator, esses itens que foram excluídos poderiam estar sem desconto ou até com sobrepreço, </w:t>
      </w:r>
      <w:r>
        <w:rPr>
          <w:i/>
          <w:iCs/>
          <w:sz w:val="22"/>
          <w:szCs w:val="22"/>
        </w:rPr>
        <w:t>“o que não resultaria em prejuízo. Por outro lado, poderiam ter descontos altíssimos, caso em que a alteração contratual caracterizaria fraude e resultaria em apuração de débito”</w:t>
      </w:r>
      <w:r>
        <w:rPr>
          <w:sz w:val="22"/>
          <w:szCs w:val="22"/>
        </w:rPr>
        <w:t xml:space="preserve">. De qualquer forma, o percentual pequeno de supressões e o desconto de quase 30 % em relação ao preço paradigma calculado pela unidade técnica </w:t>
      </w:r>
      <w:r>
        <w:rPr>
          <w:i/>
          <w:iCs/>
          <w:sz w:val="22"/>
          <w:szCs w:val="22"/>
        </w:rPr>
        <w:t>“sugerem que não houve jogo de planilhas, nem o consequente débito a apurar”</w:t>
      </w:r>
      <w:r>
        <w:rPr>
          <w:sz w:val="22"/>
          <w:szCs w:val="22"/>
        </w:rPr>
        <w:t xml:space="preserve">. Não obstante, o relator considerou importante determinar ao Município de Itapecerica da Serra/SP que, na hipótese de aditivos contratuais em que se incluam ou se suprimam quantitativos de serviços, </w:t>
      </w:r>
      <w:r>
        <w:rPr>
          <w:i/>
          <w:iCs/>
          <w:sz w:val="22"/>
          <w:szCs w:val="22"/>
        </w:rPr>
        <w:t>“sejam calculados os descontos globais antes e depois do aditivo, para, em caso de diminuição do percentual, ser inserida no contrato parcela compensatória negativa, como forma de se dar cumprimento ao art. 112, § 6º, da Lei n.º 12.017/2009 – LDO 2010 ou ao art. 109, § 6º, da Lei n.º 11.768/2008 – LDO 2009”</w:t>
      </w:r>
      <w:r>
        <w:rPr>
          <w:sz w:val="22"/>
          <w:szCs w:val="22"/>
        </w:rPr>
        <w:t xml:space="preserve">. Para ele, tal providência também seria necessária para </w:t>
      </w:r>
      <w:r>
        <w:rPr>
          <w:i/>
          <w:iCs/>
          <w:sz w:val="22"/>
          <w:szCs w:val="22"/>
        </w:rPr>
        <w:t>“manter o equilíbrio econômico-financeiro do contrato, nos termos do art. 65, § 6º, da Lei n.º 8.666/1993, por interpretação extensiva, pois não se cogita que tal dispositivo beneficie o particular e exclua a Administração do benefício da manutenção de tal equilíbrio”</w:t>
      </w:r>
      <w:r>
        <w:rPr>
          <w:sz w:val="22"/>
          <w:szCs w:val="22"/>
        </w:rPr>
        <w:t xml:space="preserve">. O Plenário anuiu à proposta do relator. </w:t>
      </w:r>
      <w:r>
        <w:rPr>
          <w:b/>
          <w:i/>
          <w:sz w:val="22"/>
          <w:szCs w:val="22"/>
        </w:rPr>
        <w:t>Acórdão n.º 1200/2010-Plenário, TC-000.344/2010-9, rel. Min-Subst. Marcos Bemquerer Costa, 26.05.2010</w:t>
      </w:r>
      <w:r>
        <w:rPr>
          <w:sz w:val="22"/>
          <w:szCs w:val="22"/>
        </w:rPr>
        <w:t>.</w:t>
      </w:r>
    </w:p>
    <w:p w:rsidR="00AC671D" w:rsidRDefault="00AC671D">
      <w:pPr>
        <w:pStyle w:val="enter-3pt"/>
        <w:spacing w:line="240" w:lineRule="auto"/>
        <w:rPr>
          <w:sz w:val="22"/>
          <w:szCs w:val="22"/>
        </w:rPr>
      </w:pPr>
    </w:p>
    <w:p w:rsidR="003251BF" w:rsidRDefault="003251BF">
      <w:pPr>
        <w:pStyle w:val="enter-3pt"/>
        <w:spacing w:line="240" w:lineRule="auto"/>
        <w:rPr>
          <w:sz w:val="22"/>
          <w:szCs w:val="22"/>
        </w:rPr>
      </w:pPr>
    </w:p>
    <w:p w:rsidR="00AC671D" w:rsidRDefault="00AC671D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SEGUNDA CÂMARA</w:t>
      </w:r>
    </w:p>
    <w:p w:rsidR="00AC671D" w:rsidRDefault="00AC671D">
      <w:pPr>
        <w:pStyle w:val="Pargrafo"/>
        <w:jc w:val="both"/>
        <w:rPr>
          <w:sz w:val="22"/>
          <w:szCs w:val="22"/>
        </w:rPr>
      </w:pPr>
    </w:p>
    <w:p w:rsidR="00AC671D" w:rsidRDefault="00AC671D">
      <w:pPr>
        <w:pStyle w:val="indice"/>
        <w:spacing w:before="60" w:line="240" w:lineRule="auto"/>
        <w:rPr>
          <w:b/>
        </w:rPr>
      </w:pPr>
      <w:r>
        <w:rPr>
          <w:b/>
        </w:rPr>
        <w:t>Licitação para prestação de serviços: 1 - Exigência, para fim de habilitação, da apresentação de certidão negativa de débitos salariais</w:t>
      </w:r>
    </w:p>
    <w:p w:rsidR="00AC671D" w:rsidRDefault="00AC671D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Representação formulada ao TCU apontou supostas irregularidades no edital do Pregão Eletrônico n.º 61/2009, conduzido pelo Hospital Geral de Bonsucesso (HGB), destinado à contratação de empresa especializada na prestação de serviços nas áreas de transporte e remoção de pacientes, recepção e telefonia. Foi o pregoeiro chamado em audiência quanto à </w:t>
      </w:r>
      <w:r>
        <w:rPr>
          <w:i/>
          <w:sz w:val="22"/>
          <w:szCs w:val="22"/>
        </w:rPr>
        <w:t>“exigência de apresentação de certidão negativa de débitos salariais, como condição de habilitação, contida no item 48.11 do edital, em desacordo com os arts. 27 a 31 da Lei n.º 8.666/93 e com a jurisprudência desta Corte de Contas”</w:t>
      </w:r>
      <w:r>
        <w:rPr>
          <w:sz w:val="22"/>
          <w:szCs w:val="22"/>
        </w:rPr>
        <w:t xml:space="preserve">. O pregoeiro alegou, em síntese, que </w:t>
      </w:r>
      <w:r>
        <w:rPr>
          <w:i/>
          <w:sz w:val="22"/>
          <w:szCs w:val="22"/>
        </w:rPr>
        <w:t>“o inciso IV do art. 30 da Lei n.º 8.666/93 prevê a exigência de outros documentos além daqueles citados nos artigos 27 a 31”</w:t>
      </w:r>
      <w:r>
        <w:rPr>
          <w:iCs/>
          <w:sz w:val="22"/>
          <w:szCs w:val="22"/>
        </w:rPr>
        <w:t>,</w:t>
      </w:r>
      <w:r>
        <w:rPr>
          <w:sz w:val="22"/>
          <w:szCs w:val="22"/>
        </w:rPr>
        <w:t xml:space="preserve"> e que </w:t>
      </w:r>
      <w:r>
        <w:rPr>
          <w:i/>
          <w:sz w:val="22"/>
          <w:szCs w:val="22"/>
        </w:rPr>
        <w:t>“a exigência da certidão de débitos salariais é medida cautelar exercida pela Administração, no intuito de garantir o efetivo cumprimento do contrato, pois não interessa à Administração firmar contrato com empresa que descumpra a legislação trabalhista”</w:t>
      </w:r>
      <w:r>
        <w:rPr>
          <w:sz w:val="22"/>
          <w:szCs w:val="22"/>
        </w:rPr>
        <w:t xml:space="preserve">. Em sua instrução, a unidade técnica assinalou que o inciso IV do art. 30 da Lei n.º 8.666/93 diz respeito à documentação exigível para fim de </w:t>
      </w:r>
      <w:r>
        <w:rPr>
          <w:bCs/>
          <w:sz w:val="22"/>
          <w:szCs w:val="22"/>
        </w:rPr>
        <w:t>qualificação técnica</w:t>
      </w:r>
      <w:r>
        <w:rPr>
          <w:sz w:val="22"/>
          <w:szCs w:val="22"/>
        </w:rPr>
        <w:t xml:space="preserve">, não se prestando, portanto, </w:t>
      </w:r>
      <w:r>
        <w:rPr>
          <w:i/>
          <w:sz w:val="22"/>
          <w:szCs w:val="22"/>
        </w:rPr>
        <w:t>“para ampliar o rol de documentos exigíveis a título de regularidade fiscal, que são somente aqueles constantes do art. 29 da Lei de Licitações e Contratos”</w:t>
      </w:r>
      <w:r>
        <w:rPr>
          <w:sz w:val="22"/>
          <w:szCs w:val="22"/>
        </w:rPr>
        <w:t xml:space="preserve">. Afirmou, ainda, não haver, em nosso ordenamento jurídico, permissão legal para a exigência de certidão negativa de débitos trabalhistas. De acordo com a unidade instrutiva, a responsabilidade do pregoeiro decorre da decisão por ele proferida, ao examinar impugnação ao edital formulada pela empresa representante, ocasião em que se manifestou no sentido de que </w:t>
      </w:r>
      <w:r>
        <w:rPr>
          <w:i/>
          <w:sz w:val="22"/>
          <w:szCs w:val="22"/>
        </w:rPr>
        <w:t>“as exigências não restringem o caráter competitivo do certame, pois, dezenas de empresas adquiriram o edital”</w:t>
      </w:r>
      <w:r>
        <w:rPr>
          <w:iCs/>
          <w:sz w:val="22"/>
          <w:szCs w:val="22"/>
        </w:rPr>
        <w:t>.</w:t>
      </w:r>
      <w:r>
        <w:rPr>
          <w:sz w:val="22"/>
          <w:szCs w:val="22"/>
        </w:rPr>
        <w:t xml:space="preserve"> Segundo a unidade técnica, a decisão acima foi determinante para a manutenção da exigência editalícia, em desacordo com os arts. 27 a 31 da Lei n.º 8.666/93 e com a jurisprudência do TCU. Para o relator, as conclusões a que chegou a unidade técnica não mereciam reparos, exceto quanto à apenação do pregoeiro, por considerar </w:t>
      </w:r>
      <w:r>
        <w:rPr>
          <w:i/>
          <w:sz w:val="22"/>
          <w:szCs w:val="22"/>
        </w:rPr>
        <w:t>“medida de excessivo rigor”</w:t>
      </w:r>
      <w:r>
        <w:rPr>
          <w:sz w:val="22"/>
          <w:szCs w:val="22"/>
        </w:rPr>
        <w:t xml:space="preserve">. Ao final, o relator propôs e a Segunda Câmara decidiu expedir determinação corretiva ao HGB, para futuras licitações. Precedentes citados: </w:t>
      </w:r>
      <w:r>
        <w:rPr>
          <w:iCs/>
          <w:sz w:val="22"/>
          <w:szCs w:val="22"/>
        </w:rPr>
        <w:t>Acórdãos n.</w:t>
      </w:r>
      <w:r>
        <w:rPr>
          <w:iCs/>
          <w:sz w:val="22"/>
          <w:szCs w:val="22"/>
          <w:vertAlign w:val="superscript"/>
        </w:rPr>
        <w:t>os</w:t>
      </w:r>
      <w:r>
        <w:rPr>
          <w:iCs/>
          <w:sz w:val="22"/>
          <w:szCs w:val="22"/>
        </w:rPr>
        <w:t xml:space="preserve"> 1391/2009, 1899/2007, 1699/2007 e 112/2007, todos do Plenário.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Acórdão n.º 2617/2010-2ª Câmara, TC-014.411/2009-1, rel. Min. Aroldo Cedraz, 25.05.2010</w:t>
      </w:r>
      <w:r>
        <w:rPr>
          <w:sz w:val="22"/>
          <w:szCs w:val="22"/>
        </w:rPr>
        <w:t>.</w:t>
      </w:r>
    </w:p>
    <w:p w:rsidR="00AC671D" w:rsidRDefault="00AC671D">
      <w:pPr>
        <w:pStyle w:val="indice"/>
        <w:tabs>
          <w:tab w:val="left" w:pos="567"/>
        </w:tabs>
        <w:spacing w:before="60" w:line="240" w:lineRule="auto"/>
      </w:pPr>
    </w:p>
    <w:p w:rsidR="00AC671D" w:rsidRDefault="00AC671D">
      <w:pPr>
        <w:pStyle w:val="indice"/>
        <w:spacing w:before="60" w:line="240" w:lineRule="auto"/>
        <w:rPr>
          <w:b/>
        </w:rPr>
      </w:pPr>
      <w:r>
        <w:rPr>
          <w:b/>
        </w:rPr>
        <w:t>Licitação para prestação de serviços: 2 - Participação, em licitação, de empresa à qual tenha sido aplicada, por outro órgão ou entidade, a pena de suspensão temporária</w:t>
      </w:r>
    </w:p>
    <w:p w:rsidR="00AC671D" w:rsidRDefault="00AC671D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Outra suposta irregularidade apontada no edital do Pregão Eletrônico n.º 61/2009, realizado pelo Hospital Geral de Bonsucesso (HGB), foi a </w:t>
      </w:r>
      <w:r>
        <w:rPr>
          <w:i/>
          <w:sz w:val="22"/>
          <w:szCs w:val="22"/>
        </w:rPr>
        <w:t>“proibição de participação, no pregão, de empresas suspensas de contratar com a Administração Pública Federal, Estadual ou Municipal, em desacordo com o art. 87, III, da Lei nº 8.666/93, com a jurisprudência desta Corte de Contas, bem como com o art. 7º da Lei n.º 10.520/2002, restringindo indevidamente o universo de possíveis participantes na licitação”</w:t>
      </w:r>
      <w:r>
        <w:rPr>
          <w:sz w:val="22"/>
          <w:szCs w:val="22"/>
        </w:rPr>
        <w:t xml:space="preserve">. Ouvido em audiência, o pregoeiro alegou que o assunto </w:t>
      </w:r>
      <w:r>
        <w:rPr>
          <w:i/>
          <w:sz w:val="22"/>
          <w:szCs w:val="22"/>
        </w:rPr>
        <w:t>“não é pacífico, conforme jurisprudência do Superior Tribunal de Justiça em relação ao assunto (Resp 151567/RJ e Resp 174274/SP)”</w:t>
      </w:r>
      <w:r>
        <w:rPr>
          <w:sz w:val="22"/>
          <w:szCs w:val="22"/>
        </w:rPr>
        <w:t xml:space="preserve">. Para a unidade técnica, embora a jurisprudência majoritária do TCU considere que a suspensão temporária de participação em licitação, prevista no art. 87, III, da Lei nº 8.666/93, deva ser entendida como penalidade a ser cumprida apenas perante o órgão que a impôs, as razões de justificativa do responsável deveriam ser aceitas, em face da jurisprudência do STJ por ele mencionada, bem como de posicionamentos doutrinários divergentes sobre a matéria. Anuindo ao entendimento da unidade técnica, o relator propôs e a Segunda Câmara decidiu determinar ao HGB que </w:t>
      </w:r>
      <w:r>
        <w:rPr>
          <w:i/>
          <w:sz w:val="22"/>
          <w:szCs w:val="22"/>
        </w:rPr>
        <w:t>“abstenha-se de restringir, em seus certames, a participação de empresas em desfavor das quais tenha sido aplicada, por outros órgãos ou entidades, a pena de suspensão temporária, prevista no art. 87, inciso III, da Lei 8.666/1993”</w:t>
      </w:r>
      <w:r>
        <w:rPr>
          <w:sz w:val="22"/>
          <w:szCs w:val="22"/>
        </w:rPr>
        <w:t xml:space="preserve">. Precedentes citados: </w:t>
      </w:r>
      <w:r>
        <w:rPr>
          <w:iCs/>
          <w:sz w:val="22"/>
          <w:szCs w:val="22"/>
        </w:rPr>
        <w:t>Acórdão n.º 3858/2009-2ª Câmara; Acórdão n.º 1727/2006-1ª Câmara; Decisões n.</w:t>
      </w:r>
      <w:r>
        <w:rPr>
          <w:rFonts w:ascii="Times New (W1)" w:hAnsi="Times New (W1)"/>
          <w:iCs/>
          <w:sz w:val="22"/>
          <w:szCs w:val="22"/>
          <w:vertAlign w:val="superscript"/>
        </w:rPr>
        <w:t>os</w:t>
      </w:r>
      <w:r>
        <w:rPr>
          <w:iCs/>
          <w:sz w:val="22"/>
          <w:szCs w:val="22"/>
        </w:rPr>
        <w:t xml:space="preserve"> 226/2000, 369/1999 e 352/1998, todas do Plenário.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Acórdão n.º 2617/2010-2ª Câmara, TC-014.411/2009-1, rel. Min. Aroldo Cedraz, 25.05.2010</w:t>
      </w:r>
      <w:r>
        <w:rPr>
          <w:sz w:val="22"/>
          <w:szCs w:val="22"/>
        </w:rPr>
        <w:t>.</w:t>
      </w:r>
    </w:p>
    <w:p w:rsidR="00AC671D" w:rsidRDefault="00AC671D">
      <w:pPr>
        <w:pStyle w:val="Pargrafo"/>
        <w:jc w:val="both"/>
        <w:rPr>
          <w:sz w:val="22"/>
          <w:szCs w:val="22"/>
        </w:rPr>
      </w:pPr>
    </w:p>
    <w:p w:rsidR="00AC671D" w:rsidRDefault="00AC671D">
      <w:pPr>
        <w:pStyle w:val="indice"/>
        <w:tabs>
          <w:tab w:val="left" w:pos="567"/>
        </w:tabs>
        <w:spacing w:before="60" w:line="240" w:lineRule="auto"/>
        <w:rPr>
          <w:b/>
        </w:rPr>
      </w:pPr>
      <w:r>
        <w:rPr>
          <w:b/>
        </w:rPr>
        <w:t>Licitação como regra para a contratação de serviços advocatícios</w:t>
      </w:r>
    </w:p>
    <w:p w:rsidR="00AC671D" w:rsidRDefault="00AC671D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processo de prestação de contas da Companhia Energética do Piauí (Cepisa), referente ao exercício de 2002, foi a ex-presidente da entidade ouvida em audiência acerca da contratação, por inexigibilidade de licitação (art. 25, inciso II, da Lei n.º 8.666/93), de escritório para prestação de serviços de advocacia especializada, representando a contratante perante tribunais superiores sediados em Brasília – especialmente junto ao TCU –, sem que estivesse caracterizada a inviabilidade de competição. De acordo com a instrução da unidade técnica, </w:t>
      </w:r>
      <w:r>
        <w:rPr>
          <w:i/>
          <w:sz w:val="22"/>
          <w:szCs w:val="22"/>
        </w:rPr>
        <w:t>“não está demonstrada, no processo de inexigibilidade de licitação, a razão da escolha do escritório [...], em detrimento a outros escritórios de advocacia especializada existentes, à época, em Brasília. [...] Também não está justificado o preço pelo qual os serviços foram contratados (art. 26, parágrafo único, incisos II e III, da Lei n.º 8.666/93).”</w:t>
      </w:r>
      <w:r>
        <w:rPr>
          <w:sz w:val="22"/>
          <w:szCs w:val="22"/>
        </w:rPr>
        <w:t xml:space="preserve">. Segundo o relator, ainda que reconhecida a notória especialização da banca de advogados contratada, </w:t>
      </w:r>
      <w:r>
        <w:rPr>
          <w:i/>
          <w:sz w:val="22"/>
          <w:szCs w:val="22"/>
        </w:rPr>
        <w:t>“não restou demonstrada a singularidade dos serviços, requisito essencial para a contratação direta de escritório de advocacia sem licitação”</w:t>
      </w:r>
      <w:r>
        <w:rPr>
          <w:sz w:val="22"/>
          <w:szCs w:val="22"/>
        </w:rPr>
        <w:t>. Para ele, serviço singular é aquele tem uma característica especial e peculiar, aquele que, nos dizeres de Carlos Ari Sundfeld (</w:t>
      </w:r>
      <w:r>
        <w:rPr>
          <w:i/>
          <w:iCs/>
          <w:sz w:val="22"/>
          <w:szCs w:val="22"/>
        </w:rPr>
        <w:t>Licitação e Contrato Administrativo</w:t>
      </w:r>
      <w:r>
        <w:rPr>
          <w:sz w:val="22"/>
          <w:szCs w:val="22"/>
        </w:rPr>
        <w:t xml:space="preserve">. São Paulo: Malheiros, 1994, p. 45), deve </w:t>
      </w:r>
      <w:r>
        <w:rPr>
          <w:i/>
          <w:sz w:val="22"/>
          <w:szCs w:val="22"/>
        </w:rPr>
        <w:t>“trazer a marca pessoal de seu executor”</w:t>
      </w:r>
      <w:r>
        <w:rPr>
          <w:sz w:val="22"/>
          <w:szCs w:val="22"/>
        </w:rPr>
        <w:t xml:space="preserve">, o que não se teria verificado nos serviços contratados pela Cepisa. Ademais, o requisito “confiança”, aludido nos precedentes colacionados pela responsável em sua defesa, em especial do Supremo Tribunal Federal (AP 348, DJ de 03/8/2007), </w:t>
      </w:r>
      <w:r>
        <w:rPr>
          <w:iCs/>
          <w:sz w:val="22"/>
          <w:szCs w:val="22"/>
        </w:rPr>
        <w:t>não pode ser confundido</w:t>
      </w:r>
      <w:r>
        <w:rPr>
          <w:i/>
          <w:sz w:val="22"/>
          <w:szCs w:val="22"/>
        </w:rPr>
        <w:t xml:space="preserve"> “com ‘subjetividade’, devendo o gestor, em todo caso, declinar os motivos que o levaram a considerar o contratado o mais apto a prestar os serviços”</w:t>
      </w:r>
      <w:r>
        <w:rPr>
          <w:sz w:val="22"/>
          <w:szCs w:val="22"/>
        </w:rPr>
        <w:t xml:space="preserve">. Ao final, o relator propôs e a Segunda Câmara decidiu julgar irregulares as contas da ex-presidente da Cepisa, além de aplicar-lhe multa. Precedente citado: Decisão n.º 494/94-Plenário. </w:t>
      </w:r>
      <w:r>
        <w:rPr>
          <w:b/>
          <w:i/>
          <w:sz w:val="22"/>
          <w:szCs w:val="22"/>
        </w:rPr>
        <w:t>Acórdão n.º 2629/2010-2ª Câmara, TC-011.213/2003-2, rel. Min. José Jorge, 25.05.2010</w:t>
      </w:r>
      <w:r>
        <w:rPr>
          <w:sz w:val="22"/>
          <w:szCs w:val="22"/>
        </w:rPr>
        <w:t>.</w:t>
      </w:r>
    </w:p>
    <w:p w:rsidR="00AC671D" w:rsidRDefault="00AC671D">
      <w:pPr>
        <w:pStyle w:val="enter-3pt"/>
        <w:spacing w:line="240" w:lineRule="auto"/>
        <w:jc w:val="center"/>
        <w:rPr>
          <w:b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1"/>
      </w:tblGrid>
      <w:tr w:rsidR="00AC671D">
        <w:trPr>
          <w:trHeight w:val="779"/>
          <w:jc w:val="center"/>
        </w:trPr>
        <w:tc>
          <w:tcPr>
            <w:tcW w:w="0" w:type="auto"/>
            <w:vAlign w:val="center"/>
          </w:tcPr>
          <w:p w:rsidR="00AC671D" w:rsidRDefault="00AC671D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Responsáveis pelo Informativo:</w:t>
            </w:r>
          </w:p>
          <w:p w:rsidR="00AC671D" w:rsidRDefault="00AC671D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Elaboração:</w:t>
            </w:r>
            <w:r>
              <w:rPr>
                <w:i/>
                <w:sz w:val="18"/>
                <w:szCs w:val="18"/>
              </w:rPr>
              <w:t xml:space="preserve"> Luiz Felipe Bezerra Almeida Simões, Assessor da Secretaria das Sessões</w:t>
            </w:r>
          </w:p>
          <w:p w:rsidR="00AC671D" w:rsidRDefault="00AC671D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Supervisão:</w:t>
            </w:r>
            <w:r>
              <w:rPr>
                <w:i/>
                <w:sz w:val="18"/>
                <w:szCs w:val="18"/>
              </w:rPr>
              <w:t xml:space="preserve"> Odilon Cavallari de Oliveira, Secretário das Sessões</w:t>
            </w:r>
          </w:p>
          <w:p w:rsidR="00AC671D" w:rsidRDefault="00AC671D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AC671D" w:rsidRDefault="00AC671D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AC671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55" w:rsidRDefault="00967855">
      <w:pPr>
        <w:spacing w:after="0"/>
      </w:pPr>
      <w:r>
        <w:separator/>
      </w:r>
    </w:p>
  </w:endnote>
  <w:endnote w:type="continuationSeparator" w:id="0">
    <w:p w:rsidR="00967855" w:rsidRDefault="009678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1D" w:rsidRDefault="00AC671D">
    <w:pPr>
      <w:pStyle w:val="Rodap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635A4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55" w:rsidRDefault="00967855">
      <w:pPr>
        <w:spacing w:after="0"/>
      </w:pPr>
      <w:r>
        <w:separator/>
      </w:r>
    </w:p>
  </w:footnote>
  <w:footnote w:type="continuationSeparator" w:id="0">
    <w:p w:rsidR="00967855" w:rsidRDefault="009678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1D" w:rsidRDefault="00971CF7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71D">
      <w:rPr>
        <w:rFonts w:ascii="Arial" w:hAnsi="Arial" w:cs="Arial"/>
        <w:b/>
      </w:rPr>
      <w:t>TRIBUNAL DE CONTAS DA UNIÃO</w:t>
    </w:r>
  </w:p>
  <w:p w:rsidR="00AC671D" w:rsidRDefault="00971CF7">
    <w:pPr>
      <w:spacing w:after="0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B322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AC671D">
      <w:rPr>
        <w:rFonts w:ascii="Arial" w:hAnsi="Arial" w:cs="Arial"/>
        <w:noProof/>
        <w:lang w:eastAsia="pt-BR"/>
      </w:rPr>
      <w:t>Informativo de Jurisprudência sobre Licitações e Contratos nº 18</w:t>
    </w:r>
  </w:p>
  <w:p w:rsidR="00AC671D" w:rsidRDefault="00AC67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ED97E8A"/>
    <w:multiLevelType w:val="hybridMultilevel"/>
    <w:tmpl w:val="32506F32"/>
    <w:lvl w:ilvl="0" w:tplc="360CD82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96"/>
    <w:rsid w:val="0017124D"/>
    <w:rsid w:val="003251BF"/>
    <w:rsid w:val="00602396"/>
    <w:rsid w:val="00635A42"/>
    <w:rsid w:val="00967855"/>
    <w:rsid w:val="00971CF7"/>
    <w:rsid w:val="00AC671D"/>
    <w:rsid w:val="00B43B3A"/>
    <w:rsid w:val="00ED50F6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8E91D05-DA6D-4BFB-A3B1-5630AE9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semiHidden/>
  </w:style>
  <w:style w:type="paragraph" w:customStyle="1" w:styleId="RUPCorpo1">
    <w:name w:val="RUP Corpo 1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rPr>
      <w:rFonts w:eastAsia="Times New Roman"/>
      <w:sz w:val="24"/>
    </w:rPr>
  </w:style>
  <w:style w:type="paragraph" w:styleId="Recuodecorpodetexto">
    <w:name w:val="Body Text Indent"/>
    <w:basedOn w:val="Normal"/>
    <w:semiHidden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semiHidden/>
    <w:rPr>
      <w:rFonts w:eastAsia="Times New Roman"/>
      <w:sz w:val="24"/>
    </w:rPr>
  </w:style>
  <w:style w:type="paragraph" w:styleId="MapadoDocumento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semiHidden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semiHidden/>
    <w:unhideWhenUsed/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paragraph" w:styleId="Corpodetexto2">
    <w:name w:val="Body Text 2"/>
    <w:basedOn w:val="Normal"/>
    <w:semiHidden/>
    <w:unhideWhenUsed/>
    <w:pPr>
      <w:spacing w:line="480" w:lineRule="auto"/>
    </w:pPr>
  </w:style>
  <w:style w:type="character" w:customStyle="1" w:styleId="Corpodetexto2Char">
    <w:name w:val="Corpo de texto 2 Char"/>
    <w:basedOn w:val="Fontepargpadro"/>
    <w:semiHidden/>
    <w:rPr>
      <w:sz w:val="24"/>
      <w:szCs w:val="24"/>
      <w:lang w:eastAsia="en-US"/>
    </w:rPr>
  </w:style>
  <w:style w:type="character" w:styleId="Hyperlink">
    <w:name w:val="Hyperlink"/>
    <w:basedOn w:val="Fontepargpadro"/>
    <w:semiHidden/>
    <w:unhideWhenUsed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semiHidden/>
    <w:unhideWhenUsed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semiHidden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semiHidden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TCU-Ac-item9-">
    <w:name w:val="TCU - Ac - item 9 - §§"/>
    <w:basedOn w:val="TCU-RelVoto-1"/>
    <w:qFormat/>
    <w:pPr>
      <w:spacing w:after="0"/>
    </w:pPr>
  </w:style>
  <w:style w:type="paragraph" w:styleId="Subttulo">
    <w:name w:val="Subtitle"/>
    <w:basedOn w:val="Normal"/>
    <w:next w:val="Normal"/>
    <w:qFormat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4000</Words>
  <Characters>21605</Characters>
  <Application>Microsoft Office Word</Application>
  <DocSecurity>4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25554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2010-06-02T14:55:00Z</cp:lastPrinted>
  <dcterms:created xsi:type="dcterms:W3CDTF">2015-05-07T12:27:00Z</dcterms:created>
  <dcterms:modified xsi:type="dcterms:W3CDTF">2015-05-07T12:27:00Z</dcterms:modified>
</cp:coreProperties>
</file>