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A34E41"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A34E41">
        <w:rPr>
          <w:rFonts w:ascii="Times New Roman" w:hAnsi="Times New Roman"/>
          <w:b/>
          <w:i w:val="0"/>
          <w:sz w:val="22"/>
          <w:szCs w:val="22"/>
        </w:rPr>
        <w:t xml:space="preserve">Sessões: </w:t>
      </w:r>
      <w:r w:rsidR="00F01B31" w:rsidRPr="00A34E41">
        <w:rPr>
          <w:rFonts w:ascii="Times New Roman" w:hAnsi="Times New Roman"/>
          <w:b/>
          <w:i w:val="0"/>
          <w:sz w:val="22"/>
          <w:szCs w:val="22"/>
        </w:rPr>
        <w:t>1</w:t>
      </w:r>
      <w:r w:rsidR="008A2417" w:rsidRPr="00A34E41">
        <w:rPr>
          <w:rFonts w:ascii="Times New Roman" w:hAnsi="Times New Roman"/>
          <w:b/>
          <w:i w:val="0"/>
          <w:sz w:val="22"/>
          <w:szCs w:val="22"/>
        </w:rPr>
        <w:t>8</w:t>
      </w:r>
      <w:r w:rsidR="00F01B31" w:rsidRPr="00A34E41">
        <w:rPr>
          <w:rFonts w:ascii="Times New Roman" w:hAnsi="Times New Roman"/>
          <w:b/>
          <w:i w:val="0"/>
          <w:sz w:val="22"/>
          <w:szCs w:val="22"/>
        </w:rPr>
        <w:t xml:space="preserve"> e 1</w:t>
      </w:r>
      <w:r w:rsidR="008A2417" w:rsidRPr="00A34E41">
        <w:rPr>
          <w:rFonts w:ascii="Times New Roman" w:hAnsi="Times New Roman"/>
          <w:b/>
          <w:i w:val="0"/>
          <w:sz w:val="22"/>
          <w:szCs w:val="22"/>
        </w:rPr>
        <w:t>9</w:t>
      </w:r>
      <w:r w:rsidRPr="00A34E41">
        <w:rPr>
          <w:rFonts w:ascii="Times New Roman" w:hAnsi="Times New Roman"/>
          <w:b/>
          <w:i w:val="0"/>
          <w:sz w:val="22"/>
          <w:szCs w:val="22"/>
        </w:rPr>
        <w:t xml:space="preserve"> de </w:t>
      </w:r>
      <w:r w:rsidR="008341F8" w:rsidRPr="00A34E41">
        <w:rPr>
          <w:rFonts w:ascii="Times New Roman" w:hAnsi="Times New Roman"/>
          <w:b/>
          <w:i w:val="0"/>
          <w:sz w:val="22"/>
          <w:szCs w:val="22"/>
        </w:rPr>
        <w:t>ma</w:t>
      </w:r>
      <w:r w:rsidR="00F01B31" w:rsidRPr="00A34E41">
        <w:rPr>
          <w:rFonts w:ascii="Times New Roman" w:hAnsi="Times New Roman"/>
          <w:b/>
          <w:i w:val="0"/>
          <w:sz w:val="22"/>
          <w:szCs w:val="22"/>
        </w:rPr>
        <w:t>io</w:t>
      </w:r>
      <w:r w:rsidRPr="00A34E41">
        <w:rPr>
          <w:rFonts w:ascii="Times New Roman" w:hAnsi="Times New Roman"/>
          <w:b/>
          <w:i w:val="0"/>
          <w:sz w:val="22"/>
          <w:szCs w:val="22"/>
        </w:rPr>
        <w:t xml:space="preserve"> de 2010</w:t>
      </w:r>
    </w:p>
    <w:p w:rsidR="002D35F5" w:rsidRPr="00A34E41" w:rsidRDefault="002D35F5" w:rsidP="00337E16">
      <w:pPr>
        <w:pStyle w:val="Corpodetexto2"/>
        <w:spacing w:after="0" w:line="240" w:lineRule="auto"/>
        <w:ind w:left="0"/>
        <w:rPr>
          <w:sz w:val="22"/>
          <w:szCs w:val="22"/>
        </w:rPr>
      </w:pPr>
      <w:r w:rsidRPr="00A34E41">
        <w:rPr>
          <w:sz w:val="22"/>
          <w:szCs w:val="22"/>
        </w:rPr>
        <w:t>Este Informativo, elaborado a partir das deliberações tomadas pelo Tribunal nas sessões de julgamento das Câmaras e do Plenário, contém resumos de algumas decisões proferidas na</w:t>
      </w:r>
      <w:r w:rsidR="000562CD" w:rsidRPr="00A34E41">
        <w:rPr>
          <w:sz w:val="22"/>
          <w:szCs w:val="22"/>
        </w:rPr>
        <w:t>(</w:t>
      </w:r>
      <w:r w:rsidRPr="00A34E41">
        <w:rPr>
          <w:sz w:val="22"/>
          <w:szCs w:val="22"/>
        </w:rPr>
        <w:t>s</w:t>
      </w:r>
      <w:r w:rsidR="000562CD" w:rsidRPr="00A34E41">
        <w:rPr>
          <w:sz w:val="22"/>
          <w:szCs w:val="22"/>
        </w:rPr>
        <w:t>)</w:t>
      </w:r>
      <w:r w:rsidRPr="00A34E41">
        <w:rPr>
          <w:sz w:val="22"/>
          <w:szCs w:val="22"/>
        </w:rPr>
        <w:t xml:space="preserve"> data</w:t>
      </w:r>
      <w:r w:rsidR="000562CD" w:rsidRPr="00A34E41">
        <w:rPr>
          <w:sz w:val="22"/>
          <w:szCs w:val="22"/>
        </w:rPr>
        <w:t>(</w:t>
      </w:r>
      <w:r w:rsidRPr="00A34E41">
        <w:rPr>
          <w:sz w:val="22"/>
          <w:szCs w:val="22"/>
        </w:rPr>
        <w:t>s</w:t>
      </w:r>
      <w:r w:rsidR="000562CD" w:rsidRPr="00A34E41">
        <w:rPr>
          <w:sz w:val="22"/>
          <w:szCs w:val="22"/>
        </w:rPr>
        <w:t>)</w:t>
      </w:r>
      <w:r w:rsidRPr="00A34E41">
        <w:rPr>
          <w:sz w:val="22"/>
          <w:szCs w:val="22"/>
        </w:rPr>
        <w:t xml:space="preserve"> acima indicada</w:t>
      </w:r>
      <w:r w:rsidR="000562CD" w:rsidRPr="00A34E41">
        <w:rPr>
          <w:sz w:val="22"/>
          <w:szCs w:val="22"/>
        </w:rPr>
        <w:t>(</w:t>
      </w:r>
      <w:r w:rsidRPr="00A34E41">
        <w:rPr>
          <w:sz w:val="22"/>
          <w:szCs w:val="22"/>
        </w:rPr>
        <w:t>s</w:t>
      </w:r>
      <w:r w:rsidR="000562CD" w:rsidRPr="00A34E41">
        <w:rPr>
          <w:sz w:val="22"/>
          <w:szCs w:val="22"/>
        </w:rPr>
        <w:t>)</w:t>
      </w:r>
      <w:r w:rsidRPr="00A34E41">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A34E41" w:rsidRDefault="00FF7C62" w:rsidP="00337E16">
      <w:pPr>
        <w:pStyle w:val="Corpodetexto2"/>
        <w:spacing w:after="0" w:line="240" w:lineRule="auto"/>
        <w:ind w:left="0"/>
        <w:rPr>
          <w:sz w:val="22"/>
          <w:szCs w:val="22"/>
        </w:rPr>
      </w:pPr>
    </w:p>
    <w:p w:rsidR="002D35F5" w:rsidRPr="00A34E41" w:rsidRDefault="002D35F5" w:rsidP="00337E16">
      <w:pPr>
        <w:pBdr>
          <w:top w:val="threeDEmboss" w:sz="24" w:space="0" w:color="auto"/>
        </w:pBdr>
        <w:tabs>
          <w:tab w:val="left" w:pos="284"/>
        </w:tabs>
        <w:spacing w:after="0"/>
        <w:ind w:left="0"/>
        <w:jc w:val="center"/>
        <w:rPr>
          <w:b/>
          <w:bCs/>
          <w:smallCaps/>
          <w:sz w:val="22"/>
          <w:szCs w:val="22"/>
        </w:rPr>
      </w:pPr>
      <w:r w:rsidRPr="00A34E41">
        <w:rPr>
          <w:b/>
          <w:bCs/>
          <w:smallCaps/>
          <w:sz w:val="22"/>
          <w:szCs w:val="22"/>
        </w:rPr>
        <w:t>S</w:t>
      </w:r>
      <w:r w:rsidR="00FF7C62" w:rsidRPr="00A34E41">
        <w:rPr>
          <w:b/>
          <w:bCs/>
          <w:smallCaps/>
          <w:sz w:val="22"/>
          <w:szCs w:val="22"/>
        </w:rPr>
        <w:t>UMÁRIO</w:t>
      </w:r>
    </w:p>
    <w:p w:rsidR="009444E6" w:rsidRPr="00A34E41" w:rsidRDefault="009444E6" w:rsidP="00337E16">
      <w:pPr>
        <w:pStyle w:val="tita"/>
        <w:spacing w:before="45" w:after="0" w:line="240" w:lineRule="auto"/>
        <w:jc w:val="both"/>
        <w:rPr>
          <w:i w:val="0"/>
          <w:iCs w:val="0"/>
          <w:sz w:val="22"/>
          <w:szCs w:val="22"/>
        </w:rPr>
      </w:pPr>
      <w:r w:rsidRPr="00A34E41">
        <w:rPr>
          <w:i w:val="0"/>
          <w:iCs w:val="0"/>
          <w:sz w:val="22"/>
          <w:szCs w:val="22"/>
        </w:rPr>
        <w:t>Plenário</w:t>
      </w:r>
    </w:p>
    <w:p w:rsidR="0020066F" w:rsidRPr="00A34E41" w:rsidRDefault="0020066F" w:rsidP="0058427E">
      <w:pPr>
        <w:pStyle w:val="enter-3pt"/>
        <w:spacing w:before="60" w:line="240" w:lineRule="auto"/>
        <w:rPr>
          <w:sz w:val="22"/>
          <w:szCs w:val="22"/>
        </w:rPr>
      </w:pPr>
      <w:r w:rsidRPr="00A34E41">
        <w:rPr>
          <w:sz w:val="22"/>
          <w:szCs w:val="22"/>
        </w:rPr>
        <w:t>Pregão, em sua forma eletrônica, como regra para a contratação de bens e serviços comuns.</w:t>
      </w:r>
    </w:p>
    <w:p w:rsidR="0020066F" w:rsidRPr="00A34E41" w:rsidRDefault="008F2902" w:rsidP="0058427E">
      <w:pPr>
        <w:pStyle w:val="enter-3pt"/>
        <w:spacing w:before="60" w:line="240" w:lineRule="auto"/>
        <w:rPr>
          <w:sz w:val="22"/>
          <w:szCs w:val="22"/>
        </w:rPr>
      </w:pPr>
      <w:r w:rsidRPr="00A34E41">
        <w:rPr>
          <w:sz w:val="22"/>
          <w:szCs w:val="22"/>
        </w:rPr>
        <w:t>Necessidade de a contratada manter, durante a vigência do contrato, as mesmas condições da proposta por ela apresentada, em especial a qualificação da equipe técnica</w:t>
      </w:r>
      <w:r w:rsidR="0020066F" w:rsidRPr="00A34E41">
        <w:rPr>
          <w:sz w:val="22"/>
          <w:szCs w:val="22"/>
        </w:rPr>
        <w:t>.</w:t>
      </w:r>
    </w:p>
    <w:p w:rsidR="0020066F" w:rsidRPr="00A34E41" w:rsidRDefault="0020066F" w:rsidP="0058427E">
      <w:pPr>
        <w:pStyle w:val="enter-3pt"/>
        <w:spacing w:before="60" w:line="240" w:lineRule="auto"/>
        <w:rPr>
          <w:sz w:val="22"/>
          <w:szCs w:val="22"/>
        </w:rPr>
      </w:pPr>
      <w:r w:rsidRPr="00A34E41">
        <w:rPr>
          <w:sz w:val="22"/>
          <w:szCs w:val="22"/>
        </w:rPr>
        <w:t xml:space="preserve">Adoção reiterada, pela Petrobras, da modalidade convite </w:t>
      </w:r>
      <w:r w:rsidR="008F2902" w:rsidRPr="00A34E41">
        <w:rPr>
          <w:sz w:val="22"/>
          <w:szCs w:val="22"/>
        </w:rPr>
        <w:t>em situações não previstas</w:t>
      </w:r>
      <w:r w:rsidRPr="00A34E41">
        <w:rPr>
          <w:sz w:val="22"/>
          <w:szCs w:val="22"/>
        </w:rPr>
        <w:t xml:space="preserve"> </w:t>
      </w:r>
      <w:r w:rsidR="001104BA" w:rsidRPr="00A34E41">
        <w:rPr>
          <w:sz w:val="22"/>
          <w:szCs w:val="22"/>
        </w:rPr>
        <w:t>na Lei n.º 8.666/93</w:t>
      </w:r>
      <w:r w:rsidRPr="00A34E41">
        <w:rPr>
          <w:sz w:val="22"/>
          <w:szCs w:val="22"/>
        </w:rPr>
        <w:t>.</w:t>
      </w:r>
    </w:p>
    <w:p w:rsidR="0020066F" w:rsidRPr="00A34E41" w:rsidRDefault="0020066F" w:rsidP="0058427E">
      <w:pPr>
        <w:pStyle w:val="enter-3pt"/>
        <w:spacing w:before="60" w:line="240" w:lineRule="auto"/>
        <w:rPr>
          <w:sz w:val="22"/>
          <w:szCs w:val="22"/>
        </w:rPr>
      </w:pPr>
      <w:r w:rsidRPr="00A34E41">
        <w:rPr>
          <w:sz w:val="22"/>
          <w:szCs w:val="22"/>
        </w:rPr>
        <w:t xml:space="preserve">Contratação direta, sem licitação, </w:t>
      </w:r>
      <w:r w:rsidR="00AF09C7" w:rsidRPr="00A34E41">
        <w:rPr>
          <w:sz w:val="22"/>
          <w:szCs w:val="22"/>
        </w:rPr>
        <w:t>para a</w:t>
      </w:r>
      <w:r w:rsidR="00CA6716" w:rsidRPr="00A34E41">
        <w:rPr>
          <w:sz w:val="22"/>
          <w:szCs w:val="22"/>
        </w:rPr>
        <w:t xml:space="preserve"> realização</w:t>
      </w:r>
      <w:r w:rsidRPr="00A34E41">
        <w:rPr>
          <w:sz w:val="22"/>
          <w:szCs w:val="22"/>
        </w:rPr>
        <w:t xml:space="preserve"> de concurso </w:t>
      </w:r>
      <w:r w:rsidR="00AF09C7" w:rsidRPr="00A34E41">
        <w:rPr>
          <w:sz w:val="22"/>
          <w:szCs w:val="22"/>
        </w:rPr>
        <w:t>com vistas ao</w:t>
      </w:r>
      <w:r w:rsidR="0056301A" w:rsidRPr="00A34E41">
        <w:rPr>
          <w:sz w:val="22"/>
          <w:szCs w:val="22"/>
        </w:rPr>
        <w:t xml:space="preserve"> provimento de cargos ou empregos públicos</w:t>
      </w:r>
      <w:r w:rsidRPr="00A34E41">
        <w:rPr>
          <w:sz w:val="22"/>
          <w:szCs w:val="22"/>
        </w:rPr>
        <w:t>.</w:t>
      </w:r>
    </w:p>
    <w:p w:rsidR="00981FA0" w:rsidRPr="00A34E41" w:rsidRDefault="00D3447D" w:rsidP="0058427E">
      <w:pPr>
        <w:pStyle w:val="enter-3pt"/>
        <w:spacing w:before="60" w:line="240" w:lineRule="auto"/>
        <w:rPr>
          <w:sz w:val="22"/>
          <w:szCs w:val="22"/>
        </w:rPr>
      </w:pPr>
      <w:r w:rsidRPr="00A34E41">
        <w:rPr>
          <w:sz w:val="22"/>
          <w:szCs w:val="22"/>
        </w:rPr>
        <w:t>E</w:t>
      </w:r>
      <w:r w:rsidR="008501A4" w:rsidRPr="00A34E41">
        <w:rPr>
          <w:sz w:val="22"/>
          <w:szCs w:val="22"/>
        </w:rPr>
        <w:t xml:space="preserve">xigências </w:t>
      </w:r>
      <w:r w:rsidRPr="00A34E41">
        <w:rPr>
          <w:sz w:val="22"/>
          <w:szCs w:val="22"/>
        </w:rPr>
        <w:t>editalícias restritivas ao caráter competitivo da licitação e prática de ato antieconômico</w:t>
      </w:r>
      <w:r w:rsidR="00114511" w:rsidRPr="00A34E41">
        <w:rPr>
          <w:sz w:val="22"/>
          <w:szCs w:val="22"/>
        </w:rPr>
        <w:t>.</w:t>
      </w:r>
    </w:p>
    <w:p w:rsidR="003A5479" w:rsidRPr="00A34E41" w:rsidRDefault="00355828" w:rsidP="0058427E">
      <w:pPr>
        <w:pStyle w:val="enter-3pt"/>
        <w:spacing w:before="60" w:line="240" w:lineRule="auto"/>
        <w:rPr>
          <w:sz w:val="22"/>
          <w:szCs w:val="22"/>
        </w:rPr>
      </w:pPr>
      <w:r w:rsidRPr="00A34E41">
        <w:rPr>
          <w:sz w:val="22"/>
          <w:szCs w:val="22"/>
        </w:rPr>
        <w:t xml:space="preserve">Inclusão dos tributos </w:t>
      </w:r>
      <w:r w:rsidR="003A5479" w:rsidRPr="00A34E41">
        <w:rPr>
          <w:sz w:val="22"/>
          <w:szCs w:val="22"/>
        </w:rPr>
        <w:t xml:space="preserve">IRPJ </w:t>
      </w:r>
      <w:r w:rsidRPr="00A34E41">
        <w:rPr>
          <w:sz w:val="22"/>
          <w:szCs w:val="22"/>
        </w:rPr>
        <w:t xml:space="preserve">– Imposto de Renda Pessoa Jurídica </w:t>
      </w:r>
      <w:r w:rsidR="003A5479" w:rsidRPr="00A34E41">
        <w:rPr>
          <w:sz w:val="22"/>
          <w:szCs w:val="22"/>
        </w:rPr>
        <w:t>e CSLL</w:t>
      </w:r>
      <w:r w:rsidRPr="00A34E41">
        <w:rPr>
          <w:sz w:val="22"/>
          <w:szCs w:val="22"/>
        </w:rPr>
        <w:t xml:space="preserve"> – Contribuição Social Sobre o Lucro Líquido</w:t>
      </w:r>
      <w:r w:rsidR="003A5479" w:rsidRPr="00A34E41">
        <w:rPr>
          <w:sz w:val="22"/>
          <w:szCs w:val="22"/>
        </w:rPr>
        <w:t xml:space="preserve"> </w:t>
      </w:r>
      <w:r w:rsidR="008A751E" w:rsidRPr="00A34E41">
        <w:rPr>
          <w:sz w:val="22"/>
          <w:szCs w:val="22"/>
        </w:rPr>
        <w:t>na composição</w:t>
      </w:r>
      <w:r w:rsidRPr="00A34E41">
        <w:rPr>
          <w:sz w:val="22"/>
          <w:szCs w:val="22"/>
        </w:rPr>
        <w:t xml:space="preserve"> do</w:t>
      </w:r>
      <w:r w:rsidR="003A5479" w:rsidRPr="00A34E41">
        <w:rPr>
          <w:sz w:val="22"/>
          <w:szCs w:val="22"/>
        </w:rPr>
        <w:t xml:space="preserve"> BDI</w:t>
      </w:r>
      <w:r w:rsidRPr="00A34E41">
        <w:rPr>
          <w:sz w:val="22"/>
          <w:szCs w:val="22"/>
        </w:rPr>
        <w:t xml:space="preserve"> – Benefícios e Despesas Indiretas</w:t>
      </w:r>
      <w:r w:rsidR="005C1A79" w:rsidRPr="00A34E41">
        <w:rPr>
          <w:sz w:val="22"/>
          <w:szCs w:val="22"/>
        </w:rPr>
        <w:t>.</w:t>
      </w:r>
    </w:p>
    <w:p w:rsidR="00A9704A" w:rsidRPr="00A34E41" w:rsidRDefault="00A9704A" w:rsidP="0058427E">
      <w:pPr>
        <w:pStyle w:val="enter-3pt"/>
        <w:spacing w:before="60" w:line="240" w:lineRule="auto"/>
        <w:rPr>
          <w:sz w:val="22"/>
          <w:szCs w:val="22"/>
        </w:rPr>
      </w:pPr>
      <w:r w:rsidRPr="00A34E41">
        <w:rPr>
          <w:sz w:val="22"/>
          <w:szCs w:val="22"/>
        </w:rPr>
        <w:t xml:space="preserve">Manutenção, </w:t>
      </w:r>
      <w:r w:rsidR="00CC42D4" w:rsidRPr="00A34E41">
        <w:rPr>
          <w:sz w:val="22"/>
          <w:szCs w:val="22"/>
        </w:rPr>
        <w:t>em</w:t>
      </w:r>
      <w:r w:rsidRPr="00A34E41">
        <w:rPr>
          <w:sz w:val="22"/>
          <w:szCs w:val="22"/>
        </w:rPr>
        <w:t xml:space="preserve"> aditivo de aumento de quantitativos, do </w:t>
      </w:r>
      <w:r w:rsidR="00C54B14" w:rsidRPr="00A34E41">
        <w:rPr>
          <w:sz w:val="22"/>
          <w:szCs w:val="22"/>
        </w:rPr>
        <w:t xml:space="preserve">percentual de </w:t>
      </w:r>
      <w:r w:rsidRPr="00A34E41">
        <w:rPr>
          <w:sz w:val="22"/>
          <w:szCs w:val="22"/>
        </w:rPr>
        <w:t>desconto ofertado pela contratada</w:t>
      </w:r>
      <w:r w:rsidR="0096021A" w:rsidRPr="00A34E41">
        <w:rPr>
          <w:sz w:val="22"/>
          <w:szCs w:val="22"/>
        </w:rPr>
        <w:t xml:space="preserve"> no</w:t>
      </w:r>
      <w:r w:rsidR="00C54B14" w:rsidRPr="00A34E41">
        <w:rPr>
          <w:sz w:val="22"/>
          <w:szCs w:val="22"/>
        </w:rPr>
        <w:t xml:space="preserve"> </w:t>
      </w:r>
      <w:r w:rsidRPr="00A34E41">
        <w:rPr>
          <w:sz w:val="22"/>
          <w:szCs w:val="22"/>
        </w:rPr>
        <w:t>preço global</w:t>
      </w:r>
      <w:r w:rsidR="0096021A" w:rsidRPr="00A34E41">
        <w:rPr>
          <w:sz w:val="22"/>
          <w:szCs w:val="22"/>
        </w:rPr>
        <w:t xml:space="preserve"> inicialmente ajustado</w:t>
      </w:r>
      <w:r w:rsidRPr="00A34E41">
        <w:rPr>
          <w:sz w:val="22"/>
          <w:szCs w:val="22"/>
        </w:rPr>
        <w:t>.</w:t>
      </w:r>
    </w:p>
    <w:p w:rsidR="009444E6" w:rsidRPr="00A34E41" w:rsidRDefault="008A2417" w:rsidP="0058427E">
      <w:pPr>
        <w:pStyle w:val="tita"/>
        <w:spacing w:before="60" w:after="0" w:line="240" w:lineRule="auto"/>
        <w:jc w:val="both"/>
        <w:rPr>
          <w:i w:val="0"/>
          <w:iCs w:val="0"/>
          <w:sz w:val="22"/>
          <w:szCs w:val="22"/>
        </w:rPr>
      </w:pPr>
      <w:r w:rsidRPr="00A34E41">
        <w:rPr>
          <w:i w:val="0"/>
          <w:iCs w:val="0"/>
          <w:sz w:val="22"/>
          <w:szCs w:val="22"/>
        </w:rPr>
        <w:t>Primeira</w:t>
      </w:r>
      <w:r w:rsidR="009444E6" w:rsidRPr="00A34E41">
        <w:rPr>
          <w:i w:val="0"/>
          <w:iCs w:val="0"/>
          <w:sz w:val="22"/>
          <w:szCs w:val="22"/>
        </w:rPr>
        <w:t xml:space="preserve"> Câmara</w:t>
      </w:r>
    </w:p>
    <w:p w:rsidR="00C711E5" w:rsidRPr="00A34E41" w:rsidRDefault="00C711E5" w:rsidP="0058427E">
      <w:pPr>
        <w:pStyle w:val="enter-3pt"/>
        <w:spacing w:before="60" w:line="240" w:lineRule="auto"/>
        <w:rPr>
          <w:sz w:val="22"/>
          <w:szCs w:val="22"/>
        </w:rPr>
      </w:pPr>
      <w:r w:rsidRPr="00A34E41">
        <w:rPr>
          <w:sz w:val="22"/>
          <w:szCs w:val="22"/>
        </w:rPr>
        <w:t xml:space="preserve">Repactuação de </w:t>
      </w:r>
      <w:r w:rsidR="009D5445" w:rsidRPr="00A34E41">
        <w:rPr>
          <w:sz w:val="22"/>
          <w:szCs w:val="22"/>
        </w:rPr>
        <w:t>valores</w:t>
      </w:r>
      <w:r w:rsidRPr="00A34E41">
        <w:rPr>
          <w:sz w:val="22"/>
          <w:szCs w:val="22"/>
        </w:rPr>
        <w:t xml:space="preserve"> para itens não cotados, ou cotados a menor, na planilha de preços da empresa vencedora da licitação.</w:t>
      </w:r>
    </w:p>
    <w:p w:rsidR="00EB7CB1" w:rsidRPr="00A34E41" w:rsidRDefault="00DA6858" w:rsidP="0058427E">
      <w:pPr>
        <w:pStyle w:val="indice"/>
        <w:spacing w:before="60" w:line="240" w:lineRule="auto"/>
      </w:pPr>
      <w:r w:rsidRPr="00A34E41">
        <w:t>Contratação d</w:t>
      </w:r>
      <w:r w:rsidR="00E247E2" w:rsidRPr="00A34E41">
        <w:t>as</w:t>
      </w:r>
      <w:r w:rsidRPr="00A34E41">
        <w:t xml:space="preserve"> fundaç</w:t>
      </w:r>
      <w:r w:rsidR="00E247E2" w:rsidRPr="00A34E41">
        <w:t xml:space="preserve">ões </w:t>
      </w:r>
      <w:r w:rsidRPr="00A34E41">
        <w:t>de apoio, por dispensa de licitação, com base no art. 24, XIII, da Lei n.º 8.666/93</w:t>
      </w:r>
      <w:r w:rsidR="00EB7CB1" w:rsidRPr="00A34E41">
        <w:t>:</w:t>
      </w:r>
    </w:p>
    <w:p w:rsidR="00EB7CB1" w:rsidRPr="00A34E41" w:rsidRDefault="00EB7CB1" w:rsidP="0058427E">
      <w:pPr>
        <w:pStyle w:val="indice"/>
        <w:tabs>
          <w:tab w:val="left" w:pos="567"/>
        </w:tabs>
        <w:spacing w:before="60" w:line="240" w:lineRule="auto"/>
      </w:pPr>
      <w:r w:rsidRPr="00A34E41">
        <w:tab/>
        <w:t xml:space="preserve">1 </w:t>
      </w:r>
      <w:r w:rsidR="00E247E2" w:rsidRPr="00A34E41">
        <w:t>-</w:t>
      </w:r>
      <w:r w:rsidRPr="00A34E41">
        <w:t xml:space="preserve"> </w:t>
      </w:r>
      <w:r w:rsidR="00E247E2" w:rsidRPr="00A34E41">
        <w:t>Necessidade de o o</w:t>
      </w:r>
      <w:r w:rsidR="00DA6858" w:rsidRPr="00A34E41">
        <w:t xml:space="preserve">bjeto </w:t>
      </w:r>
      <w:r w:rsidR="00E73271" w:rsidRPr="00A34E41">
        <w:t xml:space="preserve">contratado </w:t>
      </w:r>
      <w:r w:rsidR="00E247E2" w:rsidRPr="00A34E41">
        <w:t xml:space="preserve">estar </w:t>
      </w:r>
      <w:r w:rsidR="00DA6858" w:rsidRPr="00A34E41">
        <w:t>relacionado a ensino, pesquisa ou desenvolvimento institucional</w:t>
      </w:r>
      <w:r w:rsidRPr="00A34E41">
        <w:t>;</w:t>
      </w:r>
    </w:p>
    <w:p w:rsidR="00DA6858" w:rsidRPr="00A34E41" w:rsidRDefault="00DA6858" w:rsidP="0058427E">
      <w:pPr>
        <w:pStyle w:val="indice"/>
        <w:tabs>
          <w:tab w:val="left" w:pos="567"/>
        </w:tabs>
        <w:spacing w:before="60" w:line="240" w:lineRule="auto"/>
      </w:pPr>
      <w:r w:rsidRPr="00A34E41">
        <w:tab/>
      </w:r>
      <w:r w:rsidR="00176375" w:rsidRPr="00A34E41">
        <w:t>2</w:t>
      </w:r>
      <w:r w:rsidRPr="00A34E41">
        <w:t xml:space="preserve"> </w:t>
      </w:r>
      <w:r w:rsidR="00E247E2" w:rsidRPr="00A34E41">
        <w:t>-</w:t>
      </w:r>
      <w:r w:rsidRPr="00A34E41">
        <w:t xml:space="preserve"> Responsabilidade</w:t>
      </w:r>
      <w:r w:rsidR="00E247E2" w:rsidRPr="00A34E41">
        <w:t>, perante o TCU,</w:t>
      </w:r>
      <w:r w:rsidRPr="00A34E41">
        <w:t xml:space="preserve"> do parecerista jurídico</w:t>
      </w:r>
      <w:r w:rsidR="00E247E2" w:rsidRPr="00A34E41">
        <w:t xml:space="preserve"> que se manifesta pela legitimidade da contratação</w:t>
      </w:r>
      <w:r w:rsidRPr="00A34E41">
        <w:t>.</w:t>
      </w:r>
    </w:p>
    <w:p w:rsidR="003275E4" w:rsidRPr="00A34E41" w:rsidRDefault="003275E4" w:rsidP="0058427E">
      <w:pPr>
        <w:pStyle w:val="indice"/>
        <w:spacing w:before="60" w:line="240" w:lineRule="auto"/>
      </w:pPr>
      <w:r w:rsidRPr="00A34E41">
        <w:t>Licitação para aquisição de bens:</w:t>
      </w:r>
    </w:p>
    <w:p w:rsidR="003275E4" w:rsidRPr="00A34E41" w:rsidRDefault="003275E4" w:rsidP="0058427E">
      <w:pPr>
        <w:pStyle w:val="indice"/>
        <w:tabs>
          <w:tab w:val="left" w:pos="567"/>
        </w:tabs>
        <w:spacing w:before="60" w:line="240" w:lineRule="auto"/>
      </w:pPr>
      <w:r w:rsidRPr="00A34E41">
        <w:tab/>
        <w:t>1 - Fracionamento de despesa</w:t>
      </w:r>
      <w:r w:rsidR="004B1DC3" w:rsidRPr="00A34E41">
        <w:t xml:space="preserve">s para </w:t>
      </w:r>
      <w:r w:rsidR="00810CC2" w:rsidRPr="00A34E41">
        <w:t>a não</w:t>
      </w:r>
      <w:r w:rsidR="004B1DC3" w:rsidRPr="00A34E41">
        <w:t xml:space="preserve"> realização de licitação, ou para a não adoção da modalidade licitatória adequada</w:t>
      </w:r>
      <w:r w:rsidRPr="00A34E41">
        <w:t>;</w:t>
      </w:r>
    </w:p>
    <w:p w:rsidR="003275E4" w:rsidRPr="00A34E41" w:rsidRDefault="003275E4" w:rsidP="0058427E">
      <w:pPr>
        <w:pStyle w:val="indice"/>
        <w:tabs>
          <w:tab w:val="left" w:pos="567"/>
        </w:tabs>
        <w:spacing w:before="60" w:line="240" w:lineRule="auto"/>
      </w:pPr>
      <w:r w:rsidRPr="00A34E41">
        <w:tab/>
        <w:t xml:space="preserve">2 </w:t>
      </w:r>
      <w:r w:rsidR="00151F92" w:rsidRPr="00A34E41">
        <w:t>-</w:t>
      </w:r>
      <w:r w:rsidRPr="00A34E41">
        <w:t xml:space="preserve"> </w:t>
      </w:r>
      <w:r w:rsidR="00151F92" w:rsidRPr="00A34E41">
        <w:t xml:space="preserve">Descrição do objeto de forma a atender às necessidades específicas da entidade </w:t>
      </w:r>
      <w:r w:rsidR="009E0FB3" w:rsidRPr="00A34E41">
        <w:t>promotora do certame</w:t>
      </w:r>
      <w:r w:rsidRPr="00A34E41">
        <w:t>.</w:t>
      </w:r>
    </w:p>
    <w:p w:rsidR="008A2417" w:rsidRPr="00A34E41" w:rsidRDefault="008A2417" w:rsidP="0058427E">
      <w:pPr>
        <w:pStyle w:val="tita"/>
        <w:spacing w:before="60" w:after="0" w:line="240" w:lineRule="auto"/>
        <w:jc w:val="both"/>
        <w:rPr>
          <w:i w:val="0"/>
          <w:iCs w:val="0"/>
          <w:sz w:val="22"/>
          <w:szCs w:val="22"/>
        </w:rPr>
      </w:pPr>
      <w:r w:rsidRPr="00A34E41">
        <w:rPr>
          <w:i w:val="0"/>
          <w:iCs w:val="0"/>
          <w:sz w:val="22"/>
          <w:szCs w:val="22"/>
        </w:rPr>
        <w:t>Segunda Câmara</w:t>
      </w:r>
    </w:p>
    <w:p w:rsidR="008A2417" w:rsidRPr="00A34E41" w:rsidRDefault="00D51F18" w:rsidP="0058427E">
      <w:pPr>
        <w:pStyle w:val="enter-3pt"/>
        <w:spacing w:before="60" w:line="240" w:lineRule="auto"/>
        <w:rPr>
          <w:sz w:val="22"/>
          <w:szCs w:val="22"/>
        </w:rPr>
      </w:pPr>
      <w:r w:rsidRPr="00A34E41">
        <w:rPr>
          <w:sz w:val="22"/>
          <w:szCs w:val="22"/>
        </w:rPr>
        <w:t>Contratação de empresa cujos sócios são servidores públicos</w:t>
      </w:r>
      <w:r w:rsidR="00114511" w:rsidRPr="00A34E41">
        <w:rPr>
          <w:sz w:val="22"/>
          <w:szCs w:val="22"/>
        </w:rPr>
        <w:t>.</w:t>
      </w:r>
    </w:p>
    <w:p w:rsidR="003C6DEB" w:rsidRPr="00A34E41" w:rsidRDefault="003C6DEB" w:rsidP="00337E16">
      <w:pPr>
        <w:pStyle w:val="indice"/>
        <w:spacing w:line="240" w:lineRule="auto"/>
      </w:pPr>
    </w:p>
    <w:p w:rsidR="003C6DEB" w:rsidRPr="00A34E41" w:rsidRDefault="003C6DEB" w:rsidP="00337E16">
      <w:pPr>
        <w:pBdr>
          <w:top w:val="threeDEmboss" w:sz="24" w:space="0" w:color="auto"/>
        </w:pBdr>
        <w:tabs>
          <w:tab w:val="left" w:pos="284"/>
        </w:tabs>
        <w:spacing w:after="0"/>
        <w:ind w:left="0"/>
        <w:jc w:val="center"/>
        <w:rPr>
          <w:b/>
          <w:bCs/>
          <w:smallCaps/>
          <w:sz w:val="22"/>
          <w:szCs w:val="22"/>
        </w:rPr>
      </w:pPr>
      <w:r w:rsidRPr="00A34E41">
        <w:rPr>
          <w:b/>
          <w:bCs/>
          <w:smallCaps/>
          <w:sz w:val="22"/>
          <w:szCs w:val="22"/>
        </w:rPr>
        <w:t>PLENÁRIO</w:t>
      </w:r>
    </w:p>
    <w:p w:rsidR="003C6DEB" w:rsidRPr="00A34E41" w:rsidRDefault="003C6DEB" w:rsidP="00337E16">
      <w:pPr>
        <w:pStyle w:val="tita"/>
        <w:spacing w:before="0" w:after="0" w:line="240" w:lineRule="auto"/>
        <w:jc w:val="both"/>
        <w:rPr>
          <w:i w:val="0"/>
          <w:iCs w:val="0"/>
          <w:sz w:val="22"/>
          <w:szCs w:val="22"/>
        </w:rPr>
      </w:pPr>
    </w:p>
    <w:p w:rsidR="00F30016" w:rsidRPr="00A34E41" w:rsidRDefault="00F30016" w:rsidP="00F30016">
      <w:pPr>
        <w:pStyle w:val="indice"/>
        <w:tabs>
          <w:tab w:val="left" w:pos="567"/>
        </w:tabs>
        <w:spacing w:line="240" w:lineRule="auto"/>
        <w:rPr>
          <w:b/>
        </w:rPr>
      </w:pPr>
      <w:r w:rsidRPr="00A34E41">
        <w:rPr>
          <w:b/>
        </w:rPr>
        <w:t>Pregão, em sua forma eletrônica, como regra para a contratação de bens e serviços comuns</w:t>
      </w:r>
    </w:p>
    <w:p w:rsidR="00F30016" w:rsidRPr="00A34E41" w:rsidRDefault="00F30016" w:rsidP="00F30016">
      <w:pPr>
        <w:pStyle w:val="Pargrafo"/>
        <w:jc w:val="both"/>
        <w:rPr>
          <w:sz w:val="22"/>
          <w:szCs w:val="22"/>
        </w:rPr>
      </w:pPr>
      <w:r w:rsidRPr="00A34E41">
        <w:rPr>
          <w:sz w:val="22"/>
          <w:szCs w:val="22"/>
        </w:rPr>
        <w:t>Representação formulada ao TCU apontou supostas irregularidades na condução, pelo Ministério da Pesca e Aquicultura</w:t>
      </w:r>
      <w:r w:rsidR="002663B7" w:rsidRPr="00A34E41">
        <w:rPr>
          <w:sz w:val="22"/>
          <w:szCs w:val="22"/>
        </w:rPr>
        <w:t xml:space="preserve"> (MPA)</w:t>
      </w:r>
      <w:r w:rsidRPr="00A34E41">
        <w:rPr>
          <w:sz w:val="22"/>
          <w:szCs w:val="22"/>
        </w:rPr>
        <w:t xml:space="preserve">, do Pregão Presencial n.º 005/2010, tendo por objeto a formação de ata de registro de preços </w:t>
      </w:r>
      <w:r w:rsidR="002663B7" w:rsidRPr="00A34E41">
        <w:rPr>
          <w:sz w:val="22"/>
          <w:szCs w:val="22"/>
        </w:rPr>
        <w:t>com vistas à</w:t>
      </w:r>
      <w:r w:rsidRPr="00A34E41">
        <w:rPr>
          <w:sz w:val="22"/>
          <w:szCs w:val="22"/>
        </w:rPr>
        <w:t xml:space="preserve"> contratação de empresa especializada na fabricação e fornecimento de 50 caminhões</w:t>
      </w:r>
      <w:r w:rsidR="002663B7" w:rsidRPr="00A34E41">
        <w:rPr>
          <w:sz w:val="22"/>
          <w:szCs w:val="22"/>
        </w:rPr>
        <w:t>,</w:t>
      </w:r>
      <w:r w:rsidRPr="00A34E41">
        <w:rPr>
          <w:sz w:val="22"/>
          <w:szCs w:val="22"/>
        </w:rPr>
        <w:t xml:space="preserve"> com carroceria frigorífica adaptada para armazenagem e comercialização de pescado fresco. Após examinar as justificativas apresentadas pelo MPA, em resposta à oitiva </w:t>
      </w:r>
      <w:r w:rsidR="002663B7" w:rsidRPr="00A34E41">
        <w:rPr>
          <w:sz w:val="22"/>
          <w:szCs w:val="22"/>
        </w:rPr>
        <w:t>promovida pelo Tribunal</w:t>
      </w:r>
      <w:r w:rsidRPr="00A34E41">
        <w:rPr>
          <w:sz w:val="22"/>
          <w:szCs w:val="22"/>
        </w:rPr>
        <w:t>, e avaliar o conteúdo do edital</w:t>
      </w:r>
      <w:r w:rsidR="002663B7" w:rsidRPr="00A34E41">
        <w:rPr>
          <w:sz w:val="22"/>
          <w:szCs w:val="22"/>
        </w:rPr>
        <w:t xml:space="preserve"> da licitação</w:t>
      </w:r>
      <w:r w:rsidRPr="00A34E41">
        <w:rPr>
          <w:sz w:val="22"/>
          <w:szCs w:val="22"/>
        </w:rPr>
        <w:t xml:space="preserve">, a unidade técnica propôs a concessão de medida cautelar </w:t>
      </w:r>
      <w:r w:rsidR="002663B7" w:rsidRPr="00A34E41">
        <w:rPr>
          <w:sz w:val="22"/>
          <w:szCs w:val="22"/>
        </w:rPr>
        <w:t>para</w:t>
      </w:r>
      <w:r w:rsidRPr="00A34E41">
        <w:rPr>
          <w:sz w:val="22"/>
          <w:szCs w:val="22"/>
        </w:rPr>
        <w:t xml:space="preserve"> suspender o certame. Entre os motivos que justificariam a adoção dessa medida, esta</w:t>
      </w:r>
      <w:r w:rsidR="00E52763" w:rsidRPr="00A34E41">
        <w:rPr>
          <w:sz w:val="22"/>
          <w:szCs w:val="22"/>
        </w:rPr>
        <w:t>v</w:t>
      </w:r>
      <w:r w:rsidRPr="00A34E41">
        <w:rPr>
          <w:sz w:val="22"/>
          <w:szCs w:val="22"/>
        </w:rPr>
        <w:t xml:space="preserve">a a </w:t>
      </w:r>
      <w:r w:rsidR="002663B7" w:rsidRPr="00A34E41">
        <w:rPr>
          <w:sz w:val="22"/>
          <w:szCs w:val="22"/>
        </w:rPr>
        <w:t>utilização</w:t>
      </w:r>
      <w:r w:rsidRPr="00A34E41">
        <w:rPr>
          <w:sz w:val="22"/>
          <w:szCs w:val="22"/>
        </w:rPr>
        <w:t xml:space="preserve"> do pregão </w:t>
      </w:r>
      <w:r w:rsidR="00012468" w:rsidRPr="00A34E41">
        <w:rPr>
          <w:sz w:val="22"/>
          <w:szCs w:val="22"/>
        </w:rPr>
        <w:t>em sua</w:t>
      </w:r>
      <w:r w:rsidRPr="00A34E41">
        <w:rPr>
          <w:sz w:val="22"/>
          <w:szCs w:val="22"/>
        </w:rPr>
        <w:t xml:space="preserve"> forma presencial,</w:t>
      </w:r>
      <w:r w:rsidRPr="00A34E41">
        <w:rPr>
          <w:i/>
          <w:sz w:val="22"/>
          <w:szCs w:val="22"/>
        </w:rPr>
        <w:t xml:space="preserve"> </w:t>
      </w:r>
      <w:r w:rsidR="002663B7" w:rsidRPr="00A34E41">
        <w:rPr>
          <w:i/>
          <w:sz w:val="22"/>
          <w:szCs w:val="22"/>
        </w:rPr>
        <w:t>“</w:t>
      </w:r>
      <w:r w:rsidRPr="00A34E41">
        <w:rPr>
          <w:i/>
          <w:sz w:val="22"/>
          <w:szCs w:val="22"/>
        </w:rPr>
        <w:t>em detrimento da eletrônica, que é preferencial</w:t>
      </w:r>
      <w:r w:rsidR="00E52763" w:rsidRPr="00A34E41">
        <w:rPr>
          <w:i/>
          <w:sz w:val="22"/>
          <w:szCs w:val="22"/>
        </w:rPr>
        <w:t>”</w:t>
      </w:r>
      <w:r w:rsidRPr="00A34E41">
        <w:rPr>
          <w:sz w:val="22"/>
          <w:szCs w:val="22"/>
        </w:rPr>
        <w:t xml:space="preserve">. </w:t>
      </w:r>
      <w:r w:rsidR="002663B7" w:rsidRPr="00A34E41">
        <w:rPr>
          <w:sz w:val="22"/>
          <w:szCs w:val="22"/>
        </w:rPr>
        <w:t>O</w:t>
      </w:r>
      <w:r w:rsidRPr="00A34E41">
        <w:rPr>
          <w:sz w:val="22"/>
          <w:szCs w:val="22"/>
        </w:rPr>
        <w:t xml:space="preserve"> relator </w:t>
      </w:r>
      <w:r w:rsidR="00E52763" w:rsidRPr="00A34E41">
        <w:rPr>
          <w:sz w:val="22"/>
          <w:szCs w:val="22"/>
        </w:rPr>
        <w:t>considerou</w:t>
      </w:r>
      <w:r w:rsidRPr="00A34E41">
        <w:rPr>
          <w:sz w:val="22"/>
          <w:szCs w:val="22"/>
        </w:rPr>
        <w:t xml:space="preserve"> </w:t>
      </w:r>
      <w:r w:rsidR="00E52763" w:rsidRPr="00A34E41">
        <w:rPr>
          <w:sz w:val="22"/>
          <w:szCs w:val="22"/>
        </w:rPr>
        <w:t>não haver razão para</w:t>
      </w:r>
      <w:r w:rsidRPr="00A34E41">
        <w:rPr>
          <w:sz w:val="22"/>
          <w:szCs w:val="22"/>
        </w:rPr>
        <w:t xml:space="preserve"> </w:t>
      </w:r>
      <w:r w:rsidR="002663B7" w:rsidRPr="00A34E41">
        <w:rPr>
          <w:sz w:val="22"/>
          <w:szCs w:val="22"/>
        </w:rPr>
        <w:t>o provimento</w:t>
      </w:r>
      <w:r w:rsidRPr="00A34E41">
        <w:rPr>
          <w:sz w:val="22"/>
          <w:szCs w:val="22"/>
        </w:rPr>
        <w:t xml:space="preserve"> cautelar</w:t>
      </w:r>
      <w:r w:rsidR="002663B7" w:rsidRPr="00A34E41">
        <w:rPr>
          <w:sz w:val="22"/>
          <w:szCs w:val="22"/>
        </w:rPr>
        <w:t xml:space="preserve">, </w:t>
      </w:r>
      <w:r w:rsidR="00E52763" w:rsidRPr="00A34E41">
        <w:rPr>
          <w:sz w:val="22"/>
          <w:szCs w:val="22"/>
        </w:rPr>
        <w:t xml:space="preserve">sobretudo porque </w:t>
      </w:r>
      <w:r w:rsidRPr="00A34E41">
        <w:rPr>
          <w:sz w:val="22"/>
          <w:szCs w:val="22"/>
        </w:rPr>
        <w:t xml:space="preserve">o objeto em questão é passível de ser licitado na modalidade pregão, </w:t>
      </w:r>
      <w:r w:rsidR="002663B7" w:rsidRPr="00A34E41">
        <w:rPr>
          <w:sz w:val="22"/>
          <w:szCs w:val="22"/>
        </w:rPr>
        <w:t>enquadrando-se</w:t>
      </w:r>
      <w:r w:rsidRPr="00A34E41">
        <w:rPr>
          <w:sz w:val="22"/>
          <w:szCs w:val="22"/>
        </w:rPr>
        <w:t xml:space="preserve"> no conceito legal de bem comum</w:t>
      </w:r>
      <w:r w:rsidR="00E52763" w:rsidRPr="00A34E41">
        <w:rPr>
          <w:sz w:val="22"/>
          <w:szCs w:val="22"/>
        </w:rPr>
        <w:t>, constante do</w:t>
      </w:r>
      <w:r w:rsidR="008F660B" w:rsidRPr="00A34E41">
        <w:rPr>
          <w:sz w:val="22"/>
          <w:szCs w:val="22"/>
        </w:rPr>
        <w:t xml:space="preserve"> </w:t>
      </w:r>
      <w:r w:rsidRPr="00A34E41">
        <w:rPr>
          <w:sz w:val="22"/>
          <w:szCs w:val="22"/>
        </w:rPr>
        <w:t xml:space="preserve">parágrafo único do art. 1º da Lei </w:t>
      </w:r>
      <w:r w:rsidR="008F660B" w:rsidRPr="00A34E41">
        <w:rPr>
          <w:sz w:val="22"/>
          <w:szCs w:val="22"/>
        </w:rPr>
        <w:t xml:space="preserve">n.º </w:t>
      </w:r>
      <w:r w:rsidRPr="00A34E41">
        <w:rPr>
          <w:sz w:val="22"/>
          <w:szCs w:val="22"/>
        </w:rPr>
        <w:t xml:space="preserve">10.520/2002. </w:t>
      </w:r>
      <w:r w:rsidR="00E52763" w:rsidRPr="00A34E41">
        <w:rPr>
          <w:sz w:val="22"/>
          <w:szCs w:val="22"/>
        </w:rPr>
        <w:t>Ponderou</w:t>
      </w:r>
      <w:r w:rsidRPr="00A34E41">
        <w:rPr>
          <w:sz w:val="22"/>
          <w:szCs w:val="22"/>
        </w:rPr>
        <w:t xml:space="preserve">, </w:t>
      </w:r>
      <w:r w:rsidR="008F660B" w:rsidRPr="00A34E41">
        <w:rPr>
          <w:sz w:val="22"/>
          <w:szCs w:val="22"/>
        </w:rPr>
        <w:t>no entanto</w:t>
      </w:r>
      <w:r w:rsidRPr="00A34E41">
        <w:rPr>
          <w:sz w:val="22"/>
          <w:szCs w:val="22"/>
        </w:rPr>
        <w:t xml:space="preserve">, que a utilização do pregão na forma presencial, sem </w:t>
      </w:r>
      <w:r w:rsidR="008F660B" w:rsidRPr="00A34E41">
        <w:rPr>
          <w:sz w:val="22"/>
          <w:szCs w:val="22"/>
        </w:rPr>
        <w:t>a</w:t>
      </w:r>
      <w:r w:rsidRPr="00A34E41">
        <w:rPr>
          <w:sz w:val="22"/>
          <w:szCs w:val="22"/>
        </w:rPr>
        <w:t xml:space="preserve"> demonstração da inviabilidade de utilização da forma eletrônica, não se conforma com o preceito contido no art. 4º, §</w:t>
      </w:r>
      <w:r w:rsidR="00012468" w:rsidRPr="00A34E41">
        <w:rPr>
          <w:sz w:val="22"/>
          <w:szCs w:val="22"/>
        </w:rPr>
        <w:t xml:space="preserve"> </w:t>
      </w:r>
      <w:r w:rsidRPr="00A34E41">
        <w:rPr>
          <w:sz w:val="22"/>
          <w:szCs w:val="22"/>
        </w:rPr>
        <w:t>1º, do Decreto n.</w:t>
      </w:r>
      <w:r w:rsidRPr="00A34E41">
        <w:rPr>
          <w:sz w:val="22"/>
          <w:szCs w:val="22"/>
          <w:vertAlign w:val="superscript"/>
        </w:rPr>
        <w:t>o</w:t>
      </w:r>
      <w:r w:rsidRPr="00A34E41">
        <w:rPr>
          <w:sz w:val="22"/>
          <w:szCs w:val="22"/>
        </w:rPr>
        <w:t xml:space="preserve"> 5.450/2005. Segundo o relator, a justificativa apresentada </w:t>
      </w:r>
      <w:r w:rsidR="008F660B" w:rsidRPr="00A34E41">
        <w:rPr>
          <w:sz w:val="22"/>
          <w:szCs w:val="22"/>
        </w:rPr>
        <w:t xml:space="preserve">pelo </w:t>
      </w:r>
      <w:r w:rsidRPr="00A34E41">
        <w:rPr>
          <w:sz w:val="22"/>
          <w:szCs w:val="22"/>
        </w:rPr>
        <w:t>MPA (dificuldade de remessa</w:t>
      </w:r>
      <w:r w:rsidR="00012468" w:rsidRPr="00A34E41">
        <w:rPr>
          <w:sz w:val="22"/>
          <w:szCs w:val="22"/>
        </w:rPr>
        <w:t>,</w:t>
      </w:r>
      <w:r w:rsidRPr="00A34E41">
        <w:rPr>
          <w:sz w:val="22"/>
          <w:szCs w:val="22"/>
        </w:rPr>
        <w:t xml:space="preserve"> por meio magnético</w:t>
      </w:r>
      <w:r w:rsidR="00012468" w:rsidRPr="00A34E41">
        <w:rPr>
          <w:sz w:val="22"/>
          <w:szCs w:val="22"/>
        </w:rPr>
        <w:t>,</w:t>
      </w:r>
      <w:r w:rsidRPr="00A34E41">
        <w:rPr>
          <w:sz w:val="22"/>
          <w:szCs w:val="22"/>
        </w:rPr>
        <w:t xml:space="preserve"> de pesados arquivos de </w:t>
      </w:r>
      <w:r w:rsidRPr="00A34E41">
        <w:rPr>
          <w:i/>
          <w:sz w:val="22"/>
          <w:szCs w:val="22"/>
        </w:rPr>
        <w:t>“manuais e plantas croquis</w:t>
      </w:r>
      <w:r w:rsidR="00012468" w:rsidRPr="00A34E41">
        <w:rPr>
          <w:i/>
          <w:sz w:val="22"/>
          <w:szCs w:val="22"/>
        </w:rPr>
        <w:t>,</w:t>
      </w:r>
      <w:r w:rsidRPr="00A34E41">
        <w:rPr>
          <w:i/>
          <w:sz w:val="22"/>
          <w:szCs w:val="22"/>
        </w:rPr>
        <w:t xml:space="preserve"> e demais documentos”</w:t>
      </w:r>
      <w:r w:rsidRPr="00A34E41">
        <w:rPr>
          <w:sz w:val="22"/>
          <w:szCs w:val="22"/>
        </w:rPr>
        <w:t xml:space="preserve">) não </w:t>
      </w:r>
      <w:r w:rsidR="008F660B" w:rsidRPr="00A34E41">
        <w:rPr>
          <w:sz w:val="22"/>
          <w:szCs w:val="22"/>
        </w:rPr>
        <w:t>foi</w:t>
      </w:r>
      <w:r w:rsidRPr="00A34E41">
        <w:rPr>
          <w:sz w:val="22"/>
          <w:szCs w:val="22"/>
        </w:rPr>
        <w:t xml:space="preserve"> satisfatória, </w:t>
      </w:r>
      <w:r w:rsidRPr="00A34E41">
        <w:rPr>
          <w:i/>
          <w:sz w:val="22"/>
          <w:szCs w:val="22"/>
        </w:rPr>
        <w:t>“tendo em vista o atual estágio de desenvolvimento das ferramentas de tecnologia da informação”</w:t>
      </w:r>
      <w:r w:rsidRPr="00A34E41">
        <w:rPr>
          <w:sz w:val="22"/>
          <w:szCs w:val="22"/>
        </w:rPr>
        <w:t xml:space="preserve">. </w:t>
      </w:r>
      <w:r w:rsidR="008F660B" w:rsidRPr="00A34E41">
        <w:rPr>
          <w:sz w:val="22"/>
          <w:szCs w:val="22"/>
        </w:rPr>
        <w:t>Não obstante</w:t>
      </w:r>
      <w:r w:rsidRPr="00A34E41">
        <w:rPr>
          <w:sz w:val="22"/>
          <w:szCs w:val="22"/>
        </w:rPr>
        <w:t xml:space="preserve"> haver sido adotado o pregão presencial</w:t>
      </w:r>
      <w:r w:rsidR="00012468" w:rsidRPr="00A34E41">
        <w:rPr>
          <w:sz w:val="22"/>
          <w:szCs w:val="22"/>
        </w:rPr>
        <w:t>,</w:t>
      </w:r>
      <w:r w:rsidRPr="00A34E41">
        <w:rPr>
          <w:sz w:val="22"/>
          <w:szCs w:val="22"/>
        </w:rPr>
        <w:t xml:space="preserve"> em detrimento do eletrônico, o certame contou com a participação de empresas que ofereceram propostas com valores consideravelmente inferiores ao orçado pelo MPA</w:t>
      </w:r>
      <w:r w:rsidR="00012468" w:rsidRPr="00A34E41">
        <w:rPr>
          <w:sz w:val="22"/>
          <w:szCs w:val="22"/>
        </w:rPr>
        <w:t xml:space="preserve"> – à evidência de t</w:t>
      </w:r>
      <w:r w:rsidRPr="00A34E41">
        <w:rPr>
          <w:sz w:val="22"/>
          <w:szCs w:val="22"/>
        </w:rPr>
        <w:t xml:space="preserve">er </w:t>
      </w:r>
      <w:r w:rsidR="008F660B" w:rsidRPr="00A34E41">
        <w:rPr>
          <w:sz w:val="22"/>
          <w:szCs w:val="22"/>
        </w:rPr>
        <w:t>ocorrido</w:t>
      </w:r>
      <w:r w:rsidRPr="00A34E41">
        <w:rPr>
          <w:sz w:val="22"/>
          <w:szCs w:val="22"/>
        </w:rPr>
        <w:t xml:space="preserve"> disputa efetiva entre os licitantes</w:t>
      </w:r>
      <w:r w:rsidR="00012468" w:rsidRPr="00A34E41">
        <w:rPr>
          <w:sz w:val="22"/>
          <w:szCs w:val="22"/>
        </w:rPr>
        <w:t xml:space="preserve"> –</w:t>
      </w:r>
      <w:r w:rsidRPr="00A34E41">
        <w:rPr>
          <w:sz w:val="22"/>
          <w:szCs w:val="22"/>
        </w:rPr>
        <w:t xml:space="preserve">, </w:t>
      </w:r>
      <w:r w:rsidR="00E52763" w:rsidRPr="00A34E41">
        <w:rPr>
          <w:sz w:val="22"/>
          <w:szCs w:val="22"/>
        </w:rPr>
        <w:t xml:space="preserve">razão por que </w:t>
      </w:r>
      <w:r w:rsidRPr="00A34E41">
        <w:rPr>
          <w:sz w:val="22"/>
          <w:szCs w:val="22"/>
        </w:rPr>
        <w:t xml:space="preserve">o relator propôs e o Plenário </w:t>
      </w:r>
      <w:r w:rsidR="008F660B" w:rsidRPr="00A34E41">
        <w:rPr>
          <w:sz w:val="22"/>
          <w:szCs w:val="22"/>
        </w:rPr>
        <w:t xml:space="preserve">decidiu </w:t>
      </w:r>
      <w:r w:rsidRPr="00A34E41">
        <w:rPr>
          <w:sz w:val="22"/>
          <w:szCs w:val="22"/>
        </w:rPr>
        <w:t xml:space="preserve">considerar parcialmente procedente a representação, sem prejuízo de </w:t>
      </w:r>
      <w:r w:rsidR="008F660B" w:rsidRPr="00A34E41">
        <w:rPr>
          <w:sz w:val="22"/>
          <w:szCs w:val="22"/>
        </w:rPr>
        <w:t>expedir determinação corretiva</w:t>
      </w:r>
      <w:r w:rsidRPr="00A34E41">
        <w:rPr>
          <w:sz w:val="22"/>
          <w:szCs w:val="22"/>
        </w:rPr>
        <w:t xml:space="preserve"> ao </w:t>
      </w:r>
      <w:r w:rsidR="008F660B" w:rsidRPr="00A34E41">
        <w:rPr>
          <w:sz w:val="22"/>
          <w:szCs w:val="22"/>
        </w:rPr>
        <w:t>órgão, para</w:t>
      </w:r>
      <w:r w:rsidRPr="00A34E41">
        <w:rPr>
          <w:sz w:val="22"/>
          <w:szCs w:val="22"/>
        </w:rPr>
        <w:t xml:space="preserve"> futuros certames. </w:t>
      </w:r>
      <w:r w:rsidRPr="00A34E41">
        <w:rPr>
          <w:b/>
          <w:i/>
          <w:sz w:val="22"/>
          <w:szCs w:val="22"/>
        </w:rPr>
        <w:t>Acórdão n.º 1099/2010-Plenário, TC-007.563/2010-8, rel. Min. Benjamin Zymler, 19.05.2010</w:t>
      </w:r>
      <w:r w:rsidRPr="00A34E41">
        <w:rPr>
          <w:sz w:val="22"/>
          <w:szCs w:val="22"/>
        </w:rPr>
        <w:t>.</w:t>
      </w:r>
    </w:p>
    <w:p w:rsidR="00F30016" w:rsidRPr="00A34E41" w:rsidRDefault="00F30016" w:rsidP="00F30016">
      <w:pPr>
        <w:pStyle w:val="indice"/>
        <w:tabs>
          <w:tab w:val="left" w:pos="567"/>
        </w:tabs>
        <w:spacing w:line="240" w:lineRule="auto"/>
      </w:pPr>
    </w:p>
    <w:p w:rsidR="00F30016" w:rsidRPr="00A34E41" w:rsidRDefault="0091511B" w:rsidP="00F30016">
      <w:pPr>
        <w:pStyle w:val="indice"/>
        <w:tabs>
          <w:tab w:val="left" w:pos="567"/>
        </w:tabs>
        <w:spacing w:line="240" w:lineRule="auto"/>
        <w:rPr>
          <w:b/>
        </w:rPr>
      </w:pPr>
      <w:r w:rsidRPr="00A34E41">
        <w:rPr>
          <w:b/>
        </w:rPr>
        <w:t>Necessidade de a contratada manter, durante a vigência do contrato, as mesmas condições da proposta por ela apresentada, em especial a qualificação da equipe técnica</w:t>
      </w:r>
    </w:p>
    <w:p w:rsidR="00F30016" w:rsidRPr="00A34E41" w:rsidRDefault="00F30016" w:rsidP="00F30016">
      <w:pPr>
        <w:pStyle w:val="Pargrafo"/>
        <w:jc w:val="both"/>
        <w:rPr>
          <w:sz w:val="22"/>
          <w:szCs w:val="22"/>
        </w:rPr>
      </w:pPr>
      <w:r w:rsidRPr="00A34E41">
        <w:rPr>
          <w:sz w:val="22"/>
          <w:szCs w:val="22"/>
        </w:rPr>
        <w:t>Relatório de levantamento de auditoria das obras de expansão da infraestrutura do Aeroporto Internacional de Natal</w:t>
      </w:r>
      <w:r w:rsidR="00D116C7" w:rsidRPr="00A34E41">
        <w:rPr>
          <w:sz w:val="22"/>
          <w:szCs w:val="22"/>
        </w:rPr>
        <w:t xml:space="preserve"> </w:t>
      </w:r>
      <w:r w:rsidRPr="00A34E41">
        <w:rPr>
          <w:sz w:val="22"/>
          <w:szCs w:val="22"/>
        </w:rPr>
        <w:t>apontou a existência de indícios de irregularidades no âmbito d</w:t>
      </w:r>
      <w:r w:rsidR="00D116C7" w:rsidRPr="00A34E41">
        <w:rPr>
          <w:sz w:val="22"/>
          <w:szCs w:val="22"/>
        </w:rPr>
        <w:t xml:space="preserve">o contrato </w:t>
      </w:r>
      <w:r w:rsidRPr="00A34E41">
        <w:rPr>
          <w:sz w:val="22"/>
          <w:szCs w:val="22"/>
        </w:rPr>
        <w:t>celebrado entre a Empresa Brasileira de Infra-Estrutura Aeroportuária (Infraero) e a empresa Engevix Engenharia S/C Ltda., para consultoria técnica e apoio à fiscalização dos serviços executados pelo 1</w:t>
      </w:r>
      <w:r w:rsidR="00FF10AF" w:rsidRPr="00A34E41">
        <w:rPr>
          <w:sz w:val="22"/>
          <w:szCs w:val="22"/>
          <w:vertAlign w:val="superscript"/>
        </w:rPr>
        <w:t>º</w:t>
      </w:r>
      <w:r w:rsidRPr="00A34E41">
        <w:rPr>
          <w:sz w:val="22"/>
          <w:szCs w:val="22"/>
          <w:vertAlign w:val="superscript"/>
        </w:rPr>
        <w:t xml:space="preserve"> </w:t>
      </w:r>
      <w:r w:rsidRPr="00A34E41">
        <w:rPr>
          <w:sz w:val="22"/>
          <w:szCs w:val="22"/>
        </w:rPr>
        <w:t>Batalhão de Engenharia de Construção (1º BEC).</w:t>
      </w:r>
      <w:r w:rsidR="00FF10AF" w:rsidRPr="00A34E41">
        <w:rPr>
          <w:sz w:val="22"/>
          <w:szCs w:val="22"/>
        </w:rPr>
        <w:t xml:space="preserve"> </w:t>
      </w:r>
      <w:r w:rsidRPr="00A34E41">
        <w:rPr>
          <w:sz w:val="22"/>
          <w:szCs w:val="22"/>
        </w:rPr>
        <w:t xml:space="preserve">Entre tais indícios, mereceu destaque o </w:t>
      </w:r>
      <w:r w:rsidRPr="00A34E41">
        <w:rPr>
          <w:i/>
          <w:sz w:val="22"/>
          <w:szCs w:val="22"/>
        </w:rPr>
        <w:t>“descumprimento da cláusula 7.1.14 do Contrato n</w:t>
      </w:r>
      <w:r w:rsidR="00FF10AF" w:rsidRPr="00A34E41">
        <w:rPr>
          <w:i/>
          <w:sz w:val="22"/>
          <w:szCs w:val="22"/>
        </w:rPr>
        <w:t>.</w:t>
      </w:r>
      <w:r w:rsidRPr="00A34E41">
        <w:rPr>
          <w:i/>
          <w:sz w:val="22"/>
          <w:szCs w:val="22"/>
        </w:rPr>
        <w:t xml:space="preserve">º 0061-ST/2005/0028, uma vez que a equipe técnica de empregados disponibilizada pela empresa contratada não era a mesma relacionada na proposta técnica, ofertada quando da realização da licitação do tipo </w:t>
      </w:r>
      <w:r w:rsidR="00D116C7" w:rsidRPr="00A34E41">
        <w:rPr>
          <w:i/>
          <w:sz w:val="22"/>
          <w:szCs w:val="22"/>
        </w:rPr>
        <w:t>‘</w:t>
      </w:r>
      <w:r w:rsidRPr="00A34E41">
        <w:rPr>
          <w:i/>
          <w:sz w:val="22"/>
          <w:szCs w:val="22"/>
        </w:rPr>
        <w:t>técnica e preço</w:t>
      </w:r>
      <w:r w:rsidR="00D116C7" w:rsidRPr="00A34E41">
        <w:rPr>
          <w:i/>
          <w:sz w:val="22"/>
          <w:szCs w:val="22"/>
        </w:rPr>
        <w:t>’</w:t>
      </w:r>
      <w:r w:rsidRPr="00A34E41">
        <w:rPr>
          <w:i/>
          <w:sz w:val="22"/>
          <w:szCs w:val="22"/>
        </w:rPr>
        <w:t>, não tendo havido qualquer solicitação à Infraero ou justificativa para a mencionada alteração”</w:t>
      </w:r>
      <w:r w:rsidRPr="00A34E41">
        <w:rPr>
          <w:sz w:val="22"/>
          <w:szCs w:val="22"/>
        </w:rPr>
        <w:t xml:space="preserve">. A unidade técnica </w:t>
      </w:r>
      <w:r w:rsidR="00FF10AF" w:rsidRPr="00A34E41">
        <w:rPr>
          <w:sz w:val="22"/>
          <w:szCs w:val="22"/>
        </w:rPr>
        <w:t>assinalou</w:t>
      </w:r>
      <w:r w:rsidRPr="00A34E41">
        <w:rPr>
          <w:sz w:val="22"/>
          <w:szCs w:val="22"/>
        </w:rPr>
        <w:t xml:space="preserve"> que </w:t>
      </w:r>
      <w:r w:rsidR="00D116C7" w:rsidRPr="00A34E41">
        <w:rPr>
          <w:sz w:val="22"/>
          <w:szCs w:val="22"/>
        </w:rPr>
        <w:t>o</w:t>
      </w:r>
      <w:r w:rsidRPr="00A34E41">
        <w:rPr>
          <w:sz w:val="22"/>
          <w:szCs w:val="22"/>
        </w:rPr>
        <w:t xml:space="preserve"> Termo de Referência</w:t>
      </w:r>
      <w:r w:rsidR="00FF10AF" w:rsidRPr="00A34E41">
        <w:rPr>
          <w:sz w:val="22"/>
          <w:szCs w:val="22"/>
        </w:rPr>
        <w:t>, anexo ao</w:t>
      </w:r>
      <w:r w:rsidRPr="00A34E41">
        <w:rPr>
          <w:sz w:val="22"/>
          <w:szCs w:val="22"/>
        </w:rPr>
        <w:t xml:space="preserve"> edital</w:t>
      </w:r>
      <w:r w:rsidR="00FF10AF" w:rsidRPr="00A34E41">
        <w:rPr>
          <w:sz w:val="22"/>
          <w:szCs w:val="22"/>
        </w:rPr>
        <w:t>,</w:t>
      </w:r>
      <w:r w:rsidRPr="00A34E41">
        <w:rPr>
          <w:sz w:val="22"/>
          <w:szCs w:val="22"/>
        </w:rPr>
        <w:t xml:space="preserve"> </w:t>
      </w:r>
      <w:r w:rsidR="00D116C7" w:rsidRPr="00A34E41">
        <w:rPr>
          <w:i/>
          <w:sz w:val="22"/>
          <w:szCs w:val="22"/>
        </w:rPr>
        <w:t>“</w:t>
      </w:r>
      <w:r w:rsidRPr="00A34E41">
        <w:rPr>
          <w:i/>
          <w:sz w:val="22"/>
          <w:szCs w:val="22"/>
        </w:rPr>
        <w:t>dispõe que os coordenadores deverão ter a graduação sênior, sendo esta classificação obtida por profissional que possuir, no mínimo, dez anos de graduação</w:t>
      </w:r>
      <w:r w:rsidR="00D116C7" w:rsidRPr="00A34E41">
        <w:rPr>
          <w:i/>
          <w:sz w:val="22"/>
          <w:szCs w:val="22"/>
        </w:rPr>
        <w:t>”</w:t>
      </w:r>
      <w:r w:rsidRPr="00A34E41">
        <w:rPr>
          <w:sz w:val="22"/>
          <w:szCs w:val="22"/>
        </w:rPr>
        <w:t xml:space="preserve">. </w:t>
      </w:r>
      <w:r w:rsidR="00FF10AF" w:rsidRPr="00A34E41">
        <w:rPr>
          <w:sz w:val="22"/>
          <w:szCs w:val="22"/>
        </w:rPr>
        <w:t>No entanto</w:t>
      </w:r>
      <w:r w:rsidRPr="00A34E41">
        <w:rPr>
          <w:sz w:val="22"/>
          <w:szCs w:val="22"/>
        </w:rPr>
        <w:t xml:space="preserve">, </w:t>
      </w:r>
      <w:r w:rsidR="00FF10AF" w:rsidRPr="00A34E41">
        <w:rPr>
          <w:sz w:val="22"/>
          <w:szCs w:val="22"/>
        </w:rPr>
        <w:t xml:space="preserve">a auditoria </w:t>
      </w:r>
      <w:r w:rsidRPr="00A34E41">
        <w:rPr>
          <w:sz w:val="22"/>
          <w:szCs w:val="22"/>
        </w:rPr>
        <w:t xml:space="preserve">constatou que dois coordenadores não possuíam esse tempo mínimo de graduação. Teria havido, portanto, descumprimento do subitem 7.1.14 do contrato, que estabelecia ser obrigação da contratada </w:t>
      </w:r>
      <w:r w:rsidRPr="00A34E41">
        <w:rPr>
          <w:i/>
          <w:sz w:val="22"/>
          <w:szCs w:val="22"/>
        </w:rPr>
        <w:t>“manter, durante a vigência do presente instrumento, as mesmas condições que propiciaram a sua habilitação e classificação no processo licitatório, em especial a equipe técnica”</w:t>
      </w:r>
      <w:r w:rsidRPr="00A34E41">
        <w:rPr>
          <w:sz w:val="22"/>
          <w:szCs w:val="22"/>
        </w:rPr>
        <w:t xml:space="preserve">. </w:t>
      </w:r>
      <w:r w:rsidR="00FF10AF" w:rsidRPr="00A34E41">
        <w:rPr>
          <w:sz w:val="22"/>
          <w:szCs w:val="22"/>
        </w:rPr>
        <w:t>O</w:t>
      </w:r>
      <w:r w:rsidRPr="00A34E41">
        <w:rPr>
          <w:sz w:val="22"/>
          <w:szCs w:val="22"/>
        </w:rPr>
        <w:t xml:space="preserve"> Gerente de Obras do Aeroporto de Natal/RN e o Coordenador de Contratos da Infraero/RN atribuíram a irregularidade ao fato de a proposta da empresa Engevix ter sido apresentada em junho de 2005</w:t>
      </w:r>
      <w:r w:rsidR="00FF10AF" w:rsidRPr="00A34E41">
        <w:rPr>
          <w:sz w:val="22"/>
          <w:szCs w:val="22"/>
        </w:rPr>
        <w:t xml:space="preserve">, tendo </w:t>
      </w:r>
      <w:r w:rsidRPr="00A34E41">
        <w:rPr>
          <w:sz w:val="22"/>
          <w:szCs w:val="22"/>
        </w:rPr>
        <w:t xml:space="preserve">a ordem de serviço sido </w:t>
      </w:r>
      <w:r w:rsidR="00FF10AF" w:rsidRPr="00A34E41">
        <w:rPr>
          <w:sz w:val="22"/>
          <w:szCs w:val="22"/>
        </w:rPr>
        <w:t>emitida</w:t>
      </w:r>
      <w:r w:rsidRPr="00A34E41">
        <w:rPr>
          <w:sz w:val="22"/>
          <w:szCs w:val="22"/>
        </w:rPr>
        <w:t xml:space="preserve"> apenas em dezembro de 2005, quando alguns dos profissionais indicados pela contratada já não mais se encontravam disponíveis. Os responsáveis mencionaram, também, que a contratada teria enfrentado dificuldades em encontrar, no mercado local, profissionais com expe</w:t>
      </w:r>
      <w:r w:rsidR="00DD6D82" w:rsidRPr="00A34E41">
        <w:rPr>
          <w:sz w:val="22"/>
          <w:szCs w:val="22"/>
        </w:rPr>
        <w:t>riência em obras aeroportuárias</w:t>
      </w:r>
      <w:r w:rsidRPr="00A34E41">
        <w:rPr>
          <w:sz w:val="22"/>
          <w:szCs w:val="22"/>
        </w:rPr>
        <w:t xml:space="preserve">. Alegaram, ainda, que, apesar de ter havido </w:t>
      </w:r>
      <w:r w:rsidR="00FF10AF" w:rsidRPr="00A34E41">
        <w:rPr>
          <w:i/>
          <w:sz w:val="22"/>
          <w:szCs w:val="22"/>
        </w:rPr>
        <w:t>“</w:t>
      </w:r>
      <w:r w:rsidRPr="00A34E41">
        <w:rPr>
          <w:i/>
          <w:sz w:val="22"/>
          <w:szCs w:val="22"/>
        </w:rPr>
        <w:t>falha na comunicação à Infraero</w:t>
      </w:r>
      <w:r w:rsidR="00FF10AF" w:rsidRPr="00A34E41">
        <w:rPr>
          <w:i/>
          <w:sz w:val="22"/>
          <w:szCs w:val="22"/>
        </w:rPr>
        <w:t>,</w:t>
      </w:r>
      <w:r w:rsidRPr="00A34E41">
        <w:rPr>
          <w:i/>
          <w:sz w:val="22"/>
          <w:szCs w:val="22"/>
        </w:rPr>
        <w:t xml:space="preserve"> acerca da justificada necessidade de substituição de membros da equipe técnica profissional, a referida formalidade foi cumprida, mesmo que tardiamente</w:t>
      </w:r>
      <w:r w:rsidR="00FF10AF" w:rsidRPr="00A34E41">
        <w:rPr>
          <w:i/>
          <w:sz w:val="22"/>
          <w:szCs w:val="22"/>
        </w:rPr>
        <w:t>”</w:t>
      </w:r>
      <w:r w:rsidRPr="00A34E41">
        <w:rPr>
          <w:sz w:val="22"/>
          <w:szCs w:val="22"/>
        </w:rPr>
        <w:t xml:space="preserve">. Em seu voto, o relator destacou que, tendo sido a empresa contratada selecionada por meio de licitação do tipo </w:t>
      </w:r>
      <w:r w:rsidR="00FF10AF" w:rsidRPr="00A34E41">
        <w:rPr>
          <w:sz w:val="22"/>
          <w:szCs w:val="22"/>
        </w:rPr>
        <w:t>‘</w:t>
      </w:r>
      <w:r w:rsidRPr="00A34E41">
        <w:rPr>
          <w:sz w:val="22"/>
          <w:szCs w:val="22"/>
        </w:rPr>
        <w:t>técnica e preço</w:t>
      </w:r>
      <w:r w:rsidR="00FF10AF" w:rsidRPr="00A34E41">
        <w:rPr>
          <w:sz w:val="22"/>
          <w:szCs w:val="22"/>
        </w:rPr>
        <w:t>’</w:t>
      </w:r>
      <w:r w:rsidRPr="00A34E41">
        <w:rPr>
          <w:sz w:val="22"/>
          <w:szCs w:val="22"/>
        </w:rPr>
        <w:t xml:space="preserve">, em que a qualificação da equipe técnica foi um dos critérios para a escolha da melhor proposta, o fato de o contrato ter sido iniciado com equipe diferente da que serviu de comprovação para a qualificação técnica da contratada </w:t>
      </w:r>
      <w:r w:rsidR="00FF10AF" w:rsidRPr="00A34E41">
        <w:rPr>
          <w:i/>
          <w:sz w:val="22"/>
          <w:szCs w:val="22"/>
        </w:rPr>
        <w:t>“</w:t>
      </w:r>
      <w:r w:rsidRPr="00A34E41">
        <w:rPr>
          <w:i/>
          <w:sz w:val="22"/>
          <w:szCs w:val="22"/>
        </w:rPr>
        <w:t>configura procedimento ilegal, por descumprir os instrumentos convocatório e contratual</w:t>
      </w:r>
      <w:r w:rsidR="00FF10AF" w:rsidRPr="00A34E41">
        <w:rPr>
          <w:i/>
          <w:sz w:val="22"/>
          <w:szCs w:val="22"/>
        </w:rPr>
        <w:t>”</w:t>
      </w:r>
      <w:r w:rsidRPr="00A34E41">
        <w:rPr>
          <w:sz w:val="22"/>
          <w:szCs w:val="22"/>
        </w:rPr>
        <w:t>. O relator afirmou assistir razão à unidade técnica no que diz respeito à intempestividade da justificativa apresentada pela empresa Engevix, isso porque o contrato</w:t>
      </w:r>
      <w:r w:rsidR="00FF10AF" w:rsidRPr="00A34E41">
        <w:rPr>
          <w:sz w:val="22"/>
          <w:szCs w:val="22"/>
        </w:rPr>
        <w:t xml:space="preserve"> </w:t>
      </w:r>
      <w:r w:rsidRPr="00A34E41">
        <w:rPr>
          <w:sz w:val="22"/>
          <w:szCs w:val="22"/>
        </w:rPr>
        <w:t xml:space="preserve">estabelecia a necessidade de </w:t>
      </w:r>
      <w:r w:rsidR="00D116C7" w:rsidRPr="00A34E41">
        <w:rPr>
          <w:sz w:val="22"/>
          <w:szCs w:val="22"/>
        </w:rPr>
        <w:t xml:space="preserve">que </w:t>
      </w:r>
      <w:r w:rsidR="00D003F8" w:rsidRPr="00A34E41">
        <w:rPr>
          <w:sz w:val="22"/>
          <w:szCs w:val="22"/>
        </w:rPr>
        <w:t xml:space="preserve">os substitutos fossem submetidos à aprovação da Infraero </w:t>
      </w:r>
      <w:r w:rsidRPr="00A34E41">
        <w:rPr>
          <w:sz w:val="22"/>
          <w:szCs w:val="22"/>
        </w:rPr>
        <w:t xml:space="preserve">em tempo hábil, </w:t>
      </w:r>
      <w:r w:rsidR="00FF10AF" w:rsidRPr="00A34E41">
        <w:rPr>
          <w:i/>
          <w:sz w:val="22"/>
          <w:szCs w:val="22"/>
        </w:rPr>
        <w:t>“</w:t>
      </w:r>
      <w:r w:rsidRPr="00A34E41">
        <w:rPr>
          <w:i/>
          <w:sz w:val="22"/>
          <w:szCs w:val="22"/>
        </w:rPr>
        <w:t>ou seja, previamente</w:t>
      </w:r>
      <w:r w:rsidR="00133EA9" w:rsidRPr="00A34E41">
        <w:rPr>
          <w:i/>
          <w:sz w:val="22"/>
          <w:szCs w:val="22"/>
        </w:rPr>
        <w:t>”</w:t>
      </w:r>
      <w:r w:rsidRPr="00A34E41">
        <w:rPr>
          <w:sz w:val="22"/>
          <w:szCs w:val="22"/>
        </w:rPr>
        <w:t xml:space="preserve">. </w:t>
      </w:r>
      <w:r w:rsidR="00D003F8" w:rsidRPr="00A34E41">
        <w:rPr>
          <w:sz w:val="22"/>
          <w:szCs w:val="22"/>
        </w:rPr>
        <w:t>Ao final</w:t>
      </w:r>
      <w:r w:rsidRPr="00A34E41">
        <w:rPr>
          <w:sz w:val="22"/>
          <w:szCs w:val="22"/>
        </w:rPr>
        <w:t xml:space="preserve">, o relator considerou aceitável a </w:t>
      </w:r>
      <w:r w:rsidR="00D003F8" w:rsidRPr="00A34E41">
        <w:rPr>
          <w:sz w:val="22"/>
          <w:szCs w:val="22"/>
        </w:rPr>
        <w:t xml:space="preserve">alegação </w:t>
      </w:r>
      <w:r w:rsidRPr="00A34E41">
        <w:rPr>
          <w:sz w:val="22"/>
          <w:szCs w:val="22"/>
        </w:rPr>
        <w:t>acerca da dificuldade, naquela época, de se contratar</w:t>
      </w:r>
      <w:r w:rsidR="00133EA9" w:rsidRPr="00A34E41">
        <w:rPr>
          <w:sz w:val="22"/>
          <w:szCs w:val="22"/>
        </w:rPr>
        <w:t>, no mercado local,</w:t>
      </w:r>
      <w:r w:rsidRPr="00A34E41">
        <w:rPr>
          <w:sz w:val="22"/>
          <w:szCs w:val="22"/>
        </w:rPr>
        <w:t xml:space="preserve"> engenheiro sênior com experiência em obras aeroportuárias</w:t>
      </w:r>
      <w:r w:rsidR="00133EA9" w:rsidRPr="00A34E41">
        <w:rPr>
          <w:sz w:val="22"/>
          <w:szCs w:val="22"/>
        </w:rPr>
        <w:t xml:space="preserve">, que </w:t>
      </w:r>
      <w:r w:rsidRPr="00A34E41">
        <w:rPr>
          <w:i/>
          <w:sz w:val="22"/>
          <w:szCs w:val="22"/>
        </w:rPr>
        <w:t>“pode ser evidenciada pelos diversos anúncios publicados em jornais de grande circulação, inclusive em outras cidades (São Paulo e Recife, por exemplo), na busca de profissionais com o perfil exigido”</w:t>
      </w:r>
      <w:r w:rsidRPr="00A34E41">
        <w:rPr>
          <w:sz w:val="22"/>
          <w:szCs w:val="22"/>
        </w:rPr>
        <w:t xml:space="preserve">. </w:t>
      </w:r>
      <w:r w:rsidR="00D003F8" w:rsidRPr="00A34E41">
        <w:rPr>
          <w:sz w:val="22"/>
          <w:szCs w:val="22"/>
        </w:rPr>
        <w:t>Nesse sentido</w:t>
      </w:r>
      <w:r w:rsidR="00A33030" w:rsidRPr="00A34E41">
        <w:rPr>
          <w:sz w:val="22"/>
          <w:szCs w:val="22"/>
        </w:rPr>
        <w:t>, o relator propôs e o Plenário decidiu acolher as razões de justificativa oferecidas pelos responsáveis, sem prejuízo de</w:t>
      </w:r>
      <w:r w:rsidRPr="00A34E41">
        <w:rPr>
          <w:sz w:val="22"/>
          <w:szCs w:val="22"/>
        </w:rPr>
        <w:t xml:space="preserve"> determinar à Infraero que </w:t>
      </w:r>
      <w:r w:rsidRPr="00A34E41">
        <w:rPr>
          <w:i/>
          <w:sz w:val="22"/>
          <w:szCs w:val="22"/>
        </w:rPr>
        <w:t>“observe, na fiscalização de contratos, o rigoroso cumprimento das exigências para a substituição de equipes técnicas de empregados, de modo a preservar as condições estabelecidas em edital de licitação e prestar obediência ao princípio da vinculação ao instrumento convocatório</w:t>
      </w:r>
      <w:r w:rsidR="00A33030" w:rsidRPr="00A34E41">
        <w:rPr>
          <w:i/>
          <w:sz w:val="22"/>
          <w:szCs w:val="22"/>
        </w:rPr>
        <w:t>,</w:t>
      </w:r>
      <w:r w:rsidRPr="00A34E41">
        <w:rPr>
          <w:i/>
          <w:sz w:val="22"/>
          <w:szCs w:val="22"/>
        </w:rPr>
        <w:t xml:space="preserve"> estabelecido no artigo 3º da Lei n</w:t>
      </w:r>
      <w:r w:rsidR="00A33030" w:rsidRPr="00A34E41">
        <w:rPr>
          <w:i/>
          <w:sz w:val="22"/>
          <w:szCs w:val="22"/>
        </w:rPr>
        <w:t>.</w:t>
      </w:r>
      <w:r w:rsidRPr="00A34E41">
        <w:rPr>
          <w:i/>
          <w:sz w:val="22"/>
          <w:szCs w:val="22"/>
        </w:rPr>
        <w:t>º 8.666/93”</w:t>
      </w:r>
      <w:r w:rsidRPr="00A34E41">
        <w:rPr>
          <w:sz w:val="22"/>
          <w:szCs w:val="22"/>
        </w:rPr>
        <w:t xml:space="preserve">. </w:t>
      </w:r>
      <w:r w:rsidRPr="00A34E41">
        <w:rPr>
          <w:b/>
          <w:i/>
          <w:sz w:val="22"/>
          <w:szCs w:val="22"/>
        </w:rPr>
        <w:t>Acórdão n.º 1101/2010-Plenário, TC-008.806/2007-1, rel. Min. Benjamin Zymler, 19.05.2010</w:t>
      </w:r>
      <w:r w:rsidRPr="00A34E41">
        <w:rPr>
          <w:sz w:val="22"/>
          <w:szCs w:val="22"/>
        </w:rPr>
        <w:t>.</w:t>
      </w:r>
    </w:p>
    <w:p w:rsidR="00F30016" w:rsidRPr="00A34E41" w:rsidRDefault="00F30016" w:rsidP="00F30016">
      <w:pPr>
        <w:pStyle w:val="indice"/>
        <w:tabs>
          <w:tab w:val="left" w:pos="567"/>
        </w:tabs>
        <w:spacing w:line="240" w:lineRule="auto"/>
      </w:pPr>
    </w:p>
    <w:p w:rsidR="00F30016" w:rsidRPr="00A34E41" w:rsidRDefault="00D92529" w:rsidP="00F30016">
      <w:pPr>
        <w:pStyle w:val="indice"/>
        <w:tabs>
          <w:tab w:val="left" w:pos="567"/>
        </w:tabs>
        <w:spacing w:line="240" w:lineRule="auto"/>
        <w:rPr>
          <w:b/>
        </w:rPr>
      </w:pPr>
      <w:r w:rsidRPr="00A34E41">
        <w:rPr>
          <w:b/>
        </w:rPr>
        <w:t>Adoção reiterada, pela Petrobras, da modalidade convite em situações não previstas na Lei n.º 8.666/93</w:t>
      </w:r>
    </w:p>
    <w:p w:rsidR="00F30016" w:rsidRPr="00A34E41" w:rsidRDefault="00F30016" w:rsidP="00F30016">
      <w:pPr>
        <w:pStyle w:val="Pargrafo"/>
        <w:jc w:val="both"/>
        <w:rPr>
          <w:sz w:val="22"/>
          <w:szCs w:val="22"/>
        </w:rPr>
      </w:pPr>
      <w:r w:rsidRPr="00A34E41">
        <w:rPr>
          <w:sz w:val="22"/>
          <w:szCs w:val="22"/>
        </w:rPr>
        <w:t>A Petrobras está sujeita à observância da Lei n.</w:t>
      </w:r>
      <w:r w:rsidR="00D92529" w:rsidRPr="00A34E41">
        <w:rPr>
          <w:sz w:val="22"/>
          <w:szCs w:val="22"/>
        </w:rPr>
        <w:t>º</w:t>
      </w:r>
      <w:r w:rsidRPr="00A34E41">
        <w:rPr>
          <w:sz w:val="22"/>
          <w:szCs w:val="22"/>
        </w:rPr>
        <w:t xml:space="preserve"> 8.666/93 até a edição de lei específica, que regulamente as contratações de bens e serviços por aquela sociedade de economia mista. Com base nesse entendimento, o relator propôs e o Plenário decidiu negar provimento ao pedido de reexame interposto contra o Acórdão n.° 401/2009, por meio do qual o Pleno do TCU deliberou no sentido de </w:t>
      </w:r>
      <w:r w:rsidRPr="00A34E41">
        <w:rPr>
          <w:i/>
          <w:sz w:val="22"/>
          <w:szCs w:val="22"/>
        </w:rPr>
        <w:t>“determinar à Petrobras que, nas licitações futuras, atente para a obrigatoriedade de incluir, nos procedimentos licitatórios, justificativas fundamentadas e documentadas de convites, dispensa ou inexigibilidade de licitação, conforme impõem o princípio da motivação das decisões e o art. 26 da Lei 8.666/1993”.</w:t>
      </w:r>
      <w:r w:rsidRPr="00A34E41">
        <w:rPr>
          <w:sz w:val="22"/>
          <w:szCs w:val="22"/>
        </w:rPr>
        <w:t xml:space="preserve"> A recorrente defend</w:t>
      </w:r>
      <w:r w:rsidR="00EF1D14" w:rsidRPr="00A34E41">
        <w:rPr>
          <w:sz w:val="22"/>
          <w:szCs w:val="22"/>
        </w:rPr>
        <w:t>eu</w:t>
      </w:r>
      <w:r w:rsidRPr="00A34E41">
        <w:rPr>
          <w:sz w:val="22"/>
          <w:szCs w:val="22"/>
        </w:rPr>
        <w:t xml:space="preserve"> o afastamento da Lei n.º 8.666/93</w:t>
      </w:r>
      <w:r w:rsidR="00D92529" w:rsidRPr="00A34E41">
        <w:rPr>
          <w:sz w:val="22"/>
          <w:szCs w:val="22"/>
        </w:rPr>
        <w:t>, tendo em vista</w:t>
      </w:r>
      <w:r w:rsidRPr="00A34E41">
        <w:rPr>
          <w:sz w:val="22"/>
          <w:szCs w:val="22"/>
        </w:rPr>
        <w:t xml:space="preserve"> </w:t>
      </w:r>
      <w:r w:rsidRPr="00A34E41">
        <w:rPr>
          <w:i/>
          <w:sz w:val="22"/>
          <w:szCs w:val="22"/>
        </w:rPr>
        <w:t>“diversas liminares favoráveis à utilização do Decreto 2.745/98 pela Petrobras, proferidas pelo Supremo Tribunal Federal, em sede de Mandados de Segurança impetrados contra decisões do TCU”</w:t>
      </w:r>
      <w:r w:rsidRPr="00A34E41">
        <w:rPr>
          <w:sz w:val="22"/>
          <w:szCs w:val="22"/>
        </w:rPr>
        <w:t xml:space="preserve">. </w:t>
      </w:r>
      <w:r w:rsidR="00D92529" w:rsidRPr="00A34E41">
        <w:rPr>
          <w:sz w:val="22"/>
          <w:szCs w:val="22"/>
        </w:rPr>
        <w:t>A</w:t>
      </w:r>
      <w:r w:rsidRPr="00A34E41">
        <w:rPr>
          <w:sz w:val="22"/>
          <w:szCs w:val="22"/>
        </w:rPr>
        <w:t>duziu</w:t>
      </w:r>
      <w:r w:rsidR="00EF1D14" w:rsidRPr="00A34E41">
        <w:rPr>
          <w:sz w:val="22"/>
          <w:szCs w:val="22"/>
        </w:rPr>
        <w:t>, ainda,</w:t>
      </w:r>
      <w:r w:rsidRPr="00A34E41">
        <w:rPr>
          <w:sz w:val="22"/>
          <w:szCs w:val="22"/>
        </w:rPr>
        <w:t xml:space="preserve"> que a </w:t>
      </w:r>
      <w:r w:rsidRPr="00A34E41">
        <w:rPr>
          <w:i/>
          <w:sz w:val="22"/>
          <w:szCs w:val="22"/>
        </w:rPr>
        <w:t>“a Constituição da República de 1988, em seu art. 173, § 1º e incisos, determina a sujeição das sociedades de economia mista ao regime próprio das empresas privadas”</w:t>
      </w:r>
      <w:r w:rsidR="00D92529" w:rsidRPr="00A34E41">
        <w:rPr>
          <w:sz w:val="22"/>
          <w:szCs w:val="22"/>
        </w:rPr>
        <w:t>, com a clara</w:t>
      </w:r>
      <w:r w:rsidRPr="00A34E41">
        <w:rPr>
          <w:sz w:val="22"/>
          <w:szCs w:val="22"/>
        </w:rPr>
        <w:t xml:space="preserve"> </w:t>
      </w:r>
      <w:r w:rsidRPr="00A34E41">
        <w:rPr>
          <w:i/>
          <w:sz w:val="22"/>
          <w:szCs w:val="22"/>
        </w:rPr>
        <w:t>“pretensão de aplicar às sociedades de economia mista que exploram atividade econômica apenas os princípios da administração pública</w:t>
      </w:r>
      <w:r w:rsidR="00D92529" w:rsidRPr="00A34E41">
        <w:rPr>
          <w:i/>
          <w:sz w:val="22"/>
          <w:szCs w:val="22"/>
        </w:rPr>
        <w:t>,</w:t>
      </w:r>
      <w:r w:rsidRPr="00A34E41">
        <w:rPr>
          <w:i/>
          <w:sz w:val="22"/>
          <w:szCs w:val="22"/>
        </w:rPr>
        <w:t xml:space="preserve"> e não as regras específicas atinentes à mesma”</w:t>
      </w:r>
      <w:r w:rsidRPr="00A34E41">
        <w:rPr>
          <w:sz w:val="22"/>
          <w:szCs w:val="22"/>
        </w:rPr>
        <w:t xml:space="preserve">. Quanto ao teor da determinação guerreada, a recorrente </w:t>
      </w:r>
      <w:r w:rsidR="00EF1D14" w:rsidRPr="00A34E41">
        <w:rPr>
          <w:sz w:val="22"/>
          <w:szCs w:val="22"/>
        </w:rPr>
        <w:t>asseverou</w:t>
      </w:r>
      <w:r w:rsidRPr="00A34E41">
        <w:rPr>
          <w:sz w:val="22"/>
          <w:szCs w:val="22"/>
        </w:rPr>
        <w:t xml:space="preserve"> que, </w:t>
      </w:r>
      <w:r w:rsidRPr="00A34E41">
        <w:rPr>
          <w:i/>
          <w:sz w:val="22"/>
          <w:szCs w:val="22"/>
        </w:rPr>
        <w:t>“da mesma forma que o art. 26 da Lei nº 8.666/93 ordena a motivação da decisão, os itens 4.2.2 e 4.2.2.1 do Manual de Procedimentos Contratuais da Petrobras, o qual complementa e disciplina o Regulamento do Procedimento Licitatório Simplificado, aprovado pelo Decreto nº 2.745/98, também contemplam a obrigatoriedade da motivação, o que tem sido cumprido pela Petrobras”</w:t>
      </w:r>
      <w:r w:rsidRPr="00A34E41">
        <w:rPr>
          <w:sz w:val="22"/>
          <w:szCs w:val="22"/>
        </w:rPr>
        <w:t xml:space="preserve">. Em sua instrução, a unidade técnica </w:t>
      </w:r>
      <w:r w:rsidR="00D92529" w:rsidRPr="00A34E41">
        <w:rPr>
          <w:sz w:val="22"/>
          <w:szCs w:val="22"/>
        </w:rPr>
        <w:t>ponderou</w:t>
      </w:r>
      <w:r w:rsidRPr="00A34E41">
        <w:rPr>
          <w:sz w:val="22"/>
          <w:szCs w:val="22"/>
        </w:rPr>
        <w:t xml:space="preserve"> que a determinação do TCU não se limita a ordenar que a Petrobras passe a motivar as suas decisões, </w:t>
      </w:r>
      <w:r w:rsidR="00D92529" w:rsidRPr="00A34E41">
        <w:rPr>
          <w:sz w:val="22"/>
          <w:szCs w:val="22"/>
        </w:rPr>
        <w:t xml:space="preserve">mas </w:t>
      </w:r>
      <w:r w:rsidRPr="00A34E41">
        <w:rPr>
          <w:sz w:val="22"/>
          <w:szCs w:val="22"/>
        </w:rPr>
        <w:t xml:space="preserve">também trata da </w:t>
      </w:r>
      <w:r w:rsidRPr="00A34E41">
        <w:rPr>
          <w:i/>
          <w:sz w:val="22"/>
          <w:szCs w:val="22"/>
        </w:rPr>
        <w:t>“não adoção indiscriminada da modalidade convite fora dos limites impostos pela Lei nº 8.666/93”</w:t>
      </w:r>
      <w:r w:rsidR="00D92529" w:rsidRPr="00A34E41">
        <w:rPr>
          <w:sz w:val="22"/>
          <w:szCs w:val="22"/>
        </w:rPr>
        <w:t xml:space="preserve">, ou seja, </w:t>
      </w:r>
      <w:r w:rsidR="00D92529" w:rsidRPr="00A34E41">
        <w:rPr>
          <w:i/>
          <w:sz w:val="22"/>
          <w:szCs w:val="22"/>
        </w:rPr>
        <w:t>“</w:t>
      </w:r>
      <w:r w:rsidRPr="00A34E41">
        <w:rPr>
          <w:i/>
          <w:sz w:val="22"/>
          <w:szCs w:val="22"/>
        </w:rPr>
        <w:t>em limites superiores aos estabelecidos no art. 23, incis</w:t>
      </w:r>
      <w:r w:rsidR="006063E1" w:rsidRPr="00A34E41">
        <w:rPr>
          <w:i/>
          <w:sz w:val="22"/>
          <w:szCs w:val="22"/>
        </w:rPr>
        <w:t>os I e II, da Lei nº 8.666/1993</w:t>
      </w:r>
      <w:r w:rsidRPr="00A34E41">
        <w:rPr>
          <w:i/>
          <w:sz w:val="22"/>
          <w:szCs w:val="22"/>
        </w:rPr>
        <w:t>”</w:t>
      </w:r>
      <w:r w:rsidRPr="00A34E41">
        <w:rPr>
          <w:sz w:val="22"/>
          <w:szCs w:val="22"/>
        </w:rPr>
        <w:t xml:space="preserve">. </w:t>
      </w:r>
      <w:r w:rsidR="006063E1" w:rsidRPr="00A34E41">
        <w:rPr>
          <w:sz w:val="22"/>
          <w:szCs w:val="22"/>
        </w:rPr>
        <w:t>Para a unidade instrutiva, a</w:t>
      </w:r>
      <w:r w:rsidRPr="00A34E41">
        <w:rPr>
          <w:sz w:val="22"/>
          <w:szCs w:val="22"/>
        </w:rPr>
        <w:t xml:space="preserve">o adotar o convite, </w:t>
      </w:r>
      <w:r w:rsidRPr="00A34E41">
        <w:rPr>
          <w:i/>
          <w:sz w:val="22"/>
          <w:szCs w:val="22"/>
        </w:rPr>
        <w:t>“a Petrobras frustrou a expectativa de outros interessados, em clara afronta aos princípios da publicidade e da impessoalidade (</w:t>
      </w:r>
      <w:r w:rsidRPr="00A34E41">
        <w:rPr>
          <w:b/>
          <w:i/>
          <w:sz w:val="22"/>
          <w:szCs w:val="22"/>
        </w:rPr>
        <w:t>caput</w:t>
      </w:r>
      <w:r w:rsidRPr="00A34E41">
        <w:rPr>
          <w:i/>
          <w:sz w:val="22"/>
          <w:szCs w:val="22"/>
        </w:rPr>
        <w:t xml:space="preserve"> do art. 37 da CF 1988)”</w:t>
      </w:r>
      <w:r w:rsidRPr="00A34E41">
        <w:rPr>
          <w:sz w:val="22"/>
          <w:szCs w:val="22"/>
        </w:rPr>
        <w:t xml:space="preserve">. Ainda de acordo com a unidade técnica, por intermédio do art. 173, § 1º, III, da Constituição Federal de 1988, o constituinte derivado outorgou ao legislador ordinário a possibilidade de elaborar estatuto jurídico diferenciado para as empresas públicas, sociedades de economia mista e suas subsidiárias, em matéria de licitação, porém mediante lei em sentido formal e material, o que até o presente momento não foi positivado em nosso ordenamento jurídico. Em seu voto, o relator </w:t>
      </w:r>
      <w:r w:rsidR="006063E1" w:rsidRPr="00A34E41">
        <w:rPr>
          <w:sz w:val="22"/>
          <w:szCs w:val="22"/>
        </w:rPr>
        <w:t>enfatizou</w:t>
      </w:r>
      <w:r w:rsidRPr="00A34E41">
        <w:rPr>
          <w:sz w:val="22"/>
          <w:szCs w:val="22"/>
        </w:rPr>
        <w:t xml:space="preserve"> que, desde a prolação da Decisão n.° 663/2002-Plenário, </w:t>
      </w:r>
      <w:r w:rsidR="006063E1" w:rsidRPr="00A34E41">
        <w:rPr>
          <w:sz w:val="22"/>
          <w:szCs w:val="22"/>
        </w:rPr>
        <w:t>a qual</w:t>
      </w:r>
      <w:r w:rsidRPr="00A34E41">
        <w:rPr>
          <w:sz w:val="22"/>
          <w:szCs w:val="22"/>
        </w:rPr>
        <w:t xml:space="preserve"> considerou inconstitucionais o art. 67 da Lei n.° 9.478/97 e o Decreto n.° 2.745/98, é pacífica a jurisprudência do Tribunal no sentido de que a Petrobras está sujeita à observância da Lei n.° 8.666/93 até a edição de lei específica. </w:t>
      </w:r>
      <w:r w:rsidR="002E361C" w:rsidRPr="00A34E41">
        <w:rPr>
          <w:sz w:val="22"/>
          <w:szCs w:val="22"/>
        </w:rPr>
        <w:t>Ressaltou</w:t>
      </w:r>
      <w:r w:rsidRPr="00A34E41">
        <w:rPr>
          <w:sz w:val="22"/>
          <w:szCs w:val="22"/>
        </w:rPr>
        <w:t xml:space="preserve">, </w:t>
      </w:r>
      <w:r w:rsidR="006063E1" w:rsidRPr="00A34E41">
        <w:rPr>
          <w:sz w:val="22"/>
          <w:szCs w:val="22"/>
        </w:rPr>
        <w:t>também</w:t>
      </w:r>
      <w:r w:rsidRPr="00A34E41">
        <w:rPr>
          <w:sz w:val="22"/>
          <w:szCs w:val="22"/>
        </w:rPr>
        <w:t>, que o panorama não chegou a ser alterado nem mesmo pelas diversas medidas liminares concedidas pelo Supremo Tribunal Federal</w:t>
      </w:r>
      <w:r w:rsidR="0058427E" w:rsidRPr="00A34E41">
        <w:rPr>
          <w:sz w:val="22"/>
          <w:szCs w:val="22"/>
        </w:rPr>
        <w:t>,</w:t>
      </w:r>
      <w:r w:rsidRPr="00A34E41">
        <w:rPr>
          <w:sz w:val="22"/>
          <w:szCs w:val="22"/>
        </w:rPr>
        <w:t xml:space="preserve"> em mandados de segurança </w:t>
      </w:r>
      <w:r w:rsidR="006063E1" w:rsidRPr="00A34E41">
        <w:rPr>
          <w:sz w:val="22"/>
          <w:szCs w:val="22"/>
        </w:rPr>
        <w:t>impetrados</w:t>
      </w:r>
      <w:r w:rsidRPr="00A34E41">
        <w:rPr>
          <w:sz w:val="22"/>
          <w:szCs w:val="22"/>
        </w:rPr>
        <w:t xml:space="preserve"> pela </w:t>
      </w:r>
      <w:r w:rsidR="006063E1" w:rsidRPr="00A34E41">
        <w:rPr>
          <w:sz w:val="22"/>
          <w:szCs w:val="22"/>
        </w:rPr>
        <w:t>entidade</w:t>
      </w:r>
      <w:r w:rsidRPr="00A34E41">
        <w:rPr>
          <w:sz w:val="22"/>
          <w:szCs w:val="22"/>
        </w:rPr>
        <w:t xml:space="preserve">, </w:t>
      </w:r>
      <w:r w:rsidRPr="00A34E41">
        <w:rPr>
          <w:i/>
          <w:sz w:val="22"/>
          <w:szCs w:val="22"/>
        </w:rPr>
        <w:t>“já que tem sido entendimento remansoso deste Plenário que aquelas deliberações precárias da Corte Suprema restringem-se aos casos concretos tratados naquelas ações judiciais, sem afetar outras decisões do Tribunal concernentes ao tema, inclusive a ora reexaminada”</w:t>
      </w:r>
      <w:r w:rsidRPr="00A34E41">
        <w:rPr>
          <w:sz w:val="22"/>
          <w:szCs w:val="22"/>
        </w:rPr>
        <w:t xml:space="preserve">. </w:t>
      </w:r>
      <w:r w:rsidRPr="00A34E41">
        <w:rPr>
          <w:b/>
          <w:i/>
          <w:sz w:val="22"/>
          <w:szCs w:val="22"/>
        </w:rPr>
        <w:t>Acórdão n.º 1097/2010-Plenário, TC-015.656/2007-2, rel. Min. Aroldo Cedraz, 19.05.2010</w:t>
      </w:r>
      <w:r w:rsidRPr="00A34E41">
        <w:rPr>
          <w:sz w:val="22"/>
          <w:szCs w:val="22"/>
        </w:rPr>
        <w:t>.</w:t>
      </w:r>
    </w:p>
    <w:p w:rsidR="00F30016" w:rsidRPr="00A34E41" w:rsidRDefault="00F30016" w:rsidP="00F30016">
      <w:pPr>
        <w:pStyle w:val="indice"/>
        <w:tabs>
          <w:tab w:val="left" w:pos="567"/>
        </w:tabs>
        <w:spacing w:line="240" w:lineRule="auto"/>
      </w:pPr>
    </w:p>
    <w:p w:rsidR="00F30016" w:rsidRPr="00A34E41" w:rsidRDefault="00AF09C7" w:rsidP="00F30016">
      <w:pPr>
        <w:pStyle w:val="indice"/>
        <w:tabs>
          <w:tab w:val="left" w:pos="567"/>
        </w:tabs>
        <w:spacing w:line="240" w:lineRule="auto"/>
        <w:rPr>
          <w:b/>
        </w:rPr>
      </w:pPr>
      <w:r w:rsidRPr="00A34E41">
        <w:rPr>
          <w:b/>
        </w:rPr>
        <w:t>Contratação direta, sem licitação, para a realização de concurso com vistas ao provimento de cargos ou empregos públicos</w:t>
      </w:r>
    </w:p>
    <w:p w:rsidR="00F30016" w:rsidRPr="00A34E41" w:rsidRDefault="008B1FE5" w:rsidP="00F30016">
      <w:pPr>
        <w:pStyle w:val="Pargrafo"/>
        <w:jc w:val="both"/>
        <w:rPr>
          <w:sz w:val="22"/>
          <w:szCs w:val="22"/>
        </w:rPr>
      </w:pPr>
      <w:r w:rsidRPr="00A34E41">
        <w:rPr>
          <w:sz w:val="22"/>
          <w:szCs w:val="22"/>
        </w:rPr>
        <w:t>Em</w:t>
      </w:r>
      <w:r w:rsidR="00F30016" w:rsidRPr="00A34E41">
        <w:rPr>
          <w:sz w:val="22"/>
          <w:szCs w:val="22"/>
        </w:rPr>
        <w:t xml:space="preserve"> consulta formulada ao TCU</w:t>
      </w:r>
      <w:r w:rsidRPr="00A34E41">
        <w:rPr>
          <w:sz w:val="22"/>
          <w:szCs w:val="22"/>
        </w:rPr>
        <w:t>,</w:t>
      </w:r>
      <w:r w:rsidR="00F30016" w:rsidRPr="00A34E41">
        <w:rPr>
          <w:sz w:val="22"/>
          <w:szCs w:val="22"/>
        </w:rPr>
        <w:t xml:space="preserve"> o Ministro de Estado das Comunicações</w:t>
      </w:r>
      <w:r w:rsidRPr="00A34E41">
        <w:rPr>
          <w:sz w:val="22"/>
          <w:szCs w:val="22"/>
        </w:rPr>
        <w:t xml:space="preserve"> indaga</w:t>
      </w:r>
      <w:r w:rsidR="00F30016" w:rsidRPr="00A34E41">
        <w:rPr>
          <w:sz w:val="22"/>
          <w:szCs w:val="22"/>
        </w:rPr>
        <w:t xml:space="preserve"> </w:t>
      </w:r>
      <w:r w:rsidR="00F30016" w:rsidRPr="00A34E41">
        <w:rPr>
          <w:i/>
          <w:sz w:val="22"/>
          <w:szCs w:val="22"/>
        </w:rPr>
        <w:t>“se é possível a realização de certame de caráter nacional</w:t>
      </w:r>
      <w:r w:rsidRPr="00A34E41">
        <w:rPr>
          <w:i/>
          <w:sz w:val="22"/>
          <w:szCs w:val="22"/>
        </w:rPr>
        <w:t>”</w:t>
      </w:r>
      <w:r w:rsidR="00F30016" w:rsidRPr="00A34E41">
        <w:rPr>
          <w:sz w:val="22"/>
          <w:szCs w:val="22"/>
        </w:rPr>
        <w:t xml:space="preserve">, </w:t>
      </w:r>
      <w:r w:rsidRPr="00A34E41">
        <w:rPr>
          <w:sz w:val="22"/>
          <w:szCs w:val="22"/>
        </w:rPr>
        <w:t xml:space="preserve">com vistas ao recrutamento e à seleção de pessoal para os quadros da Empresa Brasileira de Correios e Telégrafos (ECT), </w:t>
      </w:r>
      <w:r w:rsidRPr="00A34E41">
        <w:rPr>
          <w:i/>
          <w:sz w:val="22"/>
          <w:szCs w:val="22"/>
        </w:rPr>
        <w:t>“</w:t>
      </w:r>
      <w:r w:rsidR="00F30016" w:rsidRPr="00A34E41">
        <w:rPr>
          <w:i/>
          <w:sz w:val="22"/>
          <w:szCs w:val="22"/>
        </w:rPr>
        <w:t>centralizando em Brasília todo o planejamento e a efetiva execução dos processos, por intermédio da contratação de entidade de notória especialização e indiscutível capacidade e experiência em concursos públicos, com base no art. 24, inciso XIII, da Lei n.º 8.666, de 1993”</w:t>
      </w:r>
      <w:r w:rsidR="00F30016" w:rsidRPr="00A34E41">
        <w:rPr>
          <w:sz w:val="22"/>
          <w:szCs w:val="22"/>
        </w:rPr>
        <w:t xml:space="preserve">. Salienta o consulente que, embora seja urgente a deflagração de processo para a contratação de </w:t>
      </w:r>
      <w:r w:rsidR="002D47FE" w:rsidRPr="00A34E41">
        <w:rPr>
          <w:i/>
          <w:sz w:val="22"/>
          <w:szCs w:val="22"/>
        </w:rPr>
        <w:t>“</w:t>
      </w:r>
      <w:r w:rsidR="00F30016" w:rsidRPr="00A34E41">
        <w:rPr>
          <w:i/>
          <w:sz w:val="22"/>
          <w:szCs w:val="22"/>
        </w:rPr>
        <w:t>novos funcionários para a ECT</w:t>
      </w:r>
      <w:r w:rsidR="002D47FE" w:rsidRPr="00A34E41">
        <w:rPr>
          <w:i/>
          <w:sz w:val="22"/>
          <w:szCs w:val="22"/>
        </w:rPr>
        <w:t>”</w:t>
      </w:r>
      <w:r w:rsidR="00F30016" w:rsidRPr="00A34E41">
        <w:rPr>
          <w:sz w:val="22"/>
          <w:szCs w:val="22"/>
        </w:rPr>
        <w:t xml:space="preserve">, surgiram dúvidas plausíveis, originárias da área jurídica da empresa, em face da existência do Acórdão n.º 221/2006-Plenário, que determinou à entidade que, nos casos em que houvesse mais de uma </w:t>
      </w:r>
      <w:r w:rsidR="00ED0557" w:rsidRPr="00A34E41">
        <w:rPr>
          <w:sz w:val="22"/>
          <w:szCs w:val="22"/>
        </w:rPr>
        <w:t>instituição</w:t>
      </w:r>
      <w:r w:rsidR="00F30016" w:rsidRPr="00A34E41">
        <w:rPr>
          <w:sz w:val="22"/>
          <w:szCs w:val="22"/>
        </w:rPr>
        <w:t xml:space="preserve"> em condições de prestar os serviços objeto d</w:t>
      </w:r>
      <w:r w:rsidR="002D47FE" w:rsidRPr="00A34E41">
        <w:rPr>
          <w:sz w:val="22"/>
          <w:szCs w:val="22"/>
        </w:rPr>
        <w:t>a</w:t>
      </w:r>
      <w:r w:rsidR="00F30016" w:rsidRPr="00A34E41">
        <w:rPr>
          <w:sz w:val="22"/>
          <w:szCs w:val="22"/>
        </w:rPr>
        <w:t xml:space="preserve"> contratação direta, a </w:t>
      </w:r>
      <w:r w:rsidRPr="00A34E41">
        <w:rPr>
          <w:sz w:val="22"/>
          <w:szCs w:val="22"/>
        </w:rPr>
        <w:t>ECT</w:t>
      </w:r>
      <w:r w:rsidR="00F30016" w:rsidRPr="00A34E41">
        <w:rPr>
          <w:sz w:val="22"/>
          <w:szCs w:val="22"/>
        </w:rPr>
        <w:t xml:space="preserve"> deveria licitá-los. </w:t>
      </w:r>
      <w:r w:rsidR="002D47FE" w:rsidRPr="00A34E41">
        <w:rPr>
          <w:sz w:val="22"/>
          <w:szCs w:val="22"/>
        </w:rPr>
        <w:t>Para</w:t>
      </w:r>
      <w:r w:rsidR="00F30016" w:rsidRPr="00A34E41">
        <w:rPr>
          <w:sz w:val="22"/>
          <w:szCs w:val="22"/>
        </w:rPr>
        <w:t xml:space="preserve"> o relator, o aludido acórdão não constitui óbice à pretensão do consulente, porquanto, por meio do Acórdão n.° 569/2005-Plenário, prevaleceu a </w:t>
      </w:r>
      <w:r w:rsidR="002D47FE" w:rsidRPr="00A34E41">
        <w:rPr>
          <w:sz w:val="22"/>
          <w:szCs w:val="22"/>
        </w:rPr>
        <w:t xml:space="preserve">tese </w:t>
      </w:r>
      <w:r w:rsidR="00F30016" w:rsidRPr="00A34E41">
        <w:rPr>
          <w:sz w:val="22"/>
          <w:szCs w:val="22"/>
        </w:rPr>
        <w:t xml:space="preserve">de que o art. 24, XIII, da Lei n.º 8.666/93, ao autorizar a dispensa de licitação, mesmo que viável a competição, não levou em conta o critério da competitividade, mas sim prestigiou outras circunstâncias e peculiaridades que condicionam e recomendam a contratação direta, como a pesquisa, o ensino e o desenvolvimento institucional. </w:t>
      </w:r>
      <w:r w:rsidR="002D47FE" w:rsidRPr="00A34E41">
        <w:rPr>
          <w:sz w:val="22"/>
          <w:szCs w:val="22"/>
        </w:rPr>
        <w:t>Segundo</w:t>
      </w:r>
      <w:r w:rsidR="00F30016" w:rsidRPr="00A34E41">
        <w:rPr>
          <w:sz w:val="22"/>
          <w:szCs w:val="22"/>
        </w:rPr>
        <w:t xml:space="preserve"> o relator, a leitura que se deve fazer do mencionado Acórdão n.º 221/2006-Plenário é que</w:t>
      </w:r>
      <w:r w:rsidR="002D47FE" w:rsidRPr="00A34E41">
        <w:rPr>
          <w:sz w:val="22"/>
          <w:szCs w:val="22"/>
        </w:rPr>
        <w:t xml:space="preserve"> ele</w:t>
      </w:r>
      <w:r w:rsidR="00F30016" w:rsidRPr="00A34E41">
        <w:rPr>
          <w:sz w:val="22"/>
          <w:szCs w:val="22"/>
        </w:rPr>
        <w:t xml:space="preserve"> </w:t>
      </w:r>
      <w:r w:rsidR="00F30016" w:rsidRPr="00A34E41">
        <w:rPr>
          <w:i/>
          <w:sz w:val="22"/>
          <w:szCs w:val="22"/>
        </w:rPr>
        <w:t xml:space="preserve">“buscou evitar o desvirtuamento da lei, por meio da contratação de instituições que atendam aos requisitos constantes do texto legal, a saber: ser brasileira; não ter fins lucrativos; apresentar inquestionável reputação ético-profissional; ter como objetivo estatutário-regimental a pesquisa, o ensino ou o desenvolvimento institucional. Não atendidos esses requisitos, prevalece a orientação da aludido </w:t>
      </w:r>
      <w:r w:rsidR="00F30016" w:rsidRPr="00A34E41">
        <w:rPr>
          <w:b/>
          <w:i/>
          <w:sz w:val="22"/>
          <w:szCs w:val="22"/>
        </w:rPr>
        <w:t>decisum</w:t>
      </w:r>
      <w:r w:rsidR="00F30016" w:rsidRPr="00A34E41">
        <w:rPr>
          <w:i/>
          <w:sz w:val="22"/>
          <w:szCs w:val="22"/>
        </w:rPr>
        <w:t xml:space="preserve"> quanto à obrigatoriedade de licitar”</w:t>
      </w:r>
      <w:r w:rsidR="00F30016" w:rsidRPr="00A34E41">
        <w:rPr>
          <w:sz w:val="22"/>
          <w:szCs w:val="22"/>
        </w:rPr>
        <w:t xml:space="preserve">. Ao final, o relator propôs e o Plenário decidiu </w:t>
      </w:r>
      <w:r w:rsidR="00F30016" w:rsidRPr="00A34E41">
        <w:rPr>
          <w:i/>
          <w:sz w:val="22"/>
          <w:szCs w:val="22"/>
        </w:rPr>
        <w:t>“esclarecer ao consulente que é possível a realização de concurso para provimento de cargos ou empregos públicos, por meio da contratação direta de entidade detentora de notória especialização e inquestionáveis capacidade e experiência na matéria, com fundamento no art. 24, inciso XIII, da Lei n.º 8.666, de 1993, sem prejuízo da observância dos demais requisitos estabelecidos na Lei para a contratação direta, como a elaboração de projeto básico e de orçamento detalhado (art. 7º), além da razão de escolha da instituição executante e a justificativa do preço contratado (art. 26)”</w:t>
      </w:r>
      <w:r w:rsidR="00F30016" w:rsidRPr="00A34E41">
        <w:rPr>
          <w:sz w:val="22"/>
          <w:szCs w:val="22"/>
        </w:rPr>
        <w:t>. Precedente citado: Acórdão n.</w:t>
      </w:r>
      <w:r w:rsidR="00F30016" w:rsidRPr="00A34E41">
        <w:rPr>
          <w:sz w:val="22"/>
          <w:szCs w:val="22"/>
          <w:vertAlign w:val="superscript"/>
        </w:rPr>
        <w:t>o</w:t>
      </w:r>
      <w:r w:rsidR="00F30016" w:rsidRPr="00A34E41">
        <w:rPr>
          <w:sz w:val="22"/>
          <w:szCs w:val="22"/>
        </w:rPr>
        <w:t xml:space="preserve"> 670/2010-Plenário (Relação n.º 12/2010). </w:t>
      </w:r>
      <w:r w:rsidR="00F30016" w:rsidRPr="00A34E41">
        <w:rPr>
          <w:b/>
          <w:i/>
          <w:sz w:val="22"/>
          <w:szCs w:val="22"/>
        </w:rPr>
        <w:t>Acórdão n.º 1111/2010-Plenário, TC-010.901/2010-8, rel. Min. José Jorge, 19.05.2010</w:t>
      </w:r>
      <w:r w:rsidR="00F30016" w:rsidRPr="00A34E41">
        <w:rPr>
          <w:sz w:val="22"/>
          <w:szCs w:val="22"/>
        </w:rPr>
        <w:t>.</w:t>
      </w:r>
    </w:p>
    <w:p w:rsidR="00F30016" w:rsidRPr="00A34E41" w:rsidRDefault="00F30016" w:rsidP="00F30016">
      <w:pPr>
        <w:pStyle w:val="indice"/>
        <w:tabs>
          <w:tab w:val="left" w:pos="567"/>
        </w:tabs>
        <w:spacing w:line="240" w:lineRule="auto"/>
      </w:pPr>
    </w:p>
    <w:p w:rsidR="008501A4" w:rsidRPr="00A34E41" w:rsidRDefault="003E65D7" w:rsidP="008501A4">
      <w:pPr>
        <w:pStyle w:val="enter-3pt"/>
        <w:spacing w:before="45" w:line="240" w:lineRule="auto"/>
        <w:rPr>
          <w:b/>
          <w:sz w:val="22"/>
          <w:szCs w:val="22"/>
        </w:rPr>
      </w:pPr>
      <w:r w:rsidRPr="00A34E41">
        <w:rPr>
          <w:b/>
          <w:sz w:val="22"/>
          <w:szCs w:val="22"/>
        </w:rPr>
        <w:t>Exigências editalícias restritivas ao caráter competitivo da licitação e prática de ato antieconômico</w:t>
      </w:r>
    </w:p>
    <w:p w:rsidR="00981FA0" w:rsidRPr="00A34E41" w:rsidRDefault="008501A4" w:rsidP="00337E16">
      <w:pPr>
        <w:pStyle w:val="Pargrafo"/>
        <w:jc w:val="both"/>
        <w:rPr>
          <w:sz w:val="22"/>
          <w:szCs w:val="22"/>
        </w:rPr>
      </w:pPr>
      <w:r w:rsidRPr="00A34E41">
        <w:rPr>
          <w:sz w:val="22"/>
          <w:szCs w:val="22"/>
        </w:rPr>
        <w:t xml:space="preserve">A caracterização da antieconomicidade da aquisição pode ocorrer quando se verifica que, não fosse a </w:t>
      </w:r>
      <w:r w:rsidR="00B97A3E" w:rsidRPr="00A34E41">
        <w:rPr>
          <w:sz w:val="22"/>
          <w:szCs w:val="22"/>
        </w:rPr>
        <w:t>precariedade</w:t>
      </w:r>
      <w:r w:rsidRPr="00A34E41">
        <w:rPr>
          <w:sz w:val="22"/>
          <w:szCs w:val="22"/>
        </w:rPr>
        <w:t xml:space="preserve"> dos estudos supostamente realizados para especificação do objeto, os quais conduziram à escolha de características presentes em um único equipamento, haveria possibilidade de a licitação realizada ter previsto características mínimas</w:t>
      </w:r>
      <w:r w:rsidR="00D86DD4" w:rsidRPr="00A34E41">
        <w:rPr>
          <w:sz w:val="22"/>
          <w:szCs w:val="22"/>
        </w:rPr>
        <w:t>,</w:t>
      </w:r>
      <w:r w:rsidRPr="00A34E41">
        <w:rPr>
          <w:sz w:val="22"/>
          <w:szCs w:val="22"/>
        </w:rPr>
        <w:t xml:space="preserve"> presentes em outros modelos</w:t>
      </w:r>
      <w:r w:rsidR="00D86DD4" w:rsidRPr="00A34E41">
        <w:rPr>
          <w:sz w:val="22"/>
          <w:szCs w:val="22"/>
        </w:rPr>
        <w:t>,</w:t>
      </w:r>
      <w:r w:rsidRPr="00A34E41">
        <w:rPr>
          <w:sz w:val="22"/>
          <w:szCs w:val="22"/>
        </w:rPr>
        <w:t xml:space="preserve"> que, assim especificadas, resultariam na ampliação da </w:t>
      </w:r>
      <w:r w:rsidR="00D86DD4" w:rsidRPr="00A34E41">
        <w:rPr>
          <w:sz w:val="22"/>
          <w:szCs w:val="22"/>
        </w:rPr>
        <w:t>competição,</w:t>
      </w:r>
      <w:r w:rsidRPr="00A34E41">
        <w:rPr>
          <w:sz w:val="22"/>
          <w:szCs w:val="22"/>
        </w:rPr>
        <w:t xml:space="preserve"> com </w:t>
      </w:r>
      <w:r w:rsidR="0011373A" w:rsidRPr="00A34E41">
        <w:rPr>
          <w:sz w:val="22"/>
          <w:szCs w:val="22"/>
        </w:rPr>
        <w:t xml:space="preserve">o </w:t>
      </w:r>
      <w:r w:rsidRPr="00A34E41">
        <w:rPr>
          <w:sz w:val="22"/>
          <w:szCs w:val="22"/>
        </w:rPr>
        <w:t xml:space="preserve">comparecimento de mais de um licitante e com </w:t>
      </w:r>
      <w:r w:rsidR="0058427E" w:rsidRPr="00A34E41">
        <w:rPr>
          <w:sz w:val="22"/>
          <w:szCs w:val="22"/>
        </w:rPr>
        <w:t xml:space="preserve">o </w:t>
      </w:r>
      <w:r w:rsidRPr="00A34E41">
        <w:rPr>
          <w:sz w:val="22"/>
          <w:szCs w:val="22"/>
        </w:rPr>
        <w:t>efetivo oferecimento de lances, em legítimo ambiente concorrencial</w:t>
      </w:r>
      <w:r w:rsidR="0011373A" w:rsidRPr="00A34E41">
        <w:rPr>
          <w:sz w:val="22"/>
          <w:szCs w:val="22"/>
        </w:rPr>
        <w:t>,</w:t>
      </w:r>
      <w:r w:rsidRPr="00A34E41">
        <w:rPr>
          <w:sz w:val="22"/>
          <w:szCs w:val="22"/>
        </w:rPr>
        <w:t xml:space="preserve"> visando </w:t>
      </w:r>
      <w:r w:rsidR="00D86DD4" w:rsidRPr="00A34E41">
        <w:rPr>
          <w:sz w:val="22"/>
          <w:szCs w:val="22"/>
        </w:rPr>
        <w:t>à</w:t>
      </w:r>
      <w:r w:rsidRPr="00A34E41">
        <w:rPr>
          <w:sz w:val="22"/>
          <w:szCs w:val="22"/>
        </w:rPr>
        <w:t xml:space="preserve"> contratação mais vantajosa, conforme objetivado na modalidade pregão.</w:t>
      </w:r>
      <w:r w:rsidR="00D86DD4" w:rsidRPr="00A34E41">
        <w:rPr>
          <w:sz w:val="22"/>
          <w:szCs w:val="22"/>
        </w:rPr>
        <w:t xml:space="preserve"> Foi esse o entendimento defendido pelo relator, ao apreciar representação </w:t>
      </w:r>
      <w:r w:rsidR="0011373A" w:rsidRPr="00A34E41">
        <w:rPr>
          <w:sz w:val="22"/>
          <w:szCs w:val="22"/>
        </w:rPr>
        <w:t xml:space="preserve">que </w:t>
      </w:r>
      <w:r w:rsidR="00D10769" w:rsidRPr="00A34E41">
        <w:rPr>
          <w:sz w:val="22"/>
          <w:szCs w:val="22"/>
        </w:rPr>
        <w:t>suscitou</w:t>
      </w:r>
      <w:r w:rsidR="00D86DD4" w:rsidRPr="00A34E41">
        <w:rPr>
          <w:sz w:val="22"/>
          <w:szCs w:val="22"/>
        </w:rPr>
        <w:t xml:space="preserve"> possíveis irregularidades no edital do Pregão Eletrônico </w:t>
      </w:r>
      <w:r w:rsidRPr="00A34E41">
        <w:rPr>
          <w:sz w:val="22"/>
          <w:szCs w:val="22"/>
        </w:rPr>
        <w:t xml:space="preserve">para </w:t>
      </w:r>
      <w:r w:rsidR="00D86DD4" w:rsidRPr="00A34E41">
        <w:rPr>
          <w:sz w:val="22"/>
          <w:szCs w:val="22"/>
        </w:rPr>
        <w:t>R</w:t>
      </w:r>
      <w:r w:rsidRPr="00A34E41">
        <w:rPr>
          <w:sz w:val="22"/>
          <w:szCs w:val="22"/>
        </w:rPr>
        <w:t xml:space="preserve">egistro de </w:t>
      </w:r>
      <w:r w:rsidR="00D86DD4" w:rsidRPr="00A34E41">
        <w:rPr>
          <w:sz w:val="22"/>
          <w:szCs w:val="22"/>
        </w:rPr>
        <w:t>P</w:t>
      </w:r>
      <w:r w:rsidRPr="00A34E41">
        <w:rPr>
          <w:sz w:val="22"/>
          <w:szCs w:val="22"/>
        </w:rPr>
        <w:t>reços</w:t>
      </w:r>
      <w:r w:rsidR="00D86DD4" w:rsidRPr="00A34E41">
        <w:rPr>
          <w:sz w:val="22"/>
          <w:szCs w:val="22"/>
        </w:rPr>
        <w:t xml:space="preserve"> n.º 016/2006, conduzido pela</w:t>
      </w:r>
      <w:r w:rsidRPr="00A34E41">
        <w:rPr>
          <w:sz w:val="22"/>
          <w:szCs w:val="22"/>
        </w:rPr>
        <w:t xml:space="preserve"> Coordenação-Geral de Logística do Ministério da Justiça</w:t>
      </w:r>
      <w:r w:rsidR="00D86DD4" w:rsidRPr="00A34E41">
        <w:rPr>
          <w:sz w:val="22"/>
          <w:szCs w:val="22"/>
        </w:rPr>
        <w:t>, tendo por objeto a</w:t>
      </w:r>
      <w:r w:rsidRPr="00A34E41">
        <w:rPr>
          <w:sz w:val="22"/>
          <w:szCs w:val="22"/>
        </w:rPr>
        <w:t xml:space="preserve"> aquisição de detectores portáteis de traços de substâncias ilícitas, com entrega descentralizada, para equipar penitenciárias federais do Departamento Penitenciário Nacional </w:t>
      </w:r>
      <w:r w:rsidR="00D86DD4" w:rsidRPr="00A34E41">
        <w:rPr>
          <w:sz w:val="22"/>
          <w:szCs w:val="22"/>
        </w:rPr>
        <w:t>(</w:t>
      </w:r>
      <w:r w:rsidRPr="00A34E41">
        <w:rPr>
          <w:sz w:val="22"/>
          <w:szCs w:val="22"/>
        </w:rPr>
        <w:t>Depen/MJ</w:t>
      </w:r>
      <w:r w:rsidR="00D86DD4" w:rsidRPr="00A34E41">
        <w:rPr>
          <w:sz w:val="22"/>
          <w:szCs w:val="22"/>
        </w:rPr>
        <w:t>)</w:t>
      </w:r>
      <w:r w:rsidRPr="00A34E41">
        <w:rPr>
          <w:sz w:val="22"/>
          <w:szCs w:val="22"/>
        </w:rPr>
        <w:t>.</w:t>
      </w:r>
      <w:r w:rsidR="0011373A" w:rsidRPr="00A34E41">
        <w:rPr>
          <w:sz w:val="22"/>
          <w:szCs w:val="22"/>
        </w:rPr>
        <w:t xml:space="preserve"> </w:t>
      </w:r>
      <w:r w:rsidRPr="00A34E41">
        <w:rPr>
          <w:sz w:val="22"/>
          <w:szCs w:val="22"/>
        </w:rPr>
        <w:t>A representante aduziu ter havido direcionamento da licitação</w:t>
      </w:r>
      <w:r w:rsidR="00D86DD4" w:rsidRPr="00A34E41">
        <w:rPr>
          <w:sz w:val="22"/>
          <w:szCs w:val="22"/>
        </w:rPr>
        <w:t>,</w:t>
      </w:r>
      <w:r w:rsidRPr="00A34E41">
        <w:rPr>
          <w:sz w:val="22"/>
          <w:szCs w:val="22"/>
        </w:rPr>
        <w:t xml:space="preserve"> com a inclusão d</w:t>
      </w:r>
      <w:r w:rsidR="00D10769" w:rsidRPr="00A34E41">
        <w:rPr>
          <w:sz w:val="22"/>
          <w:szCs w:val="22"/>
        </w:rPr>
        <w:t>e</w:t>
      </w:r>
      <w:r w:rsidRPr="00A34E41">
        <w:rPr>
          <w:sz w:val="22"/>
          <w:szCs w:val="22"/>
        </w:rPr>
        <w:t xml:space="preserve"> exigência relativa à capacidade de detecção de agentes utilizados em guerras químicas, </w:t>
      </w:r>
      <w:r w:rsidR="0011373A" w:rsidRPr="00A34E41">
        <w:rPr>
          <w:sz w:val="22"/>
          <w:szCs w:val="22"/>
        </w:rPr>
        <w:t>o</w:t>
      </w:r>
      <w:r w:rsidRPr="00A34E41">
        <w:rPr>
          <w:sz w:val="22"/>
          <w:szCs w:val="22"/>
        </w:rPr>
        <w:t xml:space="preserve"> que culminou no comparecimento de apenas uma única empresa ao pregão</w:t>
      </w:r>
      <w:r w:rsidR="00B97A3E" w:rsidRPr="00A34E41">
        <w:rPr>
          <w:sz w:val="22"/>
          <w:szCs w:val="22"/>
        </w:rPr>
        <w:t xml:space="preserve"> (EBCO Systems Ltda.)</w:t>
      </w:r>
      <w:r w:rsidRPr="00A34E41">
        <w:rPr>
          <w:sz w:val="22"/>
          <w:szCs w:val="22"/>
        </w:rPr>
        <w:t xml:space="preserve">. </w:t>
      </w:r>
      <w:r w:rsidR="00956FD8" w:rsidRPr="00A34E41">
        <w:rPr>
          <w:sz w:val="22"/>
          <w:szCs w:val="22"/>
        </w:rPr>
        <w:t xml:space="preserve">Por meio do </w:t>
      </w:r>
      <w:r w:rsidRPr="00A34E41">
        <w:rPr>
          <w:sz w:val="22"/>
          <w:szCs w:val="22"/>
        </w:rPr>
        <w:t xml:space="preserve">Acórdão </w:t>
      </w:r>
      <w:r w:rsidR="00956FD8" w:rsidRPr="00A34E41">
        <w:rPr>
          <w:sz w:val="22"/>
          <w:szCs w:val="22"/>
        </w:rPr>
        <w:t xml:space="preserve">n.º </w:t>
      </w:r>
      <w:r w:rsidRPr="00A34E41">
        <w:rPr>
          <w:sz w:val="22"/>
          <w:szCs w:val="22"/>
        </w:rPr>
        <w:t>1</w:t>
      </w:r>
      <w:r w:rsidR="00F120D9" w:rsidRPr="00A34E41">
        <w:rPr>
          <w:sz w:val="22"/>
          <w:szCs w:val="22"/>
        </w:rPr>
        <w:t>.</w:t>
      </w:r>
      <w:r w:rsidRPr="00A34E41">
        <w:rPr>
          <w:sz w:val="22"/>
          <w:szCs w:val="22"/>
        </w:rPr>
        <w:t xml:space="preserve">198/2008, o </w:t>
      </w:r>
      <w:r w:rsidR="00B97A3E" w:rsidRPr="00A34E41">
        <w:rPr>
          <w:sz w:val="22"/>
          <w:szCs w:val="22"/>
        </w:rPr>
        <w:t>Plenário</w:t>
      </w:r>
      <w:r w:rsidRPr="00A34E41">
        <w:rPr>
          <w:sz w:val="22"/>
          <w:szCs w:val="22"/>
        </w:rPr>
        <w:t xml:space="preserve"> determinou a anulação da </w:t>
      </w:r>
      <w:r w:rsidR="00956FD8" w:rsidRPr="00A34E41">
        <w:rPr>
          <w:sz w:val="22"/>
          <w:szCs w:val="22"/>
        </w:rPr>
        <w:t>a</w:t>
      </w:r>
      <w:r w:rsidRPr="00A34E41">
        <w:rPr>
          <w:sz w:val="22"/>
          <w:szCs w:val="22"/>
        </w:rPr>
        <w:t xml:space="preserve">ta de </w:t>
      </w:r>
      <w:r w:rsidR="00956FD8" w:rsidRPr="00A34E41">
        <w:rPr>
          <w:sz w:val="22"/>
          <w:szCs w:val="22"/>
        </w:rPr>
        <w:t>r</w:t>
      </w:r>
      <w:r w:rsidRPr="00A34E41">
        <w:rPr>
          <w:sz w:val="22"/>
          <w:szCs w:val="22"/>
        </w:rPr>
        <w:t xml:space="preserve">egistro de </w:t>
      </w:r>
      <w:r w:rsidR="00956FD8" w:rsidRPr="00A34E41">
        <w:rPr>
          <w:sz w:val="22"/>
          <w:szCs w:val="22"/>
        </w:rPr>
        <w:t>p</w:t>
      </w:r>
      <w:r w:rsidRPr="00A34E41">
        <w:rPr>
          <w:sz w:val="22"/>
          <w:szCs w:val="22"/>
        </w:rPr>
        <w:t xml:space="preserve">reços e a realização de audiências. </w:t>
      </w:r>
      <w:r w:rsidR="0011373A" w:rsidRPr="00A34E41">
        <w:rPr>
          <w:sz w:val="22"/>
          <w:szCs w:val="22"/>
        </w:rPr>
        <w:t>Naquela assentada, a</w:t>
      </w:r>
      <w:r w:rsidRPr="00A34E41">
        <w:rPr>
          <w:sz w:val="22"/>
          <w:szCs w:val="22"/>
        </w:rPr>
        <w:t xml:space="preserve">o anuir ao encaminhamento proposto, </w:t>
      </w:r>
      <w:r w:rsidR="00F120D9" w:rsidRPr="00A34E41">
        <w:rPr>
          <w:sz w:val="22"/>
          <w:szCs w:val="22"/>
        </w:rPr>
        <w:t>o relator ressaltou</w:t>
      </w:r>
      <w:r w:rsidRPr="00A34E41">
        <w:rPr>
          <w:sz w:val="22"/>
          <w:szCs w:val="22"/>
        </w:rPr>
        <w:t xml:space="preserve"> a reprovabilidade da conduta do então Coordenador-Geral de Políticas, Pesquisa e Análise da Informação do Depen</w:t>
      </w:r>
      <w:r w:rsidR="00F120D9" w:rsidRPr="00A34E41">
        <w:rPr>
          <w:sz w:val="22"/>
          <w:szCs w:val="22"/>
        </w:rPr>
        <w:t>,</w:t>
      </w:r>
      <w:r w:rsidRPr="00A34E41">
        <w:rPr>
          <w:sz w:val="22"/>
          <w:szCs w:val="22"/>
        </w:rPr>
        <w:t xml:space="preserve"> que, consoante as provas coligidas ao processo, utilizou-se indevidamente de trabalho acadêmico para motivar a aquisição de equipamento </w:t>
      </w:r>
      <w:r w:rsidR="00D10769" w:rsidRPr="00A34E41">
        <w:rPr>
          <w:sz w:val="22"/>
          <w:szCs w:val="22"/>
        </w:rPr>
        <w:t>“</w:t>
      </w:r>
      <w:r w:rsidRPr="00A34E41">
        <w:rPr>
          <w:sz w:val="22"/>
          <w:szCs w:val="22"/>
        </w:rPr>
        <w:t>tri-mode</w:t>
      </w:r>
      <w:r w:rsidR="00D10769" w:rsidRPr="00A34E41">
        <w:rPr>
          <w:sz w:val="22"/>
          <w:szCs w:val="22"/>
        </w:rPr>
        <w:t>”</w:t>
      </w:r>
      <w:r w:rsidRPr="00A34E41">
        <w:rPr>
          <w:sz w:val="22"/>
          <w:szCs w:val="22"/>
        </w:rPr>
        <w:t>.</w:t>
      </w:r>
      <w:r w:rsidR="00796CC0" w:rsidRPr="00A34E41">
        <w:rPr>
          <w:sz w:val="22"/>
          <w:szCs w:val="22"/>
        </w:rPr>
        <w:t xml:space="preserve"> </w:t>
      </w:r>
      <w:r w:rsidR="00AA1377" w:rsidRPr="00A34E41">
        <w:rPr>
          <w:sz w:val="22"/>
          <w:szCs w:val="22"/>
        </w:rPr>
        <w:t>No voto apresentado na Sessão de 19/05/2010</w:t>
      </w:r>
      <w:r w:rsidR="00F120D9" w:rsidRPr="00A34E41">
        <w:rPr>
          <w:sz w:val="22"/>
          <w:szCs w:val="22"/>
        </w:rPr>
        <w:t>, o relator destacou que</w:t>
      </w:r>
      <w:r w:rsidR="00796CC0" w:rsidRPr="00A34E41">
        <w:rPr>
          <w:sz w:val="22"/>
          <w:szCs w:val="22"/>
        </w:rPr>
        <w:t xml:space="preserve"> os</w:t>
      </w:r>
      <w:r w:rsidRPr="00A34E41">
        <w:rPr>
          <w:sz w:val="22"/>
          <w:szCs w:val="22"/>
        </w:rPr>
        <w:t xml:space="preserve"> </w:t>
      </w:r>
      <w:r w:rsidR="00B97A3E" w:rsidRPr="00A34E41">
        <w:rPr>
          <w:sz w:val="22"/>
          <w:szCs w:val="22"/>
        </w:rPr>
        <w:t>elementos</w:t>
      </w:r>
      <w:r w:rsidRPr="00A34E41">
        <w:rPr>
          <w:sz w:val="22"/>
          <w:szCs w:val="22"/>
        </w:rPr>
        <w:t xml:space="preserve"> aduzidos não infirmam as conclusões anteriores de que: a) houve motivação inadequada da necessidade de utilização</w:t>
      </w:r>
      <w:r w:rsidR="00796CC0" w:rsidRPr="00A34E41">
        <w:rPr>
          <w:sz w:val="22"/>
          <w:szCs w:val="22"/>
        </w:rPr>
        <w:t>,</w:t>
      </w:r>
      <w:r w:rsidRPr="00A34E41">
        <w:rPr>
          <w:sz w:val="22"/>
          <w:szCs w:val="22"/>
        </w:rPr>
        <w:t xml:space="preserve"> em presídios federais</w:t>
      </w:r>
      <w:r w:rsidR="00796CC0" w:rsidRPr="00A34E41">
        <w:rPr>
          <w:sz w:val="22"/>
          <w:szCs w:val="22"/>
        </w:rPr>
        <w:t>,</w:t>
      </w:r>
      <w:r w:rsidRPr="00A34E41">
        <w:rPr>
          <w:sz w:val="22"/>
          <w:szCs w:val="22"/>
        </w:rPr>
        <w:t xml:space="preserve"> de equipamento para detectar armas químicas; b) as especificações do equipamento objeto do Pregão Eletrônico </w:t>
      </w:r>
      <w:r w:rsidR="00D10769" w:rsidRPr="00A34E41">
        <w:rPr>
          <w:sz w:val="22"/>
          <w:szCs w:val="22"/>
        </w:rPr>
        <w:t xml:space="preserve">n.º </w:t>
      </w:r>
      <w:r w:rsidR="00590907" w:rsidRPr="00A34E41">
        <w:rPr>
          <w:sz w:val="22"/>
          <w:szCs w:val="22"/>
        </w:rPr>
        <w:t>0</w:t>
      </w:r>
      <w:r w:rsidRPr="00A34E41">
        <w:rPr>
          <w:sz w:val="22"/>
          <w:szCs w:val="22"/>
        </w:rPr>
        <w:t>16/2006 (SRP), cujas características exclusivas de detecção tripla (narcóticos, explosivos e armas químicas), em um mesmo aparelho, e, especialmente, dos gases e produtos químicos industriais</w:t>
      </w:r>
      <w:r w:rsidR="00B97A3E" w:rsidRPr="00A34E41">
        <w:rPr>
          <w:sz w:val="22"/>
          <w:szCs w:val="22"/>
        </w:rPr>
        <w:t>,</w:t>
      </w:r>
      <w:r w:rsidRPr="00A34E41">
        <w:rPr>
          <w:sz w:val="22"/>
          <w:szCs w:val="22"/>
        </w:rPr>
        <w:t xml:space="preserve"> são as mesmas encontradas nos manuais técnicos da fabricante </w:t>
      </w:r>
      <w:r w:rsidRPr="00A34E41">
        <w:rPr>
          <w:i/>
          <w:sz w:val="22"/>
          <w:szCs w:val="22"/>
        </w:rPr>
        <w:t>Smiths Detection</w:t>
      </w:r>
      <w:r w:rsidRPr="00A34E41">
        <w:rPr>
          <w:sz w:val="22"/>
          <w:szCs w:val="22"/>
        </w:rPr>
        <w:t xml:space="preserve">; </w:t>
      </w:r>
      <w:r w:rsidR="00E146CF" w:rsidRPr="00A34E41">
        <w:rPr>
          <w:sz w:val="22"/>
          <w:szCs w:val="22"/>
        </w:rPr>
        <w:t xml:space="preserve">e </w:t>
      </w:r>
      <w:r w:rsidRPr="00A34E41">
        <w:rPr>
          <w:sz w:val="22"/>
          <w:szCs w:val="22"/>
        </w:rPr>
        <w:t xml:space="preserve">c) não havia outro fabricante nacional ou mundial, além da </w:t>
      </w:r>
      <w:r w:rsidRPr="00A34E41">
        <w:rPr>
          <w:i/>
          <w:sz w:val="22"/>
          <w:szCs w:val="22"/>
        </w:rPr>
        <w:t>Smiths Detection</w:t>
      </w:r>
      <w:r w:rsidRPr="00A34E41">
        <w:rPr>
          <w:sz w:val="22"/>
          <w:szCs w:val="22"/>
        </w:rPr>
        <w:t>, para detector portátil “tri-mode” (detecção</w:t>
      </w:r>
      <w:r w:rsidR="00796CC0" w:rsidRPr="00A34E41">
        <w:rPr>
          <w:sz w:val="22"/>
          <w:szCs w:val="22"/>
        </w:rPr>
        <w:t>,</w:t>
      </w:r>
      <w:r w:rsidRPr="00A34E41">
        <w:rPr>
          <w:sz w:val="22"/>
          <w:szCs w:val="22"/>
        </w:rPr>
        <w:t xml:space="preserve"> em um mesmo aparelho</w:t>
      </w:r>
      <w:r w:rsidR="00796CC0" w:rsidRPr="00A34E41">
        <w:rPr>
          <w:sz w:val="22"/>
          <w:szCs w:val="22"/>
        </w:rPr>
        <w:t>,</w:t>
      </w:r>
      <w:r w:rsidRPr="00A34E41">
        <w:rPr>
          <w:sz w:val="22"/>
          <w:szCs w:val="22"/>
        </w:rPr>
        <w:t xml:space="preserve"> de narcóticos, explosivos e armas químicas), capaz de fornecer equipamento que atendesse integralmente às características fixadas pelo edital. </w:t>
      </w:r>
      <w:r w:rsidR="00D10769" w:rsidRPr="00A34E41">
        <w:rPr>
          <w:sz w:val="22"/>
          <w:szCs w:val="22"/>
        </w:rPr>
        <w:t>P</w:t>
      </w:r>
      <w:r w:rsidR="00796CC0" w:rsidRPr="00A34E41">
        <w:rPr>
          <w:sz w:val="22"/>
          <w:szCs w:val="22"/>
        </w:rPr>
        <w:t>ara o relator, a</w:t>
      </w:r>
      <w:r w:rsidRPr="00A34E41">
        <w:rPr>
          <w:sz w:val="22"/>
          <w:szCs w:val="22"/>
        </w:rPr>
        <w:t xml:space="preserve"> contratação </w:t>
      </w:r>
      <w:r w:rsidR="00796CC0" w:rsidRPr="00A34E41">
        <w:rPr>
          <w:sz w:val="22"/>
          <w:szCs w:val="22"/>
        </w:rPr>
        <w:t xml:space="preserve">foi </w:t>
      </w:r>
      <w:r w:rsidRPr="00A34E41">
        <w:rPr>
          <w:sz w:val="22"/>
          <w:szCs w:val="22"/>
        </w:rPr>
        <w:t xml:space="preserve">antieconômica, uma vez que os equipamentos para detecção de tão somente explosivos e narcóticos têm menor preço e maior número de fornecedores e, </w:t>
      </w:r>
      <w:r w:rsidR="00796CC0" w:rsidRPr="00A34E41">
        <w:rPr>
          <w:i/>
          <w:sz w:val="22"/>
          <w:szCs w:val="22"/>
        </w:rPr>
        <w:t>“</w:t>
      </w:r>
      <w:r w:rsidRPr="00A34E41">
        <w:rPr>
          <w:i/>
          <w:sz w:val="22"/>
          <w:szCs w:val="22"/>
        </w:rPr>
        <w:t>tudo indica, poderia atender às necessidades do Sistema Pen</w:t>
      </w:r>
      <w:r w:rsidR="00AA1377" w:rsidRPr="00A34E41">
        <w:rPr>
          <w:i/>
          <w:sz w:val="22"/>
          <w:szCs w:val="22"/>
        </w:rPr>
        <w:t>itenciário Nacional</w:t>
      </w:r>
      <w:r w:rsidR="00796CC0" w:rsidRPr="00A34E41">
        <w:rPr>
          <w:i/>
          <w:sz w:val="22"/>
          <w:szCs w:val="22"/>
        </w:rPr>
        <w:t>”</w:t>
      </w:r>
      <w:r w:rsidR="00796CC0" w:rsidRPr="00A34E41">
        <w:rPr>
          <w:sz w:val="22"/>
          <w:szCs w:val="22"/>
        </w:rPr>
        <w:t xml:space="preserve">. </w:t>
      </w:r>
      <w:r w:rsidRPr="00A34E41">
        <w:rPr>
          <w:sz w:val="22"/>
          <w:szCs w:val="22"/>
        </w:rPr>
        <w:t xml:space="preserve">Nesse aspecto, </w:t>
      </w:r>
      <w:r w:rsidR="00796CC0" w:rsidRPr="00A34E41">
        <w:rPr>
          <w:i/>
          <w:sz w:val="22"/>
          <w:szCs w:val="22"/>
        </w:rPr>
        <w:t>“</w:t>
      </w:r>
      <w:r w:rsidRPr="00A34E41">
        <w:rPr>
          <w:i/>
          <w:sz w:val="22"/>
          <w:szCs w:val="22"/>
        </w:rPr>
        <w:t>a licitação poderia ter-se iniciado com características mínimas que permitir</w:t>
      </w:r>
      <w:r w:rsidR="00AA1377" w:rsidRPr="00A34E41">
        <w:rPr>
          <w:i/>
          <w:sz w:val="22"/>
          <w:szCs w:val="22"/>
        </w:rPr>
        <w:t>i</w:t>
      </w:r>
      <w:r w:rsidRPr="00A34E41">
        <w:rPr>
          <w:i/>
          <w:sz w:val="22"/>
          <w:szCs w:val="22"/>
        </w:rPr>
        <w:t xml:space="preserve">am, além de concorrência, cotação de preços por licitantes de modelos </w:t>
      </w:r>
      <w:r w:rsidR="00796CC0" w:rsidRPr="00A34E41">
        <w:rPr>
          <w:i/>
          <w:sz w:val="22"/>
          <w:szCs w:val="22"/>
        </w:rPr>
        <w:t>‘</w:t>
      </w:r>
      <w:r w:rsidRPr="00A34E41">
        <w:rPr>
          <w:i/>
          <w:sz w:val="22"/>
          <w:szCs w:val="22"/>
        </w:rPr>
        <w:t>bi-mode</w:t>
      </w:r>
      <w:r w:rsidR="00796CC0" w:rsidRPr="00A34E41">
        <w:rPr>
          <w:i/>
          <w:sz w:val="22"/>
          <w:szCs w:val="22"/>
        </w:rPr>
        <w:t>’</w:t>
      </w:r>
      <w:r w:rsidR="00AA1377" w:rsidRPr="00A34E41">
        <w:rPr>
          <w:i/>
          <w:sz w:val="22"/>
          <w:szCs w:val="22"/>
        </w:rPr>
        <w:t>,</w:t>
      </w:r>
      <w:r w:rsidRPr="00A34E41">
        <w:rPr>
          <w:i/>
          <w:sz w:val="22"/>
          <w:szCs w:val="22"/>
        </w:rPr>
        <w:t xml:space="preserve"> capazes de atender aos presídios com a detecção de drogas, narcóticos e explosivos, de menor valor, sem excluir detectores que também contemplassem armas químicas, os quais, para concorrerem, teriam de baixar preços</w:t>
      </w:r>
      <w:r w:rsidR="00796CC0" w:rsidRPr="00A34E41">
        <w:rPr>
          <w:i/>
          <w:sz w:val="22"/>
          <w:szCs w:val="22"/>
        </w:rPr>
        <w:t>”</w:t>
      </w:r>
      <w:r w:rsidRPr="00A34E41">
        <w:rPr>
          <w:sz w:val="22"/>
          <w:szCs w:val="22"/>
        </w:rPr>
        <w:t>.</w:t>
      </w:r>
      <w:r w:rsidR="00AE1128" w:rsidRPr="00A34E41">
        <w:rPr>
          <w:sz w:val="22"/>
          <w:szCs w:val="22"/>
        </w:rPr>
        <w:t xml:space="preserve"> </w:t>
      </w:r>
      <w:r w:rsidRPr="00A34E41">
        <w:rPr>
          <w:sz w:val="22"/>
          <w:szCs w:val="22"/>
        </w:rPr>
        <w:t xml:space="preserve">Na ausência de concorrentes à licitação, </w:t>
      </w:r>
      <w:r w:rsidR="00AE1128" w:rsidRPr="00A34E41">
        <w:rPr>
          <w:i/>
          <w:sz w:val="22"/>
          <w:szCs w:val="22"/>
        </w:rPr>
        <w:t>“</w:t>
      </w:r>
      <w:r w:rsidRPr="00A34E41">
        <w:rPr>
          <w:i/>
          <w:sz w:val="22"/>
          <w:szCs w:val="22"/>
        </w:rPr>
        <w:t>não houve interesse, por parte da EBCO Systems de, quem sabe, buscar junto ao fabricante, preço mais competitivo, o que, mais uma vez, pode reforçar a prática de aquisição antieconômica por parte dos gestores envolvidos</w:t>
      </w:r>
      <w:r w:rsidR="00AE1128" w:rsidRPr="00A34E41">
        <w:rPr>
          <w:i/>
          <w:sz w:val="22"/>
          <w:szCs w:val="22"/>
        </w:rPr>
        <w:t>”</w:t>
      </w:r>
      <w:r w:rsidRPr="00A34E41">
        <w:rPr>
          <w:sz w:val="22"/>
          <w:szCs w:val="22"/>
        </w:rPr>
        <w:t xml:space="preserve">. </w:t>
      </w:r>
      <w:r w:rsidR="00D10769" w:rsidRPr="00A34E41">
        <w:rPr>
          <w:sz w:val="22"/>
          <w:szCs w:val="22"/>
        </w:rPr>
        <w:t xml:space="preserve">Ao final, o relator propôs e o </w:t>
      </w:r>
      <w:r w:rsidR="00B97A3E" w:rsidRPr="00A34E41">
        <w:rPr>
          <w:sz w:val="22"/>
          <w:szCs w:val="22"/>
        </w:rPr>
        <w:t xml:space="preserve">Plenário </w:t>
      </w:r>
      <w:r w:rsidR="00D10769" w:rsidRPr="00A34E41">
        <w:rPr>
          <w:sz w:val="22"/>
          <w:szCs w:val="22"/>
        </w:rPr>
        <w:t xml:space="preserve">decidiu </w:t>
      </w:r>
      <w:r w:rsidR="00084727" w:rsidRPr="00A34E41">
        <w:rPr>
          <w:sz w:val="22"/>
          <w:szCs w:val="22"/>
        </w:rPr>
        <w:t>pela aplicação de multa</w:t>
      </w:r>
      <w:r w:rsidRPr="00A34E41">
        <w:rPr>
          <w:sz w:val="22"/>
          <w:szCs w:val="22"/>
        </w:rPr>
        <w:t>.</w:t>
      </w:r>
      <w:r w:rsidR="00AE1128" w:rsidRPr="00A34E41">
        <w:rPr>
          <w:sz w:val="22"/>
          <w:szCs w:val="22"/>
        </w:rPr>
        <w:t xml:space="preserve"> </w:t>
      </w:r>
      <w:r w:rsidR="00981FA0" w:rsidRPr="00A34E41">
        <w:rPr>
          <w:b/>
          <w:i/>
          <w:sz w:val="22"/>
          <w:szCs w:val="22"/>
        </w:rPr>
        <w:t>Acórdão n.º 1</w:t>
      </w:r>
      <w:r w:rsidR="00DF2506" w:rsidRPr="00A34E41">
        <w:rPr>
          <w:b/>
          <w:i/>
          <w:sz w:val="22"/>
          <w:szCs w:val="22"/>
        </w:rPr>
        <w:t>147</w:t>
      </w:r>
      <w:r w:rsidR="00981FA0" w:rsidRPr="00A34E41">
        <w:rPr>
          <w:b/>
          <w:i/>
          <w:sz w:val="22"/>
          <w:szCs w:val="22"/>
        </w:rPr>
        <w:t>/2010</w:t>
      </w:r>
      <w:r w:rsidR="00151F92" w:rsidRPr="00A34E41">
        <w:rPr>
          <w:b/>
          <w:i/>
          <w:sz w:val="22"/>
          <w:szCs w:val="22"/>
        </w:rPr>
        <w:t>-Plenário</w:t>
      </w:r>
      <w:r w:rsidR="00981FA0" w:rsidRPr="00A34E41">
        <w:rPr>
          <w:b/>
          <w:i/>
          <w:sz w:val="22"/>
          <w:szCs w:val="22"/>
        </w:rPr>
        <w:t>, TC-0</w:t>
      </w:r>
      <w:r w:rsidR="00DF2506" w:rsidRPr="00A34E41">
        <w:rPr>
          <w:b/>
          <w:i/>
          <w:sz w:val="22"/>
          <w:szCs w:val="22"/>
        </w:rPr>
        <w:t>32</w:t>
      </w:r>
      <w:r w:rsidR="00981FA0" w:rsidRPr="00A34E41">
        <w:rPr>
          <w:b/>
          <w:i/>
          <w:sz w:val="22"/>
          <w:szCs w:val="22"/>
        </w:rPr>
        <w:t>.</w:t>
      </w:r>
      <w:r w:rsidR="00DF2506" w:rsidRPr="00A34E41">
        <w:rPr>
          <w:b/>
          <w:i/>
          <w:sz w:val="22"/>
          <w:szCs w:val="22"/>
        </w:rPr>
        <w:t>097</w:t>
      </w:r>
      <w:r w:rsidR="00981FA0" w:rsidRPr="00A34E41">
        <w:rPr>
          <w:b/>
          <w:i/>
          <w:sz w:val="22"/>
          <w:szCs w:val="22"/>
        </w:rPr>
        <w:t>/20</w:t>
      </w:r>
      <w:r w:rsidR="00DF2506" w:rsidRPr="00A34E41">
        <w:rPr>
          <w:b/>
          <w:i/>
          <w:sz w:val="22"/>
          <w:szCs w:val="22"/>
        </w:rPr>
        <w:t>08</w:t>
      </w:r>
      <w:r w:rsidR="00981FA0" w:rsidRPr="00A34E41">
        <w:rPr>
          <w:b/>
          <w:i/>
          <w:sz w:val="22"/>
          <w:szCs w:val="22"/>
        </w:rPr>
        <w:t>-</w:t>
      </w:r>
      <w:r w:rsidR="00DF2506" w:rsidRPr="00A34E41">
        <w:rPr>
          <w:b/>
          <w:i/>
          <w:sz w:val="22"/>
          <w:szCs w:val="22"/>
        </w:rPr>
        <w:t>4</w:t>
      </w:r>
      <w:r w:rsidR="00981FA0" w:rsidRPr="00A34E41">
        <w:rPr>
          <w:b/>
          <w:i/>
          <w:sz w:val="22"/>
          <w:szCs w:val="22"/>
        </w:rPr>
        <w:t>, rel. Min</w:t>
      </w:r>
      <w:r w:rsidR="003A5479" w:rsidRPr="00A34E41">
        <w:rPr>
          <w:b/>
          <w:i/>
          <w:sz w:val="22"/>
          <w:szCs w:val="22"/>
        </w:rPr>
        <w:t>-Subs</w:t>
      </w:r>
      <w:r w:rsidR="00151F92" w:rsidRPr="00A34E41">
        <w:rPr>
          <w:b/>
          <w:i/>
          <w:sz w:val="22"/>
          <w:szCs w:val="22"/>
        </w:rPr>
        <w:t>t</w:t>
      </w:r>
      <w:r w:rsidR="00981FA0" w:rsidRPr="00A34E41">
        <w:rPr>
          <w:b/>
          <w:i/>
          <w:sz w:val="22"/>
          <w:szCs w:val="22"/>
        </w:rPr>
        <w:t xml:space="preserve">. </w:t>
      </w:r>
      <w:r w:rsidR="003A5479" w:rsidRPr="00A34E41">
        <w:rPr>
          <w:b/>
          <w:i/>
          <w:sz w:val="22"/>
          <w:szCs w:val="22"/>
        </w:rPr>
        <w:t>Augusto Sherman Cavalcanti</w:t>
      </w:r>
      <w:r w:rsidR="00981FA0" w:rsidRPr="00A34E41">
        <w:rPr>
          <w:b/>
          <w:i/>
          <w:sz w:val="22"/>
          <w:szCs w:val="22"/>
        </w:rPr>
        <w:t>, 1</w:t>
      </w:r>
      <w:r w:rsidR="003A5479" w:rsidRPr="00A34E41">
        <w:rPr>
          <w:b/>
          <w:i/>
          <w:sz w:val="22"/>
          <w:szCs w:val="22"/>
        </w:rPr>
        <w:t>9</w:t>
      </w:r>
      <w:r w:rsidR="00981FA0" w:rsidRPr="00A34E41">
        <w:rPr>
          <w:b/>
          <w:i/>
          <w:sz w:val="22"/>
          <w:szCs w:val="22"/>
        </w:rPr>
        <w:t>.05.2010</w:t>
      </w:r>
      <w:r w:rsidR="00981FA0" w:rsidRPr="00A34E41">
        <w:rPr>
          <w:sz w:val="22"/>
          <w:szCs w:val="22"/>
        </w:rPr>
        <w:t>.</w:t>
      </w:r>
    </w:p>
    <w:p w:rsidR="00981FA0" w:rsidRPr="00A34E41" w:rsidRDefault="00981FA0" w:rsidP="00337E16">
      <w:pPr>
        <w:pStyle w:val="indice"/>
        <w:tabs>
          <w:tab w:val="left" w:pos="567"/>
        </w:tabs>
        <w:spacing w:line="240" w:lineRule="auto"/>
      </w:pPr>
    </w:p>
    <w:p w:rsidR="003A5479" w:rsidRPr="00A34E41" w:rsidRDefault="00355828" w:rsidP="003A5479">
      <w:pPr>
        <w:pStyle w:val="enter-3pt"/>
        <w:spacing w:before="45" w:line="240" w:lineRule="auto"/>
        <w:rPr>
          <w:b/>
          <w:sz w:val="22"/>
          <w:szCs w:val="22"/>
        </w:rPr>
      </w:pPr>
      <w:r w:rsidRPr="00A34E41">
        <w:rPr>
          <w:b/>
          <w:sz w:val="22"/>
          <w:szCs w:val="22"/>
        </w:rPr>
        <w:t xml:space="preserve">Inclusão dos tributos IRPJ – Imposto de Renda Pessoa Jurídica e CSLL – Contribuição Social Sobre o Lucro Líquido </w:t>
      </w:r>
      <w:r w:rsidR="008A751E" w:rsidRPr="00A34E41">
        <w:rPr>
          <w:b/>
          <w:sz w:val="22"/>
          <w:szCs w:val="22"/>
        </w:rPr>
        <w:t>na composição</w:t>
      </w:r>
      <w:r w:rsidRPr="00A34E41">
        <w:rPr>
          <w:b/>
          <w:sz w:val="22"/>
          <w:szCs w:val="22"/>
        </w:rPr>
        <w:t xml:space="preserve"> do BDI – Benefícios e Despesas Indiretas</w:t>
      </w:r>
    </w:p>
    <w:p w:rsidR="003A5479" w:rsidRPr="00A34E41" w:rsidRDefault="003A5479" w:rsidP="003A5479">
      <w:pPr>
        <w:pStyle w:val="Pargrafo"/>
        <w:jc w:val="both"/>
        <w:rPr>
          <w:sz w:val="22"/>
          <w:szCs w:val="22"/>
        </w:rPr>
      </w:pPr>
      <w:r w:rsidRPr="00A34E41">
        <w:rPr>
          <w:sz w:val="22"/>
          <w:szCs w:val="22"/>
        </w:rPr>
        <w:t xml:space="preserve">No âmbito do Contrato de Repasse </w:t>
      </w:r>
      <w:r w:rsidR="00B96EA4" w:rsidRPr="00A34E41">
        <w:rPr>
          <w:sz w:val="22"/>
          <w:szCs w:val="22"/>
        </w:rPr>
        <w:t>n.</w:t>
      </w:r>
      <w:r w:rsidR="00B96EA4" w:rsidRPr="00A34E41">
        <w:rPr>
          <w:sz w:val="22"/>
          <w:szCs w:val="22"/>
          <w:vertAlign w:val="superscript"/>
        </w:rPr>
        <w:t>o</w:t>
      </w:r>
      <w:r w:rsidR="00B96EA4" w:rsidRPr="00A34E41">
        <w:rPr>
          <w:sz w:val="22"/>
          <w:szCs w:val="22"/>
        </w:rPr>
        <w:t xml:space="preserve"> 226.012-13/2007, </w:t>
      </w:r>
      <w:r w:rsidR="008A751E" w:rsidRPr="00A34E41">
        <w:rPr>
          <w:sz w:val="22"/>
          <w:szCs w:val="22"/>
        </w:rPr>
        <w:t>celebrado</w:t>
      </w:r>
      <w:r w:rsidR="00B96EA4" w:rsidRPr="00A34E41">
        <w:rPr>
          <w:sz w:val="22"/>
          <w:szCs w:val="22"/>
        </w:rPr>
        <w:t xml:space="preserve"> entre a União, por intermédio do Ministério das Cidades, e o Estado do Rio Grande do Norte</w:t>
      </w:r>
      <w:r w:rsidRPr="00A34E41">
        <w:rPr>
          <w:sz w:val="22"/>
          <w:szCs w:val="22"/>
        </w:rPr>
        <w:t xml:space="preserve">, foi </w:t>
      </w:r>
      <w:r w:rsidR="008A751E" w:rsidRPr="00A34E41">
        <w:rPr>
          <w:sz w:val="22"/>
          <w:szCs w:val="22"/>
        </w:rPr>
        <w:t>firmado</w:t>
      </w:r>
      <w:r w:rsidRPr="00A34E41">
        <w:rPr>
          <w:sz w:val="22"/>
          <w:szCs w:val="22"/>
        </w:rPr>
        <w:t xml:space="preserve"> o Contrato n.</w:t>
      </w:r>
      <w:r w:rsidR="00B96EA4" w:rsidRPr="00A34E41">
        <w:rPr>
          <w:sz w:val="22"/>
          <w:szCs w:val="22"/>
          <w:vertAlign w:val="superscript"/>
        </w:rPr>
        <w:t>o</w:t>
      </w:r>
      <w:r w:rsidRPr="00A34E41">
        <w:rPr>
          <w:sz w:val="22"/>
          <w:szCs w:val="22"/>
        </w:rPr>
        <w:t xml:space="preserve"> 039/2008</w:t>
      </w:r>
      <w:r w:rsidR="00B96EA4" w:rsidRPr="00A34E41">
        <w:rPr>
          <w:sz w:val="22"/>
          <w:szCs w:val="22"/>
        </w:rPr>
        <w:t>,</w:t>
      </w:r>
      <w:r w:rsidRPr="00A34E41">
        <w:rPr>
          <w:sz w:val="22"/>
          <w:szCs w:val="22"/>
        </w:rPr>
        <w:t xml:space="preserve"> entre a Secretaria de Estado de Infraestrutura do Rio Grande do Norte e a empresa Dois A Engenharia e Tecnologia Ltda.</w:t>
      </w:r>
      <w:r w:rsidR="00B96EA4" w:rsidRPr="00A34E41">
        <w:rPr>
          <w:sz w:val="22"/>
          <w:szCs w:val="22"/>
        </w:rPr>
        <w:t>,</w:t>
      </w:r>
      <w:r w:rsidRPr="00A34E41">
        <w:rPr>
          <w:sz w:val="22"/>
          <w:szCs w:val="22"/>
        </w:rPr>
        <w:t xml:space="preserve"> </w:t>
      </w:r>
      <w:r w:rsidR="008A751E" w:rsidRPr="00A34E41">
        <w:rPr>
          <w:sz w:val="22"/>
          <w:szCs w:val="22"/>
        </w:rPr>
        <w:t>tendo por objeto a execução das</w:t>
      </w:r>
      <w:r w:rsidRPr="00A34E41">
        <w:rPr>
          <w:sz w:val="22"/>
          <w:szCs w:val="22"/>
        </w:rPr>
        <w:t xml:space="preserve"> </w:t>
      </w:r>
      <w:r w:rsidR="00C22519" w:rsidRPr="00A34E41">
        <w:rPr>
          <w:i/>
          <w:sz w:val="22"/>
          <w:szCs w:val="22"/>
        </w:rPr>
        <w:t>“</w:t>
      </w:r>
      <w:r w:rsidRPr="00A34E41">
        <w:rPr>
          <w:i/>
          <w:sz w:val="22"/>
          <w:szCs w:val="22"/>
        </w:rPr>
        <w:t>obras de Urbanização de Assentamento Precário na Região Administrativa Oeste da cidade de Natal (Favela Mor Gouveia)</w:t>
      </w:r>
      <w:r w:rsidR="00C22519" w:rsidRPr="00A34E41">
        <w:rPr>
          <w:i/>
          <w:sz w:val="22"/>
          <w:szCs w:val="22"/>
        </w:rPr>
        <w:t>”</w:t>
      </w:r>
      <w:r w:rsidRPr="00A34E41">
        <w:rPr>
          <w:sz w:val="22"/>
          <w:szCs w:val="22"/>
        </w:rPr>
        <w:t xml:space="preserve">. </w:t>
      </w:r>
      <w:r w:rsidR="00C22519" w:rsidRPr="00A34E41">
        <w:rPr>
          <w:sz w:val="22"/>
          <w:szCs w:val="22"/>
        </w:rPr>
        <w:t xml:space="preserve">Entre os achados de auditoria </w:t>
      </w:r>
      <w:r w:rsidR="008A751E" w:rsidRPr="00A34E41">
        <w:rPr>
          <w:sz w:val="22"/>
          <w:szCs w:val="22"/>
        </w:rPr>
        <w:t xml:space="preserve">envolvendo </w:t>
      </w:r>
      <w:r w:rsidRPr="00A34E41">
        <w:rPr>
          <w:sz w:val="22"/>
          <w:szCs w:val="22"/>
        </w:rPr>
        <w:t xml:space="preserve">o mencionado </w:t>
      </w:r>
      <w:r w:rsidR="00C22519" w:rsidRPr="00A34E41">
        <w:rPr>
          <w:sz w:val="22"/>
          <w:szCs w:val="22"/>
        </w:rPr>
        <w:t>c</w:t>
      </w:r>
      <w:r w:rsidRPr="00A34E41">
        <w:rPr>
          <w:sz w:val="22"/>
          <w:szCs w:val="22"/>
        </w:rPr>
        <w:t>ontrato</w:t>
      </w:r>
      <w:r w:rsidR="00C22519" w:rsidRPr="00A34E41">
        <w:rPr>
          <w:sz w:val="22"/>
          <w:szCs w:val="22"/>
        </w:rPr>
        <w:t>,</w:t>
      </w:r>
      <w:r w:rsidRPr="00A34E41">
        <w:rPr>
          <w:sz w:val="22"/>
          <w:szCs w:val="22"/>
        </w:rPr>
        <w:t xml:space="preserve"> </w:t>
      </w:r>
      <w:r w:rsidR="008A751E" w:rsidRPr="00A34E41">
        <w:rPr>
          <w:sz w:val="22"/>
          <w:szCs w:val="22"/>
        </w:rPr>
        <w:t>foi identificada</w:t>
      </w:r>
      <w:r w:rsidR="00397D8E" w:rsidRPr="00A34E41">
        <w:rPr>
          <w:sz w:val="22"/>
          <w:szCs w:val="22"/>
        </w:rPr>
        <w:t>, na planilha apresentada pela empresa Dois A Engenharia e Tecnologia Ltda.,</w:t>
      </w:r>
      <w:r w:rsidR="00C22519" w:rsidRPr="00A34E41">
        <w:rPr>
          <w:sz w:val="22"/>
          <w:szCs w:val="22"/>
        </w:rPr>
        <w:t xml:space="preserve"> a </w:t>
      </w:r>
      <w:r w:rsidR="00C22519" w:rsidRPr="00A34E41">
        <w:rPr>
          <w:i/>
          <w:sz w:val="22"/>
          <w:szCs w:val="22"/>
        </w:rPr>
        <w:t>“</w:t>
      </w:r>
      <w:r w:rsidRPr="00A34E41">
        <w:rPr>
          <w:i/>
          <w:sz w:val="22"/>
          <w:szCs w:val="22"/>
        </w:rPr>
        <w:t>inclusão inadequada de itens na composição do BDI</w:t>
      </w:r>
      <w:r w:rsidR="00397D8E" w:rsidRPr="00A34E41">
        <w:rPr>
          <w:i/>
          <w:sz w:val="22"/>
          <w:szCs w:val="22"/>
        </w:rPr>
        <w:t>”</w:t>
      </w:r>
      <w:r w:rsidR="00397D8E" w:rsidRPr="00A34E41">
        <w:rPr>
          <w:sz w:val="22"/>
          <w:szCs w:val="22"/>
        </w:rPr>
        <w:t>, dele constando</w:t>
      </w:r>
      <w:r w:rsidR="001E2620" w:rsidRPr="00A34E41">
        <w:rPr>
          <w:sz w:val="22"/>
          <w:szCs w:val="22"/>
        </w:rPr>
        <w:t xml:space="preserve"> percentuais referentes à CSLL e </w:t>
      </w:r>
      <w:r w:rsidR="00397D8E" w:rsidRPr="00A34E41">
        <w:rPr>
          <w:sz w:val="22"/>
          <w:szCs w:val="22"/>
        </w:rPr>
        <w:t xml:space="preserve">ao </w:t>
      </w:r>
      <w:r w:rsidR="001E2620" w:rsidRPr="00A34E41">
        <w:rPr>
          <w:sz w:val="22"/>
          <w:szCs w:val="22"/>
        </w:rPr>
        <w:t>IRPJ.</w:t>
      </w:r>
      <w:r w:rsidR="00C22519" w:rsidRPr="00A34E41">
        <w:rPr>
          <w:sz w:val="22"/>
          <w:szCs w:val="22"/>
        </w:rPr>
        <w:t xml:space="preserve"> </w:t>
      </w:r>
      <w:r w:rsidR="00AE439A" w:rsidRPr="00A34E41">
        <w:rPr>
          <w:sz w:val="22"/>
          <w:szCs w:val="22"/>
        </w:rPr>
        <w:t>Em seu voto, o</w:t>
      </w:r>
      <w:r w:rsidR="00445E76" w:rsidRPr="00A34E41">
        <w:rPr>
          <w:sz w:val="22"/>
          <w:szCs w:val="22"/>
        </w:rPr>
        <w:t xml:space="preserve"> relator fez alusão ao Acórdão n.</w:t>
      </w:r>
      <w:r w:rsidR="00445E76" w:rsidRPr="00A34E41">
        <w:rPr>
          <w:sz w:val="22"/>
          <w:szCs w:val="22"/>
          <w:vertAlign w:val="superscript"/>
        </w:rPr>
        <w:t>o</w:t>
      </w:r>
      <w:r w:rsidR="00445E76" w:rsidRPr="00A34E41">
        <w:rPr>
          <w:sz w:val="22"/>
          <w:szCs w:val="22"/>
        </w:rPr>
        <w:t xml:space="preserve"> </w:t>
      </w:r>
      <w:r w:rsidR="001E2620" w:rsidRPr="00A34E41">
        <w:rPr>
          <w:sz w:val="22"/>
          <w:szCs w:val="22"/>
        </w:rPr>
        <w:t>325/2007</w:t>
      </w:r>
      <w:r w:rsidR="00445E76" w:rsidRPr="00A34E41">
        <w:rPr>
          <w:sz w:val="22"/>
          <w:szCs w:val="22"/>
        </w:rPr>
        <w:t>-</w:t>
      </w:r>
      <w:r w:rsidR="001E2620" w:rsidRPr="00A34E41">
        <w:rPr>
          <w:sz w:val="22"/>
          <w:szCs w:val="22"/>
        </w:rPr>
        <w:t>Plenário</w:t>
      </w:r>
      <w:r w:rsidR="00445E76" w:rsidRPr="00A34E41">
        <w:rPr>
          <w:sz w:val="22"/>
          <w:szCs w:val="22"/>
        </w:rPr>
        <w:t xml:space="preserve">, o qual, </w:t>
      </w:r>
      <w:r w:rsidR="001E2620" w:rsidRPr="00A34E41">
        <w:rPr>
          <w:sz w:val="22"/>
          <w:szCs w:val="22"/>
        </w:rPr>
        <w:t xml:space="preserve">ainda que proferido em processo </w:t>
      </w:r>
      <w:r w:rsidR="00880FED" w:rsidRPr="00A34E41">
        <w:rPr>
          <w:sz w:val="22"/>
          <w:szCs w:val="22"/>
        </w:rPr>
        <w:t>referente a</w:t>
      </w:r>
      <w:r w:rsidR="001E2620" w:rsidRPr="00A34E41">
        <w:rPr>
          <w:sz w:val="22"/>
          <w:szCs w:val="22"/>
        </w:rPr>
        <w:t xml:space="preserve"> obras de implantação de linhas de transmissão de energia elétrica, estendeu a determinação contida no </w:t>
      </w:r>
      <w:r w:rsidR="00397D8E" w:rsidRPr="00A34E41">
        <w:rPr>
          <w:sz w:val="22"/>
          <w:szCs w:val="22"/>
        </w:rPr>
        <w:t xml:space="preserve">seu </w:t>
      </w:r>
      <w:r w:rsidR="00445E76" w:rsidRPr="00A34E41">
        <w:rPr>
          <w:sz w:val="22"/>
          <w:szCs w:val="22"/>
        </w:rPr>
        <w:t>sub</w:t>
      </w:r>
      <w:r w:rsidR="001E2620" w:rsidRPr="00A34E41">
        <w:rPr>
          <w:sz w:val="22"/>
          <w:szCs w:val="22"/>
        </w:rPr>
        <w:t xml:space="preserve">item 9.1 para todas as obras públicas, </w:t>
      </w:r>
      <w:r w:rsidR="00B35C3E" w:rsidRPr="00A34E41">
        <w:rPr>
          <w:sz w:val="22"/>
          <w:szCs w:val="22"/>
        </w:rPr>
        <w:t>mediante o seguinte teor</w:t>
      </w:r>
      <w:r w:rsidR="001E2620" w:rsidRPr="00A34E41">
        <w:rPr>
          <w:sz w:val="22"/>
          <w:szCs w:val="22"/>
        </w:rPr>
        <w:t>:</w:t>
      </w:r>
      <w:r w:rsidR="00445E76" w:rsidRPr="00A34E41">
        <w:rPr>
          <w:sz w:val="22"/>
          <w:szCs w:val="22"/>
        </w:rPr>
        <w:t xml:space="preserve"> </w:t>
      </w:r>
      <w:r w:rsidR="001E2620" w:rsidRPr="00A34E41">
        <w:rPr>
          <w:i/>
          <w:sz w:val="22"/>
          <w:szCs w:val="22"/>
        </w:rPr>
        <w:t>“9.1. orientar as unidades técnicas do Tribunal que, quando dos trabalhos de fiscalização em obras públicas, passem a utilizar</w:t>
      </w:r>
      <w:r w:rsidR="00AE439A" w:rsidRPr="00A34E41">
        <w:rPr>
          <w:i/>
          <w:sz w:val="22"/>
          <w:szCs w:val="22"/>
        </w:rPr>
        <w:t>,</w:t>
      </w:r>
      <w:r w:rsidR="001E2620" w:rsidRPr="00A34E41">
        <w:rPr>
          <w:i/>
          <w:sz w:val="22"/>
          <w:szCs w:val="22"/>
        </w:rPr>
        <w:t xml:space="preserve"> como referenciais</w:t>
      </w:r>
      <w:r w:rsidR="00AE439A" w:rsidRPr="00A34E41">
        <w:rPr>
          <w:i/>
          <w:sz w:val="22"/>
          <w:szCs w:val="22"/>
        </w:rPr>
        <w:t>,</w:t>
      </w:r>
      <w:r w:rsidR="001E2620" w:rsidRPr="00A34E41">
        <w:rPr>
          <w:i/>
          <w:sz w:val="22"/>
          <w:szCs w:val="22"/>
        </w:rPr>
        <w:t xml:space="preserve"> as seguintes premissas acerca dos componentes de Lucros e Despesas Indiretas – LDI [Benefícios e Despesas Indiretas – BDI]:</w:t>
      </w:r>
      <w:r w:rsidR="00445E76" w:rsidRPr="00A34E41">
        <w:rPr>
          <w:i/>
          <w:sz w:val="22"/>
          <w:szCs w:val="22"/>
        </w:rPr>
        <w:t xml:space="preserve"> </w:t>
      </w:r>
      <w:r w:rsidR="001E2620" w:rsidRPr="00A34E41">
        <w:rPr>
          <w:i/>
          <w:sz w:val="22"/>
          <w:szCs w:val="22"/>
        </w:rPr>
        <w:t>9.1.1. os tributos IRPJ e CSLL não devem integrar o cálculo do LDI, tampouco a planilha de custo direto, por se constituírem em tributos de natureza direta e personalística, que oneram pessoalmente o contratado, não devendo ser repassado</w:t>
      </w:r>
      <w:r w:rsidR="00AE439A" w:rsidRPr="00A34E41">
        <w:rPr>
          <w:i/>
          <w:sz w:val="22"/>
          <w:szCs w:val="22"/>
        </w:rPr>
        <w:t>s</w:t>
      </w:r>
      <w:r w:rsidR="001E2620" w:rsidRPr="00A34E41">
        <w:rPr>
          <w:i/>
          <w:sz w:val="22"/>
          <w:szCs w:val="22"/>
        </w:rPr>
        <w:t xml:space="preserve"> à contratante;</w:t>
      </w:r>
      <w:r w:rsidR="00445E76" w:rsidRPr="00A34E41">
        <w:rPr>
          <w:i/>
          <w:sz w:val="22"/>
          <w:szCs w:val="22"/>
        </w:rPr>
        <w:t>”</w:t>
      </w:r>
      <w:r w:rsidR="00445E76" w:rsidRPr="00A34E41">
        <w:rPr>
          <w:sz w:val="22"/>
          <w:szCs w:val="22"/>
        </w:rPr>
        <w:t xml:space="preserve">. </w:t>
      </w:r>
      <w:r w:rsidR="00AA57CE" w:rsidRPr="00A34E41">
        <w:rPr>
          <w:sz w:val="22"/>
          <w:szCs w:val="22"/>
        </w:rPr>
        <w:t xml:space="preserve">O relator fez menção, ainda, aos </w:t>
      </w:r>
      <w:r w:rsidR="001E2620" w:rsidRPr="00A34E41">
        <w:rPr>
          <w:sz w:val="22"/>
          <w:szCs w:val="22"/>
        </w:rPr>
        <w:t>Acórdãos n.</w:t>
      </w:r>
      <w:r w:rsidR="00AA57CE" w:rsidRPr="00A34E41">
        <w:rPr>
          <w:sz w:val="22"/>
          <w:szCs w:val="22"/>
          <w:vertAlign w:val="superscript"/>
        </w:rPr>
        <w:t>os</w:t>
      </w:r>
      <w:r w:rsidR="001E2620" w:rsidRPr="00A34E41">
        <w:rPr>
          <w:sz w:val="22"/>
          <w:szCs w:val="22"/>
        </w:rPr>
        <w:t xml:space="preserve"> 1.591/2008 e 1.034/2010, ambos do Plenário, </w:t>
      </w:r>
      <w:r w:rsidR="00AA57CE" w:rsidRPr="00A34E41">
        <w:rPr>
          <w:sz w:val="22"/>
          <w:szCs w:val="22"/>
        </w:rPr>
        <w:t xml:space="preserve">os quais veicularam que </w:t>
      </w:r>
      <w:r w:rsidR="00AA57CE" w:rsidRPr="00A34E41">
        <w:rPr>
          <w:i/>
          <w:sz w:val="22"/>
          <w:szCs w:val="22"/>
        </w:rPr>
        <w:t>“</w:t>
      </w:r>
      <w:r w:rsidR="001E2620" w:rsidRPr="00A34E41">
        <w:rPr>
          <w:i/>
          <w:sz w:val="22"/>
          <w:szCs w:val="22"/>
        </w:rPr>
        <w:t xml:space="preserve">a exclusão do IRPJ ou CSSL na composição do BDI não significaria que os preços ofertados pelas licitantes seriam menores, desde que não </w:t>
      </w:r>
      <w:r w:rsidR="00023D72" w:rsidRPr="00A34E41">
        <w:rPr>
          <w:i/>
          <w:sz w:val="22"/>
          <w:szCs w:val="22"/>
        </w:rPr>
        <w:t>houvesse</w:t>
      </w:r>
      <w:r w:rsidR="001E2620" w:rsidRPr="00A34E41">
        <w:rPr>
          <w:i/>
          <w:sz w:val="22"/>
          <w:szCs w:val="22"/>
        </w:rPr>
        <w:t xml:space="preserve"> indícios de sobrepreço ou superfaturamento</w:t>
      </w:r>
      <w:r w:rsidR="00AA57CE" w:rsidRPr="00A34E41">
        <w:rPr>
          <w:i/>
          <w:sz w:val="22"/>
          <w:szCs w:val="22"/>
        </w:rPr>
        <w:t>”</w:t>
      </w:r>
      <w:r w:rsidR="001E2620" w:rsidRPr="00A34E41">
        <w:rPr>
          <w:sz w:val="22"/>
          <w:szCs w:val="22"/>
        </w:rPr>
        <w:t xml:space="preserve">. Isso porque as empresas, ao elaborarem suas propostas, </w:t>
      </w:r>
      <w:r w:rsidR="00AE439A" w:rsidRPr="00A34E41">
        <w:rPr>
          <w:i/>
          <w:sz w:val="22"/>
          <w:szCs w:val="22"/>
        </w:rPr>
        <w:t>“</w:t>
      </w:r>
      <w:r w:rsidR="001E2620" w:rsidRPr="00A34E41">
        <w:rPr>
          <w:i/>
          <w:sz w:val="22"/>
          <w:szCs w:val="22"/>
        </w:rPr>
        <w:t>sabendo da incidência desses tributos, os considerariam quando do cálculo dos custos e de rentabilidade do empreendimento</w:t>
      </w:r>
      <w:r w:rsidR="00AE439A" w:rsidRPr="00A34E41">
        <w:rPr>
          <w:i/>
          <w:sz w:val="22"/>
          <w:szCs w:val="22"/>
        </w:rPr>
        <w:t>”</w:t>
      </w:r>
      <w:r w:rsidR="001E2620" w:rsidRPr="00A34E41">
        <w:rPr>
          <w:sz w:val="22"/>
          <w:szCs w:val="22"/>
        </w:rPr>
        <w:t xml:space="preserve">. </w:t>
      </w:r>
      <w:r w:rsidR="00AA57CE" w:rsidRPr="00A34E41">
        <w:rPr>
          <w:sz w:val="22"/>
          <w:szCs w:val="22"/>
        </w:rPr>
        <w:t xml:space="preserve">O relator ponderou, no entanto, que </w:t>
      </w:r>
      <w:r w:rsidR="00AA57CE" w:rsidRPr="00A34E41">
        <w:rPr>
          <w:i/>
          <w:sz w:val="22"/>
          <w:szCs w:val="22"/>
        </w:rPr>
        <w:t>“</w:t>
      </w:r>
      <w:r w:rsidR="001E2620" w:rsidRPr="00A34E41">
        <w:rPr>
          <w:i/>
          <w:sz w:val="22"/>
          <w:szCs w:val="22"/>
        </w:rPr>
        <w:t>o entendimento é diferente nos casos em que há indícios de sobrepreços ou superfaturamentos, como observado no presente processo</w:t>
      </w:r>
      <w:r w:rsidR="00AA57CE" w:rsidRPr="00A34E41">
        <w:rPr>
          <w:i/>
          <w:sz w:val="22"/>
          <w:szCs w:val="22"/>
        </w:rPr>
        <w:t>”</w:t>
      </w:r>
      <w:r w:rsidR="001E2620" w:rsidRPr="00A34E41">
        <w:rPr>
          <w:sz w:val="22"/>
          <w:szCs w:val="22"/>
        </w:rPr>
        <w:t xml:space="preserve">. </w:t>
      </w:r>
      <w:r w:rsidR="00AA57CE" w:rsidRPr="00A34E41">
        <w:rPr>
          <w:sz w:val="22"/>
          <w:szCs w:val="22"/>
        </w:rPr>
        <w:t>Enfatizou</w:t>
      </w:r>
      <w:r w:rsidR="001E2620" w:rsidRPr="00A34E41">
        <w:rPr>
          <w:sz w:val="22"/>
          <w:szCs w:val="22"/>
        </w:rPr>
        <w:t xml:space="preserve"> que o edital da licitação concernente ao Contrato n.</w:t>
      </w:r>
      <w:r w:rsidR="00AA57CE" w:rsidRPr="00A34E41">
        <w:rPr>
          <w:sz w:val="22"/>
          <w:szCs w:val="22"/>
          <w:vertAlign w:val="superscript"/>
        </w:rPr>
        <w:t>o</w:t>
      </w:r>
      <w:r w:rsidR="001E2620" w:rsidRPr="00A34E41">
        <w:rPr>
          <w:sz w:val="22"/>
          <w:szCs w:val="22"/>
        </w:rPr>
        <w:t xml:space="preserve"> 039/2008-SIN foi publicado em 14/01/2008, muito depois da publicação do </w:t>
      </w:r>
      <w:r w:rsidR="00AE439A" w:rsidRPr="00A34E41">
        <w:rPr>
          <w:sz w:val="22"/>
          <w:szCs w:val="22"/>
        </w:rPr>
        <w:t>a</w:t>
      </w:r>
      <w:r w:rsidR="001E2620" w:rsidRPr="00A34E41">
        <w:rPr>
          <w:sz w:val="22"/>
          <w:szCs w:val="22"/>
        </w:rPr>
        <w:t>córdão paradigma (</w:t>
      </w:r>
      <w:r w:rsidR="00AA57CE" w:rsidRPr="00A34E41">
        <w:rPr>
          <w:sz w:val="22"/>
          <w:szCs w:val="22"/>
        </w:rPr>
        <w:t xml:space="preserve">de </w:t>
      </w:r>
      <w:r w:rsidR="001E2620" w:rsidRPr="00A34E41">
        <w:rPr>
          <w:sz w:val="22"/>
          <w:szCs w:val="22"/>
        </w:rPr>
        <w:t>n.</w:t>
      </w:r>
      <w:r w:rsidR="00AA57CE" w:rsidRPr="00A34E41">
        <w:rPr>
          <w:sz w:val="22"/>
          <w:szCs w:val="22"/>
          <w:vertAlign w:val="superscript"/>
        </w:rPr>
        <w:t>o</w:t>
      </w:r>
      <w:r w:rsidR="001E2620" w:rsidRPr="00A34E41">
        <w:rPr>
          <w:sz w:val="22"/>
          <w:szCs w:val="22"/>
        </w:rPr>
        <w:t xml:space="preserve"> 325/2007</w:t>
      </w:r>
      <w:r w:rsidR="00AA57CE" w:rsidRPr="00A34E41">
        <w:rPr>
          <w:sz w:val="22"/>
          <w:szCs w:val="22"/>
        </w:rPr>
        <w:t>-</w:t>
      </w:r>
      <w:r w:rsidR="001E2620" w:rsidRPr="00A34E41">
        <w:rPr>
          <w:sz w:val="22"/>
          <w:szCs w:val="22"/>
        </w:rPr>
        <w:t>Plenário, em 16/03/2007), não se justificando</w:t>
      </w:r>
      <w:r w:rsidR="00AE439A" w:rsidRPr="00A34E41">
        <w:rPr>
          <w:sz w:val="22"/>
          <w:szCs w:val="22"/>
        </w:rPr>
        <w:t>, pois,</w:t>
      </w:r>
      <w:r w:rsidR="001E2620" w:rsidRPr="00A34E41">
        <w:rPr>
          <w:sz w:val="22"/>
          <w:szCs w:val="22"/>
        </w:rPr>
        <w:t xml:space="preserve"> a não</w:t>
      </w:r>
      <w:r w:rsidR="00AA57CE" w:rsidRPr="00A34E41">
        <w:rPr>
          <w:sz w:val="22"/>
          <w:szCs w:val="22"/>
        </w:rPr>
        <w:t xml:space="preserve"> </w:t>
      </w:r>
      <w:r w:rsidR="001E2620" w:rsidRPr="00A34E41">
        <w:rPr>
          <w:sz w:val="22"/>
          <w:szCs w:val="22"/>
        </w:rPr>
        <w:t>observância das orientações ali expendidas.</w:t>
      </w:r>
      <w:r w:rsidR="00AA57CE" w:rsidRPr="00A34E41">
        <w:rPr>
          <w:sz w:val="22"/>
          <w:szCs w:val="22"/>
        </w:rPr>
        <w:t xml:space="preserve"> A</w:t>
      </w:r>
      <w:r w:rsidR="001E2620" w:rsidRPr="00A34E41">
        <w:rPr>
          <w:sz w:val="22"/>
          <w:szCs w:val="22"/>
        </w:rPr>
        <w:t xml:space="preserve">nte os indícios de sobrepreço, </w:t>
      </w:r>
      <w:r w:rsidR="00AA57CE" w:rsidRPr="00A34E41">
        <w:rPr>
          <w:sz w:val="22"/>
          <w:szCs w:val="22"/>
        </w:rPr>
        <w:t xml:space="preserve">o relator propôs e o Plenário decidiu </w:t>
      </w:r>
      <w:r w:rsidR="001E2620" w:rsidRPr="00A34E41">
        <w:rPr>
          <w:sz w:val="22"/>
          <w:szCs w:val="22"/>
        </w:rPr>
        <w:t>fixar</w:t>
      </w:r>
      <w:r w:rsidR="00AA57CE" w:rsidRPr="00A34E41">
        <w:rPr>
          <w:sz w:val="22"/>
          <w:szCs w:val="22"/>
        </w:rPr>
        <w:t xml:space="preserve"> </w:t>
      </w:r>
      <w:r w:rsidR="001E2620" w:rsidRPr="00A34E41">
        <w:rPr>
          <w:sz w:val="22"/>
          <w:szCs w:val="22"/>
        </w:rPr>
        <w:t xml:space="preserve">prazo para que a Secretaria de Infraestrutura do Rio Grande do Norte e a Companhia Estadual de Habitação e Desenvolvimento Urbano </w:t>
      </w:r>
      <w:r w:rsidR="00AA57CE" w:rsidRPr="00A34E41">
        <w:rPr>
          <w:sz w:val="22"/>
          <w:szCs w:val="22"/>
        </w:rPr>
        <w:t>(</w:t>
      </w:r>
      <w:r w:rsidR="001E2620" w:rsidRPr="00A34E41">
        <w:rPr>
          <w:sz w:val="22"/>
          <w:szCs w:val="22"/>
        </w:rPr>
        <w:t>Cehab/RN</w:t>
      </w:r>
      <w:r w:rsidR="00AA57CE" w:rsidRPr="00A34E41">
        <w:rPr>
          <w:sz w:val="22"/>
          <w:szCs w:val="22"/>
        </w:rPr>
        <w:t>)</w:t>
      </w:r>
      <w:r w:rsidR="001E2620" w:rsidRPr="00A34E41">
        <w:rPr>
          <w:sz w:val="22"/>
          <w:szCs w:val="22"/>
        </w:rPr>
        <w:t xml:space="preserve"> adotem, dentro de suas competências, providências relativas ao Contrato n.</w:t>
      </w:r>
      <w:r w:rsidR="00AA57CE" w:rsidRPr="00A34E41">
        <w:rPr>
          <w:sz w:val="22"/>
          <w:szCs w:val="22"/>
          <w:vertAlign w:val="superscript"/>
        </w:rPr>
        <w:t>o</w:t>
      </w:r>
      <w:r w:rsidR="001E2620" w:rsidRPr="00A34E41">
        <w:rPr>
          <w:sz w:val="22"/>
          <w:szCs w:val="22"/>
        </w:rPr>
        <w:t xml:space="preserve"> 039/2008-SIN, no tocante às parcelas pagas e a pagar</w:t>
      </w:r>
      <w:r w:rsidR="0070494F" w:rsidRPr="00A34E41">
        <w:rPr>
          <w:sz w:val="22"/>
          <w:szCs w:val="22"/>
        </w:rPr>
        <w:t xml:space="preserve">, no sentido da </w:t>
      </w:r>
      <w:r w:rsidR="0070494F" w:rsidRPr="00A34E41">
        <w:rPr>
          <w:i/>
          <w:sz w:val="22"/>
          <w:szCs w:val="22"/>
        </w:rPr>
        <w:t>“</w:t>
      </w:r>
      <w:r w:rsidR="001E2620" w:rsidRPr="00A34E41">
        <w:rPr>
          <w:i/>
          <w:sz w:val="22"/>
          <w:szCs w:val="22"/>
        </w:rPr>
        <w:t>regularização</w:t>
      </w:r>
      <w:r w:rsidR="0070494F" w:rsidRPr="00A34E41">
        <w:rPr>
          <w:i/>
          <w:sz w:val="22"/>
          <w:szCs w:val="22"/>
        </w:rPr>
        <w:t>”</w:t>
      </w:r>
      <w:r w:rsidR="001E2620" w:rsidRPr="00A34E41">
        <w:rPr>
          <w:i/>
          <w:sz w:val="22"/>
          <w:szCs w:val="22"/>
        </w:rPr>
        <w:t xml:space="preserve"> </w:t>
      </w:r>
      <w:r w:rsidR="001E2620" w:rsidRPr="00A34E41">
        <w:rPr>
          <w:sz w:val="22"/>
          <w:szCs w:val="22"/>
        </w:rPr>
        <w:t>dos tributos IRPJ e CSLL</w:t>
      </w:r>
      <w:r w:rsidR="001E2620" w:rsidRPr="00A34E41">
        <w:rPr>
          <w:i/>
          <w:sz w:val="22"/>
          <w:szCs w:val="22"/>
        </w:rPr>
        <w:t xml:space="preserve">, </w:t>
      </w:r>
      <w:r w:rsidR="0070494F" w:rsidRPr="00A34E41">
        <w:rPr>
          <w:i/>
          <w:sz w:val="22"/>
          <w:szCs w:val="22"/>
        </w:rPr>
        <w:t>“</w:t>
      </w:r>
      <w:r w:rsidR="001E2620" w:rsidRPr="00A34E41">
        <w:rPr>
          <w:i/>
          <w:sz w:val="22"/>
          <w:szCs w:val="22"/>
        </w:rPr>
        <w:t>que devem deixar de integrar o cálculo do LDI e a planilha de custo direto</w:t>
      </w:r>
      <w:r w:rsidR="00F076C5" w:rsidRPr="00A34E41">
        <w:rPr>
          <w:i/>
          <w:sz w:val="22"/>
          <w:szCs w:val="22"/>
        </w:rPr>
        <w:t>”</w:t>
      </w:r>
      <w:r w:rsidR="00F076C5" w:rsidRPr="00A34E41">
        <w:rPr>
          <w:sz w:val="22"/>
          <w:szCs w:val="22"/>
        </w:rPr>
        <w:t xml:space="preserve">. </w:t>
      </w:r>
      <w:r w:rsidR="00AA57CE" w:rsidRPr="00A34E41">
        <w:rPr>
          <w:sz w:val="22"/>
          <w:szCs w:val="22"/>
        </w:rPr>
        <w:t>Precedentes citados: Acórdãos n.</w:t>
      </w:r>
      <w:r w:rsidR="00AA57CE" w:rsidRPr="00A34E41">
        <w:rPr>
          <w:sz w:val="22"/>
          <w:szCs w:val="22"/>
          <w:vertAlign w:val="superscript"/>
        </w:rPr>
        <w:t>os</w:t>
      </w:r>
      <w:r w:rsidR="00AA57CE" w:rsidRPr="00A34E41">
        <w:rPr>
          <w:sz w:val="22"/>
          <w:szCs w:val="22"/>
        </w:rPr>
        <w:t xml:space="preserve"> 1.858/2009 e 497/2010</w:t>
      </w:r>
      <w:r w:rsidR="0070494F" w:rsidRPr="00A34E41">
        <w:rPr>
          <w:sz w:val="22"/>
          <w:szCs w:val="22"/>
        </w:rPr>
        <w:t>, ambos do Plenário</w:t>
      </w:r>
      <w:r w:rsidR="00AA57CE" w:rsidRPr="00A34E41">
        <w:rPr>
          <w:sz w:val="22"/>
          <w:szCs w:val="22"/>
        </w:rPr>
        <w:t xml:space="preserve">. </w:t>
      </w:r>
      <w:r w:rsidRPr="00A34E41">
        <w:rPr>
          <w:b/>
          <w:i/>
          <w:sz w:val="22"/>
          <w:szCs w:val="22"/>
        </w:rPr>
        <w:t>Acórdão n.º 11</w:t>
      </w:r>
      <w:r w:rsidR="001E2620" w:rsidRPr="00A34E41">
        <w:rPr>
          <w:b/>
          <w:i/>
          <w:sz w:val="22"/>
          <w:szCs w:val="22"/>
        </w:rPr>
        <w:t>19</w:t>
      </w:r>
      <w:r w:rsidRPr="00A34E41">
        <w:rPr>
          <w:b/>
          <w:i/>
          <w:sz w:val="22"/>
          <w:szCs w:val="22"/>
        </w:rPr>
        <w:t>/2010</w:t>
      </w:r>
      <w:r w:rsidR="00151F92" w:rsidRPr="00A34E41">
        <w:rPr>
          <w:b/>
          <w:i/>
          <w:sz w:val="22"/>
          <w:szCs w:val="22"/>
        </w:rPr>
        <w:t>-Plenário</w:t>
      </w:r>
      <w:r w:rsidRPr="00A34E41">
        <w:rPr>
          <w:b/>
          <w:i/>
          <w:sz w:val="22"/>
          <w:szCs w:val="22"/>
        </w:rPr>
        <w:t>, TC-0</w:t>
      </w:r>
      <w:r w:rsidR="001E2620" w:rsidRPr="00A34E41">
        <w:rPr>
          <w:b/>
          <w:i/>
          <w:sz w:val="22"/>
          <w:szCs w:val="22"/>
        </w:rPr>
        <w:t>00</w:t>
      </w:r>
      <w:r w:rsidRPr="00A34E41">
        <w:rPr>
          <w:b/>
          <w:i/>
          <w:sz w:val="22"/>
          <w:szCs w:val="22"/>
        </w:rPr>
        <w:t>.</w:t>
      </w:r>
      <w:r w:rsidR="001E2620" w:rsidRPr="00A34E41">
        <w:rPr>
          <w:b/>
          <w:i/>
          <w:sz w:val="22"/>
          <w:szCs w:val="22"/>
        </w:rPr>
        <w:t>275</w:t>
      </w:r>
      <w:r w:rsidRPr="00A34E41">
        <w:rPr>
          <w:b/>
          <w:i/>
          <w:sz w:val="22"/>
          <w:szCs w:val="22"/>
        </w:rPr>
        <w:t>/20</w:t>
      </w:r>
      <w:r w:rsidR="001E2620" w:rsidRPr="00A34E41">
        <w:rPr>
          <w:b/>
          <w:i/>
          <w:sz w:val="22"/>
          <w:szCs w:val="22"/>
        </w:rPr>
        <w:t>10</w:t>
      </w:r>
      <w:r w:rsidRPr="00A34E41">
        <w:rPr>
          <w:b/>
          <w:i/>
          <w:sz w:val="22"/>
          <w:szCs w:val="22"/>
        </w:rPr>
        <w:t>-</w:t>
      </w:r>
      <w:r w:rsidR="001E2620" w:rsidRPr="00A34E41">
        <w:rPr>
          <w:b/>
          <w:i/>
          <w:sz w:val="22"/>
          <w:szCs w:val="22"/>
        </w:rPr>
        <w:t>7</w:t>
      </w:r>
      <w:r w:rsidRPr="00A34E41">
        <w:rPr>
          <w:b/>
          <w:i/>
          <w:sz w:val="22"/>
          <w:szCs w:val="22"/>
        </w:rPr>
        <w:t>, rel. Min-Subs</w:t>
      </w:r>
      <w:r w:rsidR="00151F92" w:rsidRPr="00A34E41">
        <w:rPr>
          <w:b/>
          <w:i/>
          <w:sz w:val="22"/>
          <w:szCs w:val="22"/>
        </w:rPr>
        <w:t>t</w:t>
      </w:r>
      <w:r w:rsidRPr="00A34E41">
        <w:rPr>
          <w:b/>
          <w:i/>
          <w:sz w:val="22"/>
          <w:szCs w:val="22"/>
        </w:rPr>
        <w:t xml:space="preserve">. </w:t>
      </w:r>
      <w:r w:rsidR="001E2620" w:rsidRPr="00A34E41">
        <w:rPr>
          <w:b/>
          <w:i/>
          <w:sz w:val="22"/>
          <w:szCs w:val="22"/>
        </w:rPr>
        <w:t>Marcos Bemquerer Costa</w:t>
      </w:r>
      <w:r w:rsidRPr="00A34E41">
        <w:rPr>
          <w:b/>
          <w:i/>
          <w:sz w:val="22"/>
          <w:szCs w:val="22"/>
        </w:rPr>
        <w:t>, 19.05.2010</w:t>
      </w:r>
      <w:r w:rsidRPr="00A34E41">
        <w:rPr>
          <w:sz w:val="22"/>
          <w:szCs w:val="22"/>
        </w:rPr>
        <w:t>.</w:t>
      </w:r>
    </w:p>
    <w:p w:rsidR="003A5479" w:rsidRPr="00A34E41" w:rsidRDefault="003A5479" w:rsidP="00337E16">
      <w:pPr>
        <w:pStyle w:val="indice"/>
        <w:tabs>
          <w:tab w:val="left" w:pos="567"/>
        </w:tabs>
        <w:spacing w:line="240" w:lineRule="auto"/>
      </w:pPr>
    </w:p>
    <w:p w:rsidR="005C1A79" w:rsidRPr="00A34E41" w:rsidRDefault="0096021A" w:rsidP="00337E16">
      <w:pPr>
        <w:pStyle w:val="indice"/>
        <w:tabs>
          <w:tab w:val="left" w:pos="567"/>
        </w:tabs>
        <w:spacing w:line="240" w:lineRule="auto"/>
        <w:rPr>
          <w:b/>
        </w:rPr>
      </w:pPr>
      <w:r w:rsidRPr="00A34E41">
        <w:rPr>
          <w:b/>
        </w:rPr>
        <w:t>Manutenção, em aditivo de aumento de quantitativos, do percentual de desconto ofertado pela contratada no preço global inicialmente ajustado</w:t>
      </w:r>
    </w:p>
    <w:p w:rsidR="005C1A79" w:rsidRPr="00A34E41" w:rsidRDefault="00D76186" w:rsidP="005C1A79">
      <w:pPr>
        <w:pStyle w:val="Pargrafo"/>
        <w:jc w:val="both"/>
        <w:rPr>
          <w:sz w:val="22"/>
          <w:szCs w:val="22"/>
        </w:rPr>
      </w:pPr>
      <w:r w:rsidRPr="00A34E41">
        <w:rPr>
          <w:sz w:val="22"/>
          <w:szCs w:val="22"/>
        </w:rPr>
        <w:t>Para execução do objeto do Contrato de Repasse n.</w:t>
      </w:r>
      <w:r w:rsidRPr="00A34E41">
        <w:rPr>
          <w:sz w:val="22"/>
          <w:szCs w:val="22"/>
          <w:vertAlign w:val="superscript"/>
        </w:rPr>
        <w:t>o</w:t>
      </w:r>
      <w:r w:rsidRPr="00A34E41">
        <w:rPr>
          <w:sz w:val="22"/>
          <w:szCs w:val="22"/>
        </w:rPr>
        <w:t xml:space="preserve"> 0218.435-59/2007, celebrado entre a União, por meio do Ministério das Cidades, e o Estado de Pernambuco, a Companhia Pernambucana de Saneamento (Compesa), </w:t>
      </w:r>
      <w:r w:rsidR="00C54B14" w:rsidRPr="00A34E41">
        <w:rPr>
          <w:sz w:val="22"/>
          <w:szCs w:val="22"/>
        </w:rPr>
        <w:t xml:space="preserve">na qualidade de </w:t>
      </w:r>
      <w:r w:rsidR="00C54B14" w:rsidRPr="00A34E41">
        <w:rPr>
          <w:i/>
          <w:sz w:val="22"/>
          <w:szCs w:val="22"/>
        </w:rPr>
        <w:t>“interveniente executor”</w:t>
      </w:r>
      <w:r w:rsidR="00C54B14" w:rsidRPr="00A34E41">
        <w:rPr>
          <w:sz w:val="22"/>
          <w:szCs w:val="22"/>
        </w:rPr>
        <w:t>,</w:t>
      </w:r>
      <w:r w:rsidRPr="00A34E41">
        <w:rPr>
          <w:sz w:val="22"/>
          <w:szCs w:val="22"/>
        </w:rPr>
        <w:t xml:space="preserve"> firmou o Contrato n.</w:t>
      </w:r>
      <w:r w:rsidRPr="00A34E41">
        <w:rPr>
          <w:sz w:val="22"/>
          <w:szCs w:val="22"/>
          <w:vertAlign w:val="superscript"/>
        </w:rPr>
        <w:t>o</w:t>
      </w:r>
      <w:r w:rsidRPr="00A34E41">
        <w:rPr>
          <w:sz w:val="22"/>
          <w:szCs w:val="22"/>
        </w:rPr>
        <w:t xml:space="preserve"> 08.0.0152</w:t>
      </w:r>
      <w:r w:rsidR="00C54B14" w:rsidRPr="00A34E41">
        <w:rPr>
          <w:sz w:val="22"/>
          <w:szCs w:val="22"/>
        </w:rPr>
        <w:t xml:space="preserve"> com a Construtora Beta S.A.</w:t>
      </w:r>
      <w:r w:rsidRPr="00A34E41">
        <w:rPr>
          <w:sz w:val="22"/>
          <w:szCs w:val="22"/>
        </w:rPr>
        <w:t>, com vistas à realização das obras de implantação do sistema de esgotamento sanitário de Pau Amarelo, bairro do Município de Paulista</w:t>
      </w:r>
      <w:r w:rsidR="00B81718" w:rsidRPr="00A34E41">
        <w:rPr>
          <w:sz w:val="22"/>
          <w:szCs w:val="22"/>
        </w:rPr>
        <w:t>, região metropolitana de Recife/PE</w:t>
      </w:r>
      <w:r w:rsidRPr="00A34E41">
        <w:rPr>
          <w:sz w:val="22"/>
          <w:szCs w:val="22"/>
        </w:rPr>
        <w:t xml:space="preserve">. </w:t>
      </w:r>
      <w:r w:rsidR="00B81718" w:rsidRPr="00A34E41">
        <w:rPr>
          <w:sz w:val="22"/>
          <w:szCs w:val="22"/>
        </w:rPr>
        <w:t>Em seu relatório de auditoria, a unidade técnica prop</w:t>
      </w:r>
      <w:r w:rsidR="00C65C5D" w:rsidRPr="00A34E41">
        <w:rPr>
          <w:sz w:val="22"/>
          <w:szCs w:val="22"/>
        </w:rPr>
        <w:t>ôs</w:t>
      </w:r>
      <w:r w:rsidR="00B81718" w:rsidRPr="00A34E41">
        <w:rPr>
          <w:sz w:val="22"/>
          <w:szCs w:val="22"/>
        </w:rPr>
        <w:t xml:space="preserve"> </w:t>
      </w:r>
      <w:r w:rsidR="00B81718" w:rsidRPr="00A34E41">
        <w:rPr>
          <w:i/>
          <w:sz w:val="22"/>
          <w:szCs w:val="22"/>
        </w:rPr>
        <w:t>“Alertar à Companhia Pernambucana de Saneamento que [...]</w:t>
      </w:r>
      <w:r w:rsidR="0096021A" w:rsidRPr="00A34E41">
        <w:rPr>
          <w:i/>
          <w:sz w:val="22"/>
          <w:szCs w:val="22"/>
        </w:rPr>
        <w:t xml:space="preserve">, </w:t>
      </w:r>
      <w:r w:rsidR="00B81718" w:rsidRPr="00A34E41">
        <w:rPr>
          <w:i/>
          <w:sz w:val="22"/>
          <w:szCs w:val="22"/>
        </w:rPr>
        <w:t>ao realizar o aditivo de aumento de quantitativos - 6º Termo Aditivo ao Contrato n.</w:t>
      </w:r>
      <w:r w:rsidR="00B81718" w:rsidRPr="00A34E41">
        <w:rPr>
          <w:i/>
          <w:sz w:val="22"/>
          <w:szCs w:val="22"/>
          <w:vertAlign w:val="superscript"/>
        </w:rPr>
        <w:t>o</w:t>
      </w:r>
      <w:r w:rsidR="00B81718" w:rsidRPr="00A34E41">
        <w:rPr>
          <w:i/>
          <w:sz w:val="22"/>
          <w:szCs w:val="22"/>
        </w:rPr>
        <w:t xml:space="preserve"> 08.0.0152 – conforme planilha orçamentária repassada à equipe de auditoria, observe o valor do desconto ofertado pela contratada nos preços unitários inicialmente contratados, conforme § 6º, art. 112, Lei n.</w:t>
      </w:r>
      <w:r w:rsidR="00B81718" w:rsidRPr="00A34E41">
        <w:rPr>
          <w:i/>
          <w:sz w:val="22"/>
          <w:szCs w:val="22"/>
          <w:vertAlign w:val="superscript"/>
        </w:rPr>
        <w:t>o</w:t>
      </w:r>
      <w:r w:rsidR="00B81718" w:rsidRPr="00A34E41">
        <w:rPr>
          <w:i/>
          <w:sz w:val="22"/>
          <w:szCs w:val="22"/>
        </w:rPr>
        <w:t xml:space="preserve"> 12.017;”</w:t>
      </w:r>
      <w:r w:rsidR="00B81718" w:rsidRPr="00A34E41">
        <w:rPr>
          <w:sz w:val="22"/>
          <w:szCs w:val="22"/>
        </w:rPr>
        <w:t xml:space="preserve">. </w:t>
      </w:r>
      <w:r w:rsidR="00C65C5D" w:rsidRPr="00A34E41">
        <w:rPr>
          <w:sz w:val="22"/>
          <w:szCs w:val="22"/>
        </w:rPr>
        <w:t>Em seu voto</w:t>
      </w:r>
      <w:r w:rsidR="003B2E10" w:rsidRPr="00A34E41">
        <w:rPr>
          <w:sz w:val="22"/>
          <w:szCs w:val="22"/>
        </w:rPr>
        <w:t xml:space="preserve">, </w:t>
      </w:r>
      <w:r w:rsidR="00B81718" w:rsidRPr="00A34E41">
        <w:rPr>
          <w:sz w:val="22"/>
          <w:szCs w:val="22"/>
        </w:rPr>
        <w:t xml:space="preserve">o relator </w:t>
      </w:r>
      <w:r w:rsidR="003B2E10" w:rsidRPr="00A34E41">
        <w:rPr>
          <w:sz w:val="22"/>
          <w:szCs w:val="22"/>
        </w:rPr>
        <w:t>pondero</w:t>
      </w:r>
      <w:r w:rsidR="00B81718" w:rsidRPr="00A34E41">
        <w:rPr>
          <w:sz w:val="22"/>
          <w:szCs w:val="22"/>
        </w:rPr>
        <w:t>u</w:t>
      </w:r>
      <w:r w:rsidR="003B2E10" w:rsidRPr="00A34E41">
        <w:rPr>
          <w:sz w:val="22"/>
          <w:szCs w:val="22"/>
        </w:rPr>
        <w:t xml:space="preserve"> que o desconto deve incidir sobre o preço global do ajuste</w:t>
      </w:r>
      <w:r w:rsidR="00B81718" w:rsidRPr="00A34E41">
        <w:rPr>
          <w:sz w:val="22"/>
          <w:szCs w:val="22"/>
        </w:rPr>
        <w:t>,</w:t>
      </w:r>
      <w:r w:rsidR="003B2E10" w:rsidRPr="00A34E41">
        <w:rPr>
          <w:sz w:val="22"/>
          <w:szCs w:val="22"/>
        </w:rPr>
        <w:t xml:space="preserve"> e não </w:t>
      </w:r>
      <w:r w:rsidR="00B81718" w:rsidRPr="00A34E41">
        <w:rPr>
          <w:sz w:val="22"/>
          <w:szCs w:val="22"/>
        </w:rPr>
        <w:t>sobre os</w:t>
      </w:r>
      <w:r w:rsidR="003B2E10" w:rsidRPr="00A34E41">
        <w:rPr>
          <w:sz w:val="22"/>
          <w:szCs w:val="22"/>
        </w:rPr>
        <w:t xml:space="preserve"> preços unitários, como proposto pela unidade instrutiva, uma vez que o art. 112, § 6º, da Lei n.</w:t>
      </w:r>
      <w:r w:rsidR="00B81718" w:rsidRPr="00A34E41">
        <w:rPr>
          <w:sz w:val="22"/>
          <w:szCs w:val="22"/>
          <w:vertAlign w:val="superscript"/>
        </w:rPr>
        <w:t>o</w:t>
      </w:r>
      <w:r w:rsidR="003B2E10" w:rsidRPr="00A34E41">
        <w:rPr>
          <w:sz w:val="22"/>
          <w:szCs w:val="22"/>
        </w:rPr>
        <w:t xml:space="preserve"> 12.017/2009 dispõe que a diferença percentual entre o valor global do contrato e o obtido a partir dos custos unitários do SINAPI ou do SICRO não poderá ser reduzida, em favor do contratado, em decorrência de aditamentos que modifiquem a planilha orçamentária. </w:t>
      </w:r>
      <w:r w:rsidR="00C65C5D" w:rsidRPr="00A34E41">
        <w:rPr>
          <w:sz w:val="22"/>
          <w:szCs w:val="22"/>
        </w:rPr>
        <w:t>Assim sendo</w:t>
      </w:r>
      <w:r w:rsidR="00A9704A" w:rsidRPr="00A34E41">
        <w:rPr>
          <w:sz w:val="22"/>
          <w:szCs w:val="22"/>
        </w:rPr>
        <w:t xml:space="preserve">, o relator propôs e o Plenário decidiu </w:t>
      </w:r>
      <w:r w:rsidR="003B2E10" w:rsidRPr="00A34E41">
        <w:rPr>
          <w:sz w:val="22"/>
          <w:szCs w:val="22"/>
        </w:rPr>
        <w:t xml:space="preserve">determinar à </w:t>
      </w:r>
      <w:r w:rsidR="0096021A" w:rsidRPr="00A34E41">
        <w:rPr>
          <w:sz w:val="22"/>
          <w:szCs w:val="22"/>
        </w:rPr>
        <w:t>Compesa</w:t>
      </w:r>
      <w:r w:rsidR="003B2E10" w:rsidRPr="00A34E41">
        <w:rPr>
          <w:sz w:val="22"/>
          <w:szCs w:val="22"/>
        </w:rPr>
        <w:t xml:space="preserve"> que</w:t>
      </w:r>
      <w:r w:rsidR="00A9704A" w:rsidRPr="00A34E41">
        <w:rPr>
          <w:sz w:val="22"/>
          <w:szCs w:val="22"/>
        </w:rPr>
        <w:t xml:space="preserve">, </w:t>
      </w:r>
      <w:r w:rsidR="00A9704A" w:rsidRPr="00A34E41">
        <w:rPr>
          <w:i/>
          <w:sz w:val="22"/>
          <w:szCs w:val="22"/>
        </w:rPr>
        <w:t>“</w:t>
      </w:r>
      <w:r w:rsidR="003B2E10" w:rsidRPr="00A34E41">
        <w:rPr>
          <w:i/>
          <w:sz w:val="22"/>
          <w:szCs w:val="22"/>
        </w:rPr>
        <w:t>ao realizar o aditivo de aumento de quantitativos – 6º Termo Aditivo ao Contrato n.</w:t>
      </w:r>
      <w:r w:rsidR="00A9704A" w:rsidRPr="00A34E41">
        <w:rPr>
          <w:i/>
          <w:sz w:val="22"/>
          <w:szCs w:val="22"/>
          <w:vertAlign w:val="superscript"/>
        </w:rPr>
        <w:t>o</w:t>
      </w:r>
      <w:r w:rsidR="003B2E10" w:rsidRPr="00A34E41">
        <w:rPr>
          <w:i/>
          <w:sz w:val="22"/>
          <w:szCs w:val="22"/>
        </w:rPr>
        <w:t xml:space="preserve"> 08.0.0152 –, mantenha o valor do desconto ofertado pela contratada no preço global inicialmente ajustado</w:t>
      </w:r>
      <w:r w:rsidR="00A9704A" w:rsidRPr="00A34E41">
        <w:rPr>
          <w:i/>
          <w:sz w:val="22"/>
          <w:szCs w:val="22"/>
        </w:rPr>
        <w:t>”</w:t>
      </w:r>
      <w:r w:rsidR="003B2E10" w:rsidRPr="00A34E41">
        <w:rPr>
          <w:sz w:val="22"/>
          <w:szCs w:val="22"/>
        </w:rPr>
        <w:t>.</w:t>
      </w:r>
      <w:r w:rsidR="00A9704A" w:rsidRPr="00A34E41">
        <w:rPr>
          <w:sz w:val="22"/>
          <w:szCs w:val="22"/>
        </w:rPr>
        <w:t xml:space="preserve"> </w:t>
      </w:r>
      <w:r w:rsidR="005C1A79" w:rsidRPr="00A34E41">
        <w:rPr>
          <w:b/>
          <w:i/>
          <w:sz w:val="22"/>
          <w:szCs w:val="22"/>
        </w:rPr>
        <w:t>Acórdão n.º 11</w:t>
      </w:r>
      <w:r w:rsidR="003B2E10" w:rsidRPr="00A34E41">
        <w:rPr>
          <w:b/>
          <w:i/>
          <w:sz w:val="22"/>
          <w:szCs w:val="22"/>
        </w:rPr>
        <w:t>20</w:t>
      </w:r>
      <w:r w:rsidR="005C1A79" w:rsidRPr="00A34E41">
        <w:rPr>
          <w:b/>
          <w:i/>
          <w:sz w:val="22"/>
          <w:szCs w:val="22"/>
        </w:rPr>
        <w:t>/2010</w:t>
      </w:r>
      <w:r w:rsidR="00151F92" w:rsidRPr="00A34E41">
        <w:rPr>
          <w:b/>
          <w:i/>
          <w:sz w:val="22"/>
          <w:szCs w:val="22"/>
        </w:rPr>
        <w:t>-Plenário</w:t>
      </w:r>
      <w:r w:rsidR="005C1A79" w:rsidRPr="00A34E41">
        <w:rPr>
          <w:b/>
          <w:i/>
          <w:sz w:val="22"/>
          <w:szCs w:val="22"/>
        </w:rPr>
        <w:t>, TC-000.</w:t>
      </w:r>
      <w:r w:rsidR="003B2E10" w:rsidRPr="00A34E41">
        <w:rPr>
          <w:b/>
          <w:i/>
          <w:sz w:val="22"/>
          <w:szCs w:val="22"/>
        </w:rPr>
        <w:t>340</w:t>
      </w:r>
      <w:r w:rsidR="005C1A79" w:rsidRPr="00A34E41">
        <w:rPr>
          <w:b/>
          <w:i/>
          <w:sz w:val="22"/>
          <w:szCs w:val="22"/>
        </w:rPr>
        <w:t>/2010-</w:t>
      </w:r>
      <w:r w:rsidR="003B2E10" w:rsidRPr="00A34E41">
        <w:rPr>
          <w:b/>
          <w:i/>
          <w:sz w:val="22"/>
          <w:szCs w:val="22"/>
        </w:rPr>
        <w:t>3</w:t>
      </w:r>
      <w:r w:rsidR="005C1A79" w:rsidRPr="00A34E41">
        <w:rPr>
          <w:b/>
          <w:i/>
          <w:sz w:val="22"/>
          <w:szCs w:val="22"/>
        </w:rPr>
        <w:t>, rel. Min-Subs</w:t>
      </w:r>
      <w:r w:rsidR="00151F92" w:rsidRPr="00A34E41">
        <w:rPr>
          <w:b/>
          <w:i/>
          <w:sz w:val="22"/>
          <w:szCs w:val="22"/>
        </w:rPr>
        <w:t>t</w:t>
      </w:r>
      <w:r w:rsidR="005C1A79" w:rsidRPr="00A34E41">
        <w:rPr>
          <w:b/>
          <w:i/>
          <w:sz w:val="22"/>
          <w:szCs w:val="22"/>
        </w:rPr>
        <w:t>. Marcos Bemquerer Costa, 19.05.2010</w:t>
      </w:r>
      <w:r w:rsidR="005C1A79" w:rsidRPr="00A34E41">
        <w:rPr>
          <w:sz w:val="22"/>
          <w:szCs w:val="22"/>
        </w:rPr>
        <w:t>.</w:t>
      </w:r>
    </w:p>
    <w:p w:rsidR="003C6DEB" w:rsidRPr="00A34E41" w:rsidRDefault="003C6DEB" w:rsidP="00337E16">
      <w:pPr>
        <w:pStyle w:val="Corpodetexto2"/>
        <w:spacing w:after="0" w:line="240" w:lineRule="auto"/>
        <w:ind w:left="0"/>
        <w:rPr>
          <w:sz w:val="22"/>
          <w:szCs w:val="22"/>
        </w:rPr>
      </w:pPr>
    </w:p>
    <w:p w:rsidR="003C6DEB" w:rsidRPr="00A34E41" w:rsidRDefault="008A2417" w:rsidP="00337E16">
      <w:pPr>
        <w:pBdr>
          <w:top w:val="threeDEmboss" w:sz="24" w:space="0" w:color="auto"/>
        </w:pBdr>
        <w:tabs>
          <w:tab w:val="left" w:pos="284"/>
        </w:tabs>
        <w:spacing w:after="0"/>
        <w:ind w:left="0"/>
        <w:jc w:val="center"/>
        <w:rPr>
          <w:b/>
          <w:bCs/>
          <w:smallCaps/>
          <w:sz w:val="22"/>
          <w:szCs w:val="22"/>
        </w:rPr>
      </w:pPr>
      <w:r w:rsidRPr="00A34E41">
        <w:rPr>
          <w:b/>
          <w:bCs/>
          <w:smallCaps/>
          <w:sz w:val="22"/>
          <w:szCs w:val="22"/>
        </w:rPr>
        <w:t>PRIMEIRA</w:t>
      </w:r>
      <w:r w:rsidR="003C6DEB" w:rsidRPr="00A34E41">
        <w:rPr>
          <w:b/>
          <w:bCs/>
          <w:smallCaps/>
          <w:sz w:val="22"/>
          <w:szCs w:val="22"/>
        </w:rPr>
        <w:t xml:space="preserve"> CÂMARA</w:t>
      </w:r>
    </w:p>
    <w:p w:rsidR="00981FA0" w:rsidRPr="00A34E41" w:rsidRDefault="00981FA0" w:rsidP="00337E16">
      <w:pPr>
        <w:pStyle w:val="Pargrafo"/>
        <w:jc w:val="both"/>
        <w:rPr>
          <w:b/>
          <w:sz w:val="22"/>
          <w:szCs w:val="22"/>
        </w:rPr>
      </w:pPr>
    </w:p>
    <w:p w:rsidR="00317E59" w:rsidRPr="00A34E41" w:rsidRDefault="00317E59" w:rsidP="00317E59">
      <w:pPr>
        <w:pStyle w:val="indice"/>
        <w:tabs>
          <w:tab w:val="left" w:pos="567"/>
        </w:tabs>
        <w:spacing w:line="240" w:lineRule="auto"/>
      </w:pPr>
    </w:p>
    <w:p w:rsidR="00317E59" w:rsidRPr="00A34E41" w:rsidRDefault="009D5445" w:rsidP="00317E59">
      <w:pPr>
        <w:pStyle w:val="Pargrafo"/>
        <w:jc w:val="both"/>
        <w:rPr>
          <w:b/>
          <w:sz w:val="22"/>
          <w:szCs w:val="22"/>
        </w:rPr>
      </w:pPr>
      <w:r w:rsidRPr="00A34E41">
        <w:rPr>
          <w:b/>
          <w:sz w:val="22"/>
          <w:szCs w:val="22"/>
        </w:rPr>
        <w:t>Repactuação de valores para itens não cotados, ou cotados a menor, na planilha de preços da empresa vencedora da licitação</w:t>
      </w:r>
    </w:p>
    <w:p w:rsidR="00317E59" w:rsidRPr="00A34E41" w:rsidRDefault="00317E59" w:rsidP="00317E59">
      <w:pPr>
        <w:pStyle w:val="Pargrafo"/>
        <w:jc w:val="both"/>
        <w:rPr>
          <w:sz w:val="22"/>
          <w:szCs w:val="22"/>
        </w:rPr>
      </w:pPr>
      <w:r w:rsidRPr="00A34E41">
        <w:rPr>
          <w:sz w:val="22"/>
          <w:szCs w:val="22"/>
        </w:rPr>
        <w:t>Representação oferecida ao TCU indicou possíveis irregularidades no Pregão n.º 001/2008, promovido pelo Centro Brasileiro de Pesquisas Físicas (CBPF)</w:t>
      </w:r>
      <w:r w:rsidR="00B25143" w:rsidRPr="00A34E41">
        <w:rPr>
          <w:sz w:val="22"/>
          <w:szCs w:val="22"/>
        </w:rPr>
        <w:t>,</w:t>
      </w:r>
      <w:r w:rsidRPr="00A34E41">
        <w:rPr>
          <w:sz w:val="22"/>
          <w:szCs w:val="22"/>
        </w:rPr>
        <w:t xml:space="preserve"> com o intuito de contratar empresa para a prestação de serviços de apoio operacional, sem emprego de material, para atendimento em três imóveis daquele órgão. As ocorrências objeto d</w:t>
      </w:r>
      <w:r w:rsidR="00B25143" w:rsidRPr="00A34E41">
        <w:rPr>
          <w:sz w:val="22"/>
          <w:szCs w:val="22"/>
        </w:rPr>
        <w:t>e</w:t>
      </w:r>
      <w:r w:rsidRPr="00A34E41">
        <w:rPr>
          <w:sz w:val="22"/>
          <w:szCs w:val="22"/>
        </w:rPr>
        <w:t xml:space="preserve"> oitiva ao pregoeiro </w:t>
      </w:r>
      <w:r w:rsidR="00564EA1" w:rsidRPr="00A34E41">
        <w:rPr>
          <w:i/>
          <w:sz w:val="22"/>
          <w:szCs w:val="22"/>
        </w:rPr>
        <w:t>“</w:t>
      </w:r>
      <w:r w:rsidRPr="00A34E41">
        <w:rPr>
          <w:i/>
          <w:sz w:val="22"/>
          <w:szCs w:val="22"/>
        </w:rPr>
        <w:t>sustentam, em sua maioria, a cotação, na composição dos preços</w:t>
      </w:r>
      <w:r w:rsidR="00564EA1" w:rsidRPr="00A34E41">
        <w:rPr>
          <w:i/>
          <w:sz w:val="22"/>
          <w:szCs w:val="22"/>
        </w:rPr>
        <w:t>”</w:t>
      </w:r>
      <w:r w:rsidRPr="00A34E41">
        <w:rPr>
          <w:sz w:val="22"/>
          <w:szCs w:val="22"/>
        </w:rPr>
        <w:t xml:space="preserve"> da proposta vencedora da licitação, </w:t>
      </w:r>
      <w:r w:rsidRPr="00A34E41">
        <w:rPr>
          <w:i/>
          <w:sz w:val="22"/>
          <w:szCs w:val="22"/>
        </w:rPr>
        <w:t>“de custos em desacordo com as regras do edital</w:t>
      </w:r>
      <w:r w:rsidR="00B25143" w:rsidRPr="00A34E41">
        <w:rPr>
          <w:i/>
          <w:sz w:val="22"/>
          <w:szCs w:val="22"/>
        </w:rPr>
        <w:t>,</w:t>
      </w:r>
      <w:r w:rsidRPr="00A34E41">
        <w:rPr>
          <w:i/>
          <w:sz w:val="22"/>
          <w:szCs w:val="22"/>
        </w:rPr>
        <w:t xml:space="preserve"> e em valores a menor do que aqueles de fato suportados pela licitante”</w:t>
      </w:r>
      <w:r w:rsidRPr="00A34E41">
        <w:rPr>
          <w:sz w:val="22"/>
          <w:szCs w:val="22"/>
        </w:rPr>
        <w:t xml:space="preserve">. </w:t>
      </w:r>
      <w:r w:rsidR="00564EA1" w:rsidRPr="00A34E41">
        <w:rPr>
          <w:sz w:val="22"/>
          <w:szCs w:val="22"/>
        </w:rPr>
        <w:t>Ao anuir</w:t>
      </w:r>
      <w:r w:rsidRPr="00A34E41">
        <w:rPr>
          <w:sz w:val="22"/>
          <w:szCs w:val="22"/>
        </w:rPr>
        <w:t xml:space="preserve"> </w:t>
      </w:r>
      <w:r w:rsidR="00DF3BE2" w:rsidRPr="00A34E41">
        <w:rPr>
          <w:sz w:val="22"/>
          <w:szCs w:val="22"/>
        </w:rPr>
        <w:t>às conclusões da</w:t>
      </w:r>
      <w:r w:rsidRPr="00A34E41">
        <w:rPr>
          <w:sz w:val="22"/>
          <w:szCs w:val="22"/>
        </w:rPr>
        <w:t xml:space="preserve"> unidade </w:t>
      </w:r>
      <w:r w:rsidR="00564EA1" w:rsidRPr="00A34E41">
        <w:rPr>
          <w:sz w:val="22"/>
          <w:szCs w:val="22"/>
        </w:rPr>
        <w:t>técnica</w:t>
      </w:r>
      <w:r w:rsidRPr="00A34E41">
        <w:rPr>
          <w:sz w:val="22"/>
          <w:szCs w:val="22"/>
        </w:rPr>
        <w:t xml:space="preserve">, o relator observou não haver indícios de inexequibilidade da proposta vencedora da licitação, </w:t>
      </w:r>
      <w:r w:rsidR="00DF3BE2" w:rsidRPr="00A34E41">
        <w:rPr>
          <w:sz w:val="22"/>
          <w:szCs w:val="22"/>
        </w:rPr>
        <w:t>tampouco</w:t>
      </w:r>
      <w:r w:rsidRPr="00A34E41">
        <w:rPr>
          <w:sz w:val="22"/>
          <w:szCs w:val="22"/>
        </w:rPr>
        <w:t xml:space="preserve"> notícia</w:t>
      </w:r>
      <w:r w:rsidR="00B25143" w:rsidRPr="00A34E41">
        <w:rPr>
          <w:sz w:val="22"/>
          <w:szCs w:val="22"/>
        </w:rPr>
        <w:t>,</w:t>
      </w:r>
      <w:r w:rsidRPr="00A34E41">
        <w:rPr>
          <w:sz w:val="22"/>
          <w:szCs w:val="22"/>
        </w:rPr>
        <w:t xml:space="preserve"> nos autos</w:t>
      </w:r>
      <w:r w:rsidR="00B25143" w:rsidRPr="00A34E41">
        <w:rPr>
          <w:sz w:val="22"/>
          <w:szCs w:val="22"/>
        </w:rPr>
        <w:t>,</w:t>
      </w:r>
      <w:r w:rsidRPr="00A34E41">
        <w:rPr>
          <w:sz w:val="22"/>
          <w:szCs w:val="22"/>
        </w:rPr>
        <w:t xml:space="preserve"> de eventual descumprimento do objeto pactuado ou de má prestação dos serviços. Com relação aos itens de custo não cotados</w:t>
      </w:r>
      <w:r w:rsidR="00B25143" w:rsidRPr="00A34E41">
        <w:rPr>
          <w:sz w:val="22"/>
          <w:szCs w:val="22"/>
        </w:rPr>
        <w:t>,</w:t>
      </w:r>
      <w:r w:rsidRPr="00A34E41">
        <w:rPr>
          <w:sz w:val="22"/>
          <w:szCs w:val="22"/>
        </w:rPr>
        <w:t xml:space="preserve"> ou cotados a menor</w:t>
      </w:r>
      <w:r w:rsidR="00B25143" w:rsidRPr="00A34E41">
        <w:rPr>
          <w:sz w:val="22"/>
          <w:szCs w:val="22"/>
        </w:rPr>
        <w:t>,</w:t>
      </w:r>
      <w:r w:rsidRPr="00A34E41">
        <w:rPr>
          <w:sz w:val="22"/>
          <w:szCs w:val="22"/>
        </w:rPr>
        <w:t xml:space="preserve"> pela vencedora do certame (como o “Seguro de Acidente de Trabalho”, a “Assistência Social Familiar Sindical”, a “Assistência Social” e os benefícios indiretos concedidos pelas empresas aos empregados), o relator </w:t>
      </w:r>
      <w:r w:rsidR="00DF3BE2" w:rsidRPr="00A34E41">
        <w:rPr>
          <w:sz w:val="22"/>
          <w:szCs w:val="22"/>
        </w:rPr>
        <w:t>defendeu</w:t>
      </w:r>
      <w:r w:rsidRPr="00A34E41">
        <w:rPr>
          <w:sz w:val="22"/>
          <w:szCs w:val="22"/>
        </w:rPr>
        <w:t xml:space="preserve"> que eles </w:t>
      </w:r>
      <w:r w:rsidRPr="00A34E41">
        <w:rPr>
          <w:i/>
          <w:sz w:val="22"/>
          <w:szCs w:val="22"/>
        </w:rPr>
        <w:t>“não chegam a invalidar a proposta da licitante, mas devem ser objeto de acompanhamento pelo CBPF”</w:t>
      </w:r>
      <w:r w:rsidRPr="00A34E41">
        <w:rPr>
          <w:sz w:val="22"/>
          <w:szCs w:val="22"/>
        </w:rPr>
        <w:t xml:space="preserve">. Ao final, o relator propôs e a Primeira Câmara decidiu determinar ao </w:t>
      </w:r>
      <w:r w:rsidR="00DF3BE2" w:rsidRPr="00A34E41">
        <w:rPr>
          <w:sz w:val="22"/>
          <w:szCs w:val="22"/>
        </w:rPr>
        <w:t>órgão</w:t>
      </w:r>
      <w:r w:rsidRPr="00A34E41">
        <w:rPr>
          <w:sz w:val="22"/>
          <w:szCs w:val="22"/>
        </w:rPr>
        <w:t xml:space="preserve"> que, </w:t>
      </w:r>
      <w:r w:rsidRPr="00A34E41">
        <w:rPr>
          <w:i/>
          <w:sz w:val="22"/>
          <w:szCs w:val="22"/>
        </w:rPr>
        <w:t>“quando da realização de certames voltados à contratação de serviços a serem executados de forma indireta e contínua, atente ao estrito cumprimento do expressamente disposto nos seguintes dispositivos da Instrução Normativa 02/2008, da SLTI/MP [...], de forma a impedir a hipótese de responsabilidade subsidiária ou solidária da Administração pelo descumprimento de obrigação trabalhista ou previdenciária, prevista no Enunciado 331 da Súmula do Tribunal Superior do Trabalho;”</w:t>
      </w:r>
      <w:r w:rsidRPr="00A34E41">
        <w:rPr>
          <w:sz w:val="22"/>
          <w:szCs w:val="22"/>
        </w:rPr>
        <w:t xml:space="preserve">. Além disso, foi expedida determinação ao CBPF no sentido de verificar, no âmbito do Contrato </w:t>
      </w:r>
      <w:r w:rsidR="0009133A" w:rsidRPr="00A34E41">
        <w:rPr>
          <w:sz w:val="22"/>
          <w:szCs w:val="22"/>
        </w:rPr>
        <w:t xml:space="preserve">n.° </w:t>
      </w:r>
      <w:r w:rsidRPr="00A34E41">
        <w:rPr>
          <w:sz w:val="22"/>
          <w:szCs w:val="22"/>
        </w:rPr>
        <w:t xml:space="preserve">03.004.00/2008, o efetivo recolhimento de parcelas trabalhistas, vencidas e vincendas, </w:t>
      </w:r>
      <w:r w:rsidRPr="00A34E41">
        <w:rPr>
          <w:i/>
          <w:sz w:val="22"/>
          <w:szCs w:val="22"/>
        </w:rPr>
        <w:t>“não acatando eventual repactuação de valores motivada pela mera observância das obrigações a cargo da contratada, consoante as disposições das cláusulas 13ª e 16ª do contrato</w:t>
      </w:r>
      <w:r w:rsidR="0009133A" w:rsidRPr="00A34E41">
        <w:rPr>
          <w:i/>
          <w:sz w:val="22"/>
          <w:szCs w:val="22"/>
        </w:rPr>
        <w:t>,</w:t>
      </w:r>
      <w:r w:rsidRPr="00A34E41">
        <w:rPr>
          <w:i/>
          <w:sz w:val="22"/>
          <w:szCs w:val="22"/>
        </w:rPr>
        <w:t xml:space="preserve"> e o art. 23 da IN 02/2008, da SLTI/MP”</w:t>
      </w:r>
      <w:r w:rsidRPr="00A34E41">
        <w:rPr>
          <w:sz w:val="22"/>
          <w:szCs w:val="22"/>
        </w:rPr>
        <w:t xml:space="preserve">. </w:t>
      </w:r>
      <w:r w:rsidRPr="00A34E41">
        <w:rPr>
          <w:b/>
          <w:i/>
          <w:sz w:val="22"/>
          <w:szCs w:val="22"/>
        </w:rPr>
        <w:t>Acórdão n.º 2554/2010-1ª Câmara, TC-012.841/2008-5, rel. Min-Subst. Augusto Sherman Cavalcanti, 18.05.2010</w:t>
      </w:r>
      <w:r w:rsidRPr="00A34E41">
        <w:rPr>
          <w:sz w:val="22"/>
          <w:szCs w:val="22"/>
        </w:rPr>
        <w:t>.</w:t>
      </w:r>
    </w:p>
    <w:p w:rsidR="00317E59" w:rsidRPr="00A34E41" w:rsidRDefault="00317E59" w:rsidP="00337E16">
      <w:pPr>
        <w:pStyle w:val="Pargrafo"/>
        <w:jc w:val="both"/>
        <w:rPr>
          <w:sz w:val="22"/>
          <w:szCs w:val="22"/>
        </w:rPr>
      </w:pPr>
    </w:p>
    <w:p w:rsidR="005B2194" w:rsidRPr="00A34E41" w:rsidRDefault="00E247E2" w:rsidP="005B2194">
      <w:pPr>
        <w:pStyle w:val="indice"/>
        <w:spacing w:before="45" w:line="240" w:lineRule="auto"/>
        <w:rPr>
          <w:b/>
        </w:rPr>
      </w:pPr>
      <w:r w:rsidRPr="00A34E41">
        <w:rPr>
          <w:b/>
        </w:rPr>
        <w:t>Contratação das fundações de apoio, por dispensa de licitação, com base no art. 24, XIII, da Lei n.º 8.666/93</w:t>
      </w:r>
      <w:r w:rsidR="005B2194" w:rsidRPr="00A34E41">
        <w:rPr>
          <w:b/>
        </w:rPr>
        <w:t xml:space="preserve">: 1 - </w:t>
      </w:r>
      <w:r w:rsidRPr="00A34E41">
        <w:rPr>
          <w:b/>
        </w:rPr>
        <w:t xml:space="preserve">Necessidade de o objeto </w:t>
      </w:r>
      <w:r w:rsidR="00E73271" w:rsidRPr="00A34E41">
        <w:rPr>
          <w:b/>
        </w:rPr>
        <w:t xml:space="preserve">contratado </w:t>
      </w:r>
      <w:r w:rsidRPr="00A34E41">
        <w:rPr>
          <w:b/>
        </w:rPr>
        <w:t>estar relacionado a ensino, pesquisa ou desenvolvimento institucional</w:t>
      </w:r>
    </w:p>
    <w:p w:rsidR="005B2194" w:rsidRPr="00A34E41" w:rsidRDefault="003E1B68" w:rsidP="005B2194">
      <w:pPr>
        <w:pStyle w:val="Pargrafo"/>
        <w:jc w:val="both"/>
        <w:rPr>
          <w:sz w:val="22"/>
          <w:szCs w:val="22"/>
        </w:rPr>
      </w:pPr>
      <w:r w:rsidRPr="00A34E41">
        <w:rPr>
          <w:sz w:val="22"/>
          <w:szCs w:val="22"/>
        </w:rPr>
        <w:t>Na contratação com base no art. 24, XIII, da Lei n.</w:t>
      </w:r>
      <w:r w:rsidR="00E875F5" w:rsidRPr="00A34E41">
        <w:rPr>
          <w:sz w:val="22"/>
          <w:szCs w:val="22"/>
        </w:rPr>
        <w:t>°</w:t>
      </w:r>
      <w:r w:rsidRPr="00A34E41">
        <w:rPr>
          <w:sz w:val="22"/>
          <w:szCs w:val="22"/>
        </w:rPr>
        <w:t xml:space="preserve"> 8.666/93, deve o objeto contratado guardar correlação direta com pesquisa, ensino ou desenvolvimento institucional.</w:t>
      </w:r>
      <w:r w:rsidR="00E875F5" w:rsidRPr="00A34E41">
        <w:rPr>
          <w:sz w:val="22"/>
          <w:szCs w:val="22"/>
        </w:rPr>
        <w:t xml:space="preserve"> Foi esse o entendimento defendido pelo relator, ao examinar p</w:t>
      </w:r>
      <w:r w:rsidRPr="00A34E41">
        <w:rPr>
          <w:sz w:val="22"/>
          <w:szCs w:val="22"/>
        </w:rPr>
        <w:t xml:space="preserve">restação de </w:t>
      </w:r>
      <w:r w:rsidR="00E875F5" w:rsidRPr="00A34E41">
        <w:rPr>
          <w:sz w:val="22"/>
          <w:szCs w:val="22"/>
        </w:rPr>
        <w:t>c</w:t>
      </w:r>
      <w:r w:rsidRPr="00A34E41">
        <w:rPr>
          <w:sz w:val="22"/>
          <w:szCs w:val="22"/>
        </w:rPr>
        <w:t>ontas da Fundação Cultural Palmares, referente ao exercício de 2000</w:t>
      </w:r>
      <w:r w:rsidR="00E875F5" w:rsidRPr="00A34E41">
        <w:rPr>
          <w:sz w:val="22"/>
          <w:szCs w:val="22"/>
        </w:rPr>
        <w:t>.</w:t>
      </w:r>
      <w:r w:rsidR="003B56D7" w:rsidRPr="00A34E41">
        <w:rPr>
          <w:sz w:val="22"/>
          <w:szCs w:val="22"/>
        </w:rPr>
        <w:t xml:space="preserve"> </w:t>
      </w:r>
      <w:r w:rsidR="00056D51" w:rsidRPr="00A34E41">
        <w:rPr>
          <w:sz w:val="22"/>
          <w:szCs w:val="22"/>
        </w:rPr>
        <w:t xml:space="preserve">Em sua instrução, a </w:t>
      </w:r>
      <w:r w:rsidR="00E875F5" w:rsidRPr="00A34E41">
        <w:rPr>
          <w:sz w:val="22"/>
          <w:szCs w:val="22"/>
        </w:rPr>
        <w:t>unidade técnica apontou</w:t>
      </w:r>
      <w:r w:rsidRPr="00A34E41">
        <w:rPr>
          <w:sz w:val="22"/>
          <w:szCs w:val="22"/>
        </w:rPr>
        <w:t xml:space="preserve"> diversas irregularidades, </w:t>
      </w:r>
      <w:r w:rsidR="00E875F5" w:rsidRPr="00A34E41">
        <w:rPr>
          <w:sz w:val="22"/>
          <w:szCs w:val="22"/>
        </w:rPr>
        <w:t xml:space="preserve">entre elas a </w:t>
      </w:r>
      <w:r w:rsidRPr="00A34E41">
        <w:rPr>
          <w:sz w:val="22"/>
          <w:szCs w:val="22"/>
        </w:rPr>
        <w:t>contratação</w:t>
      </w:r>
      <w:r w:rsidR="00E875F5" w:rsidRPr="00A34E41">
        <w:rPr>
          <w:sz w:val="22"/>
          <w:szCs w:val="22"/>
        </w:rPr>
        <w:t>,</w:t>
      </w:r>
      <w:r w:rsidRPr="00A34E41">
        <w:rPr>
          <w:sz w:val="22"/>
          <w:szCs w:val="22"/>
        </w:rPr>
        <w:t xml:space="preserve"> por dispensa de licitação</w:t>
      </w:r>
      <w:r w:rsidR="00E875F5" w:rsidRPr="00A34E41">
        <w:rPr>
          <w:sz w:val="22"/>
          <w:szCs w:val="22"/>
        </w:rPr>
        <w:t>,</w:t>
      </w:r>
      <w:r w:rsidRPr="00A34E41">
        <w:rPr>
          <w:sz w:val="22"/>
          <w:szCs w:val="22"/>
        </w:rPr>
        <w:t xml:space="preserve"> da </w:t>
      </w:r>
      <w:r w:rsidR="00E875F5" w:rsidRPr="00A34E41">
        <w:rPr>
          <w:sz w:val="22"/>
          <w:szCs w:val="22"/>
        </w:rPr>
        <w:t>Fundação Universitária de Desenvolvimento de Extensão e Pesquisa (</w:t>
      </w:r>
      <w:r w:rsidRPr="00A34E41">
        <w:rPr>
          <w:sz w:val="22"/>
          <w:szCs w:val="22"/>
        </w:rPr>
        <w:t>Fundepes</w:t>
      </w:r>
      <w:r w:rsidR="00E875F5" w:rsidRPr="00A34E41">
        <w:rPr>
          <w:sz w:val="22"/>
          <w:szCs w:val="22"/>
        </w:rPr>
        <w:t>)</w:t>
      </w:r>
      <w:r w:rsidRPr="00A34E41">
        <w:rPr>
          <w:sz w:val="22"/>
          <w:szCs w:val="22"/>
        </w:rPr>
        <w:t xml:space="preserve">, </w:t>
      </w:r>
      <w:r w:rsidR="003824E4" w:rsidRPr="00A34E41">
        <w:rPr>
          <w:i/>
          <w:sz w:val="22"/>
          <w:szCs w:val="22"/>
        </w:rPr>
        <w:t>“</w:t>
      </w:r>
      <w:r w:rsidRPr="00A34E41">
        <w:rPr>
          <w:i/>
          <w:sz w:val="22"/>
          <w:szCs w:val="22"/>
        </w:rPr>
        <w:t xml:space="preserve">com execução de objetos incompatíveis com o inciso XIII do art. 24 da Lei </w:t>
      </w:r>
      <w:r w:rsidR="003824E4" w:rsidRPr="00A34E41">
        <w:rPr>
          <w:i/>
          <w:sz w:val="22"/>
          <w:szCs w:val="22"/>
        </w:rPr>
        <w:t>n.° 8.666/1993</w:t>
      </w:r>
      <w:r w:rsidR="00AC126F" w:rsidRPr="00A34E41">
        <w:rPr>
          <w:i/>
          <w:sz w:val="22"/>
          <w:szCs w:val="22"/>
        </w:rPr>
        <w:t>,</w:t>
      </w:r>
      <w:r w:rsidR="003824E4" w:rsidRPr="00A34E41">
        <w:rPr>
          <w:i/>
          <w:sz w:val="22"/>
          <w:szCs w:val="22"/>
        </w:rPr>
        <w:t xml:space="preserve"> e subcontratações”</w:t>
      </w:r>
      <w:r w:rsidRPr="00A34E41">
        <w:rPr>
          <w:sz w:val="22"/>
          <w:szCs w:val="22"/>
        </w:rPr>
        <w:t>.</w:t>
      </w:r>
      <w:r w:rsidR="003824E4" w:rsidRPr="00A34E41">
        <w:rPr>
          <w:sz w:val="22"/>
          <w:szCs w:val="22"/>
        </w:rPr>
        <w:t xml:space="preserve"> </w:t>
      </w:r>
      <w:r w:rsidRPr="00A34E41">
        <w:rPr>
          <w:sz w:val="22"/>
          <w:szCs w:val="22"/>
        </w:rPr>
        <w:t xml:space="preserve">O contrato firmado </w:t>
      </w:r>
      <w:r w:rsidR="00AC126F" w:rsidRPr="00A34E41">
        <w:rPr>
          <w:sz w:val="22"/>
          <w:szCs w:val="22"/>
        </w:rPr>
        <w:t xml:space="preserve">entre a Fundação Cultural Palmares e a Fundepes </w:t>
      </w:r>
      <w:r w:rsidRPr="00A34E41">
        <w:rPr>
          <w:sz w:val="22"/>
          <w:szCs w:val="22"/>
        </w:rPr>
        <w:t xml:space="preserve">tinha </w:t>
      </w:r>
      <w:r w:rsidR="00AC126F" w:rsidRPr="00A34E41">
        <w:rPr>
          <w:sz w:val="22"/>
          <w:szCs w:val="22"/>
        </w:rPr>
        <w:t>por</w:t>
      </w:r>
      <w:r w:rsidRPr="00A34E41">
        <w:rPr>
          <w:sz w:val="22"/>
          <w:szCs w:val="22"/>
        </w:rPr>
        <w:t xml:space="preserve"> objeto a </w:t>
      </w:r>
      <w:r w:rsidR="00AC126F" w:rsidRPr="00A34E41">
        <w:rPr>
          <w:i/>
          <w:sz w:val="22"/>
          <w:szCs w:val="22"/>
        </w:rPr>
        <w:t>“</w:t>
      </w:r>
      <w:r w:rsidRPr="00A34E41">
        <w:rPr>
          <w:i/>
          <w:sz w:val="22"/>
          <w:szCs w:val="22"/>
        </w:rPr>
        <w:t xml:space="preserve">execução de serviços especializados de planejamento, desenvolvimento, implantação, manutenção e apoio às diversas conferências temáticas, seminários e o encontro latino-americano para a realização de Pré-Conferências Preparatórias para </w:t>
      </w:r>
      <w:bookmarkStart w:id="1" w:name="OLE_LINK1"/>
      <w:bookmarkStart w:id="2" w:name="OLE_LINK2"/>
      <w:r w:rsidRPr="00A34E41">
        <w:rPr>
          <w:i/>
          <w:sz w:val="22"/>
          <w:szCs w:val="22"/>
        </w:rPr>
        <w:t xml:space="preserve">a </w:t>
      </w:r>
      <w:r w:rsidR="00AC126F" w:rsidRPr="00A34E41">
        <w:rPr>
          <w:i/>
          <w:sz w:val="22"/>
          <w:szCs w:val="22"/>
        </w:rPr>
        <w:t>‘</w:t>
      </w:r>
      <w:r w:rsidRPr="00A34E41">
        <w:rPr>
          <w:i/>
          <w:sz w:val="22"/>
          <w:szCs w:val="22"/>
        </w:rPr>
        <w:t>III Conferência Mundial de Combate ao Racismo, Discriminação, Xenofobia e outras Formas de Intolerância</w:t>
      </w:r>
      <w:r w:rsidR="00AC126F" w:rsidRPr="00A34E41">
        <w:rPr>
          <w:i/>
          <w:sz w:val="22"/>
          <w:szCs w:val="22"/>
        </w:rPr>
        <w:t>’</w:t>
      </w:r>
      <w:r w:rsidRPr="00A34E41">
        <w:rPr>
          <w:i/>
          <w:sz w:val="22"/>
          <w:szCs w:val="22"/>
        </w:rPr>
        <w:t>, a ser realizada na África do Sul, no período de 31 de agosto a 07 de setembro de 2001</w:t>
      </w:r>
      <w:r w:rsidR="00AC126F" w:rsidRPr="00A34E41">
        <w:rPr>
          <w:i/>
          <w:sz w:val="22"/>
          <w:szCs w:val="22"/>
        </w:rPr>
        <w:t>”</w:t>
      </w:r>
      <w:r w:rsidRPr="00A34E41">
        <w:rPr>
          <w:sz w:val="22"/>
          <w:szCs w:val="22"/>
        </w:rPr>
        <w:t>.</w:t>
      </w:r>
      <w:bookmarkEnd w:id="1"/>
      <w:bookmarkEnd w:id="2"/>
      <w:r w:rsidR="003824E4" w:rsidRPr="00A34E41">
        <w:rPr>
          <w:sz w:val="22"/>
          <w:szCs w:val="22"/>
        </w:rPr>
        <w:t xml:space="preserve"> De acordo com o relator, </w:t>
      </w:r>
      <w:r w:rsidR="003824E4" w:rsidRPr="00A34E41">
        <w:rPr>
          <w:i/>
          <w:sz w:val="22"/>
          <w:szCs w:val="22"/>
        </w:rPr>
        <w:t>“n</w:t>
      </w:r>
      <w:r w:rsidRPr="00A34E41">
        <w:rPr>
          <w:i/>
          <w:sz w:val="22"/>
          <w:szCs w:val="22"/>
        </w:rPr>
        <w:t>ão obstante o fato de que a concepção dos eventos preparatórios, por hipótese, poderia ensejar alguma pesquisa e estudo na medida que os respectivos temas tinham relação com as questões da etnia negra – o que não restou demonstrado nestes autos – e assim legitimar, em parte, a contratação direta com base no art. 24, inciso XIII, da Lei n. 8.666/1993, não se pode deixar de lado a constatação de que foram incluídos</w:t>
      </w:r>
      <w:r w:rsidR="00AC126F" w:rsidRPr="00A34E41">
        <w:rPr>
          <w:i/>
          <w:sz w:val="22"/>
          <w:szCs w:val="22"/>
        </w:rPr>
        <w:t>,</w:t>
      </w:r>
      <w:r w:rsidRPr="00A34E41">
        <w:rPr>
          <w:i/>
          <w:sz w:val="22"/>
          <w:szCs w:val="22"/>
        </w:rPr>
        <w:t xml:space="preserve"> no ajuste</w:t>
      </w:r>
      <w:r w:rsidR="00AC126F" w:rsidRPr="00A34E41">
        <w:rPr>
          <w:i/>
          <w:sz w:val="22"/>
          <w:szCs w:val="22"/>
        </w:rPr>
        <w:t>,</w:t>
      </w:r>
      <w:r w:rsidRPr="00A34E41">
        <w:rPr>
          <w:i/>
          <w:sz w:val="22"/>
          <w:szCs w:val="22"/>
        </w:rPr>
        <w:t xml:space="preserve"> serviços e bens cuja execução poderia ser feita por quaisquer empresas especializadas do mercado</w:t>
      </w:r>
      <w:r w:rsidR="003824E4" w:rsidRPr="00A34E41">
        <w:rPr>
          <w:i/>
          <w:sz w:val="22"/>
          <w:szCs w:val="22"/>
        </w:rPr>
        <w:t>”</w:t>
      </w:r>
      <w:r w:rsidRPr="00A34E41">
        <w:rPr>
          <w:sz w:val="22"/>
          <w:szCs w:val="22"/>
        </w:rPr>
        <w:t xml:space="preserve">. E tanto é assim que a Fundepes, para executar o objeto ajustado, </w:t>
      </w:r>
      <w:r w:rsidR="003824E4" w:rsidRPr="00A34E41">
        <w:rPr>
          <w:sz w:val="22"/>
          <w:szCs w:val="22"/>
        </w:rPr>
        <w:t>contratou serviços de terceiros</w:t>
      </w:r>
      <w:r w:rsidRPr="00A34E41">
        <w:rPr>
          <w:sz w:val="22"/>
          <w:szCs w:val="22"/>
        </w:rPr>
        <w:t xml:space="preserve">. Como exemplo, </w:t>
      </w:r>
      <w:r w:rsidR="003824E4" w:rsidRPr="00A34E41">
        <w:rPr>
          <w:sz w:val="22"/>
          <w:szCs w:val="22"/>
        </w:rPr>
        <w:t>o relator destacou</w:t>
      </w:r>
      <w:r w:rsidRPr="00A34E41">
        <w:rPr>
          <w:sz w:val="22"/>
          <w:szCs w:val="22"/>
        </w:rPr>
        <w:t xml:space="preserve"> a produção de </w:t>
      </w:r>
      <w:r w:rsidRPr="00A34E41">
        <w:rPr>
          <w:b/>
          <w:sz w:val="22"/>
          <w:szCs w:val="22"/>
        </w:rPr>
        <w:t>realises</w:t>
      </w:r>
      <w:r w:rsidRPr="00A34E41">
        <w:rPr>
          <w:sz w:val="22"/>
          <w:szCs w:val="22"/>
        </w:rPr>
        <w:t xml:space="preserve"> para a imprensa, edição de cartilhas, filmagem de eventos, editoração de livros, reprodução de conferências em </w:t>
      </w:r>
      <w:r w:rsidRPr="00A34E41">
        <w:rPr>
          <w:b/>
          <w:sz w:val="22"/>
          <w:szCs w:val="22"/>
        </w:rPr>
        <w:t>cd</w:t>
      </w:r>
      <w:r w:rsidR="00FF088B" w:rsidRPr="00A34E41">
        <w:rPr>
          <w:b/>
          <w:sz w:val="22"/>
          <w:szCs w:val="22"/>
        </w:rPr>
        <w:t>-</w:t>
      </w:r>
      <w:r w:rsidRPr="00A34E41">
        <w:rPr>
          <w:b/>
          <w:sz w:val="22"/>
          <w:szCs w:val="22"/>
        </w:rPr>
        <w:t>rom</w:t>
      </w:r>
      <w:r w:rsidRPr="00A34E41">
        <w:rPr>
          <w:sz w:val="22"/>
          <w:szCs w:val="22"/>
        </w:rPr>
        <w:t xml:space="preserve">, edições fotográficas, confecção de certificados, crachás, </w:t>
      </w:r>
      <w:r w:rsidRPr="00A34E41">
        <w:rPr>
          <w:b/>
          <w:sz w:val="22"/>
          <w:szCs w:val="22"/>
        </w:rPr>
        <w:t>banners</w:t>
      </w:r>
      <w:r w:rsidRPr="00A34E41">
        <w:rPr>
          <w:sz w:val="22"/>
          <w:szCs w:val="22"/>
        </w:rPr>
        <w:t xml:space="preserve">, </w:t>
      </w:r>
      <w:r w:rsidRPr="00A34E41">
        <w:rPr>
          <w:b/>
          <w:sz w:val="22"/>
          <w:szCs w:val="22"/>
        </w:rPr>
        <w:t>folders</w:t>
      </w:r>
      <w:r w:rsidRPr="00A34E41">
        <w:rPr>
          <w:sz w:val="22"/>
          <w:szCs w:val="22"/>
        </w:rPr>
        <w:t xml:space="preserve">, </w:t>
      </w:r>
      <w:r w:rsidR="003824E4" w:rsidRPr="00A34E41">
        <w:rPr>
          <w:sz w:val="22"/>
          <w:szCs w:val="22"/>
        </w:rPr>
        <w:t>b</w:t>
      </w:r>
      <w:r w:rsidRPr="00A34E41">
        <w:rPr>
          <w:sz w:val="22"/>
          <w:szCs w:val="22"/>
        </w:rPr>
        <w:t xml:space="preserve">em como </w:t>
      </w:r>
      <w:r w:rsidR="003824E4" w:rsidRPr="00A34E41">
        <w:rPr>
          <w:sz w:val="22"/>
          <w:szCs w:val="22"/>
        </w:rPr>
        <w:t xml:space="preserve">a </w:t>
      </w:r>
      <w:r w:rsidRPr="00A34E41">
        <w:rPr>
          <w:sz w:val="22"/>
          <w:szCs w:val="22"/>
        </w:rPr>
        <w:t>locação de equipamentos e veículos, filmagens de eventos, medição topográfica de terre</w:t>
      </w:r>
      <w:r w:rsidR="00023D72" w:rsidRPr="00A34E41">
        <w:rPr>
          <w:sz w:val="22"/>
          <w:szCs w:val="22"/>
        </w:rPr>
        <w:t>n</w:t>
      </w:r>
      <w:r w:rsidRPr="00A34E41">
        <w:rPr>
          <w:sz w:val="22"/>
          <w:szCs w:val="22"/>
        </w:rPr>
        <w:t xml:space="preserve">os, confecção de jornais, </w:t>
      </w:r>
      <w:r w:rsidRPr="00A34E41">
        <w:rPr>
          <w:b/>
          <w:sz w:val="22"/>
          <w:szCs w:val="22"/>
        </w:rPr>
        <w:t>folders</w:t>
      </w:r>
      <w:r w:rsidRPr="00A34E41">
        <w:rPr>
          <w:sz w:val="22"/>
          <w:szCs w:val="22"/>
        </w:rPr>
        <w:t xml:space="preserve"> e cartazes, produção de simpósios</w:t>
      </w:r>
      <w:r w:rsidR="00023D72" w:rsidRPr="00A34E41">
        <w:rPr>
          <w:sz w:val="22"/>
          <w:szCs w:val="22"/>
        </w:rPr>
        <w:t xml:space="preserve"> e</w:t>
      </w:r>
      <w:r w:rsidRPr="00A34E41">
        <w:rPr>
          <w:sz w:val="22"/>
          <w:szCs w:val="22"/>
        </w:rPr>
        <w:t xml:space="preserve"> hospedagem de participantes de eventos. </w:t>
      </w:r>
      <w:r w:rsidR="003824E4" w:rsidRPr="00A34E41">
        <w:rPr>
          <w:sz w:val="22"/>
          <w:szCs w:val="22"/>
        </w:rPr>
        <w:t>Segundo o relator, s</w:t>
      </w:r>
      <w:r w:rsidRPr="00A34E41">
        <w:rPr>
          <w:sz w:val="22"/>
          <w:szCs w:val="22"/>
        </w:rPr>
        <w:t>ão serviços que não se enquadram no conceito de pesquisa, ensino ou desenvolvimento institucional</w:t>
      </w:r>
      <w:r w:rsidR="003824E4" w:rsidRPr="00A34E41">
        <w:rPr>
          <w:sz w:val="22"/>
          <w:szCs w:val="22"/>
        </w:rPr>
        <w:t>,</w:t>
      </w:r>
      <w:r w:rsidRPr="00A34E41">
        <w:rPr>
          <w:sz w:val="22"/>
          <w:szCs w:val="22"/>
        </w:rPr>
        <w:t xml:space="preserve"> a que alude o art. 24, XIII, da Lei n.</w:t>
      </w:r>
      <w:r w:rsidR="003824E4" w:rsidRPr="00A34E41">
        <w:rPr>
          <w:sz w:val="22"/>
          <w:szCs w:val="22"/>
        </w:rPr>
        <w:t>°</w:t>
      </w:r>
      <w:r w:rsidRPr="00A34E41">
        <w:rPr>
          <w:sz w:val="22"/>
          <w:szCs w:val="22"/>
        </w:rPr>
        <w:t xml:space="preserve"> 8.666/1993. Diante do conjunto das falhas cometidas, com grave infração às normas pertinentes, </w:t>
      </w:r>
      <w:r w:rsidR="003824E4" w:rsidRPr="00A34E41">
        <w:rPr>
          <w:sz w:val="22"/>
          <w:szCs w:val="22"/>
        </w:rPr>
        <w:t>o relator propôs e a Primeira Câmara decidiu aplicar</w:t>
      </w:r>
      <w:r w:rsidRPr="00A34E41">
        <w:rPr>
          <w:sz w:val="22"/>
          <w:szCs w:val="22"/>
        </w:rPr>
        <w:t xml:space="preserve"> multa</w:t>
      </w:r>
      <w:r w:rsidR="003824E4" w:rsidRPr="00A34E41">
        <w:rPr>
          <w:sz w:val="22"/>
          <w:szCs w:val="22"/>
        </w:rPr>
        <w:t xml:space="preserve"> aos responsáveis, sem prejuízo de</w:t>
      </w:r>
      <w:r w:rsidRPr="00A34E41">
        <w:rPr>
          <w:sz w:val="22"/>
          <w:szCs w:val="22"/>
        </w:rPr>
        <w:t xml:space="preserve"> determinar à Fundação Cultural Palmares que </w:t>
      </w:r>
      <w:r w:rsidR="00FF772A" w:rsidRPr="00A34E41">
        <w:rPr>
          <w:i/>
          <w:sz w:val="22"/>
          <w:szCs w:val="22"/>
        </w:rPr>
        <w:t>“</w:t>
      </w:r>
      <w:r w:rsidRPr="00A34E41">
        <w:rPr>
          <w:i/>
          <w:sz w:val="22"/>
          <w:szCs w:val="22"/>
        </w:rPr>
        <w:t>proceda à dispensa de procedimento licitatório fundamentada no inciso XIII do art. 24 da Lei n.</w:t>
      </w:r>
      <w:r w:rsidR="00FF772A" w:rsidRPr="00A34E41">
        <w:rPr>
          <w:i/>
          <w:sz w:val="22"/>
          <w:szCs w:val="22"/>
        </w:rPr>
        <w:t>°</w:t>
      </w:r>
      <w:r w:rsidRPr="00A34E41">
        <w:rPr>
          <w:i/>
          <w:sz w:val="22"/>
          <w:szCs w:val="22"/>
        </w:rPr>
        <w:t xml:space="preserve"> 8.666/1993 somente quando o objeto do contrato, comprovadamente, consistir em atividade de ensino, pesquisa ou desenvolvimento institucional</w:t>
      </w:r>
      <w:r w:rsidR="00AC126F" w:rsidRPr="00A34E41">
        <w:rPr>
          <w:i/>
          <w:sz w:val="22"/>
          <w:szCs w:val="22"/>
        </w:rPr>
        <w:t>,</w:t>
      </w:r>
      <w:r w:rsidRPr="00A34E41">
        <w:rPr>
          <w:i/>
          <w:sz w:val="22"/>
          <w:szCs w:val="22"/>
        </w:rPr>
        <w:t xml:space="preserve"> e guardar relação com os fins estatutários da instituição contratada, além de estar comprovado que o preço ajustado é razoável e que a entidade selecionada detém estrutura que comporta o cumprimento pessoal dos compromissos assumidos</w:t>
      </w:r>
      <w:r w:rsidR="00FF772A" w:rsidRPr="00A34E41">
        <w:rPr>
          <w:i/>
          <w:sz w:val="22"/>
          <w:szCs w:val="22"/>
        </w:rPr>
        <w:t>”</w:t>
      </w:r>
      <w:r w:rsidR="00FF772A" w:rsidRPr="00A34E41">
        <w:rPr>
          <w:sz w:val="22"/>
          <w:szCs w:val="22"/>
        </w:rPr>
        <w:t xml:space="preserve">. </w:t>
      </w:r>
      <w:r w:rsidR="003824E4" w:rsidRPr="00A34E41">
        <w:rPr>
          <w:sz w:val="22"/>
          <w:szCs w:val="22"/>
        </w:rPr>
        <w:t>Precedentes citados: Decisões n.</w:t>
      </w:r>
      <w:r w:rsidR="003824E4" w:rsidRPr="00A34E41">
        <w:rPr>
          <w:sz w:val="22"/>
          <w:szCs w:val="22"/>
          <w:vertAlign w:val="superscript"/>
        </w:rPr>
        <w:t>os</w:t>
      </w:r>
      <w:r w:rsidR="003824E4" w:rsidRPr="00A34E41">
        <w:rPr>
          <w:sz w:val="22"/>
          <w:szCs w:val="22"/>
        </w:rPr>
        <w:t xml:space="preserve"> 30/2000, 777/2000 e 655/2002, tod</w:t>
      </w:r>
      <w:r w:rsidR="00AC126F" w:rsidRPr="00A34E41">
        <w:rPr>
          <w:sz w:val="22"/>
          <w:szCs w:val="22"/>
        </w:rPr>
        <w:t>a</w:t>
      </w:r>
      <w:r w:rsidR="003824E4" w:rsidRPr="00A34E41">
        <w:rPr>
          <w:sz w:val="22"/>
          <w:szCs w:val="22"/>
        </w:rPr>
        <w:t>s do Plenário; Acórdãos n.</w:t>
      </w:r>
      <w:r w:rsidR="003824E4" w:rsidRPr="00A34E41">
        <w:rPr>
          <w:sz w:val="22"/>
          <w:szCs w:val="22"/>
          <w:vertAlign w:val="superscript"/>
        </w:rPr>
        <w:t>os</w:t>
      </w:r>
      <w:r w:rsidR="003824E4" w:rsidRPr="00A34E41">
        <w:rPr>
          <w:sz w:val="22"/>
          <w:szCs w:val="22"/>
        </w:rPr>
        <w:t xml:space="preserve"> 1.934/2004, 1.481/2004, 30/2008 e 942/2010, todos do Plenário; Acórdãos n.</w:t>
      </w:r>
      <w:r w:rsidR="003824E4" w:rsidRPr="00A34E41">
        <w:rPr>
          <w:sz w:val="22"/>
          <w:szCs w:val="22"/>
          <w:vertAlign w:val="superscript"/>
        </w:rPr>
        <w:t>os</w:t>
      </w:r>
      <w:r w:rsidR="003824E4" w:rsidRPr="00A34E41">
        <w:rPr>
          <w:sz w:val="22"/>
          <w:szCs w:val="22"/>
        </w:rPr>
        <w:t xml:space="preserve"> 160/2008, 819/2008 e 3.541/2007, todos da 2ª Câmara.</w:t>
      </w:r>
      <w:r w:rsidR="00AC126F" w:rsidRPr="00A34E41">
        <w:rPr>
          <w:sz w:val="22"/>
          <w:szCs w:val="22"/>
        </w:rPr>
        <w:t xml:space="preserve"> </w:t>
      </w:r>
      <w:r w:rsidR="005B2194" w:rsidRPr="00A34E41">
        <w:rPr>
          <w:b/>
          <w:i/>
          <w:sz w:val="22"/>
          <w:szCs w:val="22"/>
        </w:rPr>
        <w:t xml:space="preserve">Acórdão n.º </w:t>
      </w:r>
      <w:r w:rsidRPr="00A34E41">
        <w:rPr>
          <w:b/>
          <w:i/>
          <w:sz w:val="22"/>
          <w:szCs w:val="22"/>
        </w:rPr>
        <w:t>256</w:t>
      </w:r>
      <w:r w:rsidR="005B2194" w:rsidRPr="00A34E41">
        <w:rPr>
          <w:b/>
          <w:i/>
          <w:sz w:val="22"/>
          <w:szCs w:val="22"/>
        </w:rPr>
        <w:t>7/2010</w:t>
      </w:r>
      <w:r w:rsidR="00151F92" w:rsidRPr="00A34E41">
        <w:rPr>
          <w:b/>
          <w:i/>
          <w:sz w:val="22"/>
          <w:szCs w:val="22"/>
        </w:rPr>
        <w:t>-1ª Câmara</w:t>
      </w:r>
      <w:r w:rsidR="005B2194" w:rsidRPr="00A34E41">
        <w:rPr>
          <w:b/>
          <w:i/>
          <w:sz w:val="22"/>
          <w:szCs w:val="22"/>
        </w:rPr>
        <w:t>, TC-0</w:t>
      </w:r>
      <w:r w:rsidRPr="00A34E41">
        <w:rPr>
          <w:b/>
          <w:i/>
          <w:sz w:val="22"/>
          <w:szCs w:val="22"/>
        </w:rPr>
        <w:t>09</w:t>
      </w:r>
      <w:r w:rsidR="005B2194" w:rsidRPr="00A34E41">
        <w:rPr>
          <w:b/>
          <w:i/>
          <w:sz w:val="22"/>
          <w:szCs w:val="22"/>
        </w:rPr>
        <w:t>.6</w:t>
      </w:r>
      <w:r w:rsidRPr="00A34E41">
        <w:rPr>
          <w:b/>
          <w:i/>
          <w:sz w:val="22"/>
          <w:szCs w:val="22"/>
        </w:rPr>
        <w:t>80</w:t>
      </w:r>
      <w:r w:rsidR="005B2194" w:rsidRPr="00A34E41">
        <w:rPr>
          <w:b/>
          <w:i/>
          <w:sz w:val="22"/>
          <w:szCs w:val="22"/>
        </w:rPr>
        <w:t>/200</w:t>
      </w:r>
      <w:r w:rsidRPr="00A34E41">
        <w:rPr>
          <w:b/>
          <w:i/>
          <w:sz w:val="22"/>
          <w:szCs w:val="22"/>
        </w:rPr>
        <w:t>1</w:t>
      </w:r>
      <w:r w:rsidR="005B2194" w:rsidRPr="00A34E41">
        <w:rPr>
          <w:b/>
          <w:i/>
          <w:sz w:val="22"/>
          <w:szCs w:val="22"/>
        </w:rPr>
        <w:t>-</w:t>
      </w:r>
      <w:r w:rsidRPr="00A34E41">
        <w:rPr>
          <w:b/>
          <w:i/>
          <w:sz w:val="22"/>
          <w:szCs w:val="22"/>
        </w:rPr>
        <w:t>3</w:t>
      </w:r>
      <w:r w:rsidR="005B2194" w:rsidRPr="00A34E41">
        <w:rPr>
          <w:b/>
          <w:i/>
          <w:sz w:val="22"/>
          <w:szCs w:val="22"/>
        </w:rPr>
        <w:t>, rel. Min</w:t>
      </w:r>
      <w:r w:rsidRPr="00A34E41">
        <w:rPr>
          <w:b/>
          <w:i/>
          <w:sz w:val="22"/>
          <w:szCs w:val="22"/>
        </w:rPr>
        <w:t>-Subs</w:t>
      </w:r>
      <w:r w:rsidR="00151F92" w:rsidRPr="00A34E41">
        <w:rPr>
          <w:b/>
          <w:i/>
          <w:sz w:val="22"/>
          <w:szCs w:val="22"/>
        </w:rPr>
        <w:t>t</w:t>
      </w:r>
      <w:r w:rsidR="005B2194" w:rsidRPr="00A34E41">
        <w:rPr>
          <w:b/>
          <w:i/>
          <w:sz w:val="22"/>
          <w:szCs w:val="22"/>
        </w:rPr>
        <w:t xml:space="preserve">. </w:t>
      </w:r>
      <w:r w:rsidRPr="00A34E41">
        <w:rPr>
          <w:b/>
          <w:i/>
          <w:sz w:val="22"/>
          <w:szCs w:val="22"/>
        </w:rPr>
        <w:t>Marcos Bemquerer Costa</w:t>
      </w:r>
      <w:r w:rsidR="005B2194" w:rsidRPr="00A34E41">
        <w:rPr>
          <w:b/>
          <w:i/>
          <w:sz w:val="22"/>
          <w:szCs w:val="22"/>
        </w:rPr>
        <w:t>, 1</w:t>
      </w:r>
      <w:r w:rsidRPr="00A34E41">
        <w:rPr>
          <w:b/>
          <w:i/>
          <w:sz w:val="22"/>
          <w:szCs w:val="22"/>
        </w:rPr>
        <w:t>8</w:t>
      </w:r>
      <w:r w:rsidR="005B2194" w:rsidRPr="00A34E41">
        <w:rPr>
          <w:b/>
          <w:i/>
          <w:sz w:val="22"/>
          <w:szCs w:val="22"/>
        </w:rPr>
        <w:t>.05.2010</w:t>
      </w:r>
      <w:r w:rsidR="005B2194" w:rsidRPr="00A34E41">
        <w:rPr>
          <w:sz w:val="22"/>
          <w:szCs w:val="22"/>
        </w:rPr>
        <w:t>.</w:t>
      </w:r>
    </w:p>
    <w:p w:rsidR="005B2194" w:rsidRPr="00A34E41" w:rsidRDefault="005B2194" w:rsidP="005B2194">
      <w:pPr>
        <w:pStyle w:val="indice"/>
        <w:spacing w:before="45" w:line="240" w:lineRule="auto"/>
      </w:pPr>
    </w:p>
    <w:p w:rsidR="005B2194" w:rsidRPr="00A34E41" w:rsidRDefault="00E875F5" w:rsidP="005B2194">
      <w:pPr>
        <w:pStyle w:val="indice"/>
        <w:tabs>
          <w:tab w:val="left" w:pos="567"/>
        </w:tabs>
        <w:spacing w:before="45" w:line="240" w:lineRule="auto"/>
        <w:rPr>
          <w:b/>
        </w:rPr>
      </w:pPr>
      <w:r w:rsidRPr="00A34E41">
        <w:rPr>
          <w:b/>
        </w:rPr>
        <w:t>Contratação das fundações de apoio, por dispensa de licitação, com base no art. 24, XIII, da Lei n.º 8.666/93</w:t>
      </w:r>
      <w:r w:rsidR="005B2194" w:rsidRPr="00A34E41">
        <w:rPr>
          <w:b/>
        </w:rPr>
        <w:t xml:space="preserve">: </w:t>
      </w:r>
      <w:r w:rsidR="00176375" w:rsidRPr="00A34E41">
        <w:rPr>
          <w:b/>
        </w:rPr>
        <w:t>2</w:t>
      </w:r>
      <w:r w:rsidR="005B2194" w:rsidRPr="00A34E41">
        <w:rPr>
          <w:b/>
        </w:rPr>
        <w:t xml:space="preserve"> - </w:t>
      </w:r>
      <w:r w:rsidRPr="00A34E41">
        <w:rPr>
          <w:b/>
        </w:rPr>
        <w:t>Responsabilidade, perante o TCU, do parecerista jurídico que se manifesta pela legitimidade da contratação</w:t>
      </w:r>
    </w:p>
    <w:p w:rsidR="003E1B68" w:rsidRPr="00A34E41" w:rsidRDefault="009245B5" w:rsidP="003E1B68">
      <w:pPr>
        <w:pStyle w:val="Pargrafo"/>
        <w:jc w:val="both"/>
        <w:rPr>
          <w:sz w:val="22"/>
          <w:szCs w:val="22"/>
        </w:rPr>
      </w:pPr>
      <w:r w:rsidRPr="00A34E41">
        <w:rPr>
          <w:sz w:val="22"/>
          <w:szCs w:val="22"/>
        </w:rPr>
        <w:t>O parecer jurídico a respeito de contratação deve apresentar-se suficientemente fundamentado, tanto na doutrina como na jurisprudência, de modo a sustentar a respectiva conclusão</w:t>
      </w:r>
      <w:r w:rsidR="0024593F" w:rsidRPr="00A34E41">
        <w:rPr>
          <w:sz w:val="22"/>
          <w:szCs w:val="22"/>
        </w:rPr>
        <w:t>;</w:t>
      </w:r>
      <w:r w:rsidRPr="00A34E41">
        <w:rPr>
          <w:sz w:val="22"/>
          <w:szCs w:val="22"/>
        </w:rPr>
        <w:t xml:space="preserve"> caso contrário, </w:t>
      </w:r>
      <w:r w:rsidR="00A3115F" w:rsidRPr="00A34E41">
        <w:rPr>
          <w:sz w:val="22"/>
          <w:szCs w:val="22"/>
        </w:rPr>
        <w:t xml:space="preserve">a </w:t>
      </w:r>
      <w:r w:rsidRPr="00A34E41">
        <w:rPr>
          <w:sz w:val="22"/>
          <w:szCs w:val="22"/>
        </w:rPr>
        <w:t>fundamentação insuficiente ou desarrazoada, que subsidie a prática de atos de gestão irregulares ou danosos ao erário, ensejará a aplicação</w:t>
      </w:r>
      <w:r w:rsidR="0024593F" w:rsidRPr="00A34E41">
        <w:rPr>
          <w:sz w:val="22"/>
          <w:szCs w:val="22"/>
        </w:rPr>
        <w:t>,</w:t>
      </w:r>
      <w:r w:rsidRPr="00A34E41">
        <w:rPr>
          <w:sz w:val="22"/>
          <w:szCs w:val="22"/>
        </w:rPr>
        <w:t xml:space="preserve"> ao parecerista</w:t>
      </w:r>
      <w:r w:rsidR="0024593F" w:rsidRPr="00A34E41">
        <w:rPr>
          <w:sz w:val="22"/>
          <w:szCs w:val="22"/>
        </w:rPr>
        <w:t>, da</w:t>
      </w:r>
      <w:r w:rsidRPr="00A34E41">
        <w:rPr>
          <w:sz w:val="22"/>
          <w:szCs w:val="22"/>
        </w:rPr>
        <w:t xml:space="preserve"> multa prevista no art. 58, II, da Lei n.</w:t>
      </w:r>
      <w:r w:rsidR="0024593F" w:rsidRPr="00A34E41">
        <w:rPr>
          <w:sz w:val="22"/>
          <w:szCs w:val="22"/>
        </w:rPr>
        <w:t>°</w:t>
      </w:r>
      <w:r w:rsidRPr="00A34E41">
        <w:rPr>
          <w:sz w:val="22"/>
          <w:szCs w:val="22"/>
        </w:rPr>
        <w:t xml:space="preserve"> 8.443/92.</w:t>
      </w:r>
      <w:r w:rsidR="00FD2E55" w:rsidRPr="00A34E41">
        <w:rPr>
          <w:sz w:val="22"/>
          <w:szCs w:val="22"/>
        </w:rPr>
        <w:t xml:space="preserve"> Com base nesse entendimento</w:t>
      </w:r>
      <w:r w:rsidR="00E329D0" w:rsidRPr="00A34E41">
        <w:rPr>
          <w:sz w:val="22"/>
          <w:szCs w:val="22"/>
        </w:rPr>
        <w:t xml:space="preserve">, </w:t>
      </w:r>
      <w:r w:rsidR="00D630E7" w:rsidRPr="00A34E41">
        <w:rPr>
          <w:sz w:val="22"/>
          <w:szCs w:val="22"/>
        </w:rPr>
        <w:t xml:space="preserve">o relator </w:t>
      </w:r>
      <w:r w:rsidR="00E329D0" w:rsidRPr="00A34E41">
        <w:rPr>
          <w:sz w:val="22"/>
          <w:szCs w:val="22"/>
        </w:rPr>
        <w:t xml:space="preserve">propôs aplicação de multa à ex-assessora jurídica da Fundação Cultural Palmares, </w:t>
      </w:r>
      <w:r w:rsidR="00A3115F" w:rsidRPr="00A34E41">
        <w:rPr>
          <w:sz w:val="22"/>
          <w:szCs w:val="22"/>
        </w:rPr>
        <w:t>decorrente</w:t>
      </w:r>
      <w:r w:rsidR="00E329D0" w:rsidRPr="00A34E41">
        <w:rPr>
          <w:sz w:val="22"/>
          <w:szCs w:val="22"/>
        </w:rPr>
        <w:t>,</w:t>
      </w:r>
      <w:r w:rsidRPr="00A34E41">
        <w:rPr>
          <w:sz w:val="22"/>
          <w:szCs w:val="22"/>
        </w:rPr>
        <w:t xml:space="preserve"> basicamente</w:t>
      </w:r>
      <w:r w:rsidR="00E329D0" w:rsidRPr="00A34E41">
        <w:rPr>
          <w:sz w:val="22"/>
          <w:szCs w:val="22"/>
        </w:rPr>
        <w:t>,</w:t>
      </w:r>
      <w:r w:rsidRPr="00A34E41">
        <w:rPr>
          <w:sz w:val="22"/>
          <w:szCs w:val="22"/>
        </w:rPr>
        <w:t xml:space="preserve"> do fato de </w:t>
      </w:r>
      <w:r w:rsidR="00A3115F" w:rsidRPr="00A34E41">
        <w:rPr>
          <w:sz w:val="22"/>
          <w:szCs w:val="22"/>
        </w:rPr>
        <w:t>ela haver</w:t>
      </w:r>
      <w:r w:rsidRPr="00A34E41">
        <w:rPr>
          <w:sz w:val="22"/>
          <w:szCs w:val="22"/>
        </w:rPr>
        <w:t xml:space="preserve"> </w:t>
      </w:r>
      <w:r w:rsidR="00A3115F" w:rsidRPr="00A34E41">
        <w:rPr>
          <w:sz w:val="22"/>
          <w:szCs w:val="22"/>
        </w:rPr>
        <w:t>exarado</w:t>
      </w:r>
      <w:r w:rsidRPr="00A34E41">
        <w:rPr>
          <w:sz w:val="22"/>
          <w:szCs w:val="22"/>
        </w:rPr>
        <w:t xml:space="preserve"> pareceres jurídicos favoráveis à contratação direta da </w:t>
      </w:r>
      <w:r w:rsidR="00E329D0" w:rsidRPr="00A34E41">
        <w:rPr>
          <w:sz w:val="22"/>
          <w:szCs w:val="22"/>
        </w:rPr>
        <w:t xml:space="preserve">Fundação Universitária de Desenvolvimento de Extensão e Pesquisa (Fundepes) </w:t>
      </w:r>
      <w:r w:rsidRPr="00A34E41">
        <w:rPr>
          <w:sz w:val="22"/>
          <w:szCs w:val="22"/>
        </w:rPr>
        <w:t>e da</w:t>
      </w:r>
      <w:r w:rsidR="00E329D0" w:rsidRPr="00A34E41">
        <w:rPr>
          <w:sz w:val="22"/>
          <w:szCs w:val="22"/>
        </w:rPr>
        <w:t xml:space="preserve"> Fundação Universitária de Brasília (</w:t>
      </w:r>
      <w:r w:rsidRPr="00A34E41">
        <w:rPr>
          <w:sz w:val="22"/>
          <w:szCs w:val="22"/>
        </w:rPr>
        <w:t>Fubra</w:t>
      </w:r>
      <w:r w:rsidR="00E329D0" w:rsidRPr="00A34E41">
        <w:rPr>
          <w:sz w:val="22"/>
          <w:szCs w:val="22"/>
        </w:rPr>
        <w:t>)</w:t>
      </w:r>
      <w:r w:rsidRPr="00A34E41">
        <w:rPr>
          <w:sz w:val="22"/>
          <w:szCs w:val="22"/>
        </w:rPr>
        <w:t>, com base no art. 24, XIII, da Lei n.</w:t>
      </w:r>
      <w:r w:rsidR="00E329D0" w:rsidRPr="00A34E41">
        <w:rPr>
          <w:sz w:val="22"/>
          <w:szCs w:val="22"/>
        </w:rPr>
        <w:t>°</w:t>
      </w:r>
      <w:r w:rsidRPr="00A34E41">
        <w:rPr>
          <w:sz w:val="22"/>
          <w:szCs w:val="22"/>
        </w:rPr>
        <w:t xml:space="preserve"> 8.666/93, sem que os serviços objeto da</w:t>
      </w:r>
      <w:r w:rsidR="00A3115F" w:rsidRPr="00A34E41">
        <w:rPr>
          <w:sz w:val="22"/>
          <w:szCs w:val="22"/>
        </w:rPr>
        <w:t>s</w:t>
      </w:r>
      <w:r w:rsidRPr="00A34E41">
        <w:rPr>
          <w:sz w:val="22"/>
          <w:szCs w:val="22"/>
        </w:rPr>
        <w:t xml:space="preserve"> contrataç</w:t>
      </w:r>
      <w:r w:rsidR="00A3115F" w:rsidRPr="00A34E41">
        <w:rPr>
          <w:sz w:val="22"/>
          <w:szCs w:val="22"/>
        </w:rPr>
        <w:t>ões</w:t>
      </w:r>
      <w:r w:rsidRPr="00A34E41">
        <w:rPr>
          <w:sz w:val="22"/>
          <w:szCs w:val="22"/>
        </w:rPr>
        <w:t xml:space="preserve"> tivessem relação com ensino, pesquisa ou desenvolvimento institucional.</w:t>
      </w:r>
      <w:r w:rsidR="00E329D0" w:rsidRPr="00A34E41">
        <w:rPr>
          <w:sz w:val="22"/>
          <w:szCs w:val="22"/>
        </w:rPr>
        <w:t xml:space="preserve"> </w:t>
      </w:r>
      <w:r w:rsidR="00D630E7" w:rsidRPr="00A34E41">
        <w:rPr>
          <w:sz w:val="22"/>
          <w:szCs w:val="22"/>
        </w:rPr>
        <w:t>D</w:t>
      </w:r>
      <w:r w:rsidR="00E329D0" w:rsidRPr="00A34E41">
        <w:rPr>
          <w:sz w:val="22"/>
          <w:szCs w:val="22"/>
        </w:rPr>
        <w:t>e acordo com o relator, o</w:t>
      </w:r>
      <w:r w:rsidRPr="00A34E41">
        <w:rPr>
          <w:sz w:val="22"/>
          <w:szCs w:val="22"/>
        </w:rPr>
        <w:t xml:space="preserve"> teor dos aludidos pareceres jurídicos limita-se, no essencial, a informar a legalidade das contratações diretas</w:t>
      </w:r>
      <w:r w:rsidR="00A3115F" w:rsidRPr="00A34E41">
        <w:rPr>
          <w:sz w:val="22"/>
          <w:szCs w:val="22"/>
        </w:rPr>
        <w:t>,</w:t>
      </w:r>
      <w:r w:rsidRPr="00A34E41">
        <w:rPr>
          <w:sz w:val="22"/>
          <w:szCs w:val="22"/>
        </w:rPr>
        <w:t xml:space="preserve"> em conformidade com o art. 24, XIII, da citada lei, </w:t>
      </w:r>
      <w:r w:rsidR="00E329D0" w:rsidRPr="00A34E41">
        <w:rPr>
          <w:i/>
          <w:sz w:val="22"/>
          <w:szCs w:val="22"/>
        </w:rPr>
        <w:t>“</w:t>
      </w:r>
      <w:r w:rsidRPr="00A34E41">
        <w:rPr>
          <w:i/>
          <w:sz w:val="22"/>
          <w:szCs w:val="22"/>
        </w:rPr>
        <w:t>sem discorrer sobre doutrina ou jurisprudência pertinente</w:t>
      </w:r>
      <w:r w:rsidR="00A3115F" w:rsidRPr="00A34E41">
        <w:rPr>
          <w:i/>
          <w:sz w:val="22"/>
          <w:szCs w:val="22"/>
        </w:rPr>
        <w:t>,</w:t>
      </w:r>
      <w:r w:rsidRPr="00A34E41">
        <w:rPr>
          <w:i/>
          <w:sz w:val="22"/>
          <w:szCs w:val="22"/>
        </w:rPr>
        <w:t xml:space="preserve"> tampouco aprofundar o exame acerca da subsunção da contratação direta pretendida aos requisitos do dispositivo legal mencionado</w:t>
      </w:r>
      <w:r w:rsidR="00E329D0" w:rsidRPr="00A34E41">
        <w:rPr>
          <w:i/>
          <w:sz w:val="22"/>
          <w:szCs w:val="22"/>
        </w:rPr>
        <w:t>”</w:t>
      </w:r>
      <w:r w:rsidRPr="00A34E41">
        <w:rPr>
          <w:sz w:val="22"/>
          <w:szCs w:val="22"/>
        </w:rPr>
        <w:t>.</w:t>
      </w:r>
      <w:r w:rsidR="00E329D0" w:rsidRPr="00A34E41">
        <w:rPr>
          <w:sz w:val="22"/>
          <w:szCs w:val="22"/>
        </w:rPr>
        <w:t xml:space="preserve"> </w:t>
      </w:r>
      <w:r w:rsidRPr="00A34E41">
        <w:rPr>
          <w:sz w:val="22"/>
          <w:szCs w:val="22"/>
        </w:rPr>
        <w:t>Como resultado</w:t>
      </w:r>
      <w:r w:rsidR="00E329D0" w:rsidRPr="00A34E41">
        <w:rPr>
          <w:sz w:val="22"/>
          <w:szCs w:val="22"/>
        </w:rPr>
        <w:t>,</w:t>
      </w:r>
      <w:r w:rsidRPr="00A34E41">
        <w:rPr>
          <w:sz w:val="22"/>
          <w:szCs w:val="22"/>
        </w:rPr>
        <w:t xml:space="preserve"> têm-se </w:t>
      </w:r>
      <w:r w:rsidR="00E329D0" w:rsidRPr="00A34E41">
        <w:rPr>
          <w:i/>
          <w:sz w:val="22"/>
          <w:szCs w:val="22"/>
        </w:rPr>
        <w:t>“</w:t>
      </w:r>
      <w:r w:rsidRPr="00A34E41">
        <w:rPr>
          <w:i/>
          <w:sz w:val="22"/>
          <w:szCs w:val="22"/>
        </w:rPr>
        <w:t>pareceres omissos na fundamentação capaz de sustentar a legalidade das contratações examinadas</w:t>
      </w:r>
      <w:r w:rsidR="00357CBE" w:rsidRPr="00A34E41">
        <w:rPr>
          <w:i/>
          <w:sz w:val="22"/>
          <w:szCs w:val="22"/>
        </w:rPr>
        <w:t>,</w:t>
      </w:r>
      <w:r w:rsidRPr="00A34E41">
        <w:rPr>
          <w:i/>
          <w:sz w:val="22"/>
          <w:szCs w:val="22"/>
        </w:rPr>
        <w:t xml:space="preserve"> e que, de certa forma, podem ter transmitido confiança aos gestores para prosseguir</w:t>
      </w:r>
      <w:r w:rsidR="00023D72" w:rsidRPr="00A34E41">
        <w:rPr>
          <w:i/>
          <w:sz w:val="22"/>
          <w:szCs w:val="22"/>
        </w:rPr>
        <w:t>em</w:t>
      </w:r>
      <w:r w:rsidRPr="00A34E41">
        <w:rPr>
          <w:i/>
          <w:sz w:val="22"/>
          <w:szCs w:val="22"/>
        </w:rPr>
        <w:t xml:space="preserve"> na contratação direta</w:t>
      </w:r>
      <w:r w:rsidR="00E329D0" w:rsidRPr="00A34E41">
        <w:rPr>
          <w:i/>
          <w:sz w:val="22"/>
          <w:szCs w:val="22"/>
        </w:rPr>
        <w:t>”</w:t>
      </w:r>
      <w:r w:rsidRPr="00A34E41">
        <w:rPr>
          <w:sz w:val="22"/>
          <w:szCs w:val="22"/>
        </w:rPr>
        <w:t>.</w:t>
      </w:r>
      <w:r w:rsidR="00E329D0" w:rsidRPr="00A34E41">
        <w:rPr>
          <w:sz w:val="22"/>
          <w:szCs w:val="22"/>
        </w:rPr>
        <w:t xml:space="preserve"> </w:t>
      </w:r>
      <w:r w:rsidR="00A3115F" w:rsidRPr="00A34E41">
        <w:rPr>
          <w:sz w:val="22"/>
          <w:szCs w:val="22"/>
        </w:rPr>
        <w:t>O</w:t>
      </w:r>
      <w:r w:rsidR="00E329D0" w:rsidRPr="00A34E41">
        <w:rPr>
          <w:sz w:val="22"/>
          <w:szCs w:val="22"/>
        </w:rPr>
        <w:t xml:space="preserve"> relator ressaltou</w:t>
      </w:r>
      <w:r w:rsidRPr="00A34E41">
        <w:rPr>
          <w:sz w:val="22"/>
          <w:szCs w:val="22"/>
        </w:rPr>
        <w:t xml:space="preserve"> que o Ministério Público junto o TCU, </w:t>
      </w:r>
      <w:r w:rsidR="00357CBE" w:rsidRPr="00A34E41">
        <w:rPr>
          <w:sz w:val="22"/>
          <w:szCs w:val="22"/>
        </w:rPr>
        <w:t xml:space="preserve">por ocasião </w:t>
      </w:r>
      <w:r w:rsidR="00E329D0" w:rsidRPr="00A34E41">
        <w:rPr>
          <w:sz w:val="22"/>
          <w:szCs w:val="22"/>
        </w:rPr>
        <w:t xml:space="preserve">da </w:t>
      </w:r>
      <w:r w:rsidRPr="00A34E41">
        <w:rPr>
          <w:sz w:val="22"/>
          <w:szCs w:val="22"/>
        </w:rPr>
        <w:t>Decisão Plenária n.</w:t>
      </w:r>
      <w:r w:rsidR="00E329D0" w:rsidRPr="00A34E41">
        <w:rPr>
          <w:sz w:val="22"/>
          <w:szCs w:val="22"/>
        </w:rPr>
        <w:t>° 289/</w:t>
      </w:r>
      <w:r w:rsidRPr="00A34E41">
        <w:rPr>
          <w:sz w:val="22"/>
          <w:szCs w:val="22"/>
        </w:rPr>
        <w:t xml:space="preserve">96, já se manifestava no sentido da necessidade de se examinar </w:t>
      </w:r>
      <w:r w:rsidRPr="00A34E41">
        <w:rPr>
          <w:i/>
          <w:sz w:val="22"/>
          <w:szCs w:val="22"/>
        </w:rPr>
        <w:t>“se o parecer está devidamente fundamentado, se defende tese aceitável, se está alicerçado em lição de doutrina ou de jurisprudência”</w:t>
      </w:r>
      <w:r w:rsidRPr="00A34E41">
        <w:rPr>
          <w:sz w:val="22"/>
          <w:szCs w:val="22"/>
        </w:rPr>
        <w:t xml:space="preserve">. </w:t>
      </w:r>
      <w:r w:rsidR="00A3115F" w:rsidRPr="00A34E41">
        <w:rPr>
          <w:sz w:val="22"/>
          <w:szCs w:val="22"/>
        </w:rPr>
        <w:t>Enfatizou, por fim</w:t>
      </w:r>
      <w:r w:rsidR="00E329D0" w:rsidRPr="00A34E41">
        <w:rPr>
          <w:sz w:val="22"/>
          <w:szCs w:val="22"/>
        </w:rPr>
        <w:t>,</w:t>
      </w:r>
      <w:r w:rsidR="00A3115F" w:rsidRPr="00A34E41">
        <w:rPr>
          <w:sz w:val="22"/>
          <w:szCs w:val="22"/>
        </w:rPr>
        <w:t xml:space="preserve"> que</w:t>
      </w:r>
      <w:r w:rsidR="00E329D0" w:rsidRPr="00A34E41">
        <w:rPr>
          <w:sz w:val="22"/>
          <w:szCs w:val="22"/>
        </w:rPr>
        <w:t xml:space="preserve"> </w:t>
      </w:r>
      <w:r w:rsidRPr="00A34E41">
        <w:rPr>
          <w:sz w:val="22"/>
          <w:szCs w:val="22"/>
        </w:rPr>
        <w:t xml:space="preserve">a circunstância fática de parecer com fundamentação insuficiente, </w:t>
      </w:r>
      <w:r w:rsidR="00E329D0" w:rsidRPr="00A34E41">
        <w:rPr>
          <w:i/>
          <w:sz w:val="22"/>
          <w:szCs w:val="22"/>
        </w:rPr>
        <w:t>“</w:t>
      </w:r>
      <w:r w:rsidRPr="00A34E41">
        <w:rPr>
          <w:i/>
          <w:sz w:val="22"/>
          <w:szCs w:val="22"/>
        </w:rPr>
        <w:t>como se verifica no presente caso, é passível de multa com base no art. 58, inciso II, da Lei n.</w:t>
      </w:r>
      <w:r w:rsidR="00357CBE" w:rsidRPr="00A34E41">
        <w:rPr>
          <w:i/>
          <w:sz w:val="22"/>
          <w:szCs w:val="22"/>
        </w:rPr>
        <w:t>°</w:t>
      </w:r>
      <w:r w:rsidRPr="00A34E41">
        <w:rPr>
          <w:i/>
          <w:sz w:val="22"/>
          <w:szCs w:val="22"/>
        </w:rPr>
        <w:t xml:space="preserve"> 8.443/1992</w:t>
      </w:r>
      <w:r w:rsidR="00E329D0" w:rsidRPr="00A34E41">
        <w:rPr>
          <w:i/>
          <w:sz w:val="22"/>
          <w:szCs w:val="22"/>
        </w:rPr>
        <w:t>”</w:t>
      </w:r>
      <w:r w:rsidRPr="00A34E41">
        <w:rPr>
          <w:sz w:val="22"/>
          <w:szCs w:val="22"/>
        </w:rPr>
        <w:t>.</w:t>
      </w:r>
      <w:r w:rsidR="00DE045E" w:rsidRPr="00A34E41">
        <w:rPr>
          <w:sz w:val="22"/>
          <w:szCs w:val="22"/>
        </w:rPr>
        <w:t xml:space="preserve"> A Primeira Câmara </w:t>
      </w:r>
      <w:r w:rsidR="00A3115F" w:rsidRPr="00A34E41">
        <w:rPr>
          <w:sz w:val="22"/>
          <w:szCs w:val="22"/>
        </w:rPr>
        <w:t>acolheu o voto</w:t>
      </w:r>
      <w:r w:rsidR="00DE045E" w:rsidRPr="00A34E41">
        <w:rPr>
          <w:sz w:val="22"/>
          <w:szCs w:val="22"/>
        </w:rPr>
        <w:t xml:space="preserve"> do relator.</w:t>
      </w:r>
      <w:r w:rsidR="00E329D0" w:rsidRPr="00A34E41">
        <w:rPr>
          <w:sz w:val="22"/>
          <w:szCs w:val="22"/>
        </w:rPr>
        <w:t xml:space="preserve"> Precedentes citados: Acórdãos n.</w:t>
      </w:r>
      <w:r w:rsidR="00E329D0" w:rsidRPr="00A34E41">
        <w:rPr>
          <w:sz w:val="22"/>
          <w:szCs w:val="22"/>
          <w:vertAlign w:val="superscript"/>
        </w:rPr>
        <w:t>os</w:t>
      </w:r>
      <w:r w:rsidR="00E329D0" w:rsidRPr="00A34E41">
        <w:rPr>
          <w:sz w:val="22"/>
          <w:szCs w:val="22"/>
        </w:rPr>
        <w:t xml:space="preserve"> 994/2006 e 2.189/2006, ambos do Plenário. </w:t>
      </w:r>
      <w:r w:rsidR="003E1B68" w:rsidRPr="00A34E41">
        <w:rPr>
          <w:b/>
          <w:i/>
          <w:sz w:val="22"/>
          <w:szCs w:val="22"/>
        </w:rPr>
        <w:t>Acórdão n.º 2567/2010</w:t>
      </w:r>
      <w:r w:rsidR="00151F92" w:rsidRPr="00A34E41">
        <w:rPr>
          <w:b/>
          <w:i/>
          <w:sz w:val="22"/>
          <w:szCs w:val="22"/>
        </w:rPr>
        <w:t>-1ª Câmara</w:t>
      </w:r>
      <w:r w:rsidR="003E1B68" w:rsidRPr="00A34E41">
        <w:rPr>
          <w:b/>
          <w:i/>
          <w:sz w:val="22"/>
          <w:szCs w:val="22"/>
        </w:rPr>
        <w:t>, TC-009.680/2001-3, rel. Min-Subs</w:t>
      </w:r>
      <w:r w:rsidR="00151F92" w:rsidRPr="00A34E41">
        <w:rPr>
          <w:b/>
          <w:i/>
          <w:sz w:val="22"/>
          <w:szCs w:val="22"/>
        </w:rPr>
        <w:t>t</w:t>
      </w:r>
      <w:r w:rsidR="003E1B68" w:rsidRPr="00A34E41">
        <w:rPr>
          <w:b/>
          <w:i/>
          <w:sz w:val="22"/>
          <w:szCs w:val="22"/>
        </w:rPr>
        <w:t>. Marcos Bemquerer Costa, 18.05.2010</w:t>
      </w:r>
      <w:r w:rsidR="003E1B68" w:rsidRPr="00A34E41">
        <w:rPr>
          <w:sz w:val="22"/>
          <w:szCs w:val="22"/>
        </w:rPr>
        <w:t>.</w:t>
      </w:r>
    </w:p>
    <w:p w:rsidR="009245B5" w:rsidRPr="00A34E41" w:rsidRDefault="009245B5" w:rsidP="00337E16">
      <w:pPr>
        <w:pStyle w:val="Pargrafo"/>
        <w:jc w:val="both"/>
        <w:rPr>
          <w:sz w:val="22"/>
          <w:szCs w:val="22"/>
        </w:rPr>
      </w:pPr>
    </w:p>
    <w:p w:rsidR="003275E4" w:rsidRPr="00A34E41" w:rsidRDefault="003275E4" w:rsidP="003275E4">
      <w:pPr>
        <w:pStyle w:val="indice"/>
        <w:spacing w:before="45" w:line="240" w:lineRule="auto"/>
        <w:rPr>
          <w:b/>
        </w:rPr>
      </w:pPr>
      <w:r w:rsidRPr="00A34E41">
        <w:rPr>
          <w:b/>
        </w:rPr>
        <w:t>Licitação para aquisição de ben</w:t>
      </w:r>
      <w:r w:rsidR="004B1DC3" w:rsidRPr="00A34E41">
        <w:rPr>
          <w:b/>
        </w:rPr>
        <w:t xml:space="preserve">s: 1 - </w:t>
      </w:r>
      <w:r w:rsidR="00810CC2" w:rsidRPr="00A34E41">
        <w:rPr>
          <w:b/>
        </w:rPr>
        <w:t>Fracionamento de despesas para a não realização de licitação, ou para a não adoção da modalidade licitatória adequada</w:t>
      </w:r>
    </w:p>
    <w:p w:rsidR="003275E4" w:rsidRPr="00A34E41" w:rsidRDefault="00810CC2" w:rsidP="003275E4">
      <w:pPr>
        <w:pStyle w:val="Pargrafo"/>
        <w:jc w:val="both"/>
        <w:rPr>
          <w:sz w:val="22"/>
          <w:szCs w:val="22"/>
        </w:rPr>
      </w:pPr>
      <w:r w:rsidRPr="00A34E41">
        <w:rPr>
          <w:sz w:val="22"/>
          <w:szCs w:val="22"/>
        </w:rPr>
        <w:t>No âmbito da</w:t>
      </w:r>
      <w:r w:rsidR="003275E4" w:rsidRPr="00A34E41">
        <w:rPr>
          <w:sz w:val="22"/>
          <w:szCs w:val="22"/>
        </w:rPr>
        <w:t xml:space="preserve"> </w:t>
      </w:r>
      <w:r w:rsidR="004B1DC3" w:rsidRPr="00A34E41">
        <w:rPr>
          <w:sz w:val="22"/>
          <w:szCs w:val="22"/>
        </w:rPr>
        <w:t>p</w:t>
      </w:r>
      <w:r w:rsidR="003275E4" w:rsidRPr="00A34E41">
        <w:rPr>
          <w:sz w:val="22"/>
          <w:szCs w:val="22"/>
        </w:rPr>
        <w:t xml:space="preserve">restação de </w:t>
      </w:r>
      <w:r w:rsidR="004B1DC3" w:rsidRPr="00A34E41">
        <w:rPr>
          <w:sz w:val="22"/>
          <w:szCs w:val="22"/>
        </w:rPr>
        <w:t>c</w:t>
      </w:r>
      <w:r w:rsidR="003275E4" w:rsidRPr="00A34E41">
        <w:rPr>
          <w:sz w:val="22"/>
          <w:szCs w:val="22"/>
        </w:rPr>
        <w:t>ontas do Serviço Nacional de Aprendizagem Industrial -</w:t>
      </w:r>
      <w:r w:rsidR="008A5D49" w:rsidRPr="00A34E41">
        <w:rPr>
          <w:sz w:val="22"/>
          <w:szCs w:val="22"/>
        </w:rPr>
        <w:t xml:space="preserve"> </w:t>
      </w:r>
      <w:r w:rsidR="003275E4" w:rsidRPr="00A34E41">
        <w:rPr>
          <w:sz w:val="22"/>
          <w:szCs w:val="22"/>
        </w:rPr>
        <w:t xml:space="preserve">Departamento Regional de Sergipe </w:t>
      </w:r>
      <w:r w:rsidR="004B1DC3" w:rsidRPr="00A34E41">
        <w:rPr>
          <w:sz w:val="22"/>
          <w:szCs w:val="22"/>
        </w:rPr>
        <w:t>(</w:t>
      </w:r>
      <w:r w:rsidR="003275E4" w:rsidRPr="00A34E41">
        <w:rPr>
          <w:sz w:val="22"/>
          <w:szCs w:val="22"/>
        </w:rPr>
        <w:t>SENAI/SE</w:t>
      </w:r>
      <w:r w:rsidR="004B1DC3" w:rsidRPr="00A34E41">
        <w:rPr>
          <w:sz w:val="22"/>
          <w:szCs w:val="22"/>
        </w:rPr>
        <w:t>)</w:t>
      </w:r>
      <w:r w:rsidR="003275E4" w:rsidRPr="00A34E41">
        <w:rPr>
          <w:sz w:val="22"/>
          <w:szCs w:val="22"/>
        </w:rPr>
        <w:t>, relativa ao exercício de 2005</w:t>
      </w:r>
      <w:r w:rsidR="004B1DC3" w:rsidRPr="00A34E41">
        <w:rPr>
          <w:sz w:val="22"/>
          <w:szCs w:val="22"/>
        </w:rPr>
        <w:t xml:space="preserve">, a unidade técnica </w:t>
      </w:r>
      <w:r w:rsidR="003275E4" w:rsidRPr="00A34E41">
        <w:rPr>
          <w:sz w:val="22"/>
          <w:szCs w:val="22"/>
        </w:rPr>
        <w:t>promoveu</w:t>
      </w:r>
      <w:r w:rsidR="004B1DC3" w:rsidRPr="00A34E41">
        <w:rPr>
          <w:sz w:val="22"/>
          <w:szCs w:val="22"/>
        </w:rPr>
        <w:t xml:space="preserve"> </w:t>
      </w:r>
      <w:r w:rsidR="003275E4" w:rsidRPr="00A34E41">
        <w:rPr>
          <w:sz w:val="22"/>
          <w:szCs w:val="22"/>
        </w:rPr>
        <w:t xml:space="preserve">audiência </w:t>
      </w:r>
      <w:r w:rsidR="004B1DC3" w:rsidRPr="00A34E41">
        <w:rPr>
          <w:sz w:val="22"/>
          <w:szCs w:val="22"/>
        </w:rPr>
        <w:t>dos</w:t>
      </w:r>
      <w:r w:rsidR="003275E4" w:rsidRPr="00A34E41">
        <w:rPr>
          <w:sz w:val="22"/>
          <w:szCs w:val="22"/>
        </w:rPr>
        <w:t xml:space="preserve"> responsáveis</w:t>
      </w:r>
      <w:r w:rsidRPr="00A34E41">
        <w:rPr>
          <w:sz w:val="22"/>
          <w:szCs w:val="22"/>
        </w:rPr>
        <w:t xml:space="preserve"> pelo</w:t>
      </w:r>
      <w:r w:rsidR="004B1DC3" w:rsidRPr="00A34E41">
        <w:rPr>
          <w:sz w:val="22"/>
          <w:szCs w:val="22"/>
        </w:rPr>
        <w:t xml:space="preserve"> fato de a entidade haver contratado</w:t>
      </w:r>
      <w:r w:rsidR="003275E4" w:rsidRPr="00A34E41">
        <w:rPr>
          <w:sz w:val="22"/>
          <w:szCs w:val="22"/>
        </w:rPr>
        <w:t xml:space="preserve">, por meio de dispensa de licitação, empresa para prestar serviços de reforma em unidades móveis do SENAI/SE, que totalizaram cerca de R$ 54.000,00, ao passo que o Regulamento de Licitações e Contratos do SENAI prevê que a dispensa somente pode ocorrer até o limite de R$ 25.000,00. </w:t>
      </w:r>
      <w:r w:rsidR="004B1DC3" w:rsidRPr="00A34E41">
        <w:rPr>
          <w:sz w:val="22"/>
          <w:szCs w:val="22"/>
        </w:rPr>
        <w:t xml:space="preserve">Para o relator, </w:t>
      </w:r>
      <w:r w:rsidR="004B1DC3" w:rsidRPr="00A34E41">
        <w:rPr>
          <w:i/>
          <w:sz w:val="22"/>
          <w:szCs w:val="22"/>
        </w:rPr>
        <w:t>“</w:t>
      </w:r>
      <w:r w:rsidR="003275E4" w:rsidRPr="00A34E41">
        <w:rPr>
          <w:i/>
          <w:sz w:val="22"/>
          <w:szCs w:val="22"/>
        </w:rPr>
        <w:t>os serviços executados nas quatro unidades móveis poderiam caracterizar-se como sendo de mesma natureza, tais como lanternagem, recuperação de cadeiras e bancos, recarga de extintores, sinalização visual etc., indicando que uma só empresa poderia realizar os serviços</w:t>
      </w:r>
      <w:r w:rsidR="004B1DC3" w:rsidRPr="00A34E41">
        <w:rPr>
          <w:i/>
          <w:sz w:val="22"/>
          <w:szCs w:val="22"/>
        </w:rPr>
        <w:t>”</w:t>
      </w:r>
      <w:r w:rsidR="003275E4" w:rsidRPr="00A34E41">
        <w:rPr>
          <w:sz w:val="22"/>
          <w:szCs w:val="22"/>
        </w:rPr>
        <w:t xml:space="preserve">. </w:t>
      </w:r>
      <w:r w:rsidR="004B1DC3" w:rsidRPr="00A34E41">
        <w:rPr>
          <w:sz w:val="22"/>
          <w:szCs w:val="22"/>
        </w:rPr>
        <w:t xml:space="preserve">Outra </w:t>
      </w:r>
      <w:r w:rsidR="003275E4" w:rsidRPr="00A34E41">
        <w:rPr>
          <w:sz w:val="22"/>
          <w:szCs w:val="22"/>
        </w:rPr>
        <w:t xml:space="preserve">irregularidade </w:t>
      </w:r>
      <w:r w:rsidR="00C10C0B" w:rsidRPr="00A34E41">
        <w:rPr>
          <w:sz w:val="22"/>
          <w:szCs w:val="22"/>
        </w:rPr>
        <w:t xml:space="preserve">levantada </w:t>
      </w:r>
      <w:r w:rsidR="003275E4" w:rsidRPr="00A34E41">
        <w:rPr>
          <w:sz w:val="22"/>
          <w:szCs w:val="22"/>
        </w:rPr>
        <w:t>diz</w:t>
      </w:r>
      <w:r w:rsidRPr="00A34E41">
        <w:rPr>
          <w:sz w:val="22"/>
          <w:szCs w:val="22"/>
        </w:rPr>
        <w:t>ia</w:t>
      </w:r>
      <w:r w:rsidR="003275E4" w:rsidRPr="00A34E41">
        <w:rPr>
          <w:sz w:val="22"/>
          <w:szCs w:val="22"/>
        </w:rPr>
        <w:t xml:space="preserve"> respeito à realização de três processos licitatórios, na modalidade de convite, para a aquisição de equipamentos de informática, que totalizaram R$ 325.420,00, </w:t>
      </w:r>
      <w:r w:rsidRPr="00A34E41">
        <w:rPr>
          <w:sz w:val="22"/>
          <w:szCs w:val="22"/>
        </w:rPr>
        <w:t>enquanto</w:t>
      </w:r>
      <w:r w:rsidR="003275E4" w:rsidRPr="00A34E41">
        <w:rPr>
          <w:sz w:val="22"/>
          <w:szCs w:val="22"/>
        </w:rPr>
        <w:t xml:space="preserve"> o limite para a utilização do convite, de acordo com o normativo de licitações do SENAI, é de R$ 225.000,00.</w:t>
      </w:r>
      <w:r w:rsidR="004B1DC3" w:rsidRPr="00A34E41">
        <w:rPr>
          <w:sz w:val="22"/>
          <w:szCs w:val="22"/>
        </w:rPr>
        <w:t xml:space="preserve"> De acordo com o relator, </w:t>
      </w:r>
      <w:r w:rsidR="003275E4" w:rsidRPr="00A34E41">
        <w:rPr>
          <w:sz w:val="22"/>
          <w:szCs w:val="22"/>
        </w:rPr>
        <w:t xml:space="preserve">ainda que o limite tenha sido ultrapassado, </w:t>
      </w:r>
      <w:r w:rsidR="004B1DC3" w:rsidRPr="00A34E41">
        <w:rPr>
          <w:i/>
          <w:sz w:val="22"/>
          <w:szCs w:val="22"/>
        </w:rPr>
        <w:t>“</w:t>
      </w:r>
      <w:r w:rsidR="003275E4" w:rsidRPr="00A34E41">
        <w:rPr>
          <w:i/>
          <w:sz w:val="22"/>
          <w:szCs w:val="22"/>
        </w:rPr>
        <w:t>é forçoso admitir que as compras foram efetuadas por meio de um certame que, embora mais simplificado do que a concorrência – modalidade que deveria ter sido utilizada –, garantiu efetividade ao postulado constitucional da realização de licitação para as compras efetuadas com verbas públicas</w:t>
      </w:r>
      <w:r w:rsidR="004B1DC3" w:rsidRPr="00A34E41">
        <w:rPr>
          <w:i/>
          <w:sz w:val="22"/>
          <w:szCs w:val="22"/>
        </w:rPr>
        <w:t>”</w:t>
      </w:r>
      <w:r w:rsidR="003275E4" w:rsidRPr="00A34E41">
        <w:rPr>
          <w:sz w:val="22"/>
          <w:szCs w:val="22"/>
        </w:rPr>
        <w:t>.</w:t>
      </w:r>
      <w:r w:rsidR="004B1DC3" w:rsidRPr="00A34E41">
        <w:rPr>
          <w:sz w:val="22"/>
          <w:szCs w:val="22"/>
        </w:rPr>
        <w:t xml:space="preserve"> Ressaltou, ainda, </w:t>
      </w:r>
      <w:r w:rsidR="003275E4" w:rsidRPr="00A34E41">
        <w:rPr>
          <w:sz w:val="22"/>
          <w:szCs w:val="22"/>
        </w:rPr>
        <w:t xml:space="preserve">que os três convites, embora realizados para </w:t>
      </w:r>
      <w:r w:rsidR="00C10C0B" w:rsidRPr="00A34E41">
        <w:rPr>
          <w:sz w:val="22"/>
          <w:szCs w:val="22"/>
        </w:rPr>
        <w:t xml:space="preserve">a </w:t>
      </w:r>
      <w:r w:rsidR="003275E4" w:rsidRPr="00A34E41">
        <w:rPr>
          <w:sz w:val="22"/>
          <w:szCs w:val="22"/>
        </w:rPr>
        <w:t xml:space="preserve">aquisição de equipamentos de informática, tiveram objetos distintos: </w:t>
      </w:r>
      <w:r w:rsidR="004B1DC3" w:rsidRPr="00A34E41">
        <w:rPr>
          <w:i/>
          <w:sz w:val="22"/>
          <w:szCs w:val="22"/>
        </w:rPr>
        <w:t>“</w:t>
      </w:r>
      <w:r w:rsidR="003275E4" w:rsidRPr="00A34E41">
        <w:rPr>
          <w:i/>
          <w:sz w:val="22"/>
          <w:szCs w:val="22"/>
        </w:rPr>
        <w:t>Convite n.</w:t>
      </w:r>
      <w:r w:rsidR="004B1DC3" w:rsidRPr="00A34E41">
        <w:rPr>
          <w:i/>
          <w:sz w:val="22"/>
          <w:szCs w:val="22"/>
        </w:rPr>
        <w:t>º</w:t>
      </w:r>
      <w:r w:rsidR="003275E4" w:rsidRPr="00A34E41">
        <w:rPr>
          <w:i/>
          <w:sz w:val="22"/>
          <w:szCs w:val="22"/>
        </w:rPr>
        <w:t xml:space="preserve"> 7/2005 – aquisição de notebooks; Convite n.</w:t>
      </w:r>
      <w:r w:rsidR="004B1DC3" w:rsidRPr="00A34E41">
        <w:rPr>
          <w:i/>
          <w:sz w:val="22"/>
          <w:szCs w:val="22"/>
        </w:rPr>
        <w:t>º</w:t>
      </w:r>
      <w:r w:rsidR="003275E4" w:rsidRPr="00A34E41">
        <w:rPr>
          <w:i/>
          <w:sz w:val="22"/>
          <w:szCs w:val="22"/>
        </w:rPr>
        <w:t xml:space="preserve"> 14/2005 – reestruturação dos Núcleos de Informação Tecnológica, com estruturação de laboratório predial; e Convite n.</w:t>
      </w:r>
      <w:r w:rsidR="004B1DC3" w:rsidRPr="00A34E41">
        <w:rPr>
          <w:i/>
          <w:sz w:val="22"/>
          <w:szCs w:val="22"/>
        </w:rPr>
        <w:t>º</w:t>
      </w:r>
      <w:r w:rsidR="003275E4" w:rsidRPr="00A34E41">
        <w:rPr>
          <w:i/>
          <w:sz w:val="22"/>
          <w:szCs w:val="22"/>
        </w:rPr>
        <w:t xml:space="preserve"> 24/2005 – que teve por objeto a compra de novos servidores para o sistema ERP da entidade</w:t>
      </w:r>
      <w:r w:rsidR="004B1DC3" w:rsidRPr="00A34E41">
        <w:rPr>
          <w:i/>
          <w:sz w:val="22"/>
          <w:szCs w:val="22"/>
        </w:rPr>
        <w:t>”</w:t>
      </w:r>
      <w:r w:rsidR="003275E4" w:rsidRPr="00A34E41">
        <w:rPr>
          <w:sz w:val="22"/>
          <w:szCs w:val="22"/>
        </w:rPr>
        <w:t xml:space="preserve">. </w:t>
      </w:r>
      <w:r w:rsidR="00C10C0B" w:rsidRPr="00A34E41">
        <w:rPr>
          <w:sz w:val="22"/>
          <w:szCs w:val="22"/>
        </w:rPr>
        <w:t>Considerando</w:t>
      </w:r>
      <w:r w:rsidR="00984366" w:rsidRPr="00A34E41">
        <w:rPr>
          <w:sz w:val="22"/>
          <w:szCs w:val="22"/>
        </w:rPr>
        <w:t xml:space="preserve"> </w:t>
      </w:r>
      <w:r w:rsidR="003275E4" w:rsidRPr="00A34E41">
        <w:rPr>
          <w:sz w:val="22"/>
          <w:szCs w:val="22"/>
        </w:rPr>
        <w:t>que tais falhas</w:t>
      </w:r>
      <w:r w:rsidR="004B1DC3" w:rsidRPr="00A34E41">
        <w:rPr>
          <w:sz w:val="22"/>
          <w:szCs w:val="22"/>
        </w:rPr>
        <w:t xml:space="preserve"> </w:t>
      </w:r>
      <w:r w:rsidR="004B1DC3" w:rsidRPr="00A34E41">
        <w:rPr>
          <w:i/>
          <w:sz w:val="22"/>
          <w:szCs w:val="22"/>
        </w:rPr>
        <w:t>“</w:t>
      </w:r>
      <w:r w:rsidR="003275E4" w:rsidRPr="00A34E41">
        <w:rPr>
          <w:i/>
          <w:sz w:val="22"/>
          <w:szCs w:val="22"/>
        </w:rPr>
        <w:t xml:space="preserve">não ocasionaram prejuízo à entidade, não </w:t>
      </w:r>
      <w:r w:rsidR="00984366" w:rsidRPr="00A34E41">
        <w:rPr>
          <w:i/>
          <w:sz w:val="22"/>
          <w:szCs w:val="22"/>
        </w:rPr>
        <w:t>sendo</w:t>
      </w:r>
      <w:r w:rsidR="003275E4" w:rsidRPr="00A34E41">
        <w:rPr>
          <w:i/>
          <w:sz w:val="22"/>
          <w:szCs w:val="22"/>
        </w:rPr>
        <w:t xml:space="preserve"> representativas o bastante para macular as contas dos responsáveis</w:t>
      </w:r>
      <w:r w:rsidR="004B1DC3" w:rsidRPr="00A34E41">
        <w:rPr>
          <w:i/>
          <w:sz w:val="22"/>
          <w:szCs w:val="22"/>
        </w:rPr>
        <w:t>”</w:t>
      </w:r>
      <w:r w:rsidR="00984366" w:rsidRPr="00A34E41">
        <w:rPr>
          <w:sz w:val="22"/>
          <w:szCs w:val="22"/>
        </w:rPr>
        <w:t>, o</w:t>
      </w:r>
      <w:r w:rsidR="004B1DC3" w:rsidRPr="00A34E41">
        <w:rPr>
          <w:sz w:val="22"/>
          <w:szCs w:val="22"/>
        </w:rPr>
        <w:t xml:space="preserve"> relator propôs e a Primeira Câmara decidiu </w:t>
      </w:r>
      <w:r w:rsidR="00984366" w:rsidRPr="00A34E41">
        <w:rPr>
          <w:sz w:val="22"/>
          <w:szCs w:val="22"/>
        </w:rPr>
        <w:t xml:space="preserve">tão somente expedir </w:t>
      </w:r>
      <w:r w:rsidR="003275E4" w:rsidRPr="00A34E41">
        <w:rPr>
          <w:sz w:val="22"/>
          <w:szCs w:val="22"/>
        </w:rPr>
        <w:t>determina</w:t>
      </w:r>
      <w:r w:rsidR="00984366" w:rsidRPr="00A34E41">
        <w:rPr>
          <w:sz w:val="22"/>
          <w:szCs w:val="22"/>
        </w:rPr>
        <w:t>ção corretiva</w:t>
      </w:r>
      <w:r w:rsidR="003275E4" w:rsidRPr="00A34E41">
        <w:rPr>
          <w:sz w:val="22"/>
          <w:szCs w:val="22"/>
        </w:rPr>
        <w:t xml:space="preserve"> ao </w:t>
      </w:r>
      <w:r w:rsidR="00984366" w:rsidRPr="00A34E41">
        <w:rPr>
          <w:sz w:val="22"/>
          <w:szCs w:val="22"/>
        </w:rPr>
        <w:t>SENAI/SE, para futuras contratações</w:t>
      </w:r>
      <w:r w:rsidR="003275E4" w:rsidRPr="00A34E41">
        <w:rPr>
          <w:sz w:val="22"/>
          <w:szCs w:val="22"/>
        </w:rPr>
        <w:t>.</w:t>
      </w:r>
      <w:r w:rsidR="004B1DC3" w:rsidRPr="00A34E41">
        <w:rPr>
          <w:sz w:val="22"/>
          <w:szCs w:val="22"/>
        </w:rPr>
        <w:t xml:space="preserve"> </w:t>
      </w:r>
      <w:r w:rsidR="003275E4" w:rsidRPr="00A34E41">
        <w:rPr>
          <w:b/>
          <w:i/>
          <w:sz w:val="22"/>
          <w:szCs w:val="22"/>
        </w:rPr>
        <w:t>Acórdão n.º 2568/2010</w:t>
      </w:r>
      <w:r w:rsidR="00151F92" w:rsidRPr="00A34E41">
        <w:rPr>
          <w:b/>
          <w:i/>
          <w:sz w:val="22"/>
          <w:szCs w:val="22"/>
        </w:rPr>
        <w:t>-1ª Câmara</w:t>
      </w:r>
      <w:r w:rsidR="003275E4" w:rsidRPr="00A34E41">
        <w:rPr>
          <w:b/>
          <w:i/>
          <w:sz w:val="22"/>
          <w:szCs w:val="22"/>
        </w:rPr>
        <w:t>, TC-017.241/2006-9, rel. Min-Subs</w:t>
      </w:r>
      <w:r w:rsidR="00151F92" w:rsidRPr="00A34E41">
        <w:rPr>
          <w:b/>
          <w:i/>
          <w:sz w:val="22"/>
          <w:szCs w:val="22"/>
        </w:rPr>
        <w:t>t</w:t>
      </w:r>
      <w:r w:rsidR="003275E4" w:rsidRPr="00A34E41">
        <w:rPr>
          <w:b/>
          <w:i/>
          <w:sz w:val="22"/>
          <w:szCs w:val="22"/>
        </w:rPr>
        <w:t>. Marcos Bemquerer Costa, 18.05.2010</w:t>
      </w:r>
      <w:r w:rsidR="003275E4" w:rsidRPr="00A34E41">
        <w:rPr>
          <w:sz w:val="22"/>
          <w:szCs w:val="22"/>
        </w:rPr>
        <w:t>.</w:t>
      </w:r>
    </w:p>
    <w:p w:rsidR="003275E4" w:rsidRPr="00A34E41" w:rsidRDefault="003275E4" w:rsidP="003275E4">
      <w:pPr>
        <w:pStyle w:val="indice"/>
        <w:spacing w:before="45" w:line="240" w:lineRule="auto"/>
      </w:pPr>
    </w:p>
    <w:p w:rsidR="003275E4" w:rsidRPr="00A34E41" w:rsidRDefault="003275E4" w:rsidP="003275E4">
      <w:pPr>
        <w:pStyle w:val="indice"/>
        <w:spacing w:before="45" w:line="240" w:lineRule="auto"/>
        <w:rPr>
          <w:b/>
        </w:rPr>
      </w:pPr>
      <w:r w:rsidRPr="00A34E41">
        <w:rPr>
          <w:b/>
        </w:rPr>
        <w:t xml:space="preserve">Licitação para aquisição de bens: 2 - </w:t>
      </w:r>
      <w:r w:rsidR="009E0FB3" w:rsidRPr="00A34E41">
        <w:rPr>
          <w:b/>
        </w:rPr>
        <w:t>Descrição do objeto de forma a atender às necessidades específicas da entidade promotora do certame</w:t>
      </w:r>
    </w:p>
    <w:p w:rsidR="003275E4" w:rsidRPr="00A34E41" w:rsidRDefault="00F765E8" w:rsidP="003275E4">
      <w:pPr>
        <w:pStyle w:val="Pargrafo"/>
        <w:jc w:val="both"/>
        <w:rPr>
          <w:sz w:val="22"/>
          <w:szCs w:val="22"/>
        </w:rPr>
      </w:pPr>
      <w:r w:rsidRPr="00A34E41">
        <w:rPr>
          <w:sz w:val="22"/>
          <w:szCs w:val="22"/>
        </w:rPr>
        <w:t>Outra irregularidade identificada no âmbito da prestação de contas do Serviço Nacional de Aprendizagem Industrial -</w:t>
      </w:r>
      <w:r w:rsidR="008A5D49" w:rsidRPr="00A34E41">
        <w:rPr>
          <w:sz w:val="22"/>
          <w:szCs w:val="22"/>
        </w:rPr>
        <w:t xml:space="preserve"> </w:t>
      </w:r>
      <w:r w:rsidRPr="00A34E41">
        <w:rPr>
          <w:sz w:val="22"/>
          <w:szCs w:val="22"/>
        </w:rPr>
        <w:t xml:space="preserve">Departamento Regional de Sergipe (SENAI/SE), relativa ao exercício de 2005, e que motivou a audiência dos responsáveis, foi a </w:t>
      </w:r>
      <w:r w:rsidRPr="00A34E41">
        <w:rPr>
          <w:i/>
          <w:sz w:val="22"/>
          <w:szCs w:val="22"/>
        </w:rPr>
        <w:t>“</w:t>
      </w:r>
      <w:r w:rsidR="003275E4" w:rsidRPr="00A34E41">
        <w:rPr>
          <w:i/>
          <w:sz w:val="22"/>
          <w:szCs w:val="22"/>
        </w:rPr>
        <w:t>restrição da concorrência em face das especificações do objeto nas aquisições de um veículo tipo perua – Convite n.</w:t>
      </w:r>
      <w:r w:rsidRPr="00A34E41">
        <w:rPr>
          <w:i/>
          <w:sz w:val="22"/>
          <w:szCs w:val="22"/>
        </w:rPr>
        <w:t>º</w:t>
      </w:r>
      <w:r w:rsidR="003275E4" w:rsidRPr="00A34E41">
        <w:rPr>
          <w:i/>
          <w:sz w:val="22"/>
          <w:szCs w:val="22"/>
        </w:rPr>
        <w:t xml:space="preserve"> 04/2005 – e de uma VAN – Convite n.</w:t>
      </w:r>
      <w:r w:rsidRPr="00A34E41">
        <w:rPr>
          <w:i/>
          <w:sz w:val="22"/>
          <w:szCs w:val="22"/>
        </w:rPr>
        <w:t>º</w:t>
      </w:r>
      <w:r w:rsidR="003275E4" w:rsidRPr="00A34E41">
        <w:rPr>
          <w:i/>
          <w:sz w:val="22"/>
          <w:szCs w:val="22"/>
        </w:rPr>
        <w:t xml:space="preserve"> 05/2005 –, que foram limitadas, em cada caso, a apenas um veículo disponível no mercado, sem justificativas técnicas para as especificações.</w:t>
      </w:r>
      <w:r w:rsidRPr="00A34E41">
        <w:rPr>
          <w:i/>
          <w:sz w:val="22"/>
          <w:szCs w:val="22"/>
        </w:rPr>
        <w:t>”</w:t>
      </w:r>
      <w:r w:rsidRPr="00A34E41">
        <w:rPr>
          <w:sz w:val="22"/>
          <w:szCs w:val="22"/>
        </w:rPr>
        <w:t xml:space="preserve">. De acordo com o relator, no </w:t>
      </w:r>
      <w:r w:rsidR="003275E4" w:rsidRPr="00A34E41">
        <w:rPr>
          <w:sz w:val="22"/>
          <w:szCs w:val="22"/>
        </w:rPr>
        <w:t>caso do Convite n.</w:t>
      </w:r>
      <w:r w:rsidRPr="00A34E41">
        <w:rPr>
          <w:sz w:val="22"/>
          <w:szCs w:val="22"/>
        </w:rPr>
        <w:t>º</w:t>
      </w:r>
      <w:r w:rsidR="003275E4" w:rsidRPr="00A34E41">
        <w:rPr>
          <w:sz w:val="22"/>
          <w:szCs w:val="22"/>
        </w:rPr>
        <w:t xml:space="preserve"> 04/2005, a simples escolha do modelo de veículo perua </w:t>
      </w:r>
      <w:r w:rsidRPr="00A34E41">
        <w:rPr>
          <w:i/>
          <w:sz w:val="22"/>
          <w:szCs w:val="22"/>
        </w:rPr>
        <w:t>“</w:t>
      </w:r>
      <w:r w:rsidR="003275E4" w:rsidRPr="00A34E41">
        <w:rPr>
          <w:i/>
          <w:sz w:val="22"/>
          <w:szCs w:val="22"/>
        </w:rPr>
        <w:t>consiste em opção discricionária do gestor na busca de atender às necessidades específicas da entidade, não sendo, em princípio, restritiva do caráter competitivo do certame</w:t>
      </w:r>
      <w:r w:rsidRPr="00A34E41">
        <w:rPr>
          <w:i/>
          <w:sz w:val="22"/>
          <w:szCs w:val="22"/>
        </w:rPr>
        <w:t>”</w:t>
      </w:r>
      <w:r w:rsidR="003275E4" w:rsidRPr="00A34E41">
        <w:rPr>
          <w:sz w:val="22"/>
          <w:szCs w:val="22"/>
        </w:rPr>
        <w:t xml:space="preserve">. </w:t>
      </w:r>
      <w:r w:rsidRPr="00A34E41">
        <w:rPr>
          <w:sz w:val="22"/>
          <w:szCs w:val="22"/>
        </w:rPr>
        <w:t>Par</w:t>
      </w:r>
      <w:r w:rsidR="0046706B" w:rsidRPr="00A34E41">
        <w:rPr>
          <w:sz w:val="22"/>
          <w:szCs w:val="22"/>
        </w:rPr>
        <w:t>a</w:t>
      </w:r>
      <w:r w:rsidRPr="00A34E41">
        <w:rPr>
          <w:sz w:val="22"/>
          <w:szCs w:val="22"/>
        </w:rPr>
        <w:t xml:space="preserve"> ele, t</w:t>
      </w:r>
      <w:r w:rsidR="003275E4" w:rsidRPr="00A34E41">
        <w:rPr>
          <w:sz w:val="22"/>
          <w:szCs w:val="22"/>
        </w:rPr>
        <w:t xml:space="preserve">ambém </w:t>
      </w:r>
      <w:r w:rsidRPr="00A34E41">
        <w:rPr>
          <w:i/>
          <w:sz w:val="22"/>
          <w:szCs w:val="22"/>
        </w:rPr>
        <w:t>“</w:t>
      </w:r>
      <w:r w:rsidR="003275E4" w:rsidRPr="00A34E41">
        <w:rPr>
          <w:i/>
          <w:sz w:val="22"/>
          <w:szCs w:val="22"/>
        </w:rPr>
        <w:t>não pode ser encarada como restrição a exigência de pneus aro R13, ou, ainda, de velocidade máxima superior a 170 Km/h</w:t>
      </w:r>
      <w:r w:rsidRPr="00A34E41">
        <w:rPr>
          <w:i/>
          <w:sz w:val="22"/>
          <w:szCs w:val="22"/>
        </w:rPr>
        <w:t>”</w:t>
      </w:r>
      <w:r w:rsidR="003275E4" w:rsidRPr="00A34E41">
        <w:rPr>
          <w:sz w:val="22"/>
          <w:szCs w:val="22"/>
        </w:rPr>
        <w:t xml:space="preserve">, como ponderado pela </w:t>
      </w:r>
      <w:r w:rsidRPr="00A34E41">
        <w:rPr>
          <w:sz w:val="22"/>
          <w:szCs w:val="22"/>
        </w:rPr>
        <w:t>unidade técnica</w:t>
      </w:r>
      <w:r w:rsidR="003275E4" w:rsidRPr="00A34E41">
        <w:rPr>
          <w:sz w:val="22"/>
          <w:szCs w:val="22"/>
        </w:rPr>
        <w:t xml:space="preserve">, </w:t>
      </w:r>
      <w:r w:rsidRPr="00A34E41">
        <w:rPr>
          <w:i/>
          <w:sz w:val="22"/>
          <w:szCs w:val="22"/>
        </w:rPr>
        <w:t>“</w:t>
      </w:r>
      <w:r w:rsidR="003275E4" w:rsidRPr="00A34E41">
        <w:rPr>
          <w:i/>
          <w:sz w:val="22"/>
          <w:szCs w:val="22"/>
        </w:rPr>
        <w:t>uma vez que tais itens são, praticamente, básicos a qualquer modelo de automóvel</w:t>
      </w:r>
      <w:r w:rsidRPr="00A34E41">
        <w:rPr>
          <w:i/>
          <w:sz w:val="22"/>
          <w:szCs w:val="22"/>
        </w:rPr>
        <w:t>”</w:t>
      </w:r>
      <w:r w:rsidR="003275E4" w:rsidRPr="00A34E41">
        <w:rPr>
          <w:sz w:val="22"/>
          <w:szCs w:val="22"/>
        </w:rPr>
        <w:t xml:space="preserve">. </w:t>
      </w:r>
      <w:r w:rsidRPr="00A34E41">
        <w:rPr>
          <w:sz w:val="22"/>
          <w:szCs w:val="22"/>
        </w:rPr>
        <w:t xml:space="preserve">Em seu voto, o relator afirmou que </w:t>
      </w:r>
      <w:r w:rsidR="003275E4" w:rsidRPr="00A34E41">
        <w:rPr>
          <w:sz w:val="22"/>
          <w:szCs w:val="22"/>
        </w:rPr>
        <w:t xml:space="preserve">rodas aro R13 são as que apresentam pneus com o menor custo de reposição em relação às demais (R14, R15 etc.). Ademais, não </w:t>
      </w:r>
      <w:r w:rsidRPr="00A34E41">
        <w:rPr>
          <w:sz w:val="22"/>
          <w:szCs w:val="22"/>
        </w:rPr>
        <w:t>havia</w:t>
      </w:r>
      <w:r w:rsidR="003275E4" w:rsidRPr="00A34E41">
        <w:rPr>
          <w:sz w:val="22"/>
          <w:szCs w:val="22"/>
        </w:rPr>
        <w:t xml:space="preserve"> indicaç</w:t>
      </w:r>
      <w:r w:rsidR="0046706B" w:rsidRPr="00A34E41">
        <w:rPr>
          <w:sz w:val="22"/>
          <w:szCs w:val="22"/>
        </w:rPr>
        <w:t>ão</w:t>
      </w:r>
      <w:r w:rsidR="003275E4" w:rsidRPr="00A34E41">
        <w:rPr>
          <w:sz w:val="22"/>
          <w:szCs w:val="22"/>
        </w:rPr>
        <w:t xml:space="preserve"> nos autos de que as montadoras </w:t>
      </w:r>
      <w:r w:rsidR="0046706B" w:rsidRPr="00A34E41">
        <w:rPr>
          <w:sz w:val="22"/>
          <w:szCs w:val="22"/>
        </w:rPr>
        <w:t>participantes</w:t>
      </w:r>
      <w:r w:rsidR="003275E4" w:rsidRPr="00A34E41">
        <w:rPr>
          <w:sz w:val="22"/>
          <w:szCs w:val="22"/>
        </w:rPr>
        <w:t xml:space="preserve"> do certame </w:t>
      </w:r>
      <w:r w:rsidR="0046706B" w:rsidRPr="00A34E41">
        <w:rPr>
          <w:sz w:val="22"/>
          <w:szCs w:val="22"/>
        </w:rPr>
        <w:t>tiveram</w:t>
      </w:r>
      <w:r w:rsidR="003275E4" w:rsidRPr="00A34E41">
        <w:rPr>
          <w:sz w:val="22"/>
          <w:szCs w:val="22"/>
        </w:rPr>
        <w:t xml:space="preserve"> dificuldade em atender </w:t>
      </w:r>
      <w:r w:rsidR="0046706B" w:rsidRPr="00A34E41">
        <w:rPr>
          <w:sz w:val="22"/>
          <w:szCs w:val="22"/>
        </w:rPr>
        <w:t xml:space="preserve">a </w:t>
      </w:r>
      <w:r w:rsidR="003275E4" w:rsidRPr="00A34E41">
        <w:rPr>
          <w:sz w:val="22"/>
          <w:szCs w:val="22"/>
        </w:rPr>
        <w:t xml:space="preserve">tal demanda. Quanto à velocidade máxima superior a 170 Km/h, </w:t>
      </w:r>
      <w:r w:rsidR="00DF0C37" w:rsidRPr="00A34E41">
        <w:rPr>
          <w:sz w:val="22"/>
          <w:szCs w:val="22"/>
        </w:rPr>
        <w:t>o relator concluiu</w:t>
      </w:r>
      <w:r w:rsidR="003275E4" w:rsidRPr="00A34E41">
        <w:rPr>
          <w:sz w:val="22"/>
          <w:szCs w:val="22"/>
        </w:rPr>
        <w:t xml:space="preserve">, </w:t>
      </w:r>
      <w:r w:rsidR="0046706B" w:rsidRPr="00A34E41">
        <w:rPr>
          <w:sz w:val="22"/>
          <w:szCs w:val="22"/>
        </w:rPr>
        <w:t>anuindo</w:t>
      </w:r>
      <w:r w:rsidR="003275E4" w:rsidRPr="00A34E41">
        <w:rPr>
          <w:sz w:val="22"/>
          <w:szCs w:val="22"/>
        </w:rPr>
        <w:t xml:space="preserve"> à </w:t>
      </w:r>
      <w:r w:rsidR="008A5D49" w:rsidRPr="00A34E41">
        <w:rPr>
          <w:sz w:val="22"/>
          <w:szCs w:val="22"/>
        </w:rPr>
        <w:t xml:space="preserve">instrução da </w:t>
      </w:r>
      <w:r w:rsidR="00DF0C37" w:rsidRPr="00A34E41">
        <w:rPr>
          <w:sz w:val="22"/>
          <w:szCs w:val="22"/>
        </w:rPr>
        <w:t>unidade técnica</w:t>
      </w:r>
      <w:r w:rsidR="003275E4" w:rsidRPr="00A34E41">
        <w:rPr>
          <w:sz w:val="22"/>
          <w:szCs w:val="22"/>
        </w:rPr>
        <w:t xml:space="preserve">, que, </w:t>
      </w:r>
      <w:r w:rsidR="00DF0C37" w:rsidRPr="00A34E41">
        <w:rPr>
          <w:i/>
          <w:sz w:val="22"/>
          <w:szCs w:val="22"/>
        </w:rPr>
        <w:t>“</w:t>
      </w:r>
      <w:r w:rsidR="003275E4" w:rsidRPr="00A34E41">
        <w:rPr>
          <w:i/>
          <w:sz w:val="22"/>
          <w:szCs w:val="22"/>
        </w:rPr>
        <w:t>de fato, a velocidade máxima permitida no Código Nacional de Trânsito é de 110 Km/h. Nada obstante, é usual que os veículos, em geral, apresentem velocidade máxima da ordem de 180 Km/h ou mais, indicando que a exigência não pode ser encarada com restritiva da competitividade</w:t>
      </w:r>
      <w:r w:rsidR="00DF0C37" w:rsidRPr="00A34E41">
        <w:rPr>
          <w:i/>
          <w:sz w:val="22"/>
          <w:szCs w:val="22"/>
        </w:rPr>
        <w:t>”</w:t>
      </w:r>
      <w:r w:rsidR="003275E4" w:rsidRPr="00A34E41">
        <w:rPr>
          <w:sz w:val="22"/>
          <w:szCs w:val="22"/>
        </w:rPr>
        <w:t>.</w:t>
      </w:r>
      <w:r w:rsidR="00DF0C37" w:rsidRPr="00A34E41">
        <w:rPr>
          <w:sz w:val="22"/>
          <w:szCs w:val="22"/>
        </w:rPr>
        <w:t xml:space="preserve"> </w:t>
      </w:r>
      <w:r w:rsidR="0046706B" w:rsidRPr="00A34E41">
        <w:rPr>
          <w:sz w:val="22"/>
          <w:szCs w:val="22"/>
        </w:rPr>
        <w:t>O</w:t>
      </w:r>
      <w:r w:rsidR="00DF0C37" w:rsidRPr="00A34E41">
        <w:rPr>
          <w:sz w:val="22"/>
          <w:szCs w:val="22"/>
        </w:rPr>
        <w:t xml:space="preserve"> relator</w:t>
      </w:r>
      <w:r w:rsidR="0046706B" w:rsidRPr="00A34E41">
        <w:rPr>
          <w:sz w:val="22"/>
          <w:szCs w:val="22"/>
        </w:rPr>
        <w:t xml:space="preserve"> também não considerou</w:t>
      </w:r>
      <w:r w:rsidR="003275E4" w:rsidRPr="00A34E41">
        <w:rPr>
          <w:sz w:val="22"/>
          <w:szCs w:val="22"/>
        </w:rPr>
        <w:t xml:space="preserve"> restritiva, tal qual asseverado pela unidade técnica, a exigência, no Convite n.</w:t>
      </w:r>
      <w:r w:rsidR="00DF0C37" w:rsidRPr="00A34E41">
        <w:rPr>
          <w:sz w:val="22"/>
          <w:szCs w:val="22"/>
        </w:rPr>
        <w:t>º</w:t>
      </w:r>
      <w:r w:rsidR="003275E4" w:rsidRPr="00A34E41">
        <w:rPr>
          <w:sz w:val="22"/>
          <w:szCs w:val="22"/>
        </w:rPr>
        <w:t xml:space="preserve"> 5/2005</w:t>
      </w:r>
      <w:r w:rsidR="008A5D49" w:rsidRPr="00A34E41">
        <w:rPr>
          <w:sz w:val="22"/>
          <w:szCs w:val="22"/>
        </w:rPr>
        <w:t xml:space="preserve"> –</w:t>
      </w:r>
      <w:r w:rsidR="003275E4" w:rsidRPr="00A34E41">
        <w:rPr>
          <w:sz w:val="22"/>
          <w:szCs w:val="22"/>
        </w:rPr>
        <w:t xml:space="preserve"> que teve como objeto a compra de veículo do tipo VAN</w:t>
      </w:r>
      <w:r w:rsidR="008A5D49" w:rsidRPr="00A34E41">
        <w:rPr>
          <w:sz w:val="22"/>
          <w:szCs w:val="22"/>
        </w:rPr>
        <w:t xml:space="preserve"> –</w:t>
      </w:r>
      <w:r w:rsidR="003275E4" w:rsidRPr="00A34E41">
        <w:rPr>
          <w:sz w:val="22"/>
          <w:szCs w:val="22"/>
        </w:rPr>
        <w:t>, de poltronas individuais e reclináveis, item que somente teria sido ofertado pela montadora Mercedes-Benz.</w:t>
      </w:r>
      <w:r w:rsidR="00DF0C37" w:rsidRPr="00A34E41">
        <w:rPr>
          <w:sz w:val="22"/>
          <w:szCs w:val="22"/>
        </w:rPr>
        <w:t xml:space="preserve"> </w:t>
      </w:r>
      <w:r w:rsidR="008A5D49" w:rsidRPr="00A34E41">
        <w:rPr>
          <w:sz w:val="22"/>
          <w:szCs w:val="22"/>
        </w:rPr>
        <w:t xml:space="preserve">Considerando que </w:t>
      </w:r>
      <w:r w:rsidR="0070717A" w:rsidRPr="00A34E41">
        <w:rPr>
          <w:sz w:val="22"/>
          <w:szCs w:val="22"/>
        </w:rPr>
        <w:t xml:space="preserve">os veículos são utilizados para percorrer grandes distâncias, </w:t>
      </w:r>
      <w:r w:rsidR="008A5D49" w:rsidRPr="00A34E41">
        <w:rPr>
          <w:sz w:val="22"/>
          <w:szCs w:val="22"/>
        </w:rPr>
        <w:t>conforme assinalado pelos responsáveis,</w:t>
      </w:r>
      <w:r w:rsidR="00DF0C37" w:rsidRPr="00A34E41">
        <w:rPr>
          <w:sz w:val="22"/>
          <w:szCs w:val="22"/>
        </w:rPr>
        <w:t xml:space="preserve"> o relator </w:t>
      </w:r>
      <w:r w:rsidR="0070717A" w:rsidRPr="00A34E41">
        <w:rPr>
          <w:sz w:val="22"/>
          <w:szCs w:val="22"/>
        </w:rPr>
        <w:t>não considero</w:t>
      </w:r>
      <w:r w:rsidR="00DF0C37" w:rsidRPr="00A34E41">
        <w:rPr>
          <w:sz w:val="22"/>
          <w:szCs w:val="22"/>
        </w:rPr>
        <w:t>u</w:t>
      </w:r>
      <w:r w:rsidR="0070717A" w:rsidRPr="00A34E41">
        <w:rPr>
          <w:sz w:val="22"/>
          <w:szCs w:val="22"/>
        </w:rPr>
        <w:t xml:space="preserve"> </w:t>
      </w:r>
      <w:r w:rsidR="00DF0C37" w:rsidRPr="00A34E41">
        <w:rPr>
          <w:i/>
          <w:sz w:val="22"/>
          <w:szCs w:val="22"/>
        </w:rPr>
        <w:t>“</w:t>
      </w:r>
      <w:r w:rsidR="0070717A" w:rsidRPr="00A34E41">
        <w:rPr>
          <w:i/>
          <w:sz w:val="22"/>
          <w:szCs w:val="22"/>
        </w:rPr>
        <w:t>desar</w:t>
      </w:r>
      <w:r w:rsidR="00DF0C37" w:rsidRPr="00A34E41">
        <w:rPr>
          <w:i/>
          <w:sz w:val="22"/>
          <w:szCs w:val="22"/>
        </w:rPr>
        <w:t>r</w:t>
      </w:r>
      <w:r w:rsidR="0070717A" w:rsidRPr="00A34E41">
        <w:rPr>
          <w:i/>
          <w:sz w:val="22"/>
          <w:szCs w:val="22"/>
        </w:rPr>
        <w:t>azoada a especificação, tampouco geradora de restrição à competitividade</w:t>
      </w:r>
      <w:r w:rsidR="00DF0C37" w:rsidRPr="00A34E41">
        <w:rPr>
          <w:i/>
          <w:sz w:val="22"/>
          <w:szCs w:val="22"/>
        </w:rPr>
        <w:t>”</w:t>
      </w:r>
      <w:r w:rsidR="0070717A" w:rsidRPr="00A34E41">
        <w:rPr>
          <w:sz w:val="22"/>
          <w:szCs w:val="22"/>
        </w:rPr>
        <w:t xml:space="preserve">. </w:t>
      </w:r>
      <w:r w:rsidR="00DF0C37" w:rsidRPr="00A34E41">
        <w:rPr>
          <w:sz w:val="22"/>
          <w:szCs w:val="22"/>
        </w:rPr>
        <w:t xml:space="preserve">A Primeira Câmara acolheu o voto do relator. </w:t>
      </w:r>
      <w:r w:rsidR="003275E4" w:rsidRPr="00A34E41">
        <w:rPr>
          <w:b/>
          <w:i/>
          <w:sz w:val="22"/>
          <w:szCs w:val="22"/>
        </w:rPr>
        <w:t>Acórdão n.º 2568/2010</w:t>
      </w:r>
      <w:r w:rsidR="00151F92" w:rsidRPr="00A34E41">
        <w:rPr>
          <w:b/>
          <w:i/>
          <w:sz w:val="22"/>
          <w:szCs w:val="22"/>
        </w:rPr>
        <w:t>-1ª Câmara</w:t>
      </w:r>
      <w:r w:rsidR="003275E4" w:rsidRPr="00A34E41">
        <w:rPr>
          <w:b/>
          <w:i/>
          <w:sz w:val="22"/>
          <w:szCs w:val="22"/>
        </w:rPr>
        <w:t>, TC-017.241/2006-9, rel. Min-Subs</w:t>
      </w:r>
      <w:r w:rsidR="00151F92" w:rsidRPr="00A34E41">
        <w:rPr>
          <w:b/>
          <w:i/>
          <w:sz w:val="22"/>
          <w:szCs w:val="22"/>
        </w:rPr>
        <w:t>t</w:t>
      </w:r>
      <w:r w:rsidR="003275E4" w:rsidRPr="00A34E41">
        <w:rPr>
          <w:b/>
          <w:i/>
          <w:sz w:val="22"/>
          <w:szCs w:val="22"/>
        </w:rPr>
        <w:t>. Marcos Bemquerer Costa, 18.05.2010</w:t>
      </w:r>
      <w:r w:rsidR="003275E4" w:rsidRPr="00A34E41">
        <w:rPr>
          <w:sz w:val="22"/>
          <w:szCs w:val="22"/>
        </w:rPr>
        <w:t>.</w:t>
      </w:r>
    </w:p>
    <w:p w:rsidR="00981FA0" w:rsidRPr="00A34E41" w:rsidRDefault="00981FA0" w:rsidP="00337E16">
      <w:pPr>
        <w:pStyle w:val="enter-3pt"/>
        <w:spacing w:line="240" w:lineRule="auto"/>
        <w:rPr>
          <w:sz w:val="22"/>
          <w:szCs w:val="22"/>
        </w:rPr>
      </w:pPr>
    </w:p>
    <w:p w:rsidR="008A2417" w:rsidRPr="00A34E41" w:rsidRDefault="008A2417" w:rsidP="008A2417">
      <w:pPr>
        <w:pBdr>
          <w:top w:val="threeDEmboss" w:sz="24" w:space="0" w:color="auto"/>
        </w:pBdr>
        <w:tabs>
          <w:tab w:val="left" w:pos="284"/>
        </w:tabs>
        <w:spacing w:after="0"/>
        <w:ind w:left="0"/>
        <w:jc w:val="center"/>
        <w:rPr>
          <w:b/>
          <w:bCs/>
          <w:smallCaps/>
          <w:sz w:val="22"/>
          <w:szCs w:val="22"/>
        </w:rPr>
      </w:pPr>
      <w:r w:rsidRPr="00A34E41">
        <w:rPr>
          <w:b/>
          <w:bCs/>
          <w:smallCaps/>
          <w:sz w:val="22"/>
          <w:szCs w:val="22"/>
        </w:rPr>
        <w:t>SEGUNDA CÂMARA</w:t>
      </w:r>
    </w:p>
    <w:p w:rsidR="008A2417" w:rsidRPr="00A34E41" w:rsidRDefault="008A2417" w:rsidP="008A2417">
      <w:pPr>
        <w:pStyle w:val="Pargrafo"/>
        <w:jc w:val="both"/>
        <w:rPr>
          <w:b/>
          <w:sz w:val="22"/>
          <w:szCs w:val="22"/>
        </w:rPr>
      </w:pPr>
    </w:p>
    <w:p w:rsidR="008A2417" w:rsidRPr="00A34E41" w:rsidRDefault="00D51F18" w:rsidP="008A2417">
      <w:pPr>
        <w:pStyle w:val="Pargrafo"/>
        <w:jc w:val="both"/>
        <w:rPr>
          <w:b/>
          <w:sz w:val="22"/>
          <w:szCs w:val="22"/>
        </w:rPr>
      </w:pPr>
      <w:r w:rsidRPr="00A34E41">
        <w:rPr>
          <w:b/>
          <w:sz w:val="22"/>
          <w:szCs w:val="22"/>
        </w:rPr>
        <w:t>Contratação de empresa cujos sócios são servidores públicos</w:t>
      </w:r>
    </w:p>
    <w:p w:rsidR="008A2417" w:rsidRPr="000F1075" w:rsidRDefault="00C85AC7" w:rsidP="008A2417">
      <w:pPr>
        <w:pStyle w:val="Pargrafo"/>
        <w:jc w:val="both"/>
        <w:rPr>
          <w:sz w:val="22"/>
          <w:szCs w:val="22"/>
        </w:rPr>
      </w:pPr>
      <w:r w:rsidRPr="00A34E41">
        <w:rPr>
          <w:sz w:val="22"/>
          <w:szCs w:val="22"/>
        </w:rPr>
        <w:t>R</w:t>
      </w:r>
      <w:r w:rsidR="00D51F18" w:rsidRPr="00A34E41">
        <w:rPr>
          <w:sz w:val="22"/>
          <w:szCs w:val="22"/>
        </w:rPr>
        <w:t xml:space="preserve">epresentação </w:t>
      </w:r>
      <w:r w:rsidRPr="00A34E41">
        <w:rPr>
          <w:sz w:val="22"/>
          <w:szCs w:val="22"/>
        </w:rPr>
        <w:t>formulada ao TCU indicou</w:t>
      </w:r>
      <w:r w:rsidR="00D51F18" w:rsidRPr="00A34E41">
        <w:rPr>
          <w:sz w:val="22"/>
          <w:szCs w:val="22"/>
        </w:rPr>
        <w:t xml:space="preserve"> possíveis irregularidades</w:t>
      </w:r>
      <w:r w:rsidR="00AA7540" w:rsidRPr="00A34E41">
        <w:rPr>
          <w:sz w:val="22"/>
          <w:szCs w:val="22"/>
        </w:rPr>
        <w:t xml:space="preserve"> </w:t>
      </w:r>
      <w:r w:rsidR="00D51F18" w:rsidRPr="00A34E41">
        <w:rPr>
          <w:sz w:val="22"/>
          <w:szCs w:val="22"/>
        </w:rPr>
        <w:t xml:space="preserve">na execução de contratos </w:t>
      </w:r>
      <w:r w:rsidR="00005E1E" w:rsidRPr="00A34E41">
        <w:rPr>
          <w:sz w:val="22"/>
          <w:szCs w:val="22"/>
        </w:rPr>
        <w:t>envolvendo</w:t>
      </w:r>
      <w:r w:rsidR="00D51F18" w:rsidRPr="00A34E41">
        <w:rPr>
          <w:sz w:val="22"/>
          <w:szCs w:val="22"/>
        </w:rPr>
        <w:t xml:space="preserve"> exames anatomopatológicos e citopatológicos, </w:t>
      </w:r>
      <w:r w:rsidR="007224C2" w:rsidRPr="00A34E41">
        <w:rPr>
          <w:sz w:val="22"/>
          <w:szCs w:val="22"/>
        </w:rPr>
        <w:t>no âmbito do Hospital Escola da Fundação Universidade Federal de Pelotas (U</w:t>
      </w:r>
      <w:r w:rsidR="005E269C" w:rsidRPr="00A34E41">
        <w:rPr>
          <w:sz w:val="22"/>
          <w:szCs w:val="22"/>
        </w:rPr>
        <w:t>FPEL</w:t>
      </w:r>
      <w:r w:rsidR="007224C2" w:rsidRPr="00A34E41">
        <w:rPr>
          <w:sz w:val="22"/>
          <w:szCs w:val="22"/>
        </w:rPr>
        <w:t>)</w:t>
      </w:r>
      <w:r w:rsidR="00D51F18" w:rsidRPr="00A34E41">
        <w:rPr>
          <w:sz w:val="22"/>
          <w:szCs w:val="22"/>
        </w:rPr>
        <w:t>.</w:t>
      </w:r>
      <w:r w:rsidRPr="00A34E41">
        <w:rPr>
          <w:sz w:val="22"/>
          <w:szCs w:val="22"/>
        </w:rPr>
        <w:t xml:space="preserve"> Foi promovida a audiência do </w:t>
      </w:r>
      <w:r w:rsidR="00D51F18" w:rsidRPr="00A34E41">
        <w:rPr>
          <w:sz w:val="22"/>
          <w:szCs w:val="22"/>
        </w:rPr>
        <w:t xml:space="preserve">Reitor </w:t>
      </w:r>
      <w:r w:rsidR="007224C2" w:rsidRPr="00A34E41">
        <w:rPr>
          <w:sz w:val="22"/>
          <w:szCs w:val="22"/>
        </w:rPr>
        <w:t>em razão das</w:t>
      </w:r>
      <w:r w:rsidRPr="00A34E41">
        <w:rPr>
          <w:sz w:val="22"/>
          <w:szCs w:val="22"/>
        </w:rPr>
        <w:t xml:space="preserve"> irregularidades apuradas pela unidade técnica, entre elas a autorização de pagamentos </w:t>
      </w:r>
      <w:r w:rsidR="007224C2" w:rsidRPr="00A34E41">
        <w:rPr>
          <w:sz w:val="22"/>
          <w:szCs w:val="22"/>
        </w:rPr>
        <w:t>à empresa</w:t>
      </w:r>
      <w:r w:rsidRPr="00A34E41">
        <w:rPr>
          <w:sz w:val="22"/>
          <w:szCs w:val="22"/>
        </w:rPr>
        <w:t xml:space="preserve"> Laboratório de Patologia e Citologia de Pelotas Ltda. – contratad</w:t>
      </w:r>
      <w:r w:rsidR="007224C2" w:rsidRPr="00A34E41">
        <w:rPr>
          <w:sz w:val="22"/>
          <w:szCs w:val="22"/>
        </w:rPr>
        <w:t>a</w:t>
      </w:r>
      <w:r w:rsidRPr="00A34E41">
        <w:rPr>
          <w:sz w:val="22"/>
          <w:szCs w:val="22"/>
        </w:rPr>
        <w:t xml:space="preserve"> sem processo licitatório –, </w:t>
      </w:r>
      <w:r w:rsidRPr="00A34E41">
        <w:rPr>
          <w:i/>
          <w:sz w:val="22"/>
          <w:szCs w:val="22"/>
        </w:rPr>
        <w:t>“formad</w:t>
      </w:r>
      <w:r w:rsidR="007224C2" w:rsidRPr="00A34E41">
        <w:rPr>
          <w:i/>
          <w:sz w:val="22"/>
          <w:szCs w:val="22"/>
        </w:rPr>
        <w:t>a</w:t>
      </w:r>
      <w:r w:rsidRPr="00A34E41">
        <w:rPr>
          <w:i/>
          <w:sz w:val="22"/>
          <w:szCs w:val="22"/>
        </w:rPr>
        <w:t xml:space="preserve"> por sócios, responsáveis técnicos pelos serviços, que são também servi</w:t>
      </w:r>
      <w:r w:rsidR="007224C2" w:rsidRPr="00A34E41">
        <w:rPr>
          <w:i/>
          <w:sz w:val="22"/>
          <w:szCs w:val="22"/>
        </w:rPr>
        <w:t>dores ativos da Ufpel</w:t>
      </w:r>
      <w:r w:rsidRPr="00A34E41">
        <w:rPr>
          <w:i/>
          <w:sz w:val="22"/>
          <w:szCs w:val="22"/>
        </w:rPr>
        <w:t>”</w:t>
      </w:r>
      <w:r w:rsidRPr="00A34E41">
        <w:rPr>
          <w:sz w:val="22"/>
          <w:szCs w:val="22"/>
        </w:rPr>
        <w:t xml:space="preserve">. O </w:t>
      </w:r>
      <w:r w:rsidR="00D51F18" w:rsidRPr="00A34E41">
        <w:rPr>
          <w:sz w:val="22"/>
          <w:szCs w:val="22"/>
        </w:rPr>
        <w:t xml:space="preserve">Diretor Geral do Hospital Escola da </w:t>
      </w:r>
      <w:r w:rsidR="005E269C" w:rsidRPr="00A34E41">
        <w:rPr>
          <w:sz w:val="22"/>
          <w:szCs w:val="22"/>
        </w:rPr>
        <w:t>UFPEL</w:t>
      </w:r>
      <w:r w:rsidRPr="00A34E41">
        <w:rPr>
          <w:sz w:val="22"/>
          <w:szCs w:val="22"/>
        </w:rPr>
        <w:t xml:space="preserve"> foi ouvido em audiência</w:t>
      </w:r>
      <w:r w:rsidR="0067353C" w:rsidRPr="00A34E41">
        <w:rPr>
          <w:sz w:val="22"/>
          <w:szCs w:val="22"/>
        </w:rPr>
        <w:t xml:space="preserve"> </w:t>
      </w:r>
      <w:r w:rsidR="005E269C" w:rsidRPr="00A34E41">
        <w:rPr>
          <w:sz w:val="22"/>
          <w:szCs w:val="22"/>
        </w:rPr>
        <w:t>pelo</w:t>
      </w:r>
      <w:r w:rsidR="0067353C" w:rsidRPr="00A34E41">
        <w:rPr>
          <w:sz w:val="22"/>
          <w:szCs w:val="22"/>
        </w:rPr>
        <w:t xml:space="preserve"> c</w:t>
      </w:r>
      <w:r w:rsidR="00D51F18" w:rsidRPr="00A34E41">
        <w:rPr>
          <w:sz w:val="22"/>
          <w:szCs w:val="22"/>
        </w:rPr>
        <w:t xml:space="preserve">onflito </w:t>
      </w:r>
      <w:r w:rsidR="0067353C" w:rsidRPr="00A34E41">
        <w:rPr>
          <w:i/>
          <w:sz w:val="22"/>
          <w:szCs w:val="22"/>
        </w:rPr>
        <w:t>“</w:t>
      </w:r>
      <w:r w:rsidR="00D51F18" w:rsidRPr="00A34E41">
        <w:rPr>
          <w:i/>
          <w:sz w:val="22"/>
          <w:szCs w:val="22"/>
        </w:rPr>
        <w:t>entre os deveres funcionais como servidor público e diretor do Hospital Escola, dispondo de poder acerca de decisões sobre contratação e pagamento de fornecedores de serviço, além de ser médico patologista, citopatologista e anatomopatologista, e os interesses particulares, como sócio da empresa Lapacit Ltda., prestadora de serviços ao Hospital Escola</w:t>
      </w:r>
      <w:r w:rsidR="0067353C" w:rsidRPr="00A34E41">
        <w:rPr>
          <w:i/>
          <w:sz w:val="22"/>
          <w:szCs w:val="22"/>
        </w:rPr>
        <w:t>”</w:t>
      </w:r>
      <w:r w:rsidR="0067353C" w:rsidRPr="00A34E41">
        <w:rPr>
          <w:sz w:val="22"/>
          <w:szCs w:val="22"/>
        </w:rPr>
        <w:t xml:space="preserve">. </w:t>
      </w:r>
      <w:r w:rsidR="00005E1E" w:rsidRPr="00A34E41">
        <w:rPr>
          <w:sz w:val="22"/>
          <w:szCs w:val="22"/>
        </w:rPr>
        <w:t>Para o relator, r</w:t>
      </w:r>
      <w:r w:rsidR="00D51F18" w:rsidRPr="00A34E41">
        <w:rPr>
          <w:sz w:val="22"/>
          <w:szCs w:val="22"/>
        </w:rPr>
        <w:t>estou</w:t>
      </w:r>
      <w:r w:rsidR="007224C2" w:rsidRPr="00A34E41">
        <w:rPr>
          <w:sz w:val="22"/>
          <w:szCs w:val="22"/>
        </w:rPr>
        <w:t>, de fato,</w:t>
      </w:r>
      <w:r w:rsidR="00D51F18" w:rsidRPr="00A34E41">
        <w:rPr>
          <w:sz w:val="22"/>
          <w:szCs w:val="22"/>
        </w:rPr>
        <w:t xml:space="preserve"> comprovado que </w:t>
      </w:r>
      <w:r w:rsidR="0067353C" w:rsidRPr="00A34E41">
        <w:rPr>
          <w:sz w:val="22"/>
          <w:szCs w:val="22"/>
        </w:rPr>
        <w:t>três s</w:t>
      </w:r>
      <w:r w:rsidR="00D51F18" w:rsidRPr="00A34E41">
        <w:rPr>
          <w:sz w:val="22"/>
          <w:szCs w:val="22"/>
        </w:rPr>
        <w:t>ervidores</w:t>
      </w:r>
      <w:r w:rsidR="0067353C" w:rsidRPr="00A34E41">
        <w:rPr>
          <w:sz w:val="22"/>
          <w:szCs w:val="22"/>
        </w:rPr>
        <w:t>, entre eles o Diretor Geral do Hospital Escola,</w:t>
      </w:r>
      <w:r w:rsidR="00D51F18" w:rsidRPr="00A34E41">
        <w:rPr>
          <w:sz w:val="22"/>
          <w:szCs w:val="22"/>
        </w:rPr>
        <w:t xml:space="preserve"> são médicos da </w:t>
      </w:r>
      <w:r w:rsidR="00005E1E" w:rsidRPr="00A34E41">
        <w:rPr>
          <w:sz w:val="22"/>
          <w:szCs w:val="22"/>
        </w:rPr>
        <w:t>u</w:t>
      </w:r>
      <w:r w:rsidR="00D51F18" w:rsidRPr="00A34E41">
        <w:rPr>
          <w:sz w:val="22"/>
          <w:szCs w:val="22"/>
        </w:rPr>
        <w:t>niversidade e det</w:t>
      </w:r>
      <w:r w:rsidR="0067353C" w:rsidRPr="00A34E41">
        <w:rPr>
          <w:sz w:val="22"/>
          <w:szCs w:val="22"/>
        </w:rPr>
        <w:t>ê</w:t>
      </w:r>
      <w:r w:rsidR="00D51F18" w:rsidRPr="00A34E41">
        <w:rPr>
          <w:sz w:val="22"/>
          <w:szCs w:val="22"/>
        </w:rPr>
        <w:t>m vínculo societário com o Laboratório de Patologia e Citologia de Pelotas Ltda., prática vedada pelo inciso III do art</w:t>
      </w:r>
      <w:r w:rsidR="0067353C" w:rsidRPr="00A34E41">
        <w:rPr>
          <w:sz w:val="22"/>
          <w:szCs w:val="22"/>
        </w:rPr>
        <w:t>.</w:t>
      </w:r>
      <w:r w:rsidR="00D51F18" w:rsidRPr="00A34E41">
        <w:rPr>
          <w:sz w:val="22"/>
          <w:szCs w:val="22"/>
        </w:rPr>
        <w:t xml:space="preserve"> 9º da Lei </w:t>
      </w:r>
      <w:r w:rsidR="0067353C" w:rsidRPr="00A34E41">
        <w:rPr>
          <w:sz w:val="22"/>
          <w:szCs w:val="22"/>
        </w:rPr>
        <w:t xml:space="preserve">n.º </w:t>
      </w:r>
      <w:r w:rsidR="00D51F18" w:rsidRPr="00A34E41">
        <w:rPr>
          <w:sz w:val="22"/>
          <w:szCs w:val="22"/>
        </w:rPr>
        <w:t xml:space="preserve">8.666/93. </w:t>
      </w:r>
      <w:r w:rsidR="0067353C" w:rsidRPr="00A34E41">
        <w:rPr>
          <w:sz w:val="22"/>
          <w:szCs w:val="22"/>
        </w:rPr>
        <w:t xml:space="preserve">O relator anuiu à conclusão da unidade técnica, no sentido de que </w:t>
      </w:r>
      <w:r w:rsidR="00D51F18" w:rsidRPr="00A34E41">
        <w:rPr>
          <w:sz w:val="22"/>
          <w:szCs w:val="22"/>
        </w:rPr>
        <w:t xml:space="preserve">o </w:t>
      </w:r>
      <w:r w:rsidR="009E04DC" w:rsidRPr="00A34E41">
        <w:rPr>
          <w:sz w:val="22"/>
          <w:szCs w:val="22"/>
        </w:rPr>
        <w:t xml:space="preserve">Diretor Geral do Hospital Escola </w:t>
      </w:r>
      <w:r w:rsidR="00D51F18" w:rsidRPr="00A34E41">
        <w:rPr>
          <w:sz w:val="22"/>
          <w:szCs w:val="22"/>
        </w:rPr>
        <w:t>atraiu para si a responsabilidade pela irregularidade</w:t>
      </w:r>
      <w:r w:rsidR="00005E1E" w:rsidRPr="00A34E41">
        <w:rPr>
          <w:sz w:val="22"/>
          <w:szCs w:val="22"/>
        </w:rPr>
        <w:t>,</w:t>
      </w:r>
      <w:r w:rsidR="00D51F18" w:rsidRPr="00A34E41">
        <w:rPr>
          <w:sz w:val="22"/>
          <w:szCs w:val="22"/>
        </w:rPr>
        <w:t xml:space="preserve"> ao deixar de se afastar da sociedade no momento de sua nomeação para o cargo de Diretor. </w:t>
      </w:r>
      <w:r w:rsidR="0067353C" w:rsidRPr="00A34E41">
        <w:rPr>
          <w:sz w:val="22"/>
          <w:szCs w:val="22"/>
        </w:rPr>
        <w:t xml:space="preserve">Ressaltou, </w:t>
      </w:r>
      <w:r w:rsidR="005E269C" w:rsidRPr="00A34E41">
        <w:rPr>
          <w:sz w:val="22"/>
          <w:szCs w:val="22"/>
        </w:rPr>
        <w:t>também</w:t>
      </w:r>
      <w:r w:rsidR="0067353C" w:rsidRPr="00A34E41">
        <w:rPr>
          <w:sz w:val="22"/>
          <w:szCs w:val="22"/>
        </w:rPr>
        <w:t>, que s</w:t>
      </w:r>
      <w:r w:rsidR="00D51F18" w:rsidRPr="00A34E41">
        <w:rPr>
          <w:sz w:val="22"/>
          <w:szCs w:val="22"/>
        </w:rPr>
        <w:t xml:space="preserve">uas funções exercidas no âmbito da </w:t>
      </w:r>
      <w:r w:rsidR="005E269C" w:rsidRPr="00A34E41">
        <w:rPr>
          <w:sz w:val="22"/>
          <w:szCs w:val="22"/>
        </w:rPr>
        <w:t xml:space="preserve">UFPEL </w:t>
      </w:r>
      <w:r w:rsidR="00D51F18" w:rsidRPr="00A34E41">
        <w:rPr>
          <w:sz w:val="22"/>
          <w:szCs w:val="22"/>
        </w:rPr>
        <w:t>e do Hospital Escola</w:t>
      </w:r>
      <w:r w:rsidR="009E04DC" w:rsidRPr="00A34E41">
        <w:rPr>
          <w:sz w:val="22"/>
          <w:szCs w:val="22"/>
        </w:rPr>
        <w:t xml:space="preserve"> </w:t>
      </w:r>
      <w:r w:rsidR="0067353C" w:rsidRPr="00A34E41">
        <w:rPr>
          <w:i/>
          <w:sz w:val="22"/>
          <w:szCs w:val="22"/>
        </w:rPr>
        <w:t>“</w:t>
      </w:r>
      <w:r w:rsidR="00D51F18" w:rsidRPr="00A34E41">
        <w:rPr>
          <w:i/>
          <w:sz w:val="22"/>
          <w:szCs w:val="22"/>
        </w:rPr>
        <w:t>são incompatíveis com sua condição de sócio da empresa Lapacit Ltda., prestadora de serviços ao Hospital Escola, na qual está referido como responsável pelo serviço, junto ao cadastro de estabelecimentos de saúde do SUS</w:t>
      </w:r>
      <w:r w:rsidR="0067353C" w:rsidRPr="00A34E41">
        <w:rPr>
          <w:i/>
          <w:sz w:val="22"/>
          <w:szCs w:val="22"/>
        </w:rPr>
        <w:t>”</w:t>
      </w:r>
      <w:r w:rsidR="00D51F18" w:rsidRPr="00A34E41">
        <w:rPr>
          <w:sz w:val="22"/>
          <w:szCs w:val="22"/>
        </w:rPr>
        <w:t>.</w:t>
      </w:r>
      <w:r w:rsidR="0067353C" w:rsidRPr="00A34E41">
        <w:rPr>
          <w:sz w:val="22"/>
          <w:szCs w:val="22"/>
        </w:rPr>
        <w:t xml:space="preserve"> Ao final, o relator propôs e a Segunda Câmara decidiu aplicar multa aos responsáveis, sem prejuízo de </w:t>
      </w:r>
      <w:r w:rsidR="0067353C" w:rsidRPr="00A34E41">
        <w:rPr>
          <w:i/>
          <w:sz w:val="22"/>
          <w:szCs w:val="22"/>
        </w:rPr>
        <w:t>“</w:t>
      </w:r>
      <w:r w:rsidR="00D51F18" w:rsidRPr="00A34E41">
        <w:rPr>
          <w:i/>
          <w:sz w:val="22"/>
          <w:szCs w:val="22"/>
        </w:rPr>
        <w:t>encaminhar cópia deste acórdão</w:t>
      </w:r>
      <w:r w:rsidR="005E269C" w:rsidRPr="00A34E41">
        <w:rPr>
          <w:i/>
          <w:sz w:val="22"/>
          <w:szCs w:val="22"/>
        </w:rPr>
        <w:t>,</w:t>
      </w:r>
      <w:r w:rsidR="00D51F18" w:rsidRPr="00A34E41">
        <w:rPr>
          <w:i/>
          <w:sz w:val="22"/>
          <w:szCs w:val="22"/>
        </w:rPr>
        <w:t xml:space="preserve"> e seu relatório e voto</w:t>
      </w:r>
      <w:r w:rsidR="005E269C" w:rsidRPr="00A34E41">
        <w:rPr>
          <w:i/>
          <w:sz w:val="22"/>
          <w:szCs w:val="22"/>
        </w:rPr>
        <w:t>,</w:t>
      </w:r>
      <w:r w:rsidR="00D51F18" w:rsidRPr="00A34E41">
        <w:rPr>
          <w:i/>
          <w:sz w:val="22"/>
          <w:szCs w:val="22"/>
        </w:rPr>
        <w:t xml:space="preserve"> ao Ministério Público Federal em Pelotas/RS, em face da possibilidade de ocorrência da conduta ilícita definida como improbidade administrativa</w:t>
      </w:r>
      <w:r w:rsidR="005E269C" w:rsidRPr="00A34E41">
        <w:rPr>
          <w:i/>
          <w:sz w:val="22"/>
          <w:szCs w:val="22"/>
        </w:rPr>
        <w:t>,</w:t>
      </w:r>
      <w:r w:rsidR="00D51F18" w:rsidRPr="00A34E41">
        <w:rPr>
          <w:i/>
          <w:sz w:val="22"/>
          <w:szCs w:val="22"/>
        </w:rPr>
        <w:t xml:space="preserve"> em relação ao </w:t>
      </w:r>
      <w:r w:rsidR="00C2305C" w:rsidRPr="00A34E41">
        <w:rPr>
          <w:i/>
          <w:sz w:val="22"/>
          <w:szCs w:val="22"/>
        </w:rPr>
        <w:t>[...]</w:t>
      </w:r>
      <w:r w:rsidR="00D51F18" w:rsidRPr="00A34E41">
        <w:rPr>
          <w:i/>
          <w:sz w:val="22"/>
          <w:szCs w:val="22"/>
        </w:rPr>
        <w:t xml:space="preserve"> Diretor Geral do Hospital Escola da UFPEL (art. 9º, inc. VIII</w:t>
      </w:r>
      <w:r w:rsidR="009E04DC" w:rsidRPr="00A34E41">
        <w:rPr>
          <w:i/>
          <w:sz w:val="22"/>
          <w:szCs w:val="22"/>
        </w:rPr>
        <w:t>,</w:t>
      </w:r>
      <w:r w:rsidR="00D51F18" w:rsidRPr="00A34E41">
        <w:rPr>
          <w:i/>
          <w:sz w:val="22"/>
          <w:szCs w:val="22"/>
        </w:rPr>
        <w:t xml:space="preserve"> e art. 11, </w:t>
      </w:r>
      <w:r w:rsidR="00D51F18" w:rsidRPr="00A34E41">
        <w:rPr>
          <w:b/>
          <w:i/>
          <w:sz w:val="22"/>
          <w:szCs w:val="22"/>
        </w:rPr>
        <w:t>caput</w:t>
      </w:r>
      <w:r w:rsidR="00D51F18" w:rsidRPr="00A34E41">
        <w:rPr>
          <w:i/>
          <w:sz w:val="22"/>
          <w:szCs w:val="22"/>
        </w:rPr>
        <w:t>, da Lei 8.429/92)</w:t>
      </w:r>
      <w:r w:rsidR="00C2305C" w:rsidRPr="00A34E41">
        <w:rPr>
          <w:i/>
          <w:sz w:val="22"/>
          <w:szCs w:val="22"/>
        </w:rPr>
        <w:t>”</w:t>
      </w:r>
      <w:r w:rsidR="00C2305C" w:rsidRPr="00A34E41">
        <w:rPr>
          <w:sz w:val="22"/>
          <w:szCs w:val="22"/>
        </w:rPr>
        <w:t xml:space="preserve">. </w:t>
      </w:r>
      <w:r w:rsidR="008A2417" w:rsidRPr="00A34E41">
        <w:rPr>
          <w:b/>
          <w:i/>
          <w:sz w:val="22"/>
          <w:szCs w:val="22"/>
        </w:rPr>
        <w:t>Acórdão n.º 2</w:t>
      </w:r>
      <w:r w:rsidR="00D51F18" w:rsidRPr="00A34E41">
        <w:rPr>
          <w:b/>
          <w:i/>
          <w:sz w:val="22"/>
          <w:szCs w:val="22"/>
        </w:rPr>
        <w:t>411</w:t>
      </w:r>
      <w:r w:rsidR="008A2417" w:rsidRPr="00A34E41">
        <w:rPr>
          <w:b/>
          <w:i/>
          <w:sz w:val="22"/>
          <w:szCs w:val="22"/>
        </w:rPr>
        <w:t>/2010</w:t>
      </w:r>
      <w:r w:rsidR="00151F92" w:rsidRPr="00A34E41">
        <w:rPr>
          <w:b/>
          <w:i/>
          <w:sz w:val="22"/>
          <w:szCs w:val="22"/>
        </w:rPr>
        <w:t>-2ª Câmara</w:t>
      </w:r>
      <w:r w:rsidR="008A2417" w:rsidRPr="00A34E41">
        <w:rPr>
          <w:b/>
          <w:i/>
          <w:sz w:val="22"/>
          <w:szCs w:val="22"/>
        </w:rPr>
        <w:t>,</w:t>
      </w:r>
      <w:r w:rsidR="008A2417" w:rsidRPr="000F1075">
        <w:rPr>
          <w:b/>
          <w:i/>
          <w:sz w:val="22"/>
          <w:szCs w:val="22"/>
        </w:rPr>
        <w:t xml:space="preserve"> TC-0</w:t>
      </w:r>
      <w:r w:rsidR="00D51F18" w:rsidRPr="000F1075">
        <w:rPr>
          <w:b/>
          <w:i/>
          <w:sz w:val="22"/>
          <w:szCs w:val="22"/>
        </w:rPr>
        <w:t>22</w:t>
      </w:r>
      <w:r w:rsidR="008A2417" w:rsidRPr="000F1075">
        <w:rPr>
          <w:b/>
          <w:i/>
          <w:sz w:val="22"/>
          <w:szCs w:val="22"/>
        </w:rPr>
        <w:t>.</w:t>
      </w:r>
      <w:r w:rsidR="00D51F18" w:rsidRPr="000F1075">
        <w:rPr>
          <w:b/>
          <w:i/>
          <w:sz w:val="22"/>
          <w:szCs w:val="22"/>
        </w:rPr>
        <w:t>559</w:t>
      </w:r>
      <w:r w:rsidR="008A2417" w:rsidRPr="000F1075">
        <w:rPr>
          <w:b/>
          <w:i/>
          <w:sz w:val="22"/>
          <w:szCs w:val="22"/>
        </w:rPr>
        <w:t>/2008-</w:t>
      </w:r>
      <w:r w:rsidR="00D51F18" w:rsidRPr="000F1075">
        <w:rPr>
          <w:b/>
          <w:i/>
          <w:sz w:val="22"/>
          <w:szCs w:val="22"/>
        </w:rPr>
        <w:t>7</w:t>
      </w:r>
      <w:r w:rsidR="008A2417" w:rsidRPr="000F1075">
        <w:rPr>
          <w:b/>
          <w:i/>
          <w:sz w:val="22"/>
          <w:szCs w:val="22"/>
        </w:rPr>
        <w:t xml:space="preserve">, rel. Min. </w:t>
      </w:r>
      <w:r w:rsidR="00D51F18" w:rsidRPr="000F1075">
        <w:rPr>
          <w:b/>
          <w:i/>
          <w:sz w:val="22"/>
          <w:szCs w:val="22"/>
        </w:rPr>
        <w:t>Aroldo Cedraz</w:t>
      </w:r>
      <w:r w:rsidR="008A2417" w:rsidRPr="000F1075">
        <w:rPr>
          <w:b/>
          <w:i/>
          <w:sz w:val="22"/>
          <w:szCs w:val="22"/>
        </w:rPr>
        <w:t>, 1</w:t>
      </w:r>
      <w:r w:rsidR="00D51F18" w:rsidRPr="000F1075">
        <w:rPr>
          <w:b/>
          <w:i/>
          <w:sz w:val="22"/>
          <w:szCs w:val="22"/>
        </w:rPr>
        <w:t>8</w:t>
      </w:r>
      <w:r w:rsidR="008A2417" w:rsidRPr="000F1075">
        <w:rPr>
          <w:b/>
          <w:i/>
          <w:sz w:val="22"/>
          <w:szCs w:val="22"/>
        </w:rPr>
        <w:t>.05.2010</w:t>
      </w:r>
      <w:r w:rsidR="008A2417" w:rsidRPr="000F1075">
        <w:rPr>
          <w:sz w:val="22"/>
          <w:szCs w:val="22"/>
        </w:rPr>
        <w:t>.</w:t>
      </w:r>
    </w:p>
    <w:p w:rsidR="00785CF8" w:rsidRPr="00337E16" w:rsidRDefault="00785CF8" w:rsidP="00337E1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337E16" w:rsidTr="00F03AB9">
        <w:trPr>
          <w:trHeight w:val="779"/>
          <w:jc w:val="center"/>
        </w:trPr>
        <w:tc>
          <w:tcPr>
            <w:tcW w:w="0" w:type="auto"/>
            <w:vAlign w:val="center"/>
          </w:tcPr>
          <w:p w:rsidR="00F27170" w:rsidRPr="00337E16" w:rsidRDefault="005E5FF1" w:rsidP="00337E16">
            <w:pPr>
              <w:pStyle w:val="enter-3pt"/>
              <w:spacing w:line="240" w:lineRule="auto"/>
              <w:jc w:val="center"/>
              <w:rPr>
                <w:b/>
                <w:i/>
                <w:sz w:val="18"/>
                <w:szCs w:val="18"/>
              </w:rPr>
            </w:pPr>
            <w:r w:rsidRPr="00337E16">
              <w:rPr>
                <w:b/>
                <w:i/>
                <w:sz w:val="18"/>
                <w:szCs w:val="18"/>
              </w:rPr>
              <w:t>R</w:t>
            </w:r>
            <w:r w:rsidR="00F27170" w:rsidRPr="00337E16">
              <w:rPr>
                <w:b/>
                <w:i/>
                <w:sz w:val="18"/>
                <w:szCs w:val="18"/>
              </w:rPr>
              <w:t>esponsáve</w:t>
            </w:r>
            <w:r w:rsidRPr="00337E16">
              <w:rPr>
                <w:b/>
                <w:i/>
                <w:sz w:val="18"/>
                <w:szCs w:val="18"/>
              </w:rPr>
              <w:t>is</w:t>
            </w:r>
            <w:r w:rsidR="00F27170" w:rsidRPr="00337E16">
              <w:rPr>
                <w:b/>
                <w:i/>
                <w:sz w:val="18"/>
                <w:szCs w:val="18"/>
              </w:rPr>
              <w:t xml:space="preserve"> pelo Informativo:</w:t>
            </w:r>
          </w:p>
          <w:p w:rsidR="00F27170" w:rsidRPr="00337E16" w:rsidRDefault="00713DE5" w:rsidP="00337E16">
            <w:pPr>
              <w:pStyle w:val="enter-3pt"/>
              <w:spacing w:line="240" w:lineRule="auto"/>
              <w:jc w:val="center"/>
              <w:rPr>
                <w:i/>
                <w:sz w:val="18"/>
                <w:szCs w:val="18"/>
              </w:rPr>
            </w:pPr>
            <w:r w:rsidRPr="00337E16">
              <w:rPr>
                <w:b/>
                <w:i/>
                <w:sz w:val="18"/>
                <w:szCs w:val="18"/>
              </w:rPr>
              <w:t>Elaboração:</w:t>
            </w:r>
            <w:r w:rsidRPr="00337E16">
              <w:rPr>
                <w:i/>
                <w:sz w:val="18"/>
                <w:szCs w:val="18"/>
              </w:rPr>
              <w:t xml:space="preserve"> </w:t>
            </w:r>
            <w:r w:rsidR="00F27170" w:rsidRPr="00337E16">
              <w:rPr>
                <w:i/>
                <w:sz w:val="18"/>
                <w:szCs w:val="18"/>
              </w:rPr>
              <w:t>Luiz Felipe Bezerra Almeida Simões</w:t>
            </w:r>
            <w:r w:rsidRPr="00337E16">
              <w:rPr>
                <w:i/>
                <w:sz w:val="18"/>
                <w:szCs w:val="18"/>
              </w:rPr>
              <w:t>, Assessor da Secretaria das Sessões</w:t>
            </w:r>
          </w:p>
          <w:p w:rsidR="005E5FF1" w:rsidRPr="00337E16" w:rsidRDefault="00713DE5" w:rsidP="00337E16">
            <w:pPr>
              <w:pStyle w:val="enter-3pt"/>
              <w:spacing w:line="240" w:lineRule="auto"/>
              <w:jc w:val="center"/>
              <w:rPr>
                <w:i/>
                <w:sz w:val="18"/>
                <w:szCs w:val="18"/>
              </w:rPr>
            </w:pPr>
            <w:r w:rsidRPr="00337E16">
              <w:rPr>
                <w:b/>
                <w:i/>
                <w:sz w:val="18"/>
                <w:szCs w:val="18"/>
              </w:rPr>
              <w:t>Supervisão:</w:t>
            </w:r>
            <w:r w:rsidRPr="00337E16">
              <w:rPr>
                <w:i/>
                <w:sz w:val="18"/>
                <w:szCs w:val="18"/>
              </w:rPr>
              <w:t xml:space="preserve"> </w:t>
            </w:r>
            <w:r w:rsidR="005E5FF1" w:rsidRPr="00337E16">
              <w:rPr>
                <w:i/>
                <w:sz w:val="18"/>
                <w:szCs w:val="18"/>
              </w:rPr>
              <w:t>Odilon Cavallari de Oliveira</w:t>
            </w:r>
            <w:r w:rsidRPr="00337E16">
              <w:rPr>
                <w:i/>
                <w:sz w:val="18"/>
                <w:szCs w:val="18"/>
              </w:rPr>
              <w:t>, Secretário das Sessões</w:t>
            </w:r>
          </w:p>
          <w:p w:rsidR="00D2041E" w:rsidRPr="00337E16" w:rsidRDefault="00D2041E" w:rsidP="00337E16">
            <w:pPr>
              <w:pStyle w:val="enter-3pt"/>
              <w:spacing w:line="240" w:lineRule="auto"/>
              <w:jc w:val="center"/>
              <w:rPr>
                <w:b/>
                <w:i/>
                <w:sz w:val="22"/>
                <w:szCs w:val="22"/>
              </w:rPr>
            </w:pPr>
            <w:r w:rsidRPr="00337E16">
              <w:rPr>
                <w:b/>
                <w:i/>
                <w:sz w:val="18"/>
                <w:szCs w:val="18"/>
              </w:rPr>
              <w:t xml:space="preserve">Contato: </w:t>
            </w:r>
            <w:hyperlink r:id="rId8" w:history="1">
              <w:r w:rsidRPr="00337E16">
                <w:rPr>
                  <w:rStyle w:val="Hyperlink"/>
                  <w:b/>
                  <w:i/>
                  <w:color w:val="auto"/>
                  <w:sz w:val="18"/>
                  <w:szCs w:val="18"/>
                </w:rPr>
                <w:t>infojuris@tcu.gov.br</w:t>
              </w:r>
            </w:hyperlink>
          </w:p>
        </w:tc>
      </w:tr>
    </w:tbl>
    <w:p w:rsidR="00D2041E" w:rsidRPr="00337E16" w:rsidRDefault="00D2041E" w:rsidP="000F1075">
      <w:pPr>
        <w:pStyle w:val="enter-3pt"/>
        <w:spacing w:line="240" w:lineRule="auto"/>
        <w:rPr>
          <w:b/>
          <w:sz w:val="22"/>
          <w:szCs w:val="22"/>
        </w:rPr>
      </w:pPr>
    </w:p>
    <w:sectPr w:rsidR="00D2041E" w:rsidRPr="00337E16" w:rsidSect="000F1075">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0D" w:rsidRDefault="00CD0B0D" w:rsidP="008B0547">
      <w:pPr>
        <w:spacing w:after="0"/>
      </w:pPr>
      <w:r>
        <w:separator/>
      </w:r>
    </w:p>
  </w:endnote>
  <w:endnote w:type="continuationSeparator" w:id="0">
    <w:p w:rsidR="00CD0B0D" w:rsidRDefault="00CD0B0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910ADA">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0D" w:rsidRDefault="00CD0B0D" w:rsidP="008B0547">
      <w:pPr>
        <w:spacing w:after="0"/>
      </w:pPr>
      <w:r>
        <w:separator/>
      </w:r>
    </w:p>
  </w:footnote>
  <w:footnote w:type="continuationSeparator" w:id="0">
    <w:p w:rsidR="00CD0B0D" w:rsidRDefault="00CD0B0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6046A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6046A8"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0747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F01B31">
      <w:rPr>
        <w:rFonts w:ascii="Arial" w:hAnsi="Arial" w:cs="Arial"/>
        <w:noProof/>
        <w:lang w:eastAsia="pt-BR"/>
      </w:rPr>
      <w:t>1</w:t>
    </w:r>
    <w:r w:rsidR="00114511">
      <w:rPr>
        <w:rFonts w:ascii="Arial" w:hAnsi="Arial" w:cs="Arial"/>
        <w:noProof/>
        <w:lang w:eastAsia="pt-BR"/>
      </w:rPr>
      <w:t>7</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3CEA"/>
    <w:rsid w:val="00004614"/>
    <w:rsid w:val="00005435"/>
    <w:rsid w:val="00005E1E"/>
    <w:rsid w:val="00012468"/>
    <w:rsid w:val="00023D72"/>
    <w:rsid w:val="000271FA"/>
    <w:rsid w:val="00032198"/>
    <w:rsid w:val="00041450"/>
    <w:rsid w:val="0004660A"/>
    <w:rsid w:val="00052B15"/>
    <w:rsid w:val="00054432"/>
    <w:rsid w:val="000562CD"/>
    <w:rsid w:val="00056D51"/>
    <w:rsid w:val="0006028E"/>
    <w:rsid w:val="00065E95"/>
    <w:rsid w:val="00080148"/>
    <w:rsid w:val="00084727"/>
    <w:rsid w:val="0009133A"/>
    <w:rsid w:val="00092C2E"/>
    <w:rsid w:val="000A2C56"/>
    <w:rsid w:val="000B0ECB"/>
    <w:rsid w:val="000B0FEA"/>
    <w:rsid w:val="000B2AFA"/>
    <w:rsid w:val="000D1FD7"/>
    <w:rsid w:val="000D6418"/>
    <w:rsid w:val="000D7DB6"/>
    <w:rsid w:val="000D7DED"/>
    <w:rsid w:val="000E3B31"/>
    <w:rsid w:val="000F1075"/>
    <w:rsid w:val="000F6D85"/>
    <w:rsid w:val="000F7CEE"/>
    <w:rsid w:val="001104BA"/>
    <w:rsid w:val="00112676"/>
    <w:rsid w:val="0011373A"/>
    <w:rsid w:val="00114511"/>
    <w:rsid w:val="00126026"/>
    <w:rsid w:val="00133EA9"/>
    <w:rsid w:val="00141D7A"/>
    <w:rsid w:val="001420D1"/>
    <w:rsid w:val="001444A2"/>
    <w:rsid w:val="00151F92"/>
    <w:rsid w:val="0015258E"/>
    <w:rsid w:val="00152ECC"/>
    <w:rsid w:val="001532E4"/>
    <w:rsid w:val="00157AFE"/>
    <w:rsid w:val="00157C0F"/>
    <w:rsid w:val="001744E7"/>
    <w:rsid w:val="00176375"/>
    <w:rsid w:val="001A330B"/>
    <w:rsid w:val="001A60A2"/>
    <w:rsid w:val="001B3E8E"/>
    <w:rsid w:val="001B4F90"/>
    <w:rsid w:val="001C0575"/>
    <w:rsid w:val="001C437E"/>
    <w:rsid w:val="001D03C7"/>
    <w:rsid w:val="001D1478"/>
    <w:rsid w:val="001D74CE"/>
    <w:rsid w:val="001E0BF1"/>
    <w:rsid w:val="001E1E28"/>
    <w:rsid w:val="001E2620"/>
    <w:rsid w:val="001E4147"/>
    <w:rsid w:val="001E7C3D"/>
    <w:rsid w:val="001F00DF"/>
    <w:rsid w:val="002002CE"/>
    <w:rsid w:val="0020066F"/>
    <w:rsid w:val="00203A6F"/>
    <w:rsid w:val="00211816"/>
    <w:rsid w:val="00226D9D"/>
    <w:rsid w:val="00232158"/>
    <w:rsid w:val="002328F9"/>
    <w:rsid w:val="00233CE3"/>
    <w:rsid w:val="0024593F"/>
    <w:rsid w:val="002476B6"/>
    <w:rsid w:val="00254590"/>
    <w:rsid w:val="0026362E"/>
    <w:rsid w:val="002649A7"/>
    <w:rsid w:val="002663B7"/>
    <w:rsid w:val="00271D81"/>
    <w:rsid w:val="00273E72"/>
    <w:rsid w:val="00276DC0"/>
    <w:rsid w:val="002810D9"/>
    <w:rsid w:val="00281830"/>
    <w:rsid w:val="0029043B"/>
    <w:rsid w:val="0029211E"/>
    <w:rsid w:val="0029450E"/>
    <w:rsid w:val="002A190F"/>
    <w:rsid w:val="002A3B3F"/>
    <w:rsid w:val="002B71BA"/>
    <w:rsid w:val="002C7B61"/>
    <w:rsid w:val="002C7B6D"/>
    <w:rsid w:val="002D35F5"/>
    <w:rsid w:val="002D47FE"/>
    <w:rsid w:val="002D739A"/>
    <w:rsid w:val="002D76AB"/>
    <w:rsid w:val="002E361C"/>
    <w:rsid w:val="002E3943"/>
    <w:rsid w:val="002E4254"/>
    <w:rsid w:val="002F5F3B"/>
    <w:rsid w:val="002F693C"/>
    <w:rsid w:val="003020F4"/>
    <w:rsid w:val="003069F9"/>
    <w:rsid w:val="0031058F"/>
    <w:rsid w:val="0031089E"/>
    <w:rsid w:val="003147B7"/>
    <w:rsid w:val="00317E59"/>
    <w:rsid w:val="003275E4"/>
    <w:rsid w:val="00337E16"/>
    <w:rsid w:val="00340E66"/>
    <w:rsid w:val="00340F10"/>
    <w:rsid w:val="0034486B"/>
    <w:rsid w:val="00344D92"/>
    <w:rsid w:val="003455A2"/>
    <w:rsid w:val="00350E87"/>
    <w:rsid w:val="00353B7C"/>
    <w:rsid w:val="0035438E"/>
    <w:rsid w:val="00355828"/>
    <w:rsid w:val="00357CBE"/>
    <w:rsid w:val="00361661"/>
    <w:rsid w:val="003824E4"/>
    <w:rsid w:val="00385DAB"/>
    <w:rsid w:val="0038696B"/>
    <w:rsid w:val="00392509"/>
    <w:rsid w:val="003943E5"/>
    <w:rsid w:val="00397D8E"/>
    <w:rsid w:val="003A2222"/>
    <w:rsid w:val="003A5479"/>
    <w:rsid w:val="003A5C1B"/>
    <w:rsid w:val="003A7C7F"/>
    <w:rsid w:val="003B0304"/>
    <w:rsid w:val="003B043F"/>
    <w:rsid w:val="003B2E10"/>
    <w:rsid w:val="003B33CE"/>
    <w:rsid w:val="003B343D"/>
    <w:rsid w:val="003B56D7"/>
    <w:rsid w:val="003C1B4F"/>
    <w:rsid w:val="003C2288"/>
    <w:rsid w:val="003C6DEB"/>
    <w:rsid w:val="003C7A5C"/>
    <w:rsid w:val="003D73BD"/>
    <w:rsid w:val="003D7CCE"/>
    <w:rsid w:val="003E1B68"/>
    <w:rsid w:val="003E65D7"/>
    <w:rsid w:val="003F413A"/>
    <w:rsid w:val="003F54FB"/>
    <w:rsid w:val="003F6D1F"/>
    <w:rsid w:val="004169D8"/>
    <w:rsid w:val="004201AF"/>
    <w:rsid w:val="00427B3B"/>
    <w:rsid w:val="00427EBF"/>
    <w:rsid w:val="004362AB"/>
    <w:rsid w:val="004415FB"/>
    <w:rsid w:val="00441CE3"/>
    <w:rsid w:val="0044434A"/>
    <w:rsid w:val="00445E76"/>
    <w:rsid w:val="0046384E"/>
    <w:rsid w:val="0046706B"/>
    <w:rsid w:val="00471284"/>
    <w:rsid w:val="00473696"/>
    <w:rsid w:val="0047491E"/>
    <w:rsid w:val="004837C6"/>
    <w:rsid w:val="00483998"/>
    <w:rsid w:val="00484E4C"/>
    <w:rsid w:val="00491438"/>
    <w:rsid w:val="00492E3F"/>
    <w:rsid w:val="00493F5C"/>
    <w:rsid w:val="004A171B"/>
    <w:rsid w:val="004B1DC3"/>
    <w:rsid w:val="004C780C"/>
    <w:rsid w:val="004E357A"/>
    <w:rsid w:val="004E65EB"/>
    <w:rsid w:val="004F7174"/>
    <w:rsid w:val="0050355D"/>
    <w:rsid w:val="005055B5"/>
    <w:rsid w:val="00511BBF"/>
    <w:rsid w:val="00515E7B"/>
    <w:rsid w:val="005217F8"/>
    <w:rsid w:val="0052267A"/>
    <w:rsid w:val="00531143"/>
    <w:rsid w:val="00536332"/>
    <w:rsid w:val="00554A33"/>
    <w:rsid w:val="00557953"/>
    <w:rsid w:val="00560E55"/>
    <w:rsid w:val="0056301A"/>
    <w:rsid w:val="005640E1"/>
    <w:rsid w:val="00564EA1"/>
    <w:rsid w:val="0056534C"/>
    <w:rsid w:val="00567CEE"/>
    <w:rsid w:val="005713F4"/>
    <w:rsid w:val="00571E64"/>
    <w:rsid w:val="00580F26"/>
    <w:rsid w:val="0058427E"/>
    <w:rsid w:val="00590907"/>
    <w:rsid w:val="005A72F2"/>
    <w:rsid w:val="005B2194"/>
    <w:rsid w:val="005B2BC3"/>
    <w:rsid w:val="005B4CFA"/>
    <w:rsid w:val="005C1A79"/>
    <w:rsid w:val="005E269C"/>
    <w:rsid w:val="005E3586"/>
    <w:rsid w:val="005E4DEE"/>
    <w:rsid w:val="005E5FF1"/>
    <w:rsid w:val="005F01CE"/>
    <w:rsid w:val="005F70B6"/>
    <w:rsid w:val="006046A8"/>
    <w:rsid w:val="00604DBE"/>
    <w:rsid w:val="006063E1"/>
    <w:rsid w:val="006065E4"/>
    <w:rsid w:val="00612045"/>
    <w:rsid w:val="00613AC9"/>
    <w:rsid w:val="006219DD"/>
    <w:rsid w:val="00632ACC"/>
    <w:rsid w:val="00650463"/>
    <w:rsid w:val="00651660"/>
    <w:rsid w:val="00652171"/>
    <w:rsid w:val="00670FEA"/>
    <w:rsid w:val="0067353C"/>
    <w:rsid w:val="00676163"/>
    <w:rsid w:val="00677C22"/>
    <w:rsid w:val="00685899"/>
    <w:rsid w:val="00697477"/>
    <w:rsid w:val="006A037E"/>
    <w:rsid w:val="006A7796"/>
    <w:rsid w:val="006B0495"/>
    <w:rsid w:val="006B0DCB"/>
    <w:rsid w:val="006B2408"/>
    <w:rsid w:val="006B3AF9"/>
    <w:rsid w:val="006B414C"/>
    <w:rsid w:val="006B4B0F"/>
    <w:rsid w:val="006F4DE0"/>
    <w:rsid w:val="006F7332"/>
    <w:rsid w:val="0070385B"/>
    <w:rsid w:val="0070494F"/>
    <w:rsid w:val="00705758"/>
    <w:rsid w:val="0070717A"/>
    <w:rsid w:val="00713DE5"/>
    <w:rsid w:val="007174DA"/>
    <w:rsid w:val="00720910"/>
    <w:rsid w:val="00720F29"/>
    <w:rsid w:val="007224C2"/>
    <w:rsid w:val="00737FEC"/>
    <w:rsid w:val="00756AA0"/>
    <w:rsid w:val="00757CE6"/>
    <w:rsid w:val="007671DA"/>
    <w:rsid w:val="007719A8"/>
    <w:rsid w:val="00774593"/>
    <w:rsid w:val="00777599"/>
    <w:rsid w:val="00785CF8"/>
    <w:rsid w:val="00796CC0"/>
    <w:rsid w:val="007A1A35"/>
    <w:rsid w:val="007A5922"/>
    <w:rsid w:val="007B259B"/>
    <w:rsid w:val="007B5018"/>
    <w:rsid w:val="007C670D"/>
    <w:rsid w:val="007D0ED0"/>
    <w:rsid w:val="007D4A4A"/>
    <w:rsid w:val="007E0E05"/>
    <w:rsid w:val="007E209F"/>
    <w:rsid w:val="007E4655"/>
    <w:rsid w:val="007E55E0"/>
    <w:rsid w:val="007E5C50"/>
    <w:rsid w:val="007F22A5"/>
    <w:rsid w:val="00810CC2"/>
    <w:rsid w:val="0081324B"/>
    <w:rsid w:val="00816193"/>
    <w:rsid w:val="008165E4"/>
    <w:rsid w:val="00825EB9"/>
    <w:rsid w:val="008303E2"/>
    <w:rsid w:val="008341F8"/>
    <w:rsid w:val="008359F3"/>
    <w:rsid w:val="00836AC2"/>
    <w:rsid w:val="00844C5B"/>
    <w:rsid w:val="008501A4"/>
    <w:rsid w:val="008505A1"/>
    <w:rsid w:val="00850817"/>
    <w:rsid w:val="0086124E"/>
    <w:rsid w:val="008652C9"/>
    <w:rsid w:val="00866992"/>
    <w:rsid w:val="00875991"/>
    <w:rsid w:val="00877FDD"/>
    <w:rsid w:val="00880FED"/>
    <w:rsid w:val="008841C8"/>
    <w:rsid w:val="00892BB8"/>
    <w:rsid w:val="00893014"/>
    <w:rsid w:val="00896755"/>
    <w:rsid w:val="008A2417"/>
    <w:rsid w:val="008A5D49"/>
    <w:rsid w:val="008A751E"/>
    <w:rsid w:val="008B0547"/>
    <w:rsid w:val="008B1FE5"/>
    <w:rsid w:val="008B434A"/>
    <w:rsid w:val="008B7B55"/>
    <w:rsid w:val="008C3A5B"/>
    <w:rsid w:val="008D6F5D"/>
    <w:rsid w:val="008E003A"/>
    <w:rsid w:val="008E15E3"/>
    <w:rsid w:val="008E4C62"/>
    <w:rsid w:val="008E727E"/>
    <w:rsid w:val="008F2902"/>
    <w:rsid w:val="008F660B"/>
    <w:rsid w:val="009005CE"/>
    <w:rsid w:val="009021A4"/>
    <w:rsid w:val="00910ADA"/>
    <w:rsid w:val="0091511B"/>
    <w:rsid w:val="009239AA"/>
    <w:rsid w:val="009245B5"/>
    <w:rsid w:val="0093795C"/>
    <w:rsid w:val="009444E6"/>
    <w:rsid w:val="00944A8E"/>
    <w:rsid w:val="009455E6"/>
    <w:rsid w:val="00956BA7"/>
    <w:rsid w:val="00956FD8"/>
    <w:rsid w:val="009575F7"/>
    <w:rsid w:val="0096021A"/>
    <w:rsid w:val="00960F73"/>
    <w:rsid w:val="00971139"/>
    <w:rsid w:val="0097401F"/>
    <w:rsid w:val="00981FA0"/>
    <w:rsid w:val="00984366"/>
    <w:rsid w:val="00984E80"/>
    <w:rsid w:val="0098690F"/>
    <w:rsid w:val="00987EE5"/>
    <w:rsid w:val="00997C8A"/>
    <w:rsid w:val="009A1339"/>
    <w:rsid w:val="009A3006"/>
    <w:rsid w:val="009A3994"/>
    <w:rsid w:val="009B62AF"/>
    <w:rsid w:val="009D1B99"/>
    <w:rsid w:val="009D5445"/>
    <w:rsid w:val="009D565F"/>
    <w:rsid w:val="009D65B9"/>
    <w:rsid w:val="009E04DC"/>
    <w:rsid w:val="009E0FB3"/>
    <w:rsid w:val="009F69A9"/>
    <w:rsid w:val="00A0244C"/>
    <w:rsid w:val="00A033FF"/>
    <w:rsid w:val="00A1329C"/>
    <w:rsid w:val="00A14E25"/>
    <w:rsid w:val="00A16A60"/>
    <w:rsid w:val="00A17A3D"/>
    <w:rsid w:val="00A21E19"/>
    <w:rsid w:val="00A3115F"/>
    <w:rsid w:val="00A33030"/>
    <w:rsid w:val="00A34E41"/>
    <w:rsid w:val="00A378A2"/>
    <w:rsid w:val="00A63B4C"/>
    <w:rsid w:val="00A664E7"/>
    <w:rsid w:val="00A66E7F"/>
    <w:rsid w:val="00A75C52"/>
    <w:rsid w:val="00A767B2"/>
    <w:rsid w:val="00A82B9E"/>
    <w:rsid w:val="00A84186"/>
    <w:rsid w:val="00A85B14"/>
    <w:rsid w:val="00A9704A"/>
    <w:rsid w:val="00A97AD0"/>
    <w:rsid w:val="00AA1377"/>
    <w:rsid w:val="00AA49AF"/>
    <w:rsid w:val="00AA57CE"/>
    <w:rsid w:val="00AA7540"/>
    <w:rsid w:val="00AC0BAE"/>
    <w:rsid w:val="00AC126F"/>
    <w:rsid w:val="00AE1128"/>
    <w:rsid w:val="00AE1AB0"/>
    <w:rsid w:val="00AE2609"/>
    <w:rsid w:val="00AE439A"/>
    <w:rsid w:val="00AF09C7"/>
    <w:rsid w:val="00B05194"/>
    <w:rsid w:val="00B17303"/>
    <w:rsid w:val="00B25143"/>
    <w:rsid w:val="00B2585D"/>
    <w:rsid w:val="00B27359"/>
    <w:rsid w:val="00B347F1"/>
    <w:rsid w:val="00B3502B"/>
    <w:rsid w:val="00B35C3E"/>
    <w:rsid w:val="00B36473"/>
    <w:rsid w:val="00B44029"/>
    <w:rsid w:val="00B47943"/>
    <w:rsid w:val="00B50446"/>
    <w:rsid w:val="00B530FD"/>
    <w:rsid w:val="00B5639B"/>
    <w:rsid w:val="00B60C3E"/>
    <w:rsid w:val="00B64775"/>
    <w:rsid w:val="00B81718"/>
    <w:rsid w:val="00B86AF6"/>
    <w:rsid w:val="00B86E2A"/>
    <w:rsid w:val="00B96EA4"/>
    <w:rsid w:val="00B97A3E"/>
    <w:rsid w:val="00BA2FFD"/>
    <w:rsid w:val="00BB37AF"/>
    <w:rsid w:val="00BB4C08"/>
    <w:rsid w:val="00BD3C68"/>
    <w:rsid w:val="00BD421D"/>
    <w:rsid w:val="00BE4614"/>
    <w:rsid w:val="00BE4E6F"/>
    <w:rsid w:val="00BE529D"/>
    <w:rsid w:val="00BE6637"/>
    <w:rsid w:val="00BF10E8"/>
    <w:rsid w:val="00BF3158"/>
    <w:rsid w:val="00C03A04"/>
    <w:rsid w:val="00C046F7"/>
    <w:rsid w:val="00C10C0B"/>
    <w:rsid w:val="00C1776A"/>
    <w:rsid w:val="00C22519"/>
    <w:rsid w:val="00C2305C"/>
    <w:rsid w:val="00C233D0"/>
    <w:rsid w:val="00C24162"/>
    <w:rsid w:val="00C2509D"/>
    <w:rsid w:val="00C34ABD"/>
    <w:rsid w:val="00C35F43"/>
    <w:rsid w:val="00C44BDC"/>
    <w:rsid w:val="00C45BFB"/>
    <w:rsid w:val="00C54B14"/>
    <w:rsid w:val="00C6352A"/>
    <w:rsid w:val="00C65B2D"/>
    <w:rsid w:val="00C65C5D"/>
    <w:rsid w:val="00C711E5"/>
    <w:rsid w:val="00C83AEE"/>
    <w:rsid w:val="00C85AC7"/>
    <w:rsid w:val="00C906CD"/>
    <w:rsid w:val="00CA6716"/>
    <w:rsid w:val="00CC42D4"/>
    <w:rsid w:val="00CD0B0D"/>
    <w:rsid w:val="00CD2536"/>
    <w:rsid w:val="00CF230D"/>
    <w:rsid w:val="00CF5489"/>
    <w:rsid w:val="00CF7615"/>
    <w:rsid w:val="00D003F8"/>
    <w:rsid w:val="00D10769"/>
    <w:rsid w:val="00D116C7"/>
    <w:rsid w:val="00D13AC5"/>
    <w:rsid w:val="00D14E5F"/>
    <w:rsid w:val="00D2041E"/>
    <w:rsid w:val="00D341C9"/>
    <w:rsid w:val="00D3447D"/>
    <w:rsid w:val="00D3488B"/>
    <w:rsid w:val="00D361DE"/>
    <w:rsid w:val="00D51F18"/>
    <w:rsid w:val="00D564BB"/>
    <w:rsid w:val="00D565FA"/>
    <w:rsid w:val="00D568ED"/>
    <w:rsid w:val="00D6014E"/>
    <w:rsid w:val="00D630E7"/>
    <w:rsid w:val="00D76186"/>
    <w:rsid w:val="00D86DD4"/>
    <w:rsid w:val="00D92529"/>
    <w:rsid w:val="00DA6858"/>
    <w:rsid w:val="00DB1CD7"/>
    <w:rsid w:val="00DB4717"/>
    <w:rsid w:val="00DD6D82"/>
    <w:rsid w:val="00DE045E"/>
    <w:rsid w:val="00DE23D6"/>
    <w:rsid w:val="00DE2CB6"/>
    <w:rsid w:val="00DE2DDE"/>
    <w:rsid w:val="00DF0C37"/>
    <w:rsid w:val="00DF2506"/>
    <w:rsid w:val="00DF3469"/>
    <w:rsid w:val="00DF3BE2"/>
    <w:rsid w:val="00DF75EC"/>
    <w:rsid w:val="00E079C6"/>
    <w:rsid w:val="00E146CF"/>
    <w:rsid w:val="00E23C05"/>
    <w:rsid w:val="00E247E2"/>
    <w:rsid w:val="00E304EB"/>
    <w:rsid w:val="00E329D0"/>
    <w:rsid w:val="00E33746"/>
    <w:rsid w:val="00E36B53"/>
    <w:rsid w:val="00E37585"/>
    <w:rsid w:val="00E469D5"/>
    <w:rsid w:val="00E46CD5"/>
    <w:rsid w:val="00E51AB5"/>
    <w:rsid w:val="00E52345"/>
    <w:rsid w:val="00E52763"/>
    <w:rsid w:val="00E563AE"/>
    <w:rsid w:val="00E662CD"/>
    <w:rsid w:val="00E73271"/>
    <w:rsid w:val="00E74214"/>
    <w:rsid w:val="00E74D52"/>
    <w:rsid w:val="00E75855"/>
    <w:rsid w:val="00E86566"/>
    <w:rsid w:val="00E875F5"/>
    <w:rsid w:val="00E92527"/>
    <w:rsid w:val="00E97045"/>
    <w:rsid w:val="00EA270C"/>
    <w:rsid w:val="00EA5CF4"/>
    <w:rsid w:val="00EB09B9"/>
    <w:rsid w:val="00EB7CB1"/>
    <w:rsid w:val="00EC1C35"/>
    <w:rsid w:val="00ED0557"/>
    <w:rsid w:val="00ED34D4"/>
    <w:rsid w:val="00EE30EE"/>
    <w:rsid w:val="00EE6DE6"/>
    <w:rsid w:val="00EF057C"/>
    <w:rsid w:val="00EF1D14"/>
    <w:rsid w:val="00F01B31"/>
    <w:rsid w:val="00F03AB9"/>
    <w:rsid w:val="00F06479"/>
    <w:rsid w:val="00F076C5"/>
    <w:rsid w:val="00F120D9"/>
    <w:rsid w:val="00F124BE"/>
    <w:rsid w:val="00F27170"/>
    <w:rsid w:val="00F30016"/>
    <w:rsid w:val="00F31C75"/>
    <w:rsid w:val="00F341CC"/>
    <w:rsid w:val="00F40CAB"/>
    <w:rsid w:val="00F47C5C"/>
    <w:rsid w:val="00F54856"/>
    <w:rsid w:val="00F64F51"/>
    <w:rsid w:val="00F765E8"/>
    <w:rsid w:val="00F86D88"/>
    <w:rsid w:val="00F87FA7"/>
    <w:rsid w:val="00F9473C"/>
    <w:rsid w:val="00FA40A3"/>
    <w:rsid w:val="00FB3BA6"/>
    <w:rsid w:val="00FB4D65"/>
    <w:rsid w:val="00FB5954"/>
    <w:rsid w:val="00FC0CDF"/>
    <w:rsid w:val="00FC183A"/>
    <w:rsid w:val="00FC3D1C"/>
    <w:rsid w:val="00FD08A7"/>
    <w:rsid w:val="00FD2E55"/>
    <w:rsid w:val="00FD2FA9"/>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84EBD09-3BC6-4418-B520-D14DF201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uiPriority w:val="99"/>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564E-0141-41B9-A6EB-2FB534E5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6395</Words>
  <Characters>34538</Characters>
  <Application>Microsoft Office Word</Application>
  <DocSecurity>4</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40852</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2015-05-07T12:27:00Z</dcterms:created>
  <dcterms:modified xsi:type="dcterms:W3CDTF">2015-05-07T12:27:00Z</dcterms:modified>
</cp:coreProperties>
</file>