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C62" w:rsidRPr="00BF37AF" w:rsidRDefault="00BC1945" w:rsidP="00BF37AF">
      <w:pPr>
        <w:pStyle w:val="Ttulo8"/>
        <w:tabs>
          <w:tab w:val="right" w:pos="4423"/>
        </w:tabs>
        <w:spacing w:before="0" w:after="0"/>
        <w:ind w:left="0"/>
        <w:rPr>
          <w:rFonts w:ascii="Times New Roman" w:hAnsi="Times New Roman"/>
          <w:b/>
          <w:i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i w:val="0"/>
          <w:sz w:val="22"/>
          <w:szCs w:val="22"/>
        </w:rPr>
        <w:t>Sessão</w:t>
      </w:r>
      <w:r w:rsidR="009444E6" w:rsidRPr="00BF37AF">
        <w:rPr>
          <w:rFonts w:ascii="Times New Roman" w:hAnsi="Times New Roman"/>
          <w:b/>
          <w:i w:val="0"/>
          <w:sz w:val="22"/>
          <w:szCs w:val="22"/>
        </w:rPr>
        <w:t xml:space="preserve">: </w:t>
      </w:r>
      <w:r w:rsidR="003565C2">
        <w:rPr>
          <w:rFonts w:ascii="Times New Roman" w:hAnsi="Times New Roman"/>
          <w:b/>
          <w:i w:val="0"/>
          <w:sz w:val="22"/>
          <w:szCs w:val="22"/>
        </w:rPr>
        <w:t>5</w:t>
      </w:r>
      <w:r w:rsidR="009444E6" w:rsidRPr="00BF37AF">
        <w:rPr>
          <w:rFonts w:ascii="Times New Roman" w:hAnsi="Times New Roman"/>
          <w:b/>
          <w:i w:val="0"/>
          <w:sz w:val="22"/>
          <w:szCs w:val="22"/>
        </w:rPr>
        <w:t xml:space="preserve"> de </w:t>
      </w:r>
      <w:r w:rsidR="000D534B" w:rsidRPr="00BF37AF">
        <w:rPr>
          <w:rFonts w:ascii="Times New Roman" w:hAnsi="Times New Roman"/>
          <w:b/>
          <w:i w:val="0"/>
          <w:sz w:val="22"/>
          <w:szCs w:val="22"/>
        </w:rPr>
        <w:t>maio</w:t>
      </w:r>
      <w:r w:rsidR="009444E6" w:rsidRPr="00BF37AF">
        <w:rPr>
          <w:rFonts w:ascii="Times New Roman" w:hAnsi="Times New Roman"/>
          <w:b/>
          <w:i w:val="0"/>
          <w:sz w:val="22"/>
          <w:szCs w:val="22"/>
        </w:rPr>
        <w:t xml:space="preserve"> de 2010</w:t>
      </w:r>
    </w:p>
    <w:p w:rsidR="002D35F5" w:rsidRPr="00BF37AF" w:rsidRDefault="002D35F5" w:rsidP="00BF37AF">
      <w:pPr>
        <w:pStyle w:val="Corpodetexto2"/>
        <w:spacing w:after="0" w:line="240" w:lineRule="auto"/>
        <w:ind w:left="0"/>
        <w:rPr>
          <w:sz w:val="22"/>
          <w:szCs w:val="22"/>
        </w:rPr>
      </w:pPr>
      <w:r w:rsidRPr="00BF37AF">
        <w:rPr>
          <w:sz w:val="22"/>
          <w:szCs w:val="22"/>
        </w:rPr>
        <w:t>Este Informativo, elaborado a partir das deliberações tomadas pelo Tribunal nas sessões de julgamento das Câmaras e do Plenário, contém resumos de algumas decisões proferidas na</w:t>
      </w:r>
      <w:r w:rsidR="000562CD" w:rsidRPr="00BF37AF">
        <w:rPr>
          <w:sz w:val="22"/>
          <w:szCs w:val="22"/>
        </w:rPr>
        <w:t>(</w:t>
      </w:r>
      <w:r w:rsidRPr="00BF37AF">
        <w:rPr>
          <w:sz w:val="22"/>
          <w:szCs w:val="22"/>
        </w:rPr>
        <w:t>s</w:t>
      </w:r>
      <w:r w:rsidR="000562CD" w:rsidRPr="00BF37AF">
        <w:rPr>
          <w:sz w:val="22"/>
          <w:szCs w:val="22"/>
        </w:rPr>
        <w:t>)</w:t>
      </w:r>
      <w:r w:rsidRPr="00BF37AF">
        <w:rPr>
          <w:sz w:val="22"/>
          <w:szCs w:val="22"/>
        </w:rPr>
        <w:t xml:space="preserve"> data</w:t>
      </w:r>
      <w:r w:rsidR="000562CD" w:rsidRPr="00BF37AF">
        <w:rPr>
          <w:sz w:val="22"/>
          <w:szCs w:val="22"/>
        </w:rPr>
        <w:t>(</w:t>
      </w:r>
      <w:r w:rsidRPr="00BF37AF">
        <w:rPr>
          <w:sz w:val="22"/>
          <w:szCs w:val="22"/>
        </w:rPr>
        <w:t>s</w:t>
      </w:r>
      <w:r w:rsidR="000562CD" w:rsidRPr="00BF37AF">
        <w:rPr>
          <w:sz w:val="22"/>
          <w:szCs w:val="22"/>
        </w:rPr>
        <w:t>)</w:t>
      </w:r>
      <w:r w:rsidRPr="00BF37AF">
        <w:rPr>
          <w:sz w:val="22"/>
          <w:szCs w:val="22"/>
        </w:rPr>
        <w:t xml:space="preserve"> acima indicada</w:t>
      </w:r>
      <w:r w:rsidR="000562CD" w:rsidRPr="00BF37AF">
        <w:rPr>
          <w:sz w:val="22"/>
          <w:szCs w:val="22"/>
        </w:rPr>
        <w:t>(</w:t>
      </w:r>
      <w:r w:rsidRPr="00BF37AF">
        <w:rPr>
          <w:sz w:val="22"/>
          <w:szCs w:val="22"/>
        </w:rPr>
        <w:t>s</w:t>
      </w:r>
      <w:r w:rsidR="000562CD" w:rsidRPr="00BF37AF">
        <w:rPr>
          <w:sz w:val="22"/>
          <w:szCs w:val="22"/>
        </w:rPr>
        <w:t>)</w:t>
      </w:r>
      <w:r w:rsidRPr="00BF37AF">
        <w:rPr>
          <w:sz w:val="22"/>
          <w:szCs w:val="22"/>
        </w:rPr>
        <w:t>, relativas a licitações e contratos, e tem por finalidade facilitar o acompanhamento, pelo leitor, da jurisprudência do TCU quanto aos aspectos relevantes que envolvem o tema. Por esse motivo, a seleção das decisões que constam do Informativo é feita pela Secretaria das Sessões, levando em consideração ao menos um dos seguintes fatores: ineditismo da deliberação, discussão no colegiado ou reiteração de entendimento importante. Os resumos apresentados no Informativo não são repositórios oficiais de jurisprudência.</w:t>
      </w:r>
    </w:p>
    <w:p w:rsidR="00FF7C62" w:rsidRPr="00BF37AF" w:rsidRDefault="00FF7C62" w:rsidP="00BF37AF">
      <w:pPr>
        <w:pStyle w:val="Corpodetexto2"/>
        <w:spacing w:after="0" w:line="240" w:lineRule="auto"/>
        <w:ind w:left="0"/>
        <w:rPr>
          <w:sz w:val="22"/>
          <w:szCs w:val="22"/>
        </w:rPr>
      </w:pPr>
    </w:p>
    <w:p w:rsidR="002D35F5" w:rsidRPr="00BF37AF" w:rsidRDefault="002D35F5" w:rsidP="00BF37AF">
      <w:pPr>
        <w:pBdr>
          <w:top w:val="threeDEmboss" w:sz="24" w:space="0" w:color="auto"/>
        </w:pBdr>
        <w:tabs>
          <w:tab w:val="left" w:pos="284"/>
        </w:tabs>
        <w:spacing w:after="0"/>
        <w:ind w:left="0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BF37AF">
        <w:rPr>
          <w:rFonts w:ascii="Cambria" w:hAnsi="Cambria"/>
          <w:b/>
          <w:bCs/>
          <w:smallCaps/>
          <w:sz w:val="22"/>
          <w:szCs w:val="22"/>
        </w:rPr>
        <w:t>S</w:t>
      </w:r>
      <w:r w:rsidR="00FF7C62" w:rsidRPr="00BF37AF">
        <w:rPr>
          <w:rFonts w:ascii="Cambria" w:hAnsi="Cambria"/>
          <w:b/>
          <w:bCs/>
          <w:smallCaps/>
          <w:sz w:val="22"/>
          <w:szCs w:val="22"/>
        </w:rPr>
        <w:t>UMÁRIO</w:t>
      </w:r>
    </w:p>
    <w:p w:rsidR="009444E6" w:rsidRPr="00BF37AF" w:rsidRDefault="009444E6" w:rsidP="00BF37AF">
      <w:pPr>
        <w:pStyle w:val="tita"/>
        <w:spacing w:before="45" w:after="0" w:line="240" w:lineRule="auto"/>
        <w:jc w:val="both"/>
        <w:rPr>
          <w:i w:val="0"/>
          <w:iCs w:val="0"/>
          <w:sz w:val="22"/>
          <w:szCs w:val="22"/>
        </w:rPr>
      </w:pPr>
      <w:r w:rsidRPr="00BF37AF">
        <w:rPr>
          <w:i w:val="0"/>
          <w:iCs w:val="0"/>
          <w:sz w:val="22"/>
          <w:szCs w:val="22"/>
        </w:rPr>
        <w:t>Plenário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Contratação de serviços de tecnologia da informação:</w:t>
      </w:r>
    </w:p>
    <w:p w:rsidR="000D534B" w:rsidRPr="00BF37AF" w:rsidRDefault="000D534B" w:rsidP="00BF37AF">
      <w:pPr>
        <w:pStyle w:val="indice"/>
        <w:tabs>
          <w:tab w:val="left" w:pos="567"/>
        </w:tabs>
        <w:spacing w:before="45" w:line="240" w:lineRule="auto"/>
      </w:pPr>
      <w:r w:rsidRPr="00BF37AF">
        <w:tab/>
        <w:t>1 - Uso do pregão;</w:t>
      </w:r>
    </w:p>
    <w:p w:rsidR="000D534B" w:rsidRPr="00BF37AF" w:rsidRDefault="000D534B" w:rsidP="00BF37AF">
      <w:pPr>
        <w:pStyle w:val="indice"/>
        <w:tabs>
          <w:tab w:val="left" w:pos="567"/>
        </w:tabs>
        <w:spacing w:before="45" w:line="240" w:lineRule="auto"/>
      </w:pPr>
      <w:r w:rsidRPr="00BF37AF">
        <w:tab/>
        <w:t>2 - Mensuração e pagamento por resultados, e não por homens-hora</w:t>
      </w:r>
      <w:r w:rsidR="00BF37AF">
        <w:t>;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Comprovação da regularidade fiscal por parte das contratadas por dispensa ou inexigibilidade de licitação</w:t>
      </w:r>
      <w:r w:rsidR="00BF37AF">
        <w:rPr>
          <w:sz w:val="22"/>
          <w:szCs w:val="22"/>
        </w:rPr>
        <w:t>;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Repactuação de preços em contrato celebrado com cooperativa</w:t>
      </w:r>
      <w:r w:rsidR="00BF37AF">
        <w:rPr>
          <w:sz w:val="22"/>
          <w:szCs w:val="22"/>
        </w:rPr>
        <w:t>;</w:t>
      </w:r>
    </w:p>
    <w:p w:rsidR="002C7B6D" w:rsidRPr="00BF37AF" w:rsidRDefault="000D534B" w:rsidP="00BF37AF">
      <w:pPr>
        <w:pStyle w:val="tita"/>
        <w:tabs>
          <w:tab w:val="left" w:pos="1957"/>
        </w:tabs>
        <w:spacing w:before="45" w:after="0" w:line="240" w:lineRule="auto"/>
        <w:jc w:val="both"/>
        <w:rPr>
          <w:b w:val="0"/>
          <w:i w:val="0"/>
          <w:iCs w:val="0"/>
          <w:sz w:val="22"/>
          <w:szCs w:val="22"/>
        </w:rPr>
      </w:pPr>
      <w:r w:rsidRPr="00BF37AF">
        <w:rPr>
          <w:b w:val="0"/>
          <w:i w:val="0"/>
          <w:sz w:val="22"/>
          <w:szCs w:val="22"/>
        </w:rPr>
        <w:t>Subcontratação de serviços contratados com fundamento no art. 24, XIII, da Lei n.º 8.666/93</w:t>
      </w:r>
      <w:r w:rsidR="00BF37AF">
        <w:rPr>
          <w:b w:val="0"/>
          <w:i w:val="0"/>
          <w:sz w:val="22"/>
          <w:szCs w:val="22"/>
        </w:rPr>
        <w:t>;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Parcelamento material do objeto</w:t>
      </w:r>
      <w:r w:rsidR="00431CEC">
        <w:rPr>
          <w:sz w:val="22"/>
          <w:szCs w:val="22"/>
        </w:rPr>
        <w:t xml:space="preserve"> e participação de consórcios</w:t>
      </w:r>
      <w:r w:rsidR="00BF37AF">
        <w:rPr>
          <w:sz w:val="22"/>
          <w:szCs w:val="22"/>
        </w:rPr>
        <w:t>;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Licitação, do tipo “técnica e preço”, para contratação de serviços advocatícios:</w:t>
      </w:r>
    </w:p>
    <w:p w:rsidR="000D534B" w:rsidRPr="00BF37AF" w:rsidRDefault="000D534B" w:rsidP="00BF37AF">
      <w:pPr>
        <w:pStyle w:val="indice"/>
        <w:tabs>
          <w:tab w:val="left" w:pos="567"/>
        </w:tabs>
        <w:spacing w:before="45" w:line="240" w:lineRule="auto"/>
      </w:pPr>
      <w:r w:rsidRPr="00BF37AF">
        <w:tab/>
        <w:t>1 - Ausência de definição da pontuação máxima no quesito de experiência profissional;</w:t>
      </w:r>
    </w:p>
    <w:p w:rsidR="000D534B" w:rsidRPr="00BF37AF" w:rsidRDefault="000D534B" w:rsidP="00BF37AF">
      <w:pPr>
        <w:pStyle w:val="indice"/>
        <w:tabs>
          <w:tab w:val="left" w:pos="567"/>
        </w:tabs>
        <w:spacing w:before="45" w:line="240" w:lineRule="auto"/>
      </w:pPr>
      <w:r w:rsidRPr="00BF37AF">
        <w:tab/>
        <w:t>2 - Exigência de comprovação de vínculo do advogado com a sociedade licitante, para fim de pontuação técnica</w:t>
      </w:r>
      <w:r w:rsidR="00BF37AF">
        <w:t>;</w:t>
      </w:r>
    </w:p>
    <w:p w:rsidR="000D534B" w:rsidRPr="00BF37AF" w:rsidRDefault="000D534B" w:rsidP="00BF37AF">
      <w:pPr>
        <w:pStyle w:val="enter-3pt"/>
        <w:spacing w:before="45" w:line="240" w:lineRule="auto"/>
        <w:rPr>
          <w:sz w:val="22"/>
          <w:szCs w:val="22"/>
        </w:rPr>
      </w:pPr>
      <w:r w:rsidRPr="00BF37AF">
        <w:rPr>
          <w:sz w:val="22"/>
          <w:szCs w:val="22"/>
        </w:rPr>
        <w:t>Cessão do contrato à empresa resultante da cisão da contratada</w:t>
      </w:r>
      <w:r w:rsidR="00D5745E">
        <w:rPr>
          <w:sz w:val="22"/>
          <w:szCs w:val="22"/>
        </w:rPr>
        <w:t>.</w:t>
      </w:r>
    </w:p>
    <w:p w:rsidR="003C6DEB" w:rsidRPr="00BF37AF" w:rsidRDefault="003C6DEB" w:rsidP="00BF37AF">
      <w:pPr>
        <w:pStyle w:val="Corpodetexto2"/>
        <w:spacing w:after="0" w:line="240" w:lineRule="auto"/>
        <w:ind w:left="0"/>
        <w:rPr>
          <w:sz w:val="22"/>
          <w:szCs w:val="22"/>
        </w:rPr>
      </w:pPr>
    </w:p>
    <w:p w:rsidR="003C6DEB" w:rsidRPr="00BF37AF" w:rsidRDefault="003C6DEB" w:rsidP="00BF37AF">
      <w:pPr>
        <w:pBdr>
          <w:top w:val="threeDEmboss" w:sz="24" w:space="0" w:color="auto"/>
        </w:pBdr>
        <w:tabs>
          <w:tab w:val="left" w:pos="284"/>
        </w:tabs>
        <w:spacing w:after="0"/>
        <w:ind w:left="0"/>
        <w:jc w:val="center"/>
        <w:rPr>
          <w:rFonts w:ascii="Cambria" w:hAnsi="Cambria"/>
          <w:b/>
          <w:bCs/>
          <w:smallCaps/>
          <w:sz w:val="22"/>
          <w:szCs w:val="22"/>
        </w:rPr>
      </w:pPr>
      <w:r w:rsidRPr="00BF37AF">
        <w:rPr>
          <w:rFonts w:ascii="Cambria" w:hAnsi="Cambria"/>
          <w:b/>
          <w:bCs/>
          <w:smallCaps/>
          <w:sz w:val="22"/>
          <w:szCs w:val="22"/>
        </w:rPr>
        <w:t>PLENÁRIO</w:t>
      </w:r>
    </w:p>
    <w:p w:rsidR="003C6DEB" w:rsidRPr="00BF37AF" w:rsidRDefault="003C6DEB" w:rsidP="00BF37AF">
      <w:pPr>
        <w:pStyle w:val="tita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Contratação de serviços de tecnologia da informação: 1 - Uso do pregão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>Representação oferecida ao TCU indicou possíveis irregularidades no Pregão Eletrônico n.º 2009/22510, promovido pelo Banco do Brasil, com o objetivo de contratar serviços de suporte de infraestrutura de tecnologia da informação e comunicação (TIC). Para a representante, a modalidade licitatória não poderia ser o pregão. Em seu voto, o relator ponderou que já se encontra sedimentado, no TCU,</w:t>
      </w:r>
      <w:r w:rsidRPr="00BF37AF">
        <w:rPr>
          <w:i/>
          <w:sz w:val="22"/>
          <w:szCs w:val="22"/>
        </w:rPr>
        <w:t xml:space="preserve"> “entendimento sobre a possibilidade de utilização da modalidade pregão para contratação de serviços de TI”</w:t>
      </w:r>
      <w:r w:rsidRPr="00BF37AF">
        <w:rPr>
          <w:sz w:val="22"/>
          <w:szCs w:val="22"/>
        </w:rPr>
        <w:t xml:space="preserve">. Fez, ainda, alusão à Nota Técnica n.º 2/2008-SEFTI/TCU, que, segundo ele, </w:t>
      </w:r>
      <w:r w:rsidRPr="00BF37AF">
        <w:rPr>
          <w:i/>
          <w:sz w:val="22"/>
          <w:szCs w:val="22"/>
        </w:rPr>
        <w:t>“objetiva contribuir para sanar a ocorrência de interpretações legais, já ultrapassadas, que sustentam a utilização da modalidade técnica e preço em licitações de bens e serviços de TI”</w:t>
      </w:r>
      <w:r w:rsidRPr="00BF37AF">
        <w:rPr>
          <w:sz w:val="22"/>
          <w:szCs w:val="22"/>
        </w:rPr>
        <w:t xml:space="preserve">. Ao apresentar arcabouço legal e jurisprudencial, bem como interpretação sistemática atualizada e consolidada, sobre a modalidade e o tipo de licitação a serem adotados nas aquisições de bens e serviços de tecnologia da informação, pela Administração Pública Federal, a referida nota técnica </w:t>
      </w:r>
      <w:r w:rsidRPr="00BF37AF">
        <w:rPr>
          <w:i/>
          <w:sz w:val="22"/>
          <w:szCs w:val="22"/>
        </w:rPr>
        <w:t>“finda por demonstrar a compatibilidade do uso de Pregão para este propósito”</w:t>
      </w:r>
      <w:r w:rsidRPr="00BF37AF">
        <w:rPr>
          <w:sz w:val="22"/>
          <w:szCs w:val="22"/>
        </w:rPr>
        <w:t xml:space="preserve">. Assim sendo, o relator propôs e o Plenário decidiu </w:t>
      </w:r>
      <w:r w:rsidRPr="00BF37AF">
        <w:rPr>
          <w:i/>
          <w:sz w:val="22"/>
          <w:szCs w:val="22"/>
        </w:rPr>
        <w:t>“Conhecer da presente representação”</w:t>
      </w:r>
      <w:r w:rsidRPr="00BF37AF">
        <w:rPr>
          <w:sz w:val="22"/>
          <w:szCs w:val="22"/>
        </w:rPr>
        <w:t xml:space="preserve"> para, no mérito, </w:t>
      </w:r>
      <w:r w:rsidRPr="00BF37AF">
        <w:rPr>
          <w:i/>
          <w:sz w:val="22"/>
          <w:szCs w:val="22"/>
        </w:rPr>
        <w:t>“considerar improcedentes os seus argumentos”</w:t>
      </w:r>
      <w:r w:rsidRPr="00BF37AF">
        <w:rPr>
          <w:sz w:val="22"/>
          <w:szCs w:val="22"/>
        </w:rPr>
        <w:t xml:space="preserve">. Precedente citado: Acórdão n.º 2.471/2008-Plenário. </w:t>
      </w:r>
      <w:r w:rsidRPr="00BF37AF">
        <w:rPr>
          <w:b/>
          <w:i/>
          <w:sz w:val="22"/>
          <w:szCs w:val="22"/>
        </w:rPr>
        <w:t>Acórdão n.º 947/2010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TC-024.761/2009-3, rel. Min. Valmir Campelo, 05.05.2010</w:t>
      </w:r>
      <w:r w:rsidRPr="00BF37AF">
        <w:rPr>
          <w:sz w:val="22"/>
          <w:szCs w:val="22"/>
        </w:rPr>
        <w:t>.</w:t>
      </w:r>
    </w:p>
    <w:p w:rsidR="000D534B" w:rsidRPr="00BF37AF" w:rsidRDefault="000D534B" w:rsidP="00BF37AF">
      <w:pPr>
        <w:pStyle w:val="indice"/>
        <w:tabs>
          <w:tab w:val="left" w:pos="567"/>
        </w:tabs>
        <w:spacing w:line="240" w:lineRule="auto"/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Contratação de serviços de tecnologia da informação: 2 - Mensuração e pagamento por resultados, e não por homens-hora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Ao examinar o Pregão Eletrônico n.º 2009/22510, promovido pelo Banco do Brasil, a unidade técnica constatou </w:t>
      </w:r>
      <w:r w:rsidRPr="00BF37AF">
        <w:rPr>
          <w:i/>
          <w:sz w:val="22"/>
          <w:szCs w:val="22"/>
        </w:rPr>
        <w:t>“a existência de inconsistências outras que, em sede de cognição sumária, demonstraram restar configurada a plausibilidade fático-jurídica que ampara a medida de exceção”</w:t>
      </w:r>
      <w:r w:rsidRPr="00BF37AF">
        <w:rPr>
          <w:sz w:val="22"/>
          <w:szCs w:val="22"/>
        </w:rPr>
        <w:t xml:space="preserve">. Em consequência, o relator concedeu cautelar suspendendo o prosseguimento do certame e, na mesma oportunidade, solicitou a oitiva do Banco do Brasil e da empresa vencedora da licitação. Referendando a </w:t>
      </w:r>
      <w:r w:rsidRPr="00BF37AF">
        <w:rPr>
          <w:i/>
          <w:sz w:val="22"/>
          <w:szCs w:val="22"/>
        </w:rPr>
        <w:t>“percuciente análise dos elementos apresentados”</w:t>
      </w:r>
      <w:r w:rsidRPr="00BF37AF">
        <w:rPr>
          <w:sz w:val="22"/>
          <w:szCs w:val="22"/>
        </w:rPr>
        <w:t xml:space="preserve">, promovida pela unidade técnica, o relator registrou, em seu voto, que </w:t>
      </w:r>
      <w:r w:rsidRPr="00BF37AF">
        <w:rPr>
          <w:i/>
          <w:sz w:val="22"/>
          <w:szCs w:val="22"/>
        </w:rPr>
        <w:t>“a escolha dos critérios de mensuração assume importância, de forma que uma análise de parâmetros objetivos permita asseverar acerca da adequabilidade dos valores estipulados. Neste diapasão, a mensuração homens-hora aparenta, à primeira vista, ser diretamente proporcional à quantidade de serviço produzida”</w:t>
      </w:r>
      <w:r w:rsidRPr="00BF37AF">
        <w:rPr>
          <w:sz w:val="22"/>
          <w:szCs w:val="22"/>
        </w:rPr>
        <w:t xml:space="preserve">. Destacou, no entanto, que o TCU </w:t>
      </w:r>
      <w:r w:rsidRPr="00BF37AF">
        <w:rPr>
          <w:i/>
          <w:sz w:val="22"/>
          <w:szCs w:val="22"/>
        </w:rPr>
        <w:t>“vem reiteradamente se posicionando pela inconveniência desse modelo, vez que expõe o ente público ao chamado paradoxo lucro-incompetência, condição em que quanto menos eficiente e produtivo for o fornecedor, maior o seu lucro, contrariando obviamente o interesse público”</w:t>
      </w:r>
      <w:r w:rsidRPr="00BF37AF">
        <w:rPr>
          <w:sz w:val="22"/>
          <w:szCs w:val="22"/>
        </w:rPr>
        <w:t>. O relator fez, ainda, menção ao Decreto n.</w:t>
      </w:r>
      <w:r w:rsidRPr="00BF37AF">
        <w:rPr>
          <w:sz w:val="22"/>
          <w:szCs w:val="22"/>
          <w:vertAlign w:val="superscript"/>
        </w:rPr>
        <w:t>o</w:t>
      </w:r>
      <w:r w:rsidRPr="00BF37AF">
        <w:rPr>
          <w:sz w:val="22"/>
          <w:szCs w:val="22"/>
        </w:rPr>
        <w:t xml:space="preserve"> 2.271/97, o qual dispõe, no § 1º do seu art. 3º, que sempre que a prestação de serviço, objeto da contratação, puder ser avaliada por determinada unidade quantitativa de serviço prestado, esta será utilizada como um dos parâmetros de aferição do resultado. Ao final, o relator propôs e o Plenário decidiu </w:t>
      </w:r>
      <w:r w:rsidRPr="00BF37AF">
        <w:rPr>
          <w:i/>
          <w:sz w:val="22"/>
          <w:szCs w:val="22"/>
        </w:rPr>
        <w:t>“Conhecer da presente representação”</w:t>
      </w:r>
      <w:r w:rsidRPr="00BF37AF">
        <w:rPr>
          <w:sz w:val="22"/>
          <w:szCs w:val="22"/>
        </w:rPr>
        <w:t xml:space="preserve"> para, no mérito, considerar </w:t>
      </w:r>
      <w:r w:rsidRPr="00BF37AF">
        <w:rPr>
          <w:i/>
          <w:sz w:val="22"/>
          <w:szCs w:val="22"/>
        </w:rPr>
        <w:t>“procedentes os indícios de irregularidades/impropriedades”</w:t>
      </w:r>
      <w:r w:rsidRPr="00BF37AF">
        <w:rPr>
          <w:sz w:val="22"/>
          <w:szCs w:val="22"/>
        </w:rPr>
        <w:t xml:space="preserve"> levantados pela unidade técnica, fixando prazo para o Banco do Brasil promover a anulação do Pregão Eletrônico n.º 2009/22510</w:t>
      </w:r>
      <w:r w:rsidRPr="00BF37AF">
        <w:rPr>
          <w:i/>
          <w:sz w:val="22"/>
          <w:szCs w:val="22"/>
        </w:rPr>
        <w:t>, “ante as evidências de que o modelo de contratação adotado, baseado no fornecimento de mão-de-obra e na remuneração por homens-horas medidas após a prestação dos serviços, ofende oss princípios da eficiência e da economicidade, ao item 9.4.3 do Acórdão nº 786/2006-TCU-Plenário, ao item 9.1.4 combinado com o 9.13 do Acórdão nº 2.471/2008-TCU-Plenário e ao art. 3º, § 1º, c/c o art. 4º, II, do Decreto nº 2.271/1997”</w:t>
      </w:r>
      <w:r w:rsidRPr="00BF37AF">
        <w:rPr>
          <w:sz w:val="22"/>
          <w:szCs w:val="22"/>
        </w:rPr>
        <w:t xml:space="preserve">. Decidiu também o Pleno determinar ao Banco do Brasil que, nas próximas contratações de serviços de TI: a) </w:t>
      </w:r>
      <w:r w:rsidRPr="00BF37AF">
        <w:rPr>
          <w:i/>
          <w:sz w:val="22"/>
          <w:szCs w:val="22"/>
        </w:rPr>
        <w:t>“elabore termo de referência que atenda ao conteúdo mínimo indicado no item 9.1 do Acórdão nº 2.471/2008-TCU-Plenário e detalhado na Nota Técnica Sefti/TCU nº 1 (www.tcu.gov.br/fiscalizacaoti)”</w:t>
      </w:r>
      <w:r w:rsidRPr="00BF37AF">
        <w:rPr>
          <w:sz w:val="22"/>
          <w:szCs w:val="22"/>
        </w:rPr>
        <w:t xml:space="preserve">; b) </w:t>
      </w:r>
      <w:r w:rsidRPr="00BF37AF">
        <w:rPr>
          <w:i/>
          <w:sz w:val="22"/>
          <w:szCs w:val="22"/>
        </w:rPr>
        <w:t>“inclua no termo de referência, em atendimento ao princípio da eficiência e com base nas orientações disponíveis no item 9.4 do Acórdão nº 786/2006-TCU-Plenário, no item 9.1.1 do Acórdão nº 1.215/2009-TCU-Plenário, na Instrução Normativa SLTI/MP nº 4/2008 e na norma ABNT ISO/IEC NBR 20000:2008, claro detalhamento do nível de serviço necessário à execução do objeto, com a definição de cada resultado esperado, inclusive quanto a prazo e qualidade aceitáveis, dos mecanismos de aferição da qualidade e do desempenho e dos mecanismos de segregação de funções, que assegure a não ocorrência de conflito de interesse na medição e remuneração de serviços;”</w:t>
      </w:r>
      <w:r w:rsidRPr="00BF37AF">
        <w:rPr>
          <w:sz w:val="22"/>
          <w:szCs w:val="22"/>
        </w:rPr>
        <w:t xml:space="preserve">. </w:t>
      </w:r>
      <w:r w:rsidRPr="00BF37AF">
        <w:rPr>
          <w:b/>
          <w:i/>
          <w:sz w:val="22"/>
          <w:szCs w:val="22"/>
        </w:rPr>
        <w:t>Acórdão n.º 947/2010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TC-024.761/2009-3, rel. Min. Valmir Campelo, 05.05.2010</w:t>
      </w:r>
      <w:r w:rsidRPr="00BF37AF">
        <w:rPr>
          <w:sz w:val="22"/>
          <w:szCs w:val="22"/>
        </w:rPr>
        <w:t>.</w:t>
      </w:r>
    </w:p>
    <w:p w:rsidR="00BF37AF" w:rsidRDefault="00BF37AF" w:rsidP="00BF37AF">
      <w:pPr>
        <w:pStyle w:val="enter-3pt"/>
        <w:spacing w:line="240" w:lineRule="auto"/>
        <w:rPr>
          <w:b/>
          <w:sz w:val="22"/>
          <w:szCs w:val="22"/>
        </w:rPr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Comprovação da regularidade fiscal por parte das contratadas por dispensa ou inexigibilidade de licitação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É obrigatória a comprovação da regularidade fiscal das empresas contratadas pela administração pública, seja em virtude de regular processo licitatório, seja em razão de dispensa ou inexigibilidade de licitação. Com base nesse entendimento, o relator propôs e o Plenário decidiu negar provimento a recurso de reconsideração interposto pelo Serviço Social do Comércio – Administração Regional de Minas Gerais (SESC/MG) – contra o Acórdão n.º 1.234/2009-Plenário, por meio do qual o Tribunal retificou o Acórdão n.º 2.744/2008-Plenário, por inexatidão material, para inserir determinação àquela entidade com o seguinte conteúdo: </w:t>
      </w:r>
      <w:r w:rsidRPr="00BF37AF">
        <w:rPr>
          <w:i/>
          <w:sz w:val="22"/>
          <w:szCs w:val="22"/>
        </w:rPr>
        <w:t>“promova alteração no Regulamento de Licitações e Contratos do SESC/MG, de forma que a apresentação da documentação relativa à regularidade com a Seguridade Social seja exigida, também, nas situações de contratação com dispensa ou inexigibilidade de licitação [...];”</w:t>
      </w:r>
      <w:r w:rsidRPr="00BF37AF">
        <w:rPr>
          <w:sz w:val="22"/>
          <w:szCs w:val="22"/>
        </w:rPr>
        <w:t xml:space="preserve">. Em seu voto, o relator destacou que, conquanto não estejam os </w:t>
      </w:r>
      <w:bookmarkStart w:id="1" w:name="Hit2"/>
      <w:r w:rsidRPr="00BF37AF">
        <w:rPr>
          <w:sz w:val="22"/>
          <w:szCs w:val="22"/>
        </w:rPr>
        <w:t>serviços sociais autônomos</w:t>
      </w:r>
      <w:bookmarkEnd w:id="1"/>
      <w:r w:rsidRPr="00BF37AF">
        <w:rPr>
          <w:sz w:val="22"/>
          <w:szCs w:val="22"/>
        </w:rPr>
        <w:t xml:space="preserve"> sujeitos à estrita observância da Lei n.º 8.666/93, </w:t>
      </w:r>
      <w:r w:rsidRPr="00BF37AF">
        <w:rPr>
          <w:i/>
          <w:sz w:val="22"/>
          <w:szCs w:val="22"/>
        </w:rPr>
        <w:t>“por não estarem incluídos na lista de entidades enumeradas no parágrafo único do art. 1º dessa lei”</w:t>
      </w:r>
      <w:r w:rsidRPr="00BF37AF">
        <w:rPr>
          <w:sz w:val="22"/>
          <w:szCs w:val="22"/>
        </w:rPr>
        <w:t xml:space="preserve">, obrigam-se, como destinatários de recursos públicos, a </w:t>
      </w:r>
      <w:bookmarkStart w:id="2" w:name="Hit3"/>
      <w:r w:rsidRPr="00BF37AF">
        <w:rPr>
          <w:sz w:val="22"/>
          <w:szCs w:val="22"/>
        </w:rPr>
        <w:t>regulamentos próprios</w:t>
      </w:r>
      <w:bookmarkEnd w:id="2"/>
      <w:r w:rsidRPr="00BF37AF">
        <w:rPr>
          <w:sz w:val="22"/>
          <w:szCs w:val="22"/>
        </w:rPr>
        <w:t xml:space="preserve"> pautados nos princípios gerais que norteiam a execução da despesa pública, entre os quais o da isonomia, ínsito no art. 37, XXI, da Constituição Federal de 1988. Para o relator, </w:t>
      </w:r>
      <w:r w:rsidRPr="00BF37AF">
        <w:rPr>
          <w:i/>
          <w:sz w:val="22"/>
          <w:szCs w:val="22"/>
        </w:rPr>
        <w:t>“não exigir documentação relativa à regularidade com a Seguridade Social”</w:t>
      </w:r>
      <w:r w:rsidRPr="00BF37AF">
        <w:rPr>
          <w:sz w:val="22"/>
          <w:szCs w:val="22"/>
        </w:rPr>
        <w:t xml:space="preserve">, nas hipóteses de contratação por dispensa ou inexigibilidade, implica </w:t>
      </w:r>
      <w:r w:rsidRPr="00BF37AF">
        <w:rPr>
          <w:i/>
          <w:sz w:val="22"/>
          <w:szCs w:val="22"/>
        </w:rPr>
        <w:t>“estabelecer distinção injustificada e desarrazoada entre contratados diretamente e contratados por meio de licitação”</w:t>
      </w:r>
      <w:r w:rsidRPr="00BF37AF">
        <w:rPr>
          <w:sz w:val="22"/>
          <w:szCs w:val="22"/>
        </w:rPr>
        <w:t xml:space="preserve">, isso porque o contratado em situação de inadimplência </w:t>
      </w:r>
      <w:r w:rsidRPr="00BF37AF">
        <w:rPr>
          <w:i/>
          <w:sz w:val="22"/>
          <w:szCs w:val="22"/>
        </w:rPr>
        <w:t>“tem sensível diminuição de custos, em comparação com o que está em dia com os encargos sociais e tributários”</w:t>
      </w:r>
      <w:r w:rsidRPr="00BF37AF">
        <w:rPr>
          <w:sz w:val="22"/>
          <w:szCs w:val="22"/>
        </w:rPr>
        <w:t>. Precedentes citados: Acórdãos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3.016/2003 e 1.126/2003, ambos da 1ª Câmara. </w:t>
      </w:r>
      <w:r w:rsidRPr="00BF37AF">
        <w:rPr>
          <w:b/>
          <w:i/>
          <w:sz w:val="22"/>
          <w:szCs w:val="22"/>
        </w:rPr>
        <w:t>Acórdão n.º 943/2010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TC-014.687/2007-4, rel. Min. Walton Alencar Rodrigues, 05.05.2010</w:t>
      </w:r>
      <w:r w:rsidRPr="00BF37AF">
        <w:rPr>
          <w:sz w:val="22"/>
          <w:szCs w:val="22"/>
        </w:rPr>
        <w:t>.</w:t>
      </w:r>
    </w:p>
    <w:p w:rsidR="003C6DEB" w:rsidRPr="00BF37AF" w:rsidRDefault="003C6DEB" w:rsidP="00BF37AF">
      <w:pPr>
        <w:pStyle w:val="tita"/>
        <w:spacing w:before="0" w:after="0" w:line="240" w:lineRule="auto"/>
        <w:jc w:val="both"/>
        <w:rPr>
          <w:i w:val="0"/>
          <w:iCs w:val="0"/>
          <w:sz w:val="22"/>
          <w:szCs w:val="22"/>
        </w:rPr>
      </w:pPr>
    </w:p>
    <w:p w:rsidR="000D534B" w:rsidRPr="00BF37AF" w:rsidRDefault="000D534B" w:rsidP="00BF37AF">
      <w:pPr>
        <w:pStyle w:val="indice"/>
        <w:tabs>
          <w:tab w:val="left" w:pos="567"/>
        </w:tabs>
        <w:spacing w:line="240" w:lineRule="auto"/>
        <w:rPr>
          <w:b/>
        </w:rPr>
      </w:pPr>
      <w:r w:rsidRPr="00BF37AF">
        <w:rPr>
          <w:b/>
        </w:rPr>
        <w:t>Repactuação de preços em contrato celebrado com cooperativa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Denúncia formulada ao TCU, apontando possíveis irregularidades no âmbito da Caixa Econômica Federal (CEF), relativas à </w:t>
      </w:r>
      <w:r w:rsidRPr="00BF37AF">
        <w:rPr>
          <w:i/>
          <w:sz w:val="22"/>
          <w:szCs w:val="22"/>
        </w:rPr>
        <w:t>“contratação de prestação de serviços de preparo, conferência e digitação de dados para as unidades localizadas nos Estados de Pernambuco, Alagoas, Paraíba e Rio Grande do Norte”</w:t>
      </w:r>
      <w:r w:rsidRPr="00BF37AF">
        <w:rPr>
          <w:sz w:val="22"/>
          <w:szCs w:val="22"/>
        </w:rPr>
        <w:t xml:space="preserve">, foi convertida em tomada de contas especial (TCE) por meio do Acórdão n.º 1.014/2005-Plenário. A temática da TCE envolvia, em síntese, dois indícios de irregularidades, entre eles o </w:t>
      </w:r>
      <w:r w:rsidRPr="00BF37AF">
        <w:rPr>
          <w:i/>
          <w:sz w:val="22"/>
          <w:szCs w:val="22"/>
        </w:rPr>
        <w:t>“pagamento irregular à empresa contratada, Cooperativa Tecnocoop Informática Ltda., no valor de R$ 571.282,80, oriundo de repactuação indevida de preços”</w:t>
      </w:r>
      <w:r w:rsidRPr="00BF37AF">
        <w:rPr>
          <w:sz w:val="22"/>
          <w:szCs w:val="22"/>
        </w:rPr>
        <w:t xml:space="preserve">. No acórdão que instaurou a TCE, o relator sustentou que o motivo que ensejou a repactuação dos preços contratados com a cooperativa (aumento do piso da categoria, estabelecido em convenção coletiva) não subsistia, uma vez que </w:t>
      </w:r>
      <w:r w:rsidRPr="00BF37AF">
        <w:rPr>
          <w:i/>
          <w:sz w:val="22"/>
          <w:szCs w:val="22"/>
        </w:rPr>
        <w:t>“não há relação de emprego entre cooperados e cooperativa, mas, sim, relação de membro de cooperativa, que determinará a respectiva quota-parte proporcional à sua atividade no sistema de cooperativismo”</w:t>
      </w:r>
      <w:r w:rsidRPr="00BF37AF">
        <w:rPr>
          <w:sz w:val="22"/>
          <w:szCs w:val="22"/>
        </w:rPr>
        <w:t xml:space="preserve">. Em sua defesa, os responsáveis argumentaram que a CEF não concedeu repactuação à Tecnocoop com fundamento no aumento salarial de categoria profissional, mas sim com base na defasagem dos preços contratados com a cooperativa. Segundo os responsáveis, um dos parâmetros a ser considerado para se promover a repactuação seriam justamente os salários pagos aos profissionais vinculados à convenção coletiva, pois tais salários certamente refletiriam o preço de mercado dos serviços contratados com a Tecnocoop. Para o relator, o objetivo da CEF com a repactuação era, na verdade, compensar os efeitos das variações inflacionárias ocorridas no período, aproximando os preços pactuados aos de mercado, uma vez que os preços não sofreram qualquer reajuste entre o período de 1º/9/2001 a 1º/1/2003, em decorrência da previsão expressa na cláusula sexta, § 2º, do contrato, de que os preços contratados eram irreajustáveis, admitindo-se, tão somente, o instrumento da repactuação para a recomposição da equação econômico-financeira. Não obstante a CEF tenha utilizado o percentual de reajuste dos salários da categoria, fixado na convenção coletiva, </w:t>
      </w:r>
      <w:r w:rsidRPr="00BF37AF">
        <w:rPr>
          <w:i/>
          <w:sz w:val="22"/>
          <w:szCs w:val="22"/>
        </w:rPr>
        <w:t>“para se calcular os novos preços dos serviços contratados, ao invés de índices inflacionários”</w:t>
      </w:r>
      <w:r w:rsidRPr="00BF37AF">
        <w:rPr>
          <w:sz w:val="22"/>
          <w:szCs w:val="22"/>
        </w:rPr>
        <w:t xml:space="preserve">, a recomposição da equação econômico-financeira do contrato </w:t>
      </w:r>
      <w:r w:rsidRPr="00BF37AF">
        <w:rPr>
          <w:i/>
          <w:sz w:val="22"/>
          <w:szCs w:val="22"/>
        </w:rPr>
        <w:t>“aproximou-se mais da figura do reajuste do que da repactuação, já que o objetivo do primeiro instrumento é justamente recompor os efeitos das variações inflacionárias nos preços contratados”</w:t>
      </w:r>
      <w:r w:rsidRPr="00BF37AF">
        <w:rPr>
          <w:sz w:val="22"/>
          <w:szCs w:val="22"/>
        </w:rPr>
        <w:t xml:space="preserve">. Quanto à vedação ao reajuste, prevista no contrato firmado com a Tecnocoop, o relator ressaltou que </w:t>
      </w:r>
      <w:r w:rsidRPr="00BF37AF">
        <w:rPr>
          <w:i/>
          <w:sz w:val="22"/>
          <w:szCs w:val="22"/>
        </w:rPr>
        <w:t>“a jurisprudência desta Corte de Contas é no sentido de que deverá assegurar-se ao interessado o direito a esse instrumento de reequilíbrio econômico-financeiro do contrato, ainda que não esteja previsto contratualmente, uma vez que a Lei n.º 8.666/93 (arts. 5º, § 1º, e 40, XI) garante aos contratados a correção dos preços”</w:t>
      </w:r>
      <w:r w:rsidRPr="00BF37AF">
        <w:rPr>
          <w:sz w:val="22"/>
          <w:szCs w:val="22"/>
        </w:rPr>
        <w:t xml:space="preserve">. Independentemente do nome que se tenha atribuído à recomposição do equilíbrio econômico-financeiro no contrato em questão, </w:t>
      </w:r>
      <w:r w:rsidRPr="00BF37AF">
        <w:rPr>
          <w:i/>
          <w:sz w:val="22"/>
          <w:szCs w:val="22"/>
        </w:rPr>
        <w:t>“tal restabelecimento era, de fato, devido”</w:t>
      </w:r>
      <w:r w:rsidRPr="00BF37AF">
        <w:rPr>
          <w:sz w:val="22"/>
          <w:szCs w:val="22"/>
        </w:rPr>
        <w:t xml:space="preserve">, uma vez que </w:t>
      </w:r>
      <w:r w:rsidRPr="00BF37AF">
        <w:rPr>
          <w:i/>
          <w:sz w:val="22"/>
          <w:szCs w:val="22"/>
        </w:rPr>
        <w:t>“A inflação acumulada no período de setembro/2000 (início da vigência do contrato) a janeiro/2003 (mês em que os preços foram reajustados) foi de 30,52%, 25,48% e 45,03%, utilizando-se os índices INPC, IPCA e IGP-M, respectivamente, o que demonstra a sensível defasagem dos preços contratados nesse período, seja qual for o índice utilizado”</w:t>
      </w:r>
      <w:r w:rsidRPr="00BF37AF">
        <w:rPr>
          <w:sz w:val="22"/>
          <w:szCs w:val="22"/>
        </w:rPr>
        <w:t xml:space="preserve">. Quanto ao fato de a CEF utilizar o percentual de reajuste dos salários da categoria, fixado na convenção coletiva, para calcular os novos valores dos preços pactuados, o relator considerou razoável a alegação dos gestores, no sentido de que a variação salarial dos trabalhadores vinculados à convenção seria bom parâmetro para aproximar os preços dos serviços contratados com a Tecnocoop aos de mercado, uma vez que os custos desses serviços referiam-se, em grande parte, à mão de obra. Feitas essas considerações, o relator concluiu que </w:t>
      </w:r>
      <w:r w:rsidRPr="00BF37AF">
        <w:rPr>
          <w:i/>
          <w:sz w:val="22"/>
          <w:szCs w:val="22"/>
        </w:rPr>
        <w:t>“não mais subsiste o débito que ensejou a instauração da presente TCE, motivo pelo qual devem ser afastadas as responsabilidades dos gestores”</w:t>
      </w:r>
      <w:r w:rsidRPr="00BF37AF">
        <w:rPr>
          <w:sz w:val="22"/>
          <w:szCs w:val="22"/>
        </w:rPr>
        <w:t>. O Plenário acolheu o voto do relator. Precedentes citados: Acórdãos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376/1997-1ª Câmara e 479/2007-Plenário. </w:t>
      </w:r>
      <w:r w:rsidRPr="00BF37AF">
        <w:rPr>
          <w:b/>
          <w:i/>
          <w:sz w:val="22"/>
          <w:szCs w:val="22"/>
        </w:rPr>
        <w:t>Acórdão n.º 963/2010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TC-007.449/2001-3, rel. Min. Benjamin Zymler, 05.05.2010</w:t>
      </w:r>
      <w:r w:rsidRPr="00BF37AF">
        <w:rPr>
          <w:sz w:val="22"/>
          <w:szCs w:val="22"/>
        </w:rPr>
        <w:t>.</w:t>
      </w:r>
    </w:p>
    <w:p w:rsidR="003C6DEB" w:rsidRPr="00BF37AF" w:rsidRDefault="003C6DEB" w:rsidP="00BF37AF">
      <w:pPr>
        <w:pStyle w:val="Corpodetexto2"/>
        <w:spacing w:after="0" w:line="240" w:lineRule="auto"/>
        <w:ind w:left="0"/>
        <w:jc w:val="center"/>
        <w:rPr>
          <w:sz w:val="22"/>
          <w:szCs w:val="22"/>
        </w:rPr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Subcontratação de serviços contratados com fundamento no art. 24, XIII, da Lei n.º 8.666/93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Em razão de indícios de irregularidades apontados em representação formulada ao TCU, acerca da execução do Convênio n.º 77/2001, celebrado entre o Governo do Estado do Espírito Santo e a Secretaria Nacional de Segurança Pública (Senasp), para fim de capacitação operacional das polícias civil e militar, no âmbito do Projeto de Ações Proativas para Prevenção à Criminalidade (PRO-PAS), foram os autos convertidos em tomada de contas especial. As principais ocorrências diziam respeito, em síntese, </w:t>
      </w:r>
      <w:r w:rsidRPr="00BF37AF">
        <w:rPr>
          <w:i/>
          <w:sz w:val="22"/>
          <w:szCs w:val="22"/>
        </w:rPr>
        <w:t>“à execução parcial do objeto do convênio (68%) com o pagamento de 100% do valor contratado; ao pagamento a servidores estaduais para ministrar cursos do programa, quando as aulas poderiam ter sido realizadas sem custo para o Estado; à contratação da Fundação Ceciliano Abel de Almeida por dispensa de licitação, com fulcro no art. 24, inciso XIII, da Lei nº 8.666/93, sem que estivessem presentes os requisitos relativos à qualificação do seu corpo técnico para a prestação dos serviços; e à montagem da prestação de contas, com o intuito de demonstrar que todo o objeto do convênio fora realizado.”</w:t>
      </w:r>
      <w:r w:rsidRPr="00BF37AF">
        <w:rPr>
          <w:sz w:val="22"/>
          <w:szCs w:val="22"/>
        </w:rPr>
        <w:t xml:space="preserve">. A respeito do contrato celebrado entre a Secretaria de Estado da Segurança Pública (SESP) e a Fundação Ceciliano Abel de Almeida (FCAA) – fundação de apoio à Universidade Federal do Espírito Santo (UFES) –, por dispensa de licitação, com fundamento no inciso XIII do art. 24 da Lei n.º 8.666/93, para a prestação de serviços de treinamento de instrutores policiais, o relator destacou que a jurisprudência do TCU é firme no sentido de que </w:t>
      </w:r>
      <w:r w:rsidRPr="00BF37AF">
        <w:rPr>
          <w:i/>
          <w:sz w:val="22"/>
          <w:szCs w:val="22"/>
        </w:rPr>
        <w:t>“a contratação de instituição sem fins lucrativos, com dispensa de licitação, com fulcro no art. 24, inciso XIII, da Lei n.º 8.666/93, somente é admitida nas hipóteses em que houver nexo efetivo entre o dispositivo, a natureza da instituição e o objeto contratado, além de comprovada a compatibilidade com os preços de mercado”</w:t>
      </w:r>
      <w:r w:rsidRPr="00BF37AF">
        <w:rPr>
          <w:sz w:val="22"/>
          <w:szCs w:val="22"/>
        </w:rPr>
        <w:t xml:space="preserve"> (Súmula n.º 250). Afirmou, também, ser pacífico o entendimento de que, quando da contratação direta prevista no referido dispositivo, deve restar comprovada a capacidade de execução do objeto contratual com estrutura própria e de acordo com as competências da contratada, sendo inadmissível, nesses casos, a subcontratação, ainda que parcial, dos serviços contratados. No caso em exame, contrariando um dos pressupostos da contratação direta prevista no art. 24, XIII, da Lei n.º 8.666/93 – a execução pelo próprio contratado, em razão de sua estrutura e qualificação satisfatórias para a prestação adequada do serviço – o próprio contrato </w:t>
      </w:r>
      <w:r w:rsidRPr="00BF37AF">
        <w:rPr>
          <w:i/>
          <w:sz w:val="22"/>
          <w:szCs w:val="22"/>
        </w:rPr>
        <w:t>“admitia a possibilidade de subcontratação parcial, vedando apenas a subcontratação total dos serviços ajustados”</w:t>
      </w:r>
      <w:r w:rsidRPr="00BF37AF">
        <w:rPr>
          <w:sz w:val="22"/>
          <w:szCs w:val="22"/>
        </w:rPr>
        <w:t xml:space="preserve">. Nesse caso, </w:t>
      </w:r>
      <w:r w:rsidRPr="00BF37AF">
        <w:rPr>
          <w:i/>
          <w:sz w:val="22"/>
          <w:szCs w:val="22"/>
        </w:rPr>
        <w:t>“Policiais militares e civis, inclusive alguns integrantes da estrutura executiva do PRO-PAS, filiaram-se à Cooperativa de Professores de Pós-Graduação e Extensão do Espírito Santo – COOPERPOS/ES, entidade com a qual a FCAA celebrou termo de cooperação em 22/08/2001, para que pudessem ser recrutados para ministrar aulas e coordenar os treinamentos objeto do contrato celebrado com a SESP”</w:t>
      </w:r>
      <w:r w:rsidRPr="00BF37AF">
        <w:rPr>
          <w:sz w:val="22"/>
          <w:szCs w:val="22"/>
        </w:rPr>
        <w:t xml:space="preserve">. O relator concluiu que a FCAA, </w:t>
      </w:r>
      <w:r w:rsidRPr="00BF37AF">
        <w:rPr>
          <w:i/>
          <w:sz w:val="22"/>
          <w:szCs w:val="22"/>
        </w:rPr>
        <w:t>“ainda que em parte, atuou como intermediária na prestação dos serviços contratados, captando fora do seu quadro funcional os profissionais necessários à execução do contrato, o que inviabiliza a adoção do permissivo dispensatário legal (art. 24, XIII, da Lei n.º 8.666/1993), conforme a jurisprudência pacífica deste Tribunal”</w:t>
      </w:r>
      <w:r w:rsidRPr="00BF37AF">
        <w:rPr>
          <w:sz w:val="22"/>
          <w:szCs w:val="22"/>
        </w:rPr>
        <w:t>. Ao final, o relator propôs e o Plenário decidiu julgar irregulares as contas dos responsáveis e aplicar-lhes multa, sem prejuízo de expedir determinação corretiva ao Governo do Estado do Espírito Santo, para futuras contratações custeadas, ainda que parcialmente, com recursos federais. Precedentes citados: Decisões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881/97, 138/98, 516/2000 e 540/2000, todas do Plenário; Acórdãos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14/2002, 19/2002 e 994/2006, todos do Plenário. </w:t>
      </w:r>
      <w:r w:rsidRPr="00BF37AF">
        <w:rPr>
          <w:b/>
          <w:i/>
          <w:sz w:val="22"/>
          <w:szCs w:val="22"/>
        </w:rPr>
        <w:t>Acórdão n.º 950/2010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TC-016.499/2006-5, rel. Min. Benjamin Zymler, 05.05.2010</w:t>
      </w:r>
      <w:r w:rsidRPr="00BF37AF">
        <w:rPr>
          <w:sz w:val="22"/>
          <w:szCs w:val="22"/>
        </w:rPr>
        <w:t>.</w:t>
      </w:r>
    </w:p>
    <w:p w:rsidR="00BF37AF" w:rsidRDefault="00BF37AF" w:rsidP="00BF37AF">
      <w:pPr>
        <w:pStyle w:val="enter-3pt"/>
        <w:spacing w:line="240" w:lineRule="auto"/>
        <w:rPr>
          <w:b/>
          <w:sz w:val="22"/>
          <w:szCs w:val="22"/>
        </w:rPr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Parcelamento material do objeto</w:t>
      </w:r>
      <w:r w:rsidR="00431CEC">
        <w:rPr>
          <w:b/>
          <w:sz w:val="22"/>
          <w:szCs w:val="22"/>
        </w:rPr>
        <w:t xml:space="preserve"> e participação de consórcios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Representação oferecida ao TCU indicou possíveis irregularidades na Concorrência n.º 028/2009, promovida pela Prefeitura Municipal de Campo Grande/MS, ao custo estimado de R$ 149.845.323,52, provenientes do Programa de Mobilidade Urbana, do Ministério das Cidades, </w:t>
      </w:r>
      <w:r w:rsidRPr="00BF37AF">
        <w:rPr>
          <w:i/>
          <w:sz w:val="22"/>
          <w:szCs w:val="22"/>
        </w:rPr>
        <w:t>“com vistas à pré-qualificação de empresas para a futura licitação que terá por objeto a execução de obras e serviços de implantação e adequação do sistema de corredores de transporte e outros projetos de mobilidade urbana”</w:t>
      </w:r>
      <w:r w:rsidRPr="00BF37AF">
        <w:rPr>
          <w:sz w:val="22"/>
          <w:szCs w:val="22"/>
        </w:rPr>
        <w:t xml:space="preserve">. As supostas irregularidades consistiam, basicamente, na: </w:t>
      </w:r>
      <w:r w:rsidRPr="00BF37AF">
        <w:rPr>
          <w:i/>
          <w:sz w:val="22"/>
          <w:szCs w:val="22"/>
        </w:rPr>
        <w:t>“a) ausência de fracionamento do objeto em lotes, embora seja técnica e economicamente viável; b) vedação da participação de consórcios no certame; c) limitação do número de atestados para comprovação de aptidão técnica; d) exigência de comprovação de aptidão técnica em itens de pouca relevância e pequeno valor;”</w:t>
      </w:r>
      <w:r w:rsidRPr="00BF37AF">
        <w:rPr>
          <w:sz w:val="22"/>
          <w:szCs w:val="22"/>
        </w:rPr>
        <w:t xml:space="preserve">. Para o relator, os argumentos apresentados pelo Secretário de Obras do Município de Campo Grande/MS não foram capazes de elidir as irregularidades suscitadas, as quais </w:t>
      </w:r>
      <w:r w:rsidRPr="00BF37AF">
        <w:rPr>
          <w:i/>
          <w:sz w:val="22"/>
          <w:szCs w:val="22"/>
        </w:rPr>
        <w:t>“restringem a competitividade da licitação, principalmente por não permitir o fracionamento do objeto do contrato em lotes de obras que são independentes e serão realizadas em locais distintos”</w:t>
      </w:r>
      <w:r w:rsidRPr="00BF37AF">
        <w:rPr>
          <w:sz w:val="22"/>
          <w:szCs w:val="22"/>
        </w:rPr>
        <w:t xml:space="preserve">. Segundo o relator, a situação se torna mais grave </w:t>
      </w:r>
      <w:r w:rsidRPr="00BF37AF">
        <w:rPr>
          <w:i/>
          <w:sz w:val="22"/>
          <w:szCs w:val="22"/>
        </w:rPr>
        <w:t>“com a vedação à participação de consórcios no certame licitatório, uma vez que, caso o parcelamento seja inviável, poucas empresas teriam capacidade de executar uma obra de grande vulto”</w:t>
      </w:r>
      <w:r w:rsidRPr="00BF37AF">
        <w:rPr>
          <w:sz w:val="22"/>
          <w:szCs w:val="22"/>
        </w:rPr>
        <w:t xml:space="preserve">. O relator propôs e o Plenário decidiu fixar prazo para a Prefeitura Municipal de Campo Grande/MS promover a </w:t>
      </w:r>
      <w:r w:rsidRPr="00BF37AF">
        <w:rPr>
          <w:i/>
          <w:sz w:val="22"/>
          <w:szCs w:val="22"/>
        </w:rPr>
        <w:t>“anulação do Edital de Pré-Qualificação da Concorrência nº 028/2009”</w:t>
      </w:r>
      <w:r w:rsidRPr="00BF37AF">
        <w:rPr>
          <w:sz w:val="22"/>
          <w:szCs w:val="22"/>
        </w:rPr>
        <w:t xml:space="preserve">, sem prejuízo de expedir-lhe determinação no sentido de que: I) </w:t>
      </w:r>
      <w:r w:rsidRPr="00BF37AF">
        <w:rPr>
          <w:i/>
          <w:sz w:val="22"/>
          <w:szCs w:val="22"/>
        </w:rPr>
        <w:t>“realize o parcelamento do objeto da nova licitação a ser promovida, com vistas à contratação das obras e serviços de implantação e adequação do sistema de corredores de transportes e outros projetos de mobilidade urbana, devendo proceder anteriormente, para fundamentar a escolha da forma de configuração dos ‘blocos’ ou ‘lotes’ a serem formados em função do parcelamento, a estudos técnicos que considerem as características de mercado e que indiquem a alternativa de divisão que melhor satisfaça os princípios da competitividade, da isonomia e da obtenção da proposta mais vantajosa para a Administração, respeitadas as limitações de ordem técnica, sem prejuízo de realizar contratação isolada de todo o complexo ou conjunto com um licitante, mas, neste caso, desde que admitida expressamente a participação, no certame, de empresas em consórcio, como forma de assegurar o parcelamento material do objeto, respeitando as regras prescritas no art. 33 da Lei nº 8.666/1993”</w:t>
      </w:r>
      <w:r w:rsidRPr="00BF37AF">
        <w:rPr>
          <w:sz w:val="22"/>
          <w:szCs w:val="22"/>
        </w:rPr>
        <w:t xml:space="preserve">; II) </w:t>
      </w:r>
      <w:r w:rsidRPr="00BF37AF">
        <w:rPr>
          <w:i/>
          <w:sz w:val="22"/>
          <w:szCs w:val="22"/>
        </w:rPr>
        <w:t>“reavalie e, conforme o caso, adapte as demais disposições editalícias (definição do tipo de licitação e critérios de julgamento, do regime de execução, dos critérios de habilitação, entre outras disposições) à nova situação decorrente do parcelamento”</w:t>
      </w:r>
      <w:r w:rsidRPr="00BF37AF">
        <w:rPr>
          <w:sz w:val="22"/>
          <w:szCs w:val="22"/>
        </w:rPr>
        <w:t xml:space="preserve">; e III) </w:t>
      </w:r>
      <w:r w:rsidRPr="00BF37AF">
        <w:rPr>
          <w:i/>
          <w:sz w:val="22"/>
          <w:szCs w:val="22"/>
        </w:rPr>
        <w:t>“faça constar dos autos do processo licitatório, independentemente da opção por lote divisível, os demonstrativos técnicos que fundamentem a definição dos itens das obras, sob os aspectos de relevância e valor, e dos atestados a serem exigidos, para efeito de comprovação de aptidão técnica”</w:t>
      </w:r>
      <w:r w:rsidRPr="00BF37AF">
        <w:rPr>
          <w:sz w:val="22"/>
          <w:szCs w:val="22"/>
        </w:rPr>
        <w:t xml:space="preserve">. </w:t>
      </w:r>
      <w:r w:rsidRPr="00BF37AF">
        <w:rPr>
          <w:b/>
          <w:i/>
          <w:sz w:val="22"/>
          <w:szCs w:val="22"/>
        </w:rPr>
        <w:t>Acórdão n.º 935/2010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>, TC-015.485/2009-0, rel. Min. José Múcio Monteiro, 05.05.2010</w:t>
      </w:r>
      <w:r w:rsidRPr="00BF37AF">
        <w:rPr>
          <w:sz w:val="22"/>
          <w:szCs w:val="22"/>
        </w:rPr>
        <w:t>.</w:t>
      </w:r>
    </w:p>
    <w:p w:rsidR="00BF37AF" w:rsidRDefault="00BF37AF" w:rsidP="00BF37AF">
      <w:pPr>
        <w:pStyle w:val="indice"/>
        <w:tabs>
          <w:tab w:val="left" w:pos="567"/>
        </w:tabs>
        <w:spacing w:line="240" w:lineRule="auto"/>
        <w:rPr>
          <w:b/>
        </w:rPr>
      </w:pPr>
    </w:p>
    <w:p w:rsidR="00BF37AF" w:rsidRDefault="00BF37AF" w:rsidP="00BF37AF">
      <w:pPr>
        <w:pStyle w:val="indice"/>
        <w:tabs>
          <w:tab w:val="left" w:pos="567"/>
        </w:tabs>
        <w:spacing w:line="240" w:lineRule="auto"/>
        <w:rPr>
          <w:b/>
        </w:rPr>
      </w:pPr>
    </w:p>
    <w:p w:rsidR="000D534B" w:rsidRPr="00BF37AF" w:rsidRDefault="000D534B" w:rsidP="00BF37AF">
      <w:pPr>
        <w:pStyle w:val="indice"/>
        <w:tabs>
          <w:tab w:val="left" w:pos="567"/>
        </w:tabs>
        <w:spacing w:line="240" w:lineRule="auto"/>
        <w:rPr>
          <w:b/>
        </w:rPr>
      </w:pPr>
      <w:r w:rsidRPr="00BF37AF">
        <w:rPr>
          <w:b/>
        </w:rPr>
        <w:t>Licitação, do tipo “técnica e preço”, para contratação de serviços advocatícios: 1 - Ausência de definição da pontuação máxima no quesito de experiência profissional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  <w:lang w:val="en-US"/>
        </w:rPr>
      </w:pPr>
      <w:r w:rsidRPr="00BF37AF">
        <w:rPr>
          <w:sz w:val="22"/>
          <w:szCs w:val="22"/>
        </w:rPr>
        <w:t xml:space="preserve">O relator comunicou ao Plenário ter adotado medida cautelar determinando à INB – Indústrias Nucleares do Brasil S/A que suspendesse a Concorrência n.º 1.011/2009, do tipo “técnica e preço”, e todos os atos dela decorrentes, até que o Tribunal decida sobre o mérito das irregularidades, levantadas em processo de representação. A licitação em tela tem por objeto a contratação de escritório de advocacia para </w:t>
      </w:r>
      <w:r w:rsidRPr="00BF37AF">
        <w:rPr>
          <w:i/>
          <w:sz w:val="22"/>
          <w:szCs w:val="22"/>
        </w:rPr>
        <w:t>“execução de serviços técnicos profissionais de natureza jurídica nas áreas trabalhista e cível, e procedimentos administrativos, junto às Justiças Estadual, Federal e do Trabalho, incluindo todas as instâncias dos Tribunais sediados nos Estados do Rio de Janeiro e São Paulo, e Tribunais Superiores”</w:t>
      </w:r>
      <w:r w:rsidRPr="00BF37AF">
        <w:rPr>
          <w:sz w:val="22"/>
          <w:szCs w:val="22"/>
        </w:rPr>
        <w:t xml:space="preserve">. Após examinar as respostas encaminhadas pela INB em sede de oitiva prévia, a unidade técnica concluiu, em resumo, que: a) </w:t>
      </w:r>
      <w:r w:rsidRPr="00BF37AF">
        <w:rPr>
          <w:i/>
          <w:sz w:val="22"/>
          <w:szCs w:val="22"/>
        </w:rPr>
        <w:t>“estaria equivocada a adoção, única e exclusivamente, de critérios de pontuação técnica que medem a quantidade de vezes em que os advogados atuaram na representação de pessoas jurídicas de direito público ou privado”</w:t>
      </w:r>
      <w:r w:rsidRPr="00BF37AF">
        <w:rPr>
          <w:sz w:val="22"/>
          <w:szCs w:val="22"/>
        </w:rPr>
        <w:t xml:space="preserve">; b) </w:t>
      </w:r>
      <w:r w:rsidRPr="00BF37AF">
        <w:rPr>
          <w:i/>
          <w:sz w:val="22"/>
          <w:szCs w:val="22"/>
        </w:rPr>
        <w:t>“apesar de esse quesito não se mostrar desarrazoado, deveria vir acompanhado de outros que pudessem efetivamente demonstrar a qualificação técnica dos profissionais”</w:t>
      </w:r>
      <w:r w:rsidRPr="00BF37AF">
        <w:rPr>
          <w:sz w:val="22"/>
          <w:szCs w:val="22"/>
        </w:rPr>
        <w:t xml:space="preserve">; c) </w:t>
      </w:r>
      <w:r w:rsidRPr="00BF37AF">
        <w:rPr>
          <w:i/>
          <w:sz w:val="22"/>
          <w:szCs w:val="22"/>
        </w:rPr>
        <w:t>“a eleição de critérios técnicos deve sujeitar-se ao princípio da proporcionalidade, sendo imperioso que exista vínculo de adequação entre o critério eleito e a necessidade pública a ser satisfeita”</w:t>
      </w:r>
      <w:r w:rsidRPr="00BF37AF">
        <w:rPr>
          <w:sz w:val="22"/>
          <w:szCs w:val="22"/>
        </w:rPr>
        <w:t xml:space="preserve">; d) </w:t>
      </w:r>
      <w:r w:rsidRPr="00BF37AF">
        <w:rPr>
          <w:i/>
          <w:sz w:val="22"/>
          <w:szCs w:val="22"/>
        </w:rPr>
        <w:t xml:space="preserve">“o não estabelecimento de pontuação técnica máxima a ser obtida pelas licitantes contraria os princípios da motivação, razoabilidade e proporcionalidade, insculpidos no art. 2º da Lei 9.784, de 29 de janeiro de 1999, e pode ter restringido o caráter competitivo e a igualdade do certame, em desobediência ao </w:t>
      </w:r>
      <w:r w:rsidRPr="00BF37AF">
        <w:rPr>
          <w:b/>
          <w:i/>
          <w:sz w:val="22"/>
          <w:szCs w:val="22"/>
        </w:rPr>
        <w:t>caput</w:t>
      </w:r>
      <w:r w:rsidRPr="00BF37AF">
        <w:rPr>
          <w:i/>
          <w:sz w:val="22"/>
          <w:szCs w:val="22"/>
        </w:rPr>
        <w:t xml:space="preserve"> e § 1º do inciso I do art. 3º da Lei nº 8.666, de 1993, vez que grandes escritórios atingirão melhores pontuações técnicas, simplesmente por serem detentores de quadros de profissionais maiores”</w:t>
      </w:r>
      <w:r w:rsidRPr="00BF37AF">
        <w:rPr>
          <w:sz w:val="22"/>
          <w:szCs w:val="22"/>
        </w:rPr>
        <w:t xml:space="preserve">. Para o relator, os critérios de pontuação técnica definidos no edital do certame podem, de fato, ter </w:t>
      </w:r>
      <w:r w:rsidRPr="00BF37AF">
        <w:rPr>
          <w:i/>
          <w:sz w:val="22"/>
          <w:szCs w:val="22"/>
        </w:rPr>
        <w:t>“acarretado injustiças e contrariado o interesse público”</w:t>
      </w:r>
      <w:r w:rsidRPr="00BF37AF">
        <w:rPr>
          <w:sz w:val="22"/>
          <w:szCs w:val="22"/>
        </w:rPr>
        <w:t xml:space="preserve">, privilegiando </w:t>
      </w:r>
      <w:r w:rsidRPr="00BF37AF">
        <w:rPr>
          <w:i/>
          <w:sz w:val="22"/>
          <w:szCs w:val="22"/>
        </w:rPr>
        <w:t>“sociedades cujos advogados atuaram em grande número de causas, embora de baixa complexidade”</w:t>
      </w:r>
      <w:r w:rsidRPr="00BF37AF">
        <w:rPr>
          <w:sz w:val="22"/>
          <w:szCs w:val="22"/>
        </w:rPr>
        <w:t xml:space="preserve">. Os critérios adotados </w:t>
      </w:r>
      <w:r w:rsidRPr="00BF37AF">
        <w:rPr>
          <w:i/>
          <w:sz w:val="22"/>
          <w:szCs w:val="22"/>
        </w:rPr>
        <w:t>“não garantem necessariamente a qualificação técnica dos profissionais da sociedade a ser contratada”</w:t>
      </w:r>
      <w:r w:rsidRPr="00BF37AF">
        <w:rPr>
          <w:sz w:val="22"/>
          <w:szCs w:val="22"/>
        </w:rPr>
        <w:t xml:space="preserve"> e, se a INB decidiu realizar a concorrência do tipo “técnica e preço”, </w:t>
      </w:r>
      <w:r w:rsidRPr="00BF37AF">
        <w:rPr>
          <w:i/>
          <w:sz w:val="22"/>
          <w:szCs w:val="22"/>
        </w:rPr>
        <w:t>“é porque a qualificação técnica da contratada é importante e determinante na condução da defesa dos interesses da empresa junto ao Poder Judiciário”</w:t>
      </w:r>
      <w:r w:rsidRPr="00BF37AF">
        <w:rPr>
          <w:sz w:val="22"/>
          <w:szCs w:val="22"/>
        </w:rPr>
        <w:t xml:space="preserve">. Reconheceu o relator haver indícios de que, </w:t>
      </w:r>
      <w:r w:rsidRPr="00BF37AF">
        <w:rPr>
          <w:i/>
          <w:sz w:val="22"/>
          <w:szCs w:val="22"/>
        </w:rPr>
        <w:t>“com a ausência de fixação de pontuação geral máxima a ser obtida pelas licitantes – com a definição de pontuação máxima apenas para cada profissional –, a licitação em tela tende à contratação de escritório de maior porte, simplesmente por ser detentor de quadro maior de profissionais”</w:t>
      </w:r>
      <w:r w:rsidRPr="00BF37AF">
        <w:rPr>
          <w:sz w:val="22"/>
          <w:szCs w:val="22"/>
        </w:rPr>
        <w:t xml:space="preserve">. O Plenário, por unanimidade, referendou a cautelar. </w:t>
      </w:r>
      <w:r w:rsidRPr="00BF37AF">
        <w:rPr>
          <w:b/>
          <w:i/>
          <w:sz w:val="22"/>
          <w:szCs w:val="22"/>
        </w:rPr>
        <w:t xml:space="preserve">Decisão monocrática no TC-003.512/2010-0, </w:t>
      </w:r>
      <w:r w:rsidR="00D5745E">
        <w:rPr>
          <w:b/>
          <w:i/>
          <w:sz w:val="22"/>
          <w:szCs w:val="22"/>
        </w:rPr>
        <w:t>rel. Min-Subst.</w:t>
      </w:r>
      <w:r w:rsidRPr="00BF37AF">
        <w:rPr>
          <w:b/>
          <w:i/>
          <w:sz w:val="22"/>
          <w:szCs w:val="22"/>
          <w:lang w:val="en-US"/>
        </w:rPr>
        <w:t xml:space="preserve"> André Luís de Carvalho, 05.05.2010</w:t>
      </w:r>
      <w:r w:rsidRPr="00BF37AF">
        <w:rPr>
          <w:sz w:val="22"/>
          <w:szCs w:val="22"/>
          <w:lang w:val="en-US"/>
        </w:rPr>
        <w:t>.</w:t>
      </w:r>
    </w:p>
    <w:p w:rsidR="000D534B" w:rsidRPr="00BF37AF" w:rsidRDefault="000D534B" w:rsidP="00BF37AF">
      <w:pPr>
        <w:pStyle w:val="indice"/>
        <w:tabs>
          <w:tab w:val="left" w:pos="567"/>
        </w:tabs>
        <w:spacing w:line="240" w:lineRule="auto"/>
      </w:pPr>
    </w:p>
    <w:p w:rsidR="000D534B" w:rsidRPr="00BF37AF" w:rsidRDefault="000D534B" w:rsidP="00BF37AF">
      <w:pPr>
        <w:pStyle w:val="indice"/>
        <w:tabs>
          <w:tab w:val="left" w:pos="567"/>
        </w:tabs>
        <w:spacing w:line="240" w:lineRule="auto"/>
        <w:rPr>
          <w:b/>
        </w:rPr>
      </w:pPr>
      <w:r w:rsidRPr="00BF37AF">
        <w:rPr>
          <w:b/>
        </w:rPr>
        <w:t>Licitação, do tipo “técnica e preço”, para contratação de serviços advocatícios: 2 - Exigência de comprovação de vínculo do advogado com a sociedade licitante, para fim de pontuação técnica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 xml:space="preserve">Outra exigência editalícia a macular a Concorrência n.º 1.011/2009-INB dizia respeito à necessidade da comprovação de vínculo do advogado com a sociedade licitante, para fim de pontuação técnica. O relator destacou que o TCU tem, sistematicamente, se manifestado no sentido de rechaçar exigência dessa natureza, por entender que ela inibe o caráter competitivo do certame e fere o princípio da igualdade, </w:t>
      </w:r>
      <w:r w:rsidRPr="00BF37AF">
        <w:rPr>
          <w:i/>
          <w:sz w:val="22"/>
          <w:szCs w:val="22"/>
        </w:rPr>
        <w:t xml:space="preserve">“contrariando o </w:t>
      </w:r>
      <w:r w:rsidRPr="00BF37AF">
        <w:rPr>
          <w:b/>
          <w:i/>
          <w:sz w:val="22"/>
          <w:szCs w:val="22"/>
        </w:rPr>
        <w:t>caput</w:t>
      </w:r>
      <w:r w:rsidRPr="00BF37AF">
        <w:rPr>
          <w:i/>
          <w:sz w:val="22"/>
          <w:szCs w:val="22"/>
        </w:rPr>
        <w:t xml:space="preserve"> e o § 1º do inciso I do art. 3º da Lei nº 8.666, de 1993”.</w:t>
      </w:r>
      <w:r w:rsidRPr="00BF37AF">
        <w:rPr>
          <w:sz w:val="22"/>
          <w:szCs w:val="22"/>
        </w:rPr>
        <w:t xml:space="preserve"> Cabe à contratante garantir que os profissionais </w:t>
      </w:r>
      <w:r w:rsidRPr="00BF37AF">
        <w:rPr>
          <w:i/>
          <w:sz w:val="22"/>
          <w:szCs w:val="22"/>
        </w:rPr>
        <w:t>“pontuados”</w:t>
      </w:r>
      <w:r w:rsidRPr="00BF37AF">
        <w:rPr>
          <w:sz w:val="22"/>
          <w:szCs w:val="22"/>
        </w:rPr>
        <w:t xml:space="preserve"> sejam efetivamente contratados, pela licitante vencedora, para a execução do objeto, </w:t>
      </w:r>
      <w:r w:rsidRPr="00BF37AF">
        <w:rPr>
          <w:i/>
          <w:sz w:val="22"/>
          <w:szCs w:val="22"/>
        </w:rPr>
        <w:t>“permitindo-se a troca de profissionais por outros com as mesmas competências técnicas, se necessário”</w:t>
      </w:r>
      <w:r w:rsidRPr="00BF37AF">
        <w:rPr>
          <w:sz w:val="22"/>
          <w:szCs w:val="22"/>
        </w:rPr>
        <w:t xml:space="preserve">. Para o relator, restaram evidenciados o </w:t>
      </w:r>
      <w:r w:rsidRPr="00BF37AF">
        <w:rPr>
          <w:b/>
          <w:sz w:val="22"/>
          <w:szCs w:val="22"/>
        </w:rPr>
        <w:t>fumus boni iuris</w:t>
      </w:r>
      <w:r w:rsidRPr="00BF37AF">
        <w:rPr>
          <w:sz w:val="22"/>
          <w:szCs w:val="22"/>
        </w:rPr>
        <w:t xml:space="preserve"> e o </w:t>
      </w:r>
      <w:r w:rsidRPr="00BF37AF">
        <w:rPr>
          <w:b/>
          <w:sz w:val="22"/>
          <w:szCs w:val="22"/>
        </w:rPr>
        <w:t>periculum in mora</w:t>
      </w:r>
      <w:r w:rsidRPr="00BF37AF">
        <w:rPr>
          <w:sz w:val="22"/>
          <w:szCs w:val="22"/>
        </w:rPr>
        <w:t xml:space="preserve">, requisitos essenciais à adoção da medida cautelar. Considerando que </w:t>
      </w:r>
      <w:r w:rsidRPr="00BF37AF">
        <w:rPr>
          <w:i/>
          <w:sz w:val="22"/>
          <w:szCs w:val="22"/>
        </w:rPr>
        <w:t>“já foi promovido o julgamento das propostas técnicas e de preços”</w:t>
      </w:r>
      <w:r w:rsidRPr="00BF37AF">
        <w:rPr>
          <w:sz w:val="22"/>
          <w:szCs w:val="22"/>
        </w:rPr>
        <w:t xml:space="preserve">, estando, portanto, o processo licitatório em sua fase final, e que o atual contrato para a prestação dos serviços objeto da Concorrência n.º 1.011/2009 </w:t>
      </w:r>
      <w:r w:rsidRPr="00BF37AF">
        <w:rPr>
          <w:i/>
          <w:sz w:val="22"/>
          <w:szCs w:val="22"/>
        </w:rPr>
        <w:t>“vigorará até dezembro”</w:t>
      </w:r>
      <w:r w:rsidRPr="00BF37AF">
        <w:rPr>
          <w:sz w:val="22"/>
          <w:szCs w:val="22"/>
        </w:rPr>
        <w:t xml:space="preserve">, estaria afastada a hipótese de </w:t>
      </w:r>
      <w:r w:rsidRPr="00BF37AF">
        <w:rPr>
          <w:i/>
          <w:sz w:val="22"/>
          <w:szCs w:val="22"/>
        </w:rPr>
        <w:t>“a suspensão cautelar do certame acarretar prejuízos à entidade neste momento”</w:t>
      </w:r>
      <w:r w:rsidRPr="00BF37AF">
        <w:rPr>
          <w:sz w:val="22"/>
          <w:szCs w:val="22"/>
        </w:rPr>
        <w:t>. Precedentes citados: Acórdãos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481/2004, 1.094/2004, 26/2007 e 126/2007, todos do Plenário; Acórdão n.º 2.178/2006-1ª Câmara; Acórdão n.º 2.561/2004-2ª Câmara. </w:t>
      </w:r>
      <w:r w:rsidRPr="00BF37AF">
        <w:rPr>
          <w:b/>
          <w:i/>
          <w:sz w:val="22"/>
          <w:szCs w:val="22"/>
        </w:rPr>
        <w:t xml:space="preserve">Decisão monocrática no TC-003.512/2010-0, </w:t>
      </w:r>
      <w:r w:rsidR="00D5745E">
        <w:rPr>
          <w:b/>
          <w:i/>
          <w:sz w:val="22"/>
          <w:szCs w:val="22"/>
        </w:rPr>
        <w:t>rel. Min-Subst.</w:t>
      </w:r>
      <w:r w:rsidRPr="00BF37AF">
        <w:rPr>
          <w:b/>
          <w:i/>
          <w:sz w:val="22"/>
          <w:szCs w:val="22"/>
        </w:rPr>
        <w:t xml:space="preserve"> André Luís de Carvalho, 05.05.2010</w:t>
      </w:r>
      <w:r w:rsidRPr="00BF37AF">
        <w:rPr>
          <w:sz w:val="22"/>
          <w:szCs w:val="22"/>
        </w:rPr>
        <w:t>.</w:t>
      </w:r>
    </w:p>
    <w:p w:rsidR="000D534B" w:rsidRPr="00BF37AF" w:rsidRDefault="000D534B" w:rsidP="00BF37AF">
      <w:pPr>
        <w:pStyle w:val="enter-3pt"/>
        <w:spacing w:line="240" w:lineRule="auto"/>
        <w:rPr>
          <w:sz w:val="22"/>
          <w:szCs w:val="22"/>
        </w:rPr>
      </w:pPr>
    </w:p>
    <w:p w:rsidR="000D534B" w:rsidRPr="00BF37AF" w:rsidRDefault="000D534B" w:rsidP="00BF37AF">
      <w:pPr>
        <w:pStyle w:val="enter-3pt"/>
        <w:spacing w:line="240" w:lineRule="auto"/>
        <w:rPr>
          <w:b/>
          <w:sz w:val="22"/>
          <w:szCs w:val="22"/>
        </w:rPr>
      </w:pPr>
      <w:r w:rsidRPr="00BF37AF">
        <w:rPr>
          <w:b/>
          <w:sz w:val="22"/>
          <w:szCs w:val="22"/>
        </w:rPr>
        <w:t>Cessão do contrato à empresa resultante da cisão da contratada</w:t>
      </w:r>
    </w:p>
    <w:p w:rsidR="000D534B" w:rsidRPr="00BF37AF" w:rsidRDefault="000D534B" w:rsidP="00BF37AF">
      <w:pPr>
        <w:pStyle w:val="Pargrafo"/>
        <w:jc w:val="both"/>
        <w:rPr>
          <w:sz w:val="22"/>
          <w:szCs w:val="22"/>
        </w:rPr>
      </w:pPr>
      <w:r w:rsidRPr="00BF37AF">
        <w:rPr>
          <w:sz w:val="22"/>
          <w:szCs w:val="22"/>
        </w:rPr>
        <w:t>Representação formulada ao TCU apontou possíveis irregularidades na construção de sistema de esgotamento sanitário no Distrito de Guriri, objeto dos Convênios n.</w:t>
      </w:r>
      <w:r w:rsidRPr="00BF37AF">
        <w:rPr>
          <w:sz w:val="22"/>
          <w:szCs w:val="22"/>
          <w:vertAlign w:val="superscript"/>
        </w:rPr>
        <w:t>os</w:t>
      </w:r>
      <w:r w:rsidRPr="00BF37AF">
        <w:rPr>
          <w:sz w:val="22"/>
          <w:szCs w:val="22"/>
        </w:rPr>
        <w:t xml:space="preserve"> 854/2000 e 2.067/2000, celebrados entre a Fundação Nacional de Saúde (Funasa) e o Município de São Mateus/ES. A oitiva do ex-prefeito foi promovida </w:t>
      </w:r>
      <w:r w:rsidRPr="00BF37AF">
        <w:rPr>
          <w:i/>
          <w:sz w:val="22"/>
          <w:szCs w:val="22"/>
        </w:rPr>
        <w:t>“em virtude de ter anuído ao termo de cessão do Contrato nº 51/2000, originalmente pactuado com a empresa Limaq – Linhares Máquinas Ltda., em 25/7/2001, para a empresa Solidus Serviços e Construções Ltda., como resultado da cisão parcial da primeira, em desacordo com a jurisprudência desta Corte e com a legislação aplicável à espécie”</w:t>
      </w:r>
      <w:r w:rsidRPr="00BF37AF">
        <w:rPr>
          <w:sz w:val="22"/>
          <w:szCs w:val="22"/>
        </w:rPr>
        <w:t xml:space="preserve">. O relator ressaltou que o Tribunal, ao proferir o Acórdão n.º 1.108/2003-Plenário, passou a entender, por força de nova interpretação conferida ao art. 78, VI, da Lei n.º 8.666/93, que não configuraria </w:t>
      </w:r>
      <w:r w:rsidRPr="00BF37AF">
        <w:rPr>
          <w:i/>
          <w:sz w:val="22"/>
          <w:szCs w:val="22"/>
        </w:rPr>
        <w:t>“inconstitucionalidade ou ilegalidade”</w:t>
      </w:r>
      <w:r w:rsidRPr="00BF37AF">
        <w:rPr>
          <w:sz w:val="22"/>
          <w:szCs w:val="22"/>
        </w:rPr>
        <w:t xml:space="preserve"> a continuidade de contrato firmado com empresa objeto de cisão, fusão ou incorporação, desde que cumpridos os seguintes requisitos, cumulativamente: a) tal possibilidade estivesse prevista no edital e no contrato; b) fossem observados, pela nova empresa, os requisitos de habilitação originalmente previstos na licitação; c) fossem mantidas as condições estabelecidas no contrato original. No caso em apreço, o relator constatou que tais condições foram atendidas, já que </w:t>
      </w:r>
      <w:r w:rsidRPr="00BF37AF">
        <w:rPr>
          <w:i/>
          <w:sz w:val="22"/>
          <w:szCs w:val="22"/>
        </w:rPr>
        <w:t>“o subitem 9.14. do ato convocatório autorizava a subcontratação parcial até o limite de 30% do valor total da obra, bem como a cessão a outrem, no caso de cisão, e foram mantidos inalterados os termos originais da avença”</w:t>
      </w:r>
      <w:r w:rsidRPr="00BF37AF">
        <w:rPr>
          <w:sz w:val="22"/>
          <w:szCs w:val="22"/>
        </w:rPr>
        <w:t xml:space="preserve">. Assim sendo, o relator propôs e o Plenário decidiu acolher as razões de justificativa apresentadas pelo ex-prefeito. </w:t>
      </w:r>
      <w:r w:rsidRPr="00BF37AF">
        <w:rPr>
          <w:b/>
          <w:i/>
          <w:sz w:val="22"/>
          <w:szCs w:val="22"/>
        </w:rPr>
        <w:t>Acórdão n.º 973/2010</w:t>
      </w:r>
      <w:r w:rsidR="00422325">
        <w:rPr>
          <w:b/>
          <w:i/>
          <w:sz w:val="22"/>
          <w:szCs w:val="22"/>
        </w:rPr>
        <w:t>-Plenário</w:t>
      </w:r>
      <w:r w:rsidRPr="00BF37AF">
        <w:rPr>
          <w:b/>
          <w:i/>
          <w:sz w:val="22"/>
          <w:szCs w:val="22"/>
        </w:rPr>
        <w:t xml:space="preserve">, TC-002.138/2007-0, </w:t>
      </w:r>
      <w:r w:rsidR="00D5745E">
        <w:rPr>
          <w:b/>
          <w:i/>
          <w:sz w:val="22"/>
          <w:szCs w:val="22"/>
        </w:rPr>
        <w:t>rel. Min-Subst.</w:t>
      </w:r>
      <w:r w:rsidRPr="00BF37AF">
        <w:rPr>
          <w:b/>
          <w:i/>
          <w:sz w:val="22"/>
          <w:szCs w:val="22"/>
        </w:rPr>
        <w:t xml:space="preserve"> André Luís de Carvalho, 05.05.2010</w:t>
      </w:r>
      <w:r w:rsidRPr="00BF37AF">
        <w:rPr>
          <w:sz w:val="22"/>
          <w:szCs w:val="22"/>
        </w:rPr>
        <w:t>.</w:t>
      </w:r>
    </w:p>
    <w:p w:rsidR="00785CF8" w:rsidRPr="00BF37AF" w:rsidRDefault="00785CF8" w:rsidP="00BF37AF">
      <w:pPr>
        <w:pStyle w:val="enter-3pt"/>
        <w:spacing w:line="240" w:lineRule="auto"/>
        <w:jc w:val="center"/>
        <w:rPr>
          <w:b/>
          <w:sz w:val="22"/>
          <w:szCs w:val="22"/>
          <w:bdr w:val="single" w:sz="4" w:space="0" w:color="auto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41"/>
      </w:tblGrid>
      <w:tr w:rsidR="00D2041E" w:rsidRPr="00BF37AF" w:rsidTr="00F03AB9">
        <w:trPr>
          <w:trHeight w:val="779"/>
          <w:jc w:val="center"/>
        </w:trPr>
        <w:tc>
          <w:tcPr>
            <w:tcW w:w="0" w:type="auto"/>
            <w:vAlign w:val="center"/>
          </w:tcPr>
          <w:p w:rsidR="00F27170" w:rsidRPr="00BF37AF" w:rsidRDefault="005E5FF1" w:rsidP="00BF37AF">
            <w:pPr>
              <w:pStyle w:val="enter-3pt"/>
              <w:spacing w:line="240" w:lineRule="auto"/>
              <w:jc w:val="center"/>
              <w:rPr>
                <w:b/>
                <w:i/>
                <w:sz w:val="18"/>
                <w:szCs w:val="18"/>
              </w:rPr>
            </w:pPr>
            <w:r w:rsidRPr="00BF37AF">
              <w:rPr>
                <w:b/>
                <w:i/>
                <w:sz w:val="18"/>
                <w:szCs w:val="18"/>
              </w:rPr>
              <w:t>R</w:t>
            </w:r>
            <w:r w:rsidR="00F27170" w:rsidRPr="00BF37AF">
              <w:rPr>
                <w:b/>
                <w:i/>
                <w:sz w:val="18"/>
                <w:szCs w:val="18"/>
              </w:rPr>
              <w:t>esponsáve</w:t>
            </w:r>
            <w:r w:rsidRPr="00BF37AF">
              <w:rPr>
                <w:b/>
                <w:i/>
                <w:sz w:val="18"/>
                <w:szCs w:val="18"/>
              </w:rPr>
              <w:t>is</w:t>
            </w:r>
            <w:r w:rsidR="00F27170" w:rsidRPr="00BF37AF">
              <w:rPr>
                <w:b/>
                <w:i/>
                <w:sz w:val="18"/>
                <w:szCs w:val="18"/>
              </w:rPr>
              <w:t xml:space="preserve"> pelo Informativo:</w:t>
            </w:r>
          </w:p>
          <w:p w:rsidR="00F27170" w:rsidRPr="00BF37AF" w:rsidRDefault="00713DE5" w:rsidP="00BF37AF">
            <w:pPr>
              <w:pStyle w:val="enter-3pt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BF37AF">
              <w:rPr>
                <w:b/>
                <w:i/>
                <w:sz w:val="18"/>
                <w:szCs w:val="18"/>
              </w:rPr>
              <w:t>Elaboração:</w:t>
            </w:r>
            <w:r w:rsidRPr="00BF37AF">
              <w:rPr>
                <w:i/>
                <w:sz w:val="18"/>
                <w:szCs w:val="18"/>
              </w:rPr>
              <w:t xml:space="preserve"> </w:t>
            </w:r>
            <w:r w:rsidR="00F27170" w:rsidRPr="00BF37AF">
              <w:rPr>
                <w:i/>
                <w:sz w:val="18"/>
                <w:szCs w:val="18"/>
              </w:rPr>
              <w:t>Luiz Felipe Bezerra Almeida Simões</w:t>
            </w:r>
            <w:r w:rsidRPr="00BF37AF">
              <w:rPr>
                <w:i/>
                <w:sz w:val="18"/>
                <w:szCs w:val="18"/>
              </w:rPr>
              <w:t>, Assessor da Secretaria das Sessões</w:t>
            </w:r>
          </w:p>
          <w:p w:rsidR="005E5FF1" w:rsidRPr="00BF37AF" w:rsidRDefault="00713DE5" w:rsidP="00BF37AF">
            <w:pPr>
              <w:pStyle w:val="enter-3pt"/>
              <w:spacing w:line="240" w:lineRule="auto"/>
              <w:jc w:val="center"/>
              <w:rPr>
                <w:i/>
                <w:sz w:val="18"/>
                <w:szCs w:val="18"/>
              </w:rPr>
            </w:pPr>
            <w:r w:rsidRPr="00BF37AF">
              <w:rPr>
                <w:b/>
                <w:i/>
                <w:sz w:val="18"/>
                <w:szCs w:val="18"/>
              </w:rPr>
              <w:t>Supervisão:</w:t>
            </w:r>
            <w:r w:rsidRPr="00BF37AF">
              <w:rPr>
                <w:i/>
                <w:sz w:val="18"/>
                <w:szCs w:val="18"/>
              </w:rPr>
              <w:t xml:space="preserve"> </w:t>
            </w:r>
            <w:r w:rsidR="005E5FF1" w:rsidRPr="00BF37AF">
              <w:rPr>
                <w:i/>
                <w:sz w:val="18"/>
                <w:szCs w:val="18"/>
              </w:rPr>
              <w:t>Odilon Cavallari de Oliveira</w:t>
            </w:r>
            <w:r w:rsidRPr="00BF37AF">
              <w:rPr>
                <w:i/>
                <w:sz w:val="18"/>
                <w:szCs w:val="18"/>
              </w:rPr>
              <w:t>, Secretário das Sessões</w:t>
            </w:r>
          </w:p>
          <w:p w:rsidR="00D2041E" w:rsidRPr="00BF37AF" w:rsidRDefault="00D2041E" w:rsidP="00BF37AF">
            <w:pPr>
              <w:pStyle w:val="enter-3pt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BF37AF">
              <w:rPr>
                <w:b/>
                <w:i/>
                <w:sz w:val="18"/>
                <w:szCs w:val="18"/>
              </w:rPr>
              <w:t xml:space="preserve">Contato: </w:t>
            </w:r>
            <w:hyperlink r:id="rId8" w:history="1">
              <w:r w:rsidRPr="00BF37AF">
                <w:rPr>
                  <w:rStyle w:val="Hyperlink"/>
                  <w:b/>
                  <w:i/>
                  <w:color w:val="auto"/>
                  <w:sz w:val="18"/>
                  <w:szCs w:val="18"/>
                </w:rPr>
                <w:t>infojuris@tcu.gov.br</w:t>
              </w:r>
            </w:hyperlink>
          </w:p>
        </w:tc>
      </w:tr>
    </w:tbl>
    <w:p w:rsidR="00D2041E" w:rsidRPr="00BF37AF" w:rsidRDefault="00D2041E" w:rsidP="00D5745E">
      <w:pPr>
        <w:pStyle w:val="enter-3pt"/>
        <w:spacing w:line="240" w:lineRule="auto"/>
        <w:jc w:val="center"/>
        <w:rPr>
          <w:b/>
          <w:sz w:val="22"/>
          <w:szCs w:val="22"/>
        </w:rPr>
      </w:pPr>
    </w:p>
    <w:sectPr w:rsidR="00D2041E" w:rsidRPr="00BF37AF" w:rsidSect="00BF37AF">
      <w:headerReference w:type="default" r:id="rId9"/>
      <w:footerReference w:type="default" r:id="rId10"/>
      <w:pgSz w:w="11906" w:h="16838" w:code="9"/>
      <w:pgMar w:top="1134" w:right="851" w:bottom="851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840" w:rsidRDefault="00572840" w:rsidP="008B0547">
      <w:pPr>
        <w:spacing w:after="0"/>
      </w:pPr>
      <w:r>
        <w:separator/>
      </w:r>
    </w:p>
  </w:endnote>
  <w:endnote w:type="continuationSeparator" w:id="0">
    <w:p w:rsidR="00572840" w:rsidRDefault="00572840" w:rsidP="008B0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7" w:rsidRPr="00C906CD" w:rsidRDefault="00C906CD" w:rsidP="004E357A">
    <w:pPr>
      <w:pStyle w:val="Rodap"/>
      <w:jc w:val="right"/>
      <w:rPr>
        <w:sz w:val="20"/>
        <w:szCs w:val="20"/>
      </w:rPr>
    </w:pPr>
    <w:r w:rsidRPr="00C906CD">
      <w:rPr>
        <w:sz w:val="20"/>
        <w:szCs w:val="20"/>
      </w:rPr>
      <w:fldChar w:fldCharType="begin"/>
    </w:r>
    <w:r w:rsidRPr="00C906CD">
      <w:rPr>
        <w:sz w:val="20"/>
        <w:szCs w:val="20"/>
      </w:rPr>
      <w:instrText xml:space="preserve"> PAGE   \* MERGEFORMAT </w:instrText>
    </w:r>
    <w:r w:rsidRPr="00C906CD">
      <w:rPr>
        <w:sz w:val="20"/>
        <w:szCs w:val="20"/>
      </w:rPr>
      <w:fldChar w:fldCharType="separate"/>
    </w:r>
    <w:r w:rsidR="00A35629">
      <w:rPr>
        <w:noProof/>
        <w:sz w:val="20"/>
        <w:szCs w:val="20"/>
      </w:rPr>
      <w:t>1</w:t>
    </w:r>
    <w:r w:rsidRPr="00C906C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840" w:rsidRDefault="00572840" w:rsidP="008B0547">
      <w:pPr>
        <w:spacing w:after="0"/>
      </w:pPr>
      <w:r>
        <w:separator/>
      </w:r>
    </w:p>
  </w:footnote>
  <w:footnote w:type="continuationSeparator" w:id="0">
    <w:p w:rsidR="00572840" w:rsidRDefault="00572840" w:rsidP="008B05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7" w:rsidRDefault="001E669E" w:rsidP="00080148">
    <w:pPr>
      <w:spacing w:after="0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-71120</wp:posOffset>
          </wp:positionV>
          <wp:extent cx="551815" cy="436880"/>
          <wp:effectExtent l="0" t="0" r="635" b="1270"/>
          <wp:wrapNone/>
          <wp:docPr id="2" name="Imagem 1" descr="LogoT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547">
      <w:rPr>
        <w:rFonts w:ascii="Arial" w:hAnsi="Arial" w:cs="Arial"/>
        <w:b/>
      </w:rPr>
      <w:t>TRIBUNAL DE CONTAS DA UNIÃO</w:t>
    </w:r>
  </w:p>
  <w:p w:rsidR="008B0547" w:rsidRPr="00515E7B" w:rsidRDefault="001E669E" w:rsidP="00080148">
    <w:pPr>
      <w:spacing w:after="0"/>
      <w:rPr>
        <w:rFonts w:ascii="Arial" w:hAnsi="Arial" w:cs="Arial"/>
        <w:b/>
      </w:rPr>
    </w:pPr>
    <w:r w:rsidRPr="00515E7B">
      <w:rPr>
        <w:rFonts w:ascii="Arial" w:hAnsi="Arial" w:cs="Arial"/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37465</wp:posOffset>
              </wp:positionH>
              <wp:positionV relativeFrom="paragraph">
                <wp:posOffset>243840</wp:posOffset>
              </wp:positionV>
              <wp:extent cx="6120130" cy="0"/>
              <wp:effectExtent l="8890" t="5715" r="5080" b="1333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79318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95pt,19.2pt" to="484.8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R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yaMkTiEY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">
              <w10:wrap anchorx="margin"/>
            </v:line>
          </w:pict>
        </mc:Fallback>
      </mc:AlternateContent>
    </w:r>
    <w:r w:rsidR="00515E7B" w:rsidRPr="00515E7B">
      <w:rPr>
        <w:rFonts w:ascii="Arial" w:hAnsi="Arial" w:cs="Arial"/>
        <w:noProof/>
        <w:lang w:eastAsia="pt-BR"/>
      </w:rPr>
      <w:t>Info</w:t>
    </w:r>
    <w:r w:rsidR="006F4DE0">
      <w:rPr>
        <w:rFonts w:ascii="Arial" w:hAnsi="Arial" w:cs="Arial"/>
        <w:noProof/>
        <w:lang w:eastAsia="pt-BR"/>
      </w:rPr>
      <w:t>rmativo</w:t>
    </w:r>
    <w:r w:rsidR="00515E7B">
      <w:rPr>
        <w:rFonts w:ascii="Arial" w:hAnsi="Arial" w:cs="Arial"/>
        <w:noProof/>
        <w:lang w:eastAsia="pt-BR"/>
      </w:rPr>
      <w:t xml:space="preserve"> </w:t>
    </w:r>
    <w:r w:rsidR="002810D9">
      <w:rPr>
        <w:rFonts w:ascii="Arial" w:hAnsi="Arial" w:cs="Arial"/>
        <w:noProof/>
        <w:lang w:eastAsia="pt-BR"/>
      </w:rPr>
      <w:t>de Jurisprudência sobre</w:t>
    </w:r>
    <w:r w:rsidR="00515E7B">
      <w:rPr>
        <w:rFonts w:ascii="Arial" w:hAnsi="Arial" w:cs="Arial"/>
        <w:noProof/>
        <w:lang w:eastAsia="pt-BR"/>
      </w:rPr>
      <w:t xml:space="preserve"> </w:t>
    </w:r>
    <w:r w:rsidR="002810D9">
      <w:rPr>
        <w:rFonts w:ascii="Arial" w:hAnsi="Arial" w:cs="Arial"/>
        <w:noProof/>
        <w:lang w:eastAsia="pt-BR"/>
      </w:rPr>
      <w:t>L</w:t>
    </w:r>
    <w:r w:rsidR="00515E7B" w:rsidRPr="00515E7B">
      <w:rPr>
        <w:rFonts w:ascii="Arial" w:hAnsi="Arial" w:cs="Arial"/>
        <w:noProof/>
        <w:lang w:eastAsia="pt-BR"/>
      </w:rPr>
      <w:t xml:space="preserve">icitações e </w:t>
    </w:r>
    <w:r w:rsidR="002810D9">
      <w:rPr>
        <w:rFonts w:ascii="Arial" w:hAnsi="Arial" w:cs="Arial"/>
        <w:noProof/>
        <w:lang w:eastAsia="pt-BR"/>
      </w:rPr>
      <w:t>C</w:t>
    </w:r>
    <w:r w:rsidR="00515E7B" w:rsidRPr="00515E7B">
      <w:rPr>
        <w:rFonts w:ascii="Arial" w:hAnsi="Arial" w:cs="Arial"/>
        <w:noProof/>
        <w:lang w:eastAsia="pt-BR"/>
      </w:rPr>
      <w:t>ontratos</w:t>
    </w:r>
    <w:r w:rsidR="00FF7C62">
      <w:rPr>
        <w:rFonts w:ascii="Arial" w:hAnsi="Arial" w:cs="Arial"/>
        <w:noProof/>
        <w:lang w:eastAsia="pt-BR"/>
      </w:rPr>
      <w:t xml:space="preserve"> nº </w:t>
    </w:r>
    <w:r w:rsidR="003C6DEB">
      <w:rPr>
        <w:rFonts w:ascii="Arial" w:hAnsi="Arial" w:cs="Arial"/>
        <w:noProof/>
        <w:lang w:eastAsia="pt-BR"/>
      </w:rPr>
      <w:t>1</w:t>
    </w:r>
    <w:r w:rsidR="000D534B">
      <w:rPr>
        <w:rFonts w:ascii="Arial" w:hAnsi="Arial" w:cs="Arial"/>
        <w:noProof/>
        <w:lang w:eastAsia="pt-BR"/>
      </w:rPr>
      <w:t>5</w:t>
    </w:r>
  </w:p>
  <w:p w:rsidR="008B0547" w:rsidRDefault="008B05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81BB1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95F393A"/>
    <w:multiLevelType w:val="hybridMultilevel"/>
    <w:tmpl w:val="CC3EFE78"/>
    <w:lvl w:ilvl="0" w:tplc="F27285C2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202DB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85F349C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A666309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14212D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C6715D6"/>
    <w:multiLevelType w:val="singleLevel"/>
    <w:tmpl w:val="B478D55A"/>
    <w:lvl w:ilvl="0">
      <w:start w:val="2"/>
      <w:numFmt w:val="decimal"/>
      <w:pStyle w:val="votonumerado"/>
      <w:lvlText w:val="%1."/>
      <w:lvlJc w:val="left"/>
      <w:pPr>
        <w:tabs>
          <w:tab w:val="num" w:pos="360"/>
        </w:tabs>
      </w:pPr>
      <w:rPr>
        <w:rFonts w:ascii="Times New (W1)" w:hAnsi="Times New (W1)" w:cs="Times New Roman" w:hint="default"/>
        <w:b w:val="0"/>
        <w:i w:val="0"/>
        <w:sz w:val="24"/>
      </w:rPr>
    </w:lvl>
  </w:abstractNum>
  <w:abstractNum w:abstractNumId="7">
    <w:nsid w:val="39384A0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B0318ED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25027A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C576ABE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61A6E63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5CFC6DCD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71316A9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6E4770F8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E7641FF"/>
    <w:multiLevelType w:val="multilevel"/>
    <w:tmpl w:val="4C0E4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14"/>
  </w:num>
  <w:num w:numId="8">
    <w:abstractNumId w:val="12"/>
  </w:num>
  <w:num w:numId="9">
    <w:abstractNumId w:val="10"/>
  </w:num>
  <w:num w:numId="10">
    <w:abstractNumId w:val="3"/>
  </w:num>
  <w:num w:numId="11">
    <w:abstractNumId w:val="15"/>
  </w:num>
  <w:num w:numId="12">
    <w:abstractNumId w:val="2"/>
  </w:num>
  <w:num w:numId="13">
    <w:abstractNumId w:val="7"/>
  </w:num>
  <w:num w:numId="14">
    <w:abstractNumId w:val="13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7"/>
    <w:rsid w:val="00000605"/>
    <w:rsid w:val="00005435"/>
    <w:rsid w:val="000271FA"/>
    <w:rsid w:val="00032198"/>
    <w:rsid w:val="00041450"/>
    <w:rsid w:val="0004660A"/>
    <w:rsid w:val="00052B15"/>
    <w:rsid w:val="00054432"/>
    <w:rsid w:val="000562CD"/>
    <w:rsid w:val="0006028E"/>
    <w:rsid w:val="00080148"/>
    <w:rsid w:val="000A2C56"/>
    <w:rsid w:val="000B0FEA"/>
    <w:rsid w:val="000B2AFA"/>
    <w:rsid w:val="000D1FD7"/>
    <w:rsid w:val="000D534B"/>
    <w:rsid w:val="000D6418"/>
    <w:rsid w:val="000D7DB6"/>
    <w:rsid w:val="000D7DED"/>
    <w:rsid w:val="000E3B31"/>
    <w:rsid w:val="000F6D85"/>
    <w:rsid w:val="00126026"/>
    <w:rsid w:val="00141D7A"/>
    <w:rsid w:val="001420D1"/>
    <w:rsid w:val="001444A2"/>
    <w:rsid w:val="0015258E"/>
    <w:rsid w:val="00152ECC"/>
    <w:rsid w:val="001532E4"/>
    <w:rsid w:val="00157AFE"/>
    <w:rsid w:val="001744E7"/>
    <w:rsid w:val="001A330B"/>
    <w:rsid w:val="001B3E8E"/>
    <w:rsid w:val="001B4F90"/>
    <w:rsid w:val="001C0575"/>
    <w:rsid w:val="001D03C7"/>
    <w:rsid w:val="001D74CE"/>
    <w:rsid w:val="001E1E28"/>
    <w:rsid w:val="001E4147"/>
    <w:rsid w:val="001E669E"/>
    <w:rsid w:val="001F72A1"/>
    <w:rsid w:val="002002CE"/>
    <w:rsid w:val="00203A6F"/>
    <w:rsid w:val="00211816"/>
    <w:rsid w:val="00226D9D"/>
    <w:rsid w:val="00232158"/>
    <w:rsid w:val="002328F9"/>
    <w:rsid w:val="00233CE3"/>
    <w:rsid w:val="002476B6"/>
    <w:rsid w:val="00254590"/>
    <w:rsid w:val="0026362E"/>
    <w:rsid w:val="00271D81"/>
    <w:rsid w:val="00273E72"/>
    <w:rsid w:val="002810D9"/>
    <w:rsid w:val="00281830"/>
    <w:rsid w:val="0029043B"/>
    <w:rsid w:val="0029211E"/>
    <w:rsid w:val="0029450E"/>
    <w:rsid w:val="002A190F"/>
    <w:rsid w:val="002A3B3F"/>
    <w:rsid w:val="002B71BA"/>
    <w:rsid w:val="002C7B61"/>
    <w:rsid w:val="002C7B6D"/>
    <w:rsid w:val="002D35F5"/>
    <w:rsid w:val="002D739A"/>
    <w:rsid w:val="002D76AB"/>
    <w:rsid w:val="002E3943"/>
    <w:rsid w:val="002E4254"/>
    <w:rsid w:val="002E7002"/>
    <w:rsid w:val="002F5F3B"/>
    <w:rsid w:val="002F693C"/>
    <w:rsid w:val="003020F4"/>
    <w:rsid w:val="003069F9"/>
    <w:rsid w:val="0031058F"/>
    <w:rsid w:val="0031089E"/>
    <w:rsid w:val="003147B7"/>
    <w:rsid w:val="00340F10"/>
    <w:rsid w:val="0034486B"/>
    <w:rsid w:val="00344D92"/>
    <w:rsid w:val="003455A2"/>
    <w:rsid w:val="00350E87"/>
    <w:rsid w:val="00353B7C"/>
    <w:rsid w:val="0035438E"/>
    <w:rsid w:val="003565C2"/>
    <w:rsid w:val="00361661"/>
    <w:rsid w:val="00385DAB"/>
    <w:rsid w:val="0038696B"/>
    <w:rsid w:val="00392509"/>
    <w:rsid w:val="003943E5"/>
    <w:rsid w:val="003A2222"/>
    <w:rsid w:val="003A5C1B"/>
    <w:rsid w:val="003A7C7F"/>
    <w:rsid w:val="003B0304"/>
    <w:rsid w:val="003B043F"/>
    <w:rsid w:val="003B33CE"/>
    <w:rsid w:val="003B343D"/>
    <w:rsid w:val="003C2288"/>
    <w:rsid w:val="003C6DEB"/>
    <w:rsid w:val="003C7A5C"/>
    <w:rsid w:val="003D73BD"/>
    <w:rsid w:val="003D7CCE"/>
    <w:rsid w:val="003F413A"/>
    <w:rsid w:val="003F54FB"/>
    <w:rsid w:val="003F6D1F"/>
    <w:rsid w:val="004201AF"/>
    <w:rsid w:val="00422325"/>
    <w:rsid w:val="00427B3B"/>
    <w:rsid w:val="00431CEC"/>
    <w:rsid w:val="004362AB"/>
    <w:rsid w:val="004415FB"/>
    <w:rsid w:val="00441CE3"/>
    <w:rsid w:val="0044434A"/>
    <w:rsid w:val="00471284"/>
    <w:rsid w:val="00473696"/>
    <w:rsid w:val="0047491E"/>
    <w:rsid w:val="004837C6"/>
    <w:rsid w:val="00484E4C"/>
    <w:rsid w:val="00492E3F"/>
    <w:rsid w:val="00493F5C"/>
    <w:rsid w:val="004C780C"/>
    <w:rsid w:val="004E357A"/>
    <w:rsid w:val="005055B5"/>
    <w:rsid w:val="00511BBF"/>
    <w:rsid w:val="00515E7B"/>
    <w:rsid w:val="0052267A"/>
    <w:rsid w:val="00536332"/>
    <w:rsid w:val="00557953"/>
    <w:rsid w:val="00560E55"/>
    <w:rsid w:val="005640E1"/>
    <w:rsid w:val="0056534C"/>
    <w:rsid w:val="005713F4"/>
    <w:rsid w:val="00571E64"/>
    <w:rsid w:val="00572840"/>
    <w:rsid w:val="00580F26"/>
    <w:rsid w:val="005A72F2"/>
    <w:rsid w:val="005B2BC3"/>
    <w:rsid w:val="005B4CFA"/>
    <w:rsid w:val="005E3586"/>
    <w:rsid w:val="005E5FF1"/>
    <w:rsid w:val="005F01CE"/>
    <w:rsid w:val="005F70B6"/>
    <w:rsid w:val="00604DBE"/>
    <w:rsid w:val="006065E4"/>
    <w:rsid w:val="00612045"/>
    <w:rsid w:val="006219DD"/>
    <w:rsid w:val="00650463"/>
    <w:rsid w:val="00651660"/>
    <w:rsid w:val="00652171"/>
    <w:rsid w:val="00676163"/>
    <w:rsid w:val="00677C22"/>
    <w:rsid w:val="00697477"/>
    <w:rsid w:val="006A037E"/>
    <w:rsid w:val="006A7796"/>
    <w:rsid w:val="006B0495"/>
    <w:rsid w:val="006B0DCB"/>
    <w:rsid w:val="006B2408"/>
    <w:rsid w:val="006B3AF9"/>
    <w:rsid w:val="006B414C"/>
    <w:rsid w:val="006B4B0F"/>
    <w:rsid w:val="006F4DE0"/>
    <w:rsid w:val="006F7332"/>
    <w:rsid w:val="00705758"/>
    <w:rsid w:val="00713DE5"/>
    <w:rsid w:val="007174DA"/>
    <w:rsid w:val="00720F29"/>
    <w:rsid w:val="00737FEC"/>
    <w:rsid w:val="00756AA0"/>
    <w:rsid w:val="00757CE6"/>
    <w:rsid w:val="007671DA"/>
    <w:rsid w:val="007719A8"/>
    <w:rsid w:val="00774593"/>
    <w:rsid w:val="00777599"/>
    <w:rsid w:val="00785CF8"/>
    <w:rsid w:val="007A1A35"/>
    <w:rsid w:val="007A5922"/>
    <w:rsid w:val="007B259B"/>
    <w:rsid w:val="007B5018"/>
    <w:rsid w:val="007C670D"/>
    <w:rsid w:val="007D4A4A"/>
    <w:rsid w:val="007E0E05"/>
    <w:rsid w:val="007E209F"/>
    <w:rsid w:val="007E4655"/>
    <w:rsid w:val="007E55E0"/>
    <w:rsid w:val="007E5C50"/>
    <w:rsid w:val="0081324B"/>
    <w:rsid w:val="00816193"/>
    <w:rsid w:val="008165E4"/>
    <w:rsid w:val="00825EB9"/>
    <w:rsid w:val="008303E2"/>
    <w:rsid w:val="008359F3"/>
    <w:rsid w:val="00844C5B"/>
    <w:rsid w:val="008505A1"/>
    <w:rsid w:val="00850817"/>
    <w:rsid w:val="008652C9"/>
    <w:rsid w:val="00866992"/>
    <w:rsid w:val="00877FDD"/>
    <w:rsid w:val="008841C8"/>
    <w:rsid w:val="00892BB8"/>
    <w:rsid w:val="00893014"/>
    <w:rsid w:val="00896755"/>
    <w:rsid w:val="008B0547"/>
    <w:rsid w:val="008B434A"/>
    <w:rsid w:val="008E003A"/>
    <w:rsid w:val="008E15E3"/>
    <w:rsid w:val="008E4C62"/>
    <w:rsid w:val="009005CE"/>
    <w:rsid w:val="009021A4"/>
    <w:rsid w:val="0093795C"/>
    <w:rsid w:val="009444E6"/>
    <w:rsid w:val="00944A8E"/>
    <w:rsid w:val="009575F7"/>
    <w:rsid w:val="00960F73"/>
    <w:rsid w:val="00971139"/>
    <w:rsid w:val="0097401F"/>
    <w:rsid w:val="0098690F"/>
    <w:rsid w:val="00987EE5"/>
    <w:rsid w:val="00997C8A"/>
    <w:rsid w:val="009A1339"/>
    <w:rsid w:val="009A3006"/>
    <w:rsid w:val="009A3994"/>
    <w:rsid w:val="009B62AF"/>
    <w:rsid w:val="009D565F"/>
    <w:rsid w:val="009D65B9"/>
    <w:rsid w:val="00A0244C"/>
    <w:rsid w:val="00A033FF"/>
    <w:rsid w:val="00A1329C"/>
    <w:rsid w:val="00A16A60"/>
    <w:rsid w:val="00A21E19"/>
    <w:rsid w:val="00A35629"/>
    <w:rsid w:val="00A378A2"/>
    <w:rsid w:val="00A664E7"/>
    <w:rsid w:val="00A75C52"/>
    <w:rsid w:val="00A767B2"/>
    <w:rsid w:val="00A82B9E"/>
    <w:rsid w:val="00A85B14"/>
    <w:rsid w:val="00AC0BAE"/>
    <w:rsid w:val="00AE1AB0"/>
    <w:rsid w:val="00AE2609"/>
    <w:rsid w:val="00B05194"/>
    <w:rsid w:val="00B17303"/>
    <w:rsid w:val="00B2585D"/>
    <w:rsid w:val="00B27359"/>
    <w:rsid w:val="00B3502B"/>
    <w:rsid w:val="00B36473"/>
    <w:rsid w:val="00B50446"/>
    <w:rsid w:val="00B5639B"/>
    <w:rsid w:val="00B86AF6"/>
    <w:rsid w:val="00B86E2A"/>
    <w:rsid w:val="00BA2FFD"/>
    <w:rsid w:val="00BB37AF"/>
    <w:rsid w:val="00BB4C08"/>
    <w:rsid w:val="00BC1945"/>
    <w:rsid w:val="00BD3C68"/>
    <w:rsid w:val="00BD421D"/>
    <w:rsid w:val="00BE4614"/>
    <w:rsid w:val="00BE4E6F"/>
    <w:rsid w:val="00BE529D"/>
    <w:rsid w:val="00BE6637"/>
    <w:rsid w:val="00BF10E8"/>
    <w:rsid w:val="00BF3158"/>
    <w:rsid w:val="00BF37AF"/>
    <w:rsid w:val="00C046F7"/>
    <w:rsid w:val="00C1776A"/>
    <w:rsid w:val="00C233D0"/>
    <w:rsid w:val="00C24162"/>
    <w:rsid w:val="00C2509D"/>
    <w:rsid w:val="00C34ABD"/>
    <w:rsid w:val="00C35F43"/>
    <w:rsid w:val="00C44BDC"/>
    <w:rsid w:val="00C6352A"/>
    <w:rsid w:val="00C65B2D"/>
    <w:rsid w:val="00C83AEE"/>
    <w:rsid w:val="00C906CD"/>
    <w:rsid w:val="00CD2536"/>
    <w:rsid w:val="00CF230D"/>
    <w:rsid w:val="00CF5489"/>
    <w:rsid w:val="00CF7615"/>
    <w:rsid w:val="00D13AC5"/>
    <w:rsid w:val="00D14E5F"/>
    <w:rsid w:val="00D2041E"/>
    <w:rsid w:val="00D3488B"/>
    <w:rsid w:val="00D361DE"/>
    <w:rsid w:val="00D46E8E"/>
    <w:rsid w:val="00D565FA"/>
    <w:rsid w:val="00D5745E"/>
    <w:rsid w:val="00D6014E"/>
    <w:rsid w:val="00DB1CD7"/>
    <w:rsid w:val="00DB4717"/>
    <w:rsid w:val="00DE23D6"/>
    <w:rsid w:val="00DE2CB6"/>
    <w:rsid w:val="00DF3469"/>
    <w:rsid w:val="00DF75EC"/>
    <w:rsid w:val="00E079C6"/>
    <w:rsid w:val="00E23C05"/>
    <w:rsid w:val="00E304EB"/>
    <w:rsid w:val="00E33746"/>
    <w:rsid w:val="00E37585"/>
    <w:rsid w:val="00E469D5"/>
    <w:rsid w:val="00E46CD5"/>
    <w:rsid w:val="00E51AB5"/>
    <w:rsid w:val="00E662CD"/>
    <w:rsid w:val="00E74214"/>
    <w:rsid w:val="00E75855"/>
    <w:rsid w:val="00E86566"/>
    <w:rsid w:val="00E97045"/>
    <w:rsid w:val="00EB09B9"/>
    <w:rsid w:val="00EC1C35"/>
    <w:rsid w:val="00ED34D4"/>
    <w:rsid w:val="00EE30EE"/>
    <w:rsid w:val="00EE6DE6"/>
    <w:rsid w:val="00EF057C"/>
    <w:rsid w:val="00F03AB9"/>
    <w:rsid w:val="00F06479"/>
    <w:rsid w:val="00F124BE"/>
    <w:rsid w:val="00F27170"/>
    <w:rsid w:val="00F31C75"/>
    <w:rsid w:val="00F341CC"/>
    <w:rsid w:val="00F40CAB"/>
    <w:rsid w:val="00F47C5C"/>
    <w:rsid w:val="00F54856"/>
    <w:rsid w:val="00F64F51"/>
    <w:rsid w:val="00F86D88"/>
    <w:rsid w:val="00F87FA7"/>
    <w:rsid w:val="00FA40A3"/>
    <w:rsid w:val="00FB3BA6"/>
    <w:rsid w:val="00FB4D65"/>
    <w:rsid w:val="00FB5954"/>
    <w:rsid w:val="00FC183A"/>
    <w:rsid w:val="00FC3D1C"/>
    <w:rsid w:val="00FD08A7"/>
    <w:rsid w:val="00FD2FA9"/>
    <w:rsid w:val="00FF025A"/>
    <w:rsid w:val="00FF334E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37F653D-619B-4F83-8A20-C8354C47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35"/>
    <w:pPr>
      <w:spacing w:after="120"/>
      <w:ind w:left="1134"/>
      <w:jc w:val="both"/>
    </w:pPr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har"/>
    <w:qFormat/>
    <w:rsid w:val="00AE1AB0"/>
    <w:pPr>
      <w:keepNext/>
      <w:spacing w:after="0"/>
      <w:ind w:left="708" w:firstLine="708"/>
      <w:jc w:val="center"/>
      <w:outlineLvl w:val="1"/>
    </w:pPr>
    <w:rPr>
      <w:rFonts w:eastAsia="Times New Roman"/>
      <w:szCs w:val="20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585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515E7B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5E7B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B0547"/>
  </w:style>
  <w:style w:type="paragraph" w:styleId="Rodap">
    <w:name w:val="footer"/>
    <w:basedOn w:val="Normal"/>
    <w:link w:val="RodapChar"/>
    <w:uiPriority w:val="99"/>
    <w:semiHidden/>
    <w:unhideWhenUsed/>
    <w:rsid w:val="008B054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semiHidden/>
    <w:rsid w:val="008B0547"/>
  </w:style>
  <w:style w:type="table" w:styleId="Tabelacomgrade">
    <w:name w:val="Table Grid"/>
    <w:basedOn w:val="Tabelanormal"/>
    <w:uiPriority w:val="59"/>
    <w:rsid w:val="00E23C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UPCorpo1">
    <w:name w:val="RUP Corpo 1"/>
    <w:rsid w:val="00E23C05"/>
    <w:pPr>
      <w:spacing w:before="120"/>
      <w:ind w:firstLine="425"/>
      <w:jc w:val="both"/>
    </w:pPr>
    <w:rPr>
      <w:rFonts w:ascii="Arial" w:eastAsia="Times New Roman" w:hAnsi="Arial"/>
    </w:rPr>
  </w:style>
  <w:style w:type="character" w:customStyle="1" w:styleId="Ttulo2Char">
    <w:name w:val="Título 2 Char"/>
    <w:basedOn w:val="Fontepargpadro"/>
    <w:link w:val="Ttulo2"/>
    <w:rsid w:val="00AE1AB0"/>
    <w:rPr>
      <w:rFonts w:eastAsia="Times New Roman"/>
      <w:sz w:val="24"/>
    </w:rPr>
  </w:style>
  <w:style w:type="paragraph" w:styleId="Recuodecorpodetexto">
    <w:name w:val="Body Text Indent"/>
    <w:basedOn w:val="Normal"/>
    <w:link w:val="RecuodecorpodetextoChar"/>
    <w:semiHidden/>
    <w:rsid w:val="00AE1AB0"/>
    <w:pPr>
      <w:spacing w:after="0"/>
      <w:ind w:left="0" w:firstLine="1134"/>
      <w:jc w:val="left"/>
    </w:pPr>
    <w:rPr>
      <w:rFonts w:eastAsia="Times New Roman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E1AB0"/>
    <w:rPr>
      <w:rFonts w:eastAsia="Times New Roman"/>
      <w:sz w:val="24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0060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00605"/>
    <w:rPr>
      <w:rFonts w:ascii="Tahoma" w:hAnsi="Tahoma" w:cs="Tahoma"/>
      <w:sz w:val="16"/>
      <w:szCs w:val="16"/>
      <w:lang w:eastAsia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585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75855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75855"/>
    <w:rPr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75855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75855"/>
    <w:rPr>
      <w:sz w:val="24"/>
      <w:szCs w:val="24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E75855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E75855"/>
    <w:pPr>
      <w:spacing w:after="0" w:line="360" w:lineRule="auto"/>
      <w:ind w:left="0" w:firstLine="1200"/>
      <w:jc w:val="left"/>
    </w:pPr>
    <w:rPr>
      <w:rFonts w:eastAsia="Times New Roman"/>
      <w:lang w:eastAsia="pt-BR"/>
    </w:rPr>
  </w:style>
  <w:style w:type="character" w:styleId="Forte">
    <w:name w:val="Strong"/>
    <w:basedOn w:val="Fontepargpadro"/>
    <w:uiPriority w:val="22"/>
    <w:qFormat/>
    <w:rsid w:val="00E75855"/>
    <w:rPr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515E7B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5E7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indice">
    <w:name w:val="indice"/>
    <w:rsid w:val="00515E7B"/>
    <w:pPr>
      <w:autoSpaceDE w:val="0"/>
      <w:autoSpaceDN w:val="0"/>
      <w:adjustRightInd w:val="0"/>
      <w:spacing w:line="260" w:lineRule="atLeast"/>
      <w:jc w:val="both"/>
    </w:pPr>
    <w:rPr>
      <w:rFonts w:eastAsia="Times New Roman"/>
      <w:color w:val="000000"/>
      <w:sz w:val="22"/>
      <w:szCs w:val="22"/>
    </w:rPr>
  </w:style>
  <w:style w:type="paragraph" w:customStyle="1" w:styleId="tit1">
    <w:name w:val="tit1"/>
    <w:rsid w:val="00515E7B"/>
    <w:pPr>
      <w:autoSpaceDE w:val="0"/>
      <w:autoSpaceDN w:val="0"/>
      <w:adjustRightInd w:val="0"/>
      <w:spacing w:before="113" w:line="240" w:lineRule="atLeast"/>
    </w:pPr>
    <w:rPr>
      <w:rFonts w:eastAsia="Times New Roman"/>
      <w:b/>
      <w:bCs/>
      <w:i/>
      <w:iCs/>
      <w:sz w:val="22"/>
      <w:szCs w:val="22"/>
    </w:rPr>
  </w:style>
  <w:style w:type="paragraph" w:customStyle="1" w:styleId="enter-3pt">
    <w:name w:val="enter-3pt"/>
    <w:basedOn w:val="Normal"/>
    <w:rsid w:val="00515E7B"/>
    <w:pPr>
      <w:autoSpaceDE w:val="0"/>
      <w:autoSpaceDN w:val="0"/>
      <w:adjustRightInd w:val="0"/>
      <w:spacing w:after="0" w:line="60" w:lineRule="atLeast"/>
      <w:ind w:left="0"/>
    </w:pPr>
    <w:rPr>
      <w:rFonts w:eastAsia="Times New Roman"/>
      <w:sz w:val="8"/>
      <w:szCs w:val="8"/>
      <w:lang w:eastAsia="pt-BR"/>
    </w:rPr>
  </w:style>
  <w:style w:type="paragraph" w:customStyle="1" w:styleId="tita">
    <w:name w:val="tita"/>
    <w:rsid w:val="00515E7B"/>
    <w:pPr>
      <w:autoSpaceDE w:val="0"/>
      <w:autoSpaceDN w:val="0"/>
      <w:adjustRightInd w:val="0"/>
      <w:spacing w:before="170" w:after="57" w:line="240" w:lineRule="atLeast"/>
      <w:jc w:val="center"/>
    </w:pPr>
    <w:rPr>
      <w:rFonts w:eastAsia="Times New Roman"/>
      <w:b/>
      <w:bCs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D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DE0"/>
    <w:rPr>
      <w:rFonts w:ascii="Tahoma" w:hAnsi="Tahoma" w:cs="Tahoma"/>
      <w:sz w:val="16"/>
      <w:szCs w:val="16"/>
      <w:lang w:eastAsia="en-US"/>
    </w:rPr>
  </w:style>
  <w:style w:type="paragraph" w:customStyle="1" w:styleId="TCU-RelVoto-demais">
    <w:name w:val="TCU - Rel/Voto - demais §§"/>
    <w:basedOn w:val="Normal"/>
    <w:qFormat/>
    <w:rsid w:val="0015258E"/>
    <w:pPr>
      <w:tabs>
        <w:tab w:val="left" w:pos="1134"/>
      </w:tabs>
      <w:spacing w:after="160"/>
      <w:ind w:left="0"/>
    </w:pPr>
    <w:rPr>
      <w:rFonts w:eastAsia="Times New Roman"/>
      <w:szCs w:val="22"/>
    </w:rPr>
  </w:style>
  <w:style w:type="paragraph" w:customStyle="1" w:styleId="votonumerado">
    <w:name w:val="voto numerado"/>
    <w:basedOn w:val="Normal"/>
    <w:rsid w:val="00BE6637"/>
    <w:pPr>
      <w:numPr>
        <w:numId w:val="15"/>
      </w:numPr>
      <w:tabs>
        <w:tab w:val="clear" w:pos="360"/>
        <w:tab w:val="left" w:pos="1134"/>
      </w:tabs>
      <w:spacing w:after="0"/>
      <w:ind w:left="0"/>
    </w:pPr>
    <w:rPr>
      <w:rFonts w:eastAsia="Times New Roman"/>
      <w:szCs w:val="20"/>
      <w:lang w:eastAsia="pt-BR"/>
    </w:rPr>
  </w:style>
  <w:style w:type="paragraph" w:customStyle="1" w:styleId="Pargrafo">
    <w:name w:val="#Parágrafo"/>
    <w:basedOn w:val="Normal"/>
    <w:rsid w:val="001D74CE"/>
    <w:pPr>
      <w:widowControl w:val="0"/>
      <w:suppressAutoHyphens/>
      <w:spacing w:after="0"/>
      <w:ind w:left="0"/>
      <w:jc w:val="left"/>
    </w:pPr>
    <w:rPr>
      <w:rFonts w:eastAsia="Times New Roman"/>
      <w:szCs w:val="20"/>
      <w:lang w:eastAsia="pt-BR"/>
    </w:rPr>
  </w:style>
  <w:style w:type="paragraph" w:customStyle="1" w:styleId="Citao">
    <w:name w:val="#Citação"/>
    <w:rsid w:val="007174DA"/>
    <w:pPr>
      <w:spacing w:after="120"/>
      <w:ind w:left="1134" w:right="284" w:firstLine="567"/>
      <w:jc w:val="both"/>
    </w:pPr>
    <w:rPr>
      <w:rFonts w:eastAsia="Times New Roman" w:cs="Calibri"/>
      <w:sz w:val="22"/>
      <w:szCs w:val="22"/>
      <w:lang w:eastAsia="en-US"/>
    </w:rPr>
  </w:style>
  <w:style w:type="paragraph" w:customStyle="1" w:styleId="Normal-numerado-REL01">
    <w:name w:val="#Normal-numerado-REL_01"/>
    <w:qFormat/>
    <w:rsid w:val="007174DA"/>
    <w:pPr>
      <w:numPr>
        <w:numId w:val="16"/>
      </w:numPr>
      <w:tabs>
        <w:tab w:val="left" w:pos="1134"/>
      </w:tabs>
      <w:suppressAutoHyphens/>
      <w:spacing w:before="120" w:after="120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juris@tcu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DD19B-DE39-4409-9471-092C015B9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4290</Words>
  <Characters>23172</Characters>
  <Application>Microsoft Office Word</Application>
  <DocSecurity>4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TCU</Company>
  <LinksUpToDate>false</LinksUpToDate>
  <CharactersWithSpaces>27408</CharactersWithSpaces>
  <SharedDoc>false</SharedDoc>
  <HLinks>
    <vt:vector size="6" baseType="variant">
      <vt:variant>
        <vt:i4>7602203</vt:i4>
      </vt:variant>
      <vt:variant>
        <vt:i4>0</vt:i4>
      </vt:variant>
      <vt:variant>
        <vt:i4>0</vt:i4>
      </vt:variant>
      <vt:variant>
        <vt:i4>5</vt:i4>
      </vt:variant>
      <vt:variant>
        <vt:lpwstr>mailto:infojuris@tcu.gov.br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Porto</dc:creator>
  <cp:keywords/>
  <dc:description/>
  <cp:lastModifiedBy>LUIZ FELYPE TABOSA PORTO</cp:lastModifiedBy>
  <cp:revision>2</cp:revision>
  <cp:lastPrinted>2010-05-17T17:47:00Z</cp:lastPrinted>
  <dcterms:created xsi:type="dcterms:W3CDTF">2015-05-07T12:26:00Z</dcterms:created>
  <dcterms:modified xsi:type="dcterms:W3CDTF">2015-05-07T12:26:00Z</dcterms:modified>
</cp:coreProperties>
</file>