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32FC6D44" wp14:editId="18F88C2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08246E" w:rsidRPr="00BC2239"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1C2577">
        <w:rPr>
          <w:rFonts w:ascii="Times New Roman" w:hAnsi="Times New Roman"/>
          <w:b/>
          <w:i w:val="0"/>
          <w:sz w:val="22"/>
          <w:szCs w:val="22"/>
          <w:lang w:val="pt-BR"/>
        </w:rPr>
        <w:t>43</w:t>
      </w:r>
    </w:p>
    <w:p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1C2577">
        <w:rPr>
          <w:rFonts w:ascii="Times New Roman" w:hAnsi="Times New Roman"/>
          <w:b/>
          <w:i w:val="0"/>
          <w:sz w:val="22"/>
          <w:szCs w:val="22"/>
          <w:lang w:val="pt-BR"/>
        </w:rPr>
        <w:t>19</w:t>
      </w:r>
      <w:r w:rsidR="00BC2239">
        <w:rPr>
          <w:rFonts w:ascii="Times New Roman" w:hAnsi="Times New Roman"/>
          <w:b/>
          <w:i w:val="0"/>
          <w:sz w:val="22"/>
          <w:szCs w:val="22"/>
          <w:lang w:val="pt-BR"/>
        </w:rPr>
        <w:t xml:space="preserve"> e </w:t>
      </w:r>
      <w:r w:rsidR="001C2577">
        <w:rPr>
          <w:rFonts w:ascii="Times New Roman" w:hAnsi="Times New Roman"/>
          <w:b/>
          <w:i w:val="0"/>
          <w:sz w:val="22"/>
          <w:szCs w:val="22"/>
          <w:lang w:val="pt-BR"/>
        </w:rPr>
        <w:t>20</w:t>
      </w:r>
      <w:r w:rsidR="000A683D">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6E10BA">
        <w:rPr>
          <w:rFonts w:ascii="Times New Roman" w:hAnsi="Times New Roman"/>
          <w:b/>
          <w:i w:val="0"/>
          <w:sz w:val="22"/>
          <w:szCs w:val="22"/>
          <w:lang w:val="pt-BR"/>
        </w:rPr>
        <w:t>maio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C032F3" w:rsidRPr="00A5345F" w:rsidRDefault="00C032F3" w:rsidP="00C032F3">
      <w:pPr>
        <w:autoSpaceDE w:val="0"/>
        <w:autoSpaceDN w:val="0"/>
        <w:adjustRightInd w:val="0"/>
        <w:spacing w:after="60"/>
        <w:ind w:left="0"/>
        <w:rPr>
          <w:b/>
          <w:sz w:val="22"/>
          <w:szCs w:val="22"/>
          <w:lang w:eastAsia="pt-BR"/>
        </w:rPr>
      </w:pPr>
      <w:r w:rsidRPr="00A5345F">
        <w:rPr>
          <w:b/>
          <w:sz w:val="22"/>
          <w:szCs w:val="22"/>
          <w:lang w:eastAsia="pt-BR"/>
        </w:rPr>
        <w:t>Plenário</w:t>
      </w:r>
    </w:p>
    <w:p w:rsidR="00C032F3" w:rsidRDefault="00C032F3" w:rsidP="00C032F3">
      <w:pPr>
        <w:tabs>
          <w:tab w:val="left" w:pos="0"/>
        </w:tabs>
        <w:autoSpaceDE w:val="0"/>
        <w:autoSpaceDN w:val="0"/>
        <w:adjustRightInd w:val="0"/>
        <w:spacing w:after="60"/>
        <w:ind w:left="0"/>
        <w:rPr>
          <w:rFonts w:eastAsia="Times New Roman"/>
          <w:color w:val="000000"/>
          <w:sz w:val="22"/>
          <w:szCs w:val="22"/>
          <w:lang w:eastAsia="pt-BR"/>
        </w:rPr>
      </w:pPr>
      <w:r>
        <w:rPr>
          <w:rFonts w:eastAsia="Times New Roman"/>
          <w:color w:val="000000"/>
          <w:sz w:val="22"/>
          <w:szCs w:val="22"/>
          <w:lang w:eastAsia="pt-BR"/>
        </w:rPr>
        <w:t>1</w:t>
      </w:r>
      <w:r w:rsidRPr="00A5345F">
        <w:rPr>
          <w:rFonts w:eastAsia="Times New Roman"/>
          <w:color w:val="000000"/>
          <w:sz w:val="22"/>
          <w:szCs w:val="22"/>
          <w:lang w:eastAsia="pt-BR"/>
        </w:rPr>
        <w:t xml:space="preserve">. </w:t>
      </w:r>
      <w:r w:rsidR="00033587" w:rsidRPr="00033587">
        <w:rPr>
          <w:rFonts w:eastAsia="Times New Roman"/>
          <w:color w:val="000000"/>
          <w:sz w:val="22"/>
          <w:szCs w:val="22"/>
          <w:lang w:eastAsia="pt-BR"/>
        </w:rPr>
        <w:t>É ilegal a exigência de que atestados de capacidade técnica estejam acompanhados de cópias d</w:t>
      </w:r>
      <w:r w:rsidR="00EA4FC7">
        <w:rPr>
          <w:rFonts w:eastAsia="Times New Roman"/>
          <w:color w:val="000000"/>
          <w:sz w:val="22"/>
          <w:szCs w:val="22"/>
          <w:lang w:eastAsia="pt-BR"/>
        </w:rPr>
        <w:t>e</w:t>
      </w:r>
      <w:r w:rsidR="00033587" w:rsidRPr="00033587">
        <w:rPr>
          <w:rFonts w:eastAsia="Times New Roman"/>
          <w:color w:val="000000"/>
          <w:sz w:val="22"/>
          <w:szCs w:val="22"/>
          <w:lang w:eastAsia="pt-BR"/>
        </w:rPr>
        <w:t xml:space="preserve"> notas fiscais ou contratos que os lastreiem, uma vez que a relação de documentos de habilitação constante dos</w:t>
      </w:r>
      <w:r w:rsidR="007944E3">
        <w:rPr>
          <w:rFonts w:eastAsia="Times New Roman"/>
          <w:color w:val="000000"/>
          <w:sz w:val="22"/>
          <w:szCs w:val="22"/>
          <w:lang w:eastAsia="pt-BR"/>
        </w:rPr>
        <w:t xml:space="preserve"> artigos 27 a 31 da Lei 8.666/</w:t>
      </w:r>
      <w:r w:rsidR="00033587" w:rsidRPr="00033587">
        <w:rPr>
          <w:rFonts w:eastAsia="Times New Roman"/>
          <w:color w:val="000000"/>
          <w:sz w:val="22"/>
          <w:szCs w:val="22"/>
          <w:lang w:eastAsia="pt-BR"/>
        </w:rPr>
        <w:t>93 é taxativa. </w:t>
      </w:r>
    </w:p>
    <w:p w:rsidR="007B6E2E" w:rsidRPr="007B6E2E" w:rsidRDefault="007B6E2E" w:rsidP="00D010A0">
      <w:pPr>
        <w:spacing w:after="60"/>
        <w:ind w:left="0"/>
        <w:rPr>
          <w:b/>
          <w:sz w:val="22"/>
          <w:szCs w:val="22"/>
          <w:lang w:eastAsia="pt-BR"/>
        </w:rPr>
      </w:pPr>
      <w:r>
        <w:rPr>
          <w:b/>
          <w:sz w:val="22"/>
          <w:szCs w:val="22"/>
          <w:lang w:eastAsia="pt-BR"/>
        </w:rPr>
        <w:t xml:space="preserve">Segunda </w:t>
      </w:r>
      <w:r w:rsidRPr="007B6E2E">
        <w:rPr>
          <w:b/>
          <w:sz w:val="22"/>
          <w:szCs w:val="22"/>
          <w:lang w:eastAsia="pt-BR"/>
        </w:rPr>
        <w:t>Câmara</w:t>
      </w:r>
    </w:p>
    <w:p w:rsidR="006A54B5" w:rsidRPr="00C95240" w:rsidRDefault="00685234" w:rsidP="00EA4FC7">
      <w:pPr>
        <w:spacing w:after="60"/>
        <w:ind w:left="0"/>
        <w:rPr>
          <w:sz w:val="22"/>
          <w:szCs w:val="22"/>
          <w:lang w:eastAsia="pt-BR"/>
        </w:rPr>
      </w:pPr>
      <w:r w:rsidRPr="00C95240">
        <w:rPr>
          <w:sz w:val="22"/>
          <w:szCs w:val="22"/>
          <w:lang w:eastAsia="pt-BR"/>
        </w:rPr>
        <w:t>2</w:t>
      </w:r>
      <w:r w:rsidR="00E84687" w:rsidRPr="00C95240">
        <w:rPr>
          <w:sz w:val="22"/>
          <w:szCs w:val="22"/>
          <w:lang w:eastAsia="pt-BR"/>
        </w:rPr>
        <w:t xml:space="preserve">. </w:t>
      </w:r>
      <w:r w:rsidR="00C95240" w:rsidRPr="00C95240">
        <w:rPr>
          <w:sz w:val="22"/>
          <w:szCs w:val="22"/>
          <w:lang w:eastAsia="pt-BR"/>
        </w:rPr>
        <w:t>Nos processos de fiscalização de obras, presume-se que os referenciais oficiais da Administração refletem os preços de mercado, razão pela qual podem e devem ser considerados para a análise de adequação de preços e apuração de eventual superfaturamento. Alegações em contrário devem ser comprovadas com base em elementos fáticos que permitam afastar os preços de referência utilizados pelo TCU.</w:t>
      </w:r>
    </w:p>
    <w:p w:rsidR="001C6B8C" w:rsidRPr="001C6B8C" w:rsidRDefault="00685234" w:rsidP="00E84687">
      <w:pPr>
        <w:spacing w:after="60"/>
        <w:ind w:left="0"/>
        <w:rPr>
          <w:sz w:val="22"/>
          <w:szCs w:val="22"/>
          <w:lang w:eastAsia="pt-BR"/>
        </w:rPr>
      </w:pPr>
      <w:r w:rsidRPr="001C6B8C">
        <w:rPr>
          <w:sz w:val="22"/>
          <w:szCs w:val="22"/>
          <w:lang w:eastAsia="pt-BR"/>
        </w:rPr>
        <w:t>3</w:t>
      </w:r>
      <w:r w:rsidR="00015ACC" w:rsidRPr="001C6B8C">
        <w:rPr>
          <w:sz w:val="22"/>
          <w:szCs w:val="22"/>
          <w:lang w:eastAsia="pt-BR"/>
        </w:rPr>
        <w:t xml:space="preserve">. </w:t>
      </w:r>
      <w:r w:rsidR="001C6B8C" w:rsidRPr="001C6B8C">
        <w:rPr>
          <w:rFonts w:eastAsia="Times New Roman"/>
          <w:color w:val="000000"/>
          <w:sz w:val="22"/>
          <w:szCs w:val="22"/>
          <w:lang w:eastAsia="pt-BR"/>
        </w:rPr>
        <w:t>Constatado</w:t>
      </w:r>
      <w:r w:rsidR="001C6B8C">
        <w:rPr>
          <w:rFonts w:eastAsia="Times New Roman"/>
          <w:color w:val="000000"/>
          <w:sz w:val="22"/>
          <w:szCs w:val="22"/>
          <w:lang w:eastAsia="pt-BR"/>
        </w:rPr>
        <w:t xml:space="preserve"> </w:t>
      </w:r>
      <w:r w:rsidR="001C6B8C" w:rsidRPr="001C6B8C">
        <w:rPr>
          <w:rFonts w:eastAsia="Times New Roman"/>
          <w:color w:val="000000"/>
          <w:sz w:val="22"/>
          <w:szCs w:val="22"/>
          <w:lang w:eastAsia="pt-BR"/>
        </w:rPr>
        <w:t>superfaturamento na execução contratual, é possível, antes de eventual condenação dos responsávei</w:t>
      </w:r>
      <w:r w:rsidR="001C6B8C">
        <w:rPr>
          <w:rFonts w:eastAsia="Times New Roman"/>
          <w:color w:val="000000"/>
          <w:sz w:val="22"/>
          <w:szCs w:val="22"/>
          <w:lang w:eastAsia="pt-BR"/>
        </w:rPr>
        <w:t>s</w:t>
      </w:r>
      <w:r w:rsidR="001C6B8C" w:rsidRPr="001C6B8C">
        <w:rPr>
          <w:rFonts w:eastAsia="Times New Roman"/>
          <w:color w:val="000000"/>
          <w:sz w:val="22"/>
          <w:szCs w:val="22"/>
          <w:lang w:eastAsia="pt-BR"/>
        </w:rPr>
        <w:t xml:space="preserve">, </w:t>
      </w:r>
      <w:r w:rsidR="001C6B8C">
        <w:rPr>
          <w:rFonts w:eastAsia="Times New Roman"/>
          <w:color w:val="000000"/>
          <w:sz w:val="22"/>
          <w:szCs w:val="22"/>
          <w:lang w:eastAsia="pt-BR"/>
        </w:rPr>
        <w:t xml:space="preserve">a adoção de </w:t>
      </w:r>
      <w:r w:rsidR="001C6B8C" w:rsidRPr="001C6B8C">
        <w:rPr>
          <w:rFonts w:eastAsia="Times New Roman"/>
          <w:color w:val="000000"/>
          <w:sz w:val="22"/>
          <w:szCs w:val="22"/>
          <w:lang w:eastAsia="pt-BR"/>
        </w:rPr>
        <w:t>medida administrativa visando a elis</w:t>
      </w:r>
      <w:r w:rsidR="001C6B8C">
        <w:rPr>
          <w:rFonts w:eastAsia="Times New Roman"/>
          <w:color w:val="000000"/>
          <w:sz w:val="22"/>
          <w:szCs w:val="22"/>
          <w:lang w:eastAsia="pt-BR"/>
        </w:rPr>
        <w:t>ão do dano</w:t>
      </w:r>
      <w:r w:rsidR="001C6B8C" w:rsidRPr="001C6B8C">
        <w:rPr>
          <w:rFonts w:eastAsia="Times New Roman"/>
          <w:color w:val="000000"/>
          <w:sz w:val="22"/>
          <w:szCs w:val="22"/>
          <w:lang w:eastAsia="pt-BR"/>
        </w:rPr>
        <w:t>, mediante formalização de acordo para</w:t>
      </w:r>
      <w:r w:rsidR="001C6B8C">
        <w:rPr>
          <w:rFonts w:eastAsia="Times New Roman"/>
          <w:color w:val="000000"/>
          <w:sz w:val="22"/>
          <w:szCs w:val="22"/>
          <w:lang w:eastAsia="pt-BR"/>
        </w:rPr>
        <w:t xml:space="preserve"> a</w:t>
      </w:r>
      <w:r w:rsidR="001C6B8C" w:rsidRPr="001C6B8C">
        <w:rPr>
          <w:rFonts w:eastAsia="Times New Roman"/>
          <w:color w:val="000000"/>
          <w:sz w:val="22"/>
          <w:szCs w:val="22"/>
          <w:lang w:eastAsia="pt-BR"/>
        </w:rPr>
        <w:t xml:space="preserve"> compensação dos valores superfaturados com</w:t>
      </w:r>
      <w:r w:rsidR="007B7980">
        <w:rPr>
          <w:rFonts w:eastAsia="Times New Roman"/>
          <w:color w:val="000000"/>
          <w:sz w:val="22"/>
          <w:szCs w:val="22"/>
          <w:lang w:eastAsia="pt-BR"/>
        </w:rPr>
        <w:t xml:space="preserve"> as</w:t>
      </w:r>
      <w:r w:rsidR="001C6B8C" w:rsidRPr="001C6B8C">
        <w:rPr>
          <w:rFonts w:eastAsia="Times New Roman"/>
          <w:color w:val="000000"/>
          <w:sz w:val="22"/>
          <w:szCs w:val="22"/>
          <w:lang w:eastAsia="pt-BR"/>
        </w:rPr>
        <w:t xml:space="preserve"> obrigações não adimplidas pela Administração no âmbito do mesmo ajuste, desde que estas sejam suficientes para tanto.</w:t>
      </w:r>
      <w:r w:rsidR="001C6B8C">
        <w:rPr>
          <w:rFonts w:eastAsia="Times New Roman"/>
          <w:color w:val="000000"/>
          <w:sz w:val="22"/>
          <w:szCs w:val="22"/>
          <w:lang w:eastAsia="pt-BR"/>
        </w:rPr>
        <w:t xml:space="preserve"> O</w:t>
      </w:r>
      <w:r w:rsidR="001C6B8C" w:rsidRPr="001C6B8C">
        <w:rPr>
          <w:rFonts w:eastAsia="Times New Roman"/>
          <w:color w:val="000000"/>
          <w:sz w:val="22"/>
          <w:szCs w:val="22"/>
          <w:lang w:eastAsia="pt-BR"/>
        </w:rPr>
        <w:t xml:space="preserve"> </w:t>
      </w:r>
      <w:r w:rsidR="001C6B8C">
        <w:rPr>
          <w:rFonts w:eastAsia="Times New Roman"/>
          <w:color w:val="000000"/>
          <w:sz w:val="22"/>
          <w:szCs w:val="22"/>
          <w:lang w:eastAsia="pt-BR"/>
        </w:rPr>
        <w:t>e</w:t>
      </w:r>
      <w:r w:rsidR="001C6B8C" w:rsidRPr="001C6B8C">
        <w:rPr>
          <w:rFonts w:eastAsia="Times New Roman"/>
          <w:color w:val="000000"/>
          <w:sz w:val="22"/>
          <w:szCs w:val="22"/>
          <w:lang w:eastAsia="pt-BR"/>
        </w:rPr>
        <w:t>ventual insucesso no acordo administrativo para o encontro de contas acarreta a condenação dos respons</w:t>
      </w:r>
      <w:r w:rsidR="001C6B8C">
        <w:rPr>
          <w:rFonts w:eastAsia="Times New Roman"/>
          <w:color w:val="000000"/>
          <w:sz w:val="22"/>
          <w:szCs w:val="22"/>
          <w:lang w:eastAsia="pt-BR"/>
        </w:rPr>
        <w:t>áveis ao recolhimento ao erário</w:t>
      </w:r>
      <w:r w:rsidR="001C6B8C" w:rsidRPr="001C6B8C">
        <w:rPr>
          <w:rFonts w:eastAsia="Times New Roman"/>
          <w:color w:val="000000"/>
          <w:sz w:val="22"/>
          <w:szCs w:val="22"/>
          <w:lang w:eastAsia="pt-BR"/>
        </w:rPr>
        <w:t xml:space="preserve"> do prejuízo apurado.</w:t>
      </w:r>
    </w:p>
    <w:p w:rsidR="00685234" w:rsidRDefault="00685234" w:rsidP="00B948A0">
      <w:pPr>
        <w:shd w:val="clear" w:color="auto" w:fill="FFFFFF"/>
        <w:spacing w:after="60"/>
        <w:ind w:left="0"/>
        <w:rPr>
          <w:rFonts w:eastAsia="Times New Roman"/>
          <w:color w:val="000000"/>
          <w:sz w:val="22"/>
          <w:szCs w:val="22"/>
          <w:lang w:eastAsia="pt-BR"/>
        </w:rPr>
      </w:pPr>
      <w:r w:rsidRPr="00B948A0">
        <w:rPr>
          <w:sz w:val="22"/>
          <w:szCs w:val="22"/>
          <w:lang w:eastAsia="pt-BR"/>
        </w:rPr>
        <w:t xml:space="preserve">4. </w:t>
      </w:r>
      <w:r w:rsidR="00103EA0">
        <w:rPr>
          <w:sz w:val="22"/>
          <w:szCs w:val="22"/>
          <w:lang w:eastAsia="pt-BR"/>
        </w:rPr>
        <w:t xml:space="preserve">Para a </w:t>
      </w:r>
      <w:r w:rsidR="00B948A0" w:rsidRPr="00B948A0">
        <w:rPr>
          <w:sz w:val="22"/>
          <w:szCs w:val="22"/>
          <w:lang w:eastAsia="pt-BR"/>
        </w:rPr>
        <w:t xml:space="preserve">avaliação de </w:t>
      </w:r>
      <w:proofErr w:type="spellStart"/>
      <w:r w:rsidR="00B948A0" w:rsidRPr="00B948A0">
        <w:rPr>
          <w:sz w:val="22"/>
          <w:szCs w:val="22"/>
          <w:lang w:eastAsia="pt-BR"/>
        </w:rPr>
        <w:t>sobrepreço</w:t>
      </w:r>
      <w:proofErr w:type="spellEnd"/>
      <w:r w:rsidR="00B948A0" w:rsidRPr="00B948A0">
        <w:rPr>
          <w:sz w:val="22"/>
          <w:szCs w:val="22"/>
          <w:lang w:eastAsia="pt-BR"/>
        </w:rPr>
        <w:t xml:space="preserve"> na fase de licitação é preferível a aplicação do “Método da Limitação dos Preços Unitários Ajustado”, que permite verificar os critérios de aceitabilidade de preços unitários e globais (art. 40, inciso X, da Lei 8.666/93). Para contratos em andamento ou finalizados, é recomendável a aplicação do “Método da Limitação do Preço Global”, que admite a compensação entre </w:t>
      </w:r>
      <w:proofErr w:type="spellStart"/>
      <w:r w:rsidR="00B948A0" w:rsidRPr="00B948A0">
        <w:rPr>
          <w:sz w:val="22"/>
          <w:szCs w:val="22"/>
          <w:lang w:eastAsia="pt-BR"/>
        </w:rPr>
        <w:t>sobrepreços</w:t>
      </w:r>
      <w:proofErr w:type="spellEnd"/>
      <w:r w:rsidR="00B948A0" w:rsidRPr="00B948A0">
        <w:rPr>
          <w:sz w:val="22"/>
          <w:szCs w:val="22"/>
          <w:lang w:eastAsia="pt-BR"/>
        </w:rPr>
        <w:t xml:space="preserve"> e subpreços unitários durante a execução contratual, de forma a manter o equilíbrio econômico-financeiro do ajuste.</w:t>
      </w:r>
      <w:bookmarkStart w:id="0" w:name="_GoBack"/>
      <w:bookmarkEnd w:id="0"/>
    </w:p>
    <w:p w:rsidR="00B948A0" w:rsidRPr="00B948A0" w:rsidRDefault="00B948A0" w:rsidP="00B948A0">
      <w:pPr>
        <w:shd w:val="clear" w:color="auto" w:fill="FFFFFF"/>
        <w:spacing w:after="60"/>
        <w:ind w:left="0"/>
        <w:rPr>
          <w:rFonts w:eastAsia="Times New Roman"/>
          <w:color w:val="000000"/>
          <w:sz w:val="22"/>
          <w:szCs w:val="22"/>
          <w:lang w:eastAsia="pt-BR"/>
        </w:rPr>
      </w:pPr>
    </w:p>
    <w:p w:rsidR="00033587" w:rsidRPr="003A0B0D" w:rsidRDefault="00033587" w:rsidP="00033587">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033587" w:rsidRDefault="00033587" w:rsidP="00033587">
      <w:pPr>
        <w:pStyle w:val="enter-3pt"/>
        <w:tabs>
          <w:tab w:val="left" w:pos="2590"/>
        </w:tabs>
        <w:spacing w:line="240" w:lineRule="auto"/>
        <w:rPr>
          <w:b/>
          <w:sz w:val="22"/>
          <w:szCs w:val="22"/>
        </w:rPr>
      </w:pPr>
    </w:p>
    <w:p w:rsidR="00033587" w:rsidRPr="00717551" w:rsidRDefault="00033587" w:rsidP="007944E3">
      <w:pPr>
        <w:spacing w:after="0"/>
        <w:ind w:left="0"/>
        <w:rPr>
          <w:b/>
          <w:sz w:val="22"/>
          <w:szCs w:val="22"/>
          <w:lang w:eastAsia="pt-BR"/>
        </w:rPr>
      </w:pPr>
      <w:r w:rsidRPr="00717551">
        <w:rPr>
          <w:b/>
          <w:sz w:val="22"/>
          <w:szCs w:val="22"/>
          <w:lang w:eastAsia="pt-BR"/>
        </w:rPr>
        <w:t>1. É ilegal a exigência de que atestados de capacidade técnica estejam acompanhados de cópias d</w:t>
      </w:r>
      <w:r w:rsidR="00EA4FC7" w:rsidRPr="00717551">
        <w:rPr>
          <w:b/>
          <w:sz w:val="22"/>
          <w:szCs w:val="22"/>
          <w:lang w:eastAsia="pt-BR"/>
        </w:rPr>
        <w:t>e</w:t>
      </w:r>
      <w:r w:rsidRPr="00717551">
        <w:rPr>
          <w:b/>
          <w:sz w:val="22"/>
          <w:szCs w:val="22"/>
          <w:lang w:eastAsia="pt-BR"/>
        </w:rPr>
        <w:t xml:space="preserve"> notas fiscais ou contratos que os lastreiem, uma vez que a relação de documentos de habilitação constante dos</w:t>
      </w:r>
      <w:r w:rsidR="007944E3" w:rsidRPr="00717551">
        <w:rPr>
          <w:b/>
          <w:sz w:val="22"/>
          <w:szCs w:val="22"/>
          <w:lang w:eastAsia="pt-BR"/>
        </w:rPr>
        <w:t xml:space="preserve"> artigos 27 a 31 da Lei 8.666/</w:t>
      </w:r>
      <w:r w:rsidRPr="00717551">
        <w:rPr>
          <w:b/>
          <w:sz w:val="22"/>
          <w:szCs w:val="22"/>
          <w:lang w:eastAsia="pt-BR"/>
        </w:rPr>
        <w:t>93 é taxativa. </w:t>
      </w:r>
    </w:p>
    <w:p w:rsidR="004E5C7F" w:rsidRPr="00717551" w:rsidRDefault="008130EC" w:rsidP="007944E3">
      <w:pPr>
        <w:spacing w:after="0"/>
        <w:ind w:left="0"/>
        <w:rPr>
          <w:rFonts w:ascii="Segoe UI WPC" w:hAnsi="Segoe UI WPC"/>
          <w:b/>
          <w:i/>
          <w:color w:val="282828"/>
          <w:sz w:val="22"/>
          <w:szCs w:val="22"/>
        </w:rPr>
      </w:pPr>
      <w:r w:rsidRPr="00717551">
        <w:rPr>
          <w:rFonts w:eastAsia="Times New Roman"/>
          <w:color w:val="000000"/>
          <w:sz w:val="22"/>
          <w:szCs w:val="22"/>
          <w:lang w:eastAsia="pt-BR"/>
        </w:rPr>
        <w:t xml:space="preserve">Em </w:t>
      </w:r>
      <w:r w:rsidR="00304201" w:rsidRPr="00717551">
        <w:rPr>
          <w:rFonts w:eastAsia="Times New Roman"/>
          <w:color w:val="000000"/>
          <w:sz w:val="22"/>
          <w:szCs w:val="22"/>
          <w:lang w:eastAsia="pt-BR"/>
        </w:rPr>
        <w:t>Representação acerca de possíveis irregularidades em pregão eletrônico promovido pela Coordenação de Aperfeiçoamento</w:t>
      </w:r>
      <w:r w:rsidR="00572EAC" w:rsidRPr="00717551">
        <w:rPr>
          <w:rFonts w:eastAsia="Times New Roman"/>
          <w:color w:val="000000"/>
          <w:sz w:val="22"/>
          <w:szCs w:val="22"/>
          <w:lang w:eastAsia="pt-BR"/>
        </w:rPr>
        <w:t xml:space="preserve"> </w:t>
      </w:r>
      <w:r w:rsidR="00304201" w:rsidRPr="00717551">
        <w:rPr>
          <w:rFonts w:eastAsia="Times New Roman"/>
          <w:color w:val="000000"/>
          <w:sz w:val="22"/>
          <w:szCs w:val="22"/>
          <w:lang w:eastAsia="pt-BR"/>
        </w:rPr>
        <w:t xml:space="preserve">de Pessoal de Nível Superior </w:t>
      </w:r>
      <w:r w:rsidR="00C92217" w:rsidRPr="00717551">
        <w:rPr>
          <w:rFonts w:eastAsia="Times New Roman"/>
          <w:color w:val="000000"/>
          <w:sz w:val="22"/>
          <w:szCs w:val="22"/>
          <w:lang w:eastAsia="pt-BR"/>
        </w:rPr>
        <w:t>(Capes/MEC)</w:t>
      </w:r>
      <w:r w:rsidR="00304201" w:rsidRPr="00717551">
        <w:rPr>
          <w:rFonts w:eastAsia="Times New Roman"/>
          <w:color w:val="000000"/>
          <w:sz w:val="22"/>
          <w:szCs w:val="22"/>
          <w:lang w:eastAsia="pt-BR"/>
        </w:rPr>
        <w:t xml:space="preserve">, objetivando o registro de preços para contratação de serviços técnicos de apoio à gestão de sistemas de informação daquela fundação, </w:t>
      </w:r>
      <w:r w:rsidRPr="00717551">
        <w:rPr>
          <w:rFonts w:eastAsia="Times New Roman"/>
          <w:color w:val="000000"/>
          <w:sz w:val="22"/>
          <w:szCs w:val="22"/>
          <w:lang w:eastAsia="pt-BR"/>
        </w:rPr>
        <w:t>a representante questionara a sua inabilitação “</w:t>
      </w:r>
      <w:r w:rsidRPr="00717551">
        <w:rPr>
          <w:rFonts w:eastAsia="Times New Roman"/>
          <w:i/>
          <w:color w:val="000000"/>
          <w:sz w:val="22"/>
          <w:szCs w:val="22"/>
          <w:lang w:eastAsia="pt-BR"/>
        </w:rPr>
        <w:t>decorrente do fato de os atestados de capacidade técnica não terem sido apresentados juntamente com contratos e notas fiscais correspondentes, conforme exigido no instrumento convocatório</w:t>
      </w:r>
      <w:r w:rsidRPr="00717551">
        <w:rPr>
          <w:rFonts w:eastAsia="Times New Roman"/>
          <w:color w:val="000000"/>
          <w:sz w:val="22"/>
          <w:szCs w:val="22"/>
          <w:lang w:eastAsia="pt-BR"/>
        </w:rPr>
        <w:t>”.  Realizadas as oiti</w:t>
      </w:r>
      <w:r w:rsidR="00C92217" w:rsidRPr="00717551">
        <w:rPr>
          <w:rFonts w:eastAsia="Times New Roman"/>
          <w:color w:val="000000"/>
          <w:sz w:val="22"/>
          <w:szCs w:val="22"/>
          <w:lang w:eastAsia="pt-BR"/>
        </w:rPr>
        <w:t>vas regimentais, a Capes alegou</w:t>
      </w:r>
      <w:r w:rsidRPr="00717551">
        <w:rPr>
          <w:rFonts w:eastAsia="Times New Roman"/>
          <w:color w:val="000000"/>
          <w:sz w:val="22"/>
          <w:szCs w:val="22"/>
          <w:lang w:eastAsia="pt-BR"/>
        </w:rPr>
        <w:t xml:space="preserve"> a necessidade de que fossem “</w:t>
      </w:r>
      <w:r w:rsidRPr="00717551">
        <w:rPr>
          <w:rFonts w:eastAsia="Times New Roman"/>
          <w:i/>
          <w:color w:val="000000"/>
          <w:sz w:val="22"/>
          <w:szCs w:val="22"/>
          <w:lang w:eastAsia="pt-BR"/>
        </w:rPr>
        <w:t>apresentados outros documentos além do atestado de capacidade técnica, para o devido julgamento da capacidade da empresa</w:t>
      </w:r>
      <w:r w:rsidRPr="00717551">
        <w:rPr>
          <w:rFonts w:eastAsia="Times New Roman"/>
          <w:color w:val="000000"/>
          <w:sz w:val="22"/>
          <w:szCs w:val="22"/>
          <w:lang w:eastAsia="pt-BR"/>
        </w:rPr>
        <w:t>", ressaltando que “</w:t>
      </w:r>
      <w:r w:rsidRPr="00717551">
        <w:rPr>
          <w:rFonts w:eastAsia="Times New Roman"/>
          <w:i/>
          <w:color w:val="000000"/>
          <w:sz w:val="22"/>
          <w:szCs w:val="22"/>
          <w:lang w:eastAsia="pt-BR"/>
        </w:rPr>
        <w:t>o edital seguiu integra</w:t>
      </w:r>
      <w:r w:rsidR="00DA5781" w:rsidRPr="00717551">
        <w:rPr>
          <w:rFonts w:eastAsia="Times New Roman"/>
          <w:i/>
          <w:color w:val="000000"/>
          <w:sz w:val="22"/>
          <w:szCs w:val="22"/>
          <w:lang w:eastAsia="pt-BR"/>
        </w:rPr>
        <w:t>lmente as disposições legais</w:t>
      </w:r>
      <w:r w:rsidRPr="00717551">
        <w:rPr>
          <w:rFonts w:eastAsia="Times New Roman"/>
          <w:color w:val="000000"/>
          <w:sz w:val="22"/>
          <w:szCs w:val="22"/>
          <w:lang w:eastAsia="pt-BR"/>
        </w:rPr>
        <w:t>”.</w:t>
      </w:r>
      <w:r w:rsidR="0079657E" w:rsidRPr="00717551">
        <w:rPr>
          <w:rFonts w:eastAsia="Times New Roman"/>
          <w:color w:val="000000"/>
          <w:sz w:val="22"/>
          <w:szCs w:val="22"/>
          <w:lang w:eastAsia="pt-BR"/>
        </w:rPr>
        <w:t xml:space="preserve"> </w:t>
      </w:r>
      <w:r w:rsidR="00DA5781" w:rsidRPr="00717551">
        <w:rPr>
          <w:rFonts w:eastAsia="Times New Roman"/>
          <w:color w:val="000000"/>
          <w:sz w:val="22"/>
          <w:szCs w:val="22"/>
          <w:lang w:eastAsia="pt-BR"/>
        </w:rPr>
        <w:t>A r</w:t>
      </w:r>
      <w:r w:rsidR="005A3B5A" w:rsidRPr="00717551">
        <w:rPr>
          <w:rFonts w:eastAsia="Times New Roman"/>
          <w:color w:val="000000"/>
          <w:sz w:val="22"/>
          <w:szCs w:val="22"/>
          <w:lang w:eastAsia="pt-BR"/>
        </w:rPr>
        <w:t>elatora</w:t>
      </w:r>
      <w:r w:rsidR="0079657E" w:rsidRPr="00717551">
        <w:rPr>
          <w:rFonts w:eastAsia="Times New Roman"/>
          <w:color w:val="000000"/>
          <w:sz w:val="22"/>
          <w:szCs w:val="22"/>
          <w:lang w:eastAsia="pt-BR"/>
        </w:rPr>
        <w:t xml:space="preserve"> rebateu, </w:t>
      </w:r>
      <w:r w:rsidR="009D0A39" w:rsidRPr="00717551">
        <w:rPr>
          <w:rFonts w:eastAsia="Times New Roman"/>
          <w:color w:val="000000"/>
          <w:sz w:val="22"/>
          <w:szCs w:val="22"/>
          <w:lang w:eastAsia="pt-BR"/>
        </w:rPr>
        <w:t>destacando que “</w:t>
      </w:r>
      <w:r w:rsidR="009D0A39" w:rsidRPr="00717551">
        <w:rPr>
          <w:rFonts w:eastAsia="Times New Roman"/>
          <w:i/>
          <w:color w:val="000000"/>
          <w:sz w:val="22"/>
          <w:szCs w:val="22"/>
          <w:lang w:eastAsia="pt-BR"/>
        </w:rPr>
        <w:t>a exigência de que atestados de capacidade técnica estejam acompanhados de cópias das notas fiscais ou contratos que os lastreiem fere a L</w:t>
      </w:r>
      <w:r w:rsidR="00DA5781" w:rsidRPr="00717551">
        <w:rPr>
          <w:rFonts w:eastAsia="Times New Roman"/>
          <w:i/>
          <w:color w:val="000000"/>
          <w:sz w:val="22"/>
          <w:szCs w:val="22"/>
          <w:lang w:eastAsia="pt-BR"/>
        </w:rPr>
        <w:t>ei 8.666/1993, como aponta firme</w:t>
      </w:r>
      <w:r w:rsidR="009D0A39" w:rsidRPr="00717551">
        <w:rPr>
          <w:rFonts w:eastAsia="Times New Roman"/>
          <w:i/>
          <w:color w:val="000000"/>
          <w:sz w:val="22"/>
          <w:szCs w:val="22"/>
          <w:lang w:eastAsia="pt-BR"/>
        </w:rPr>
        <w:t xml:space="preserve"> jurisprudência deste </w:t>
      </w:r>
      <w:r w:rsidR="009D0A39" w:rsidRPr="00717551">
        <w:rPr>
          <w:rFonts w:eastAsia="Times New Roman"/>
          <w:i/>
          <w:color w:val="000000"/>
          <w:sz w:val="22"/>
          <w:szCs w:val="22"/>
          <w:lang w:eastAsia="pt-BR"/>
        </w:rPr>
        <w:lastRenderedPageBreak/>
        <w:t>Tribunal</w:t>
      </w:r>
      <w:r w:rsidR="009D0A39" w:rsidRPr="00717551">
        <w:rPr>
          <w:rFonts w:eastAsia="Times New Roman"/>
          <w:color w:val="000000"/>
          <w:sz w:val="22"/>
          <w:szCs w:val="22"/>
          <w:lang w:eastAsia="pt-BR"/>
        </w:rPr>
        <w:t xml:space="preserve">”. </w:t>
      </w:r>
      <w:r w:rsidR="0055519A" w:rsidRPr="00717551">
        <w:rPr>
          <w:rFonts w:eastAsia="Times New Roman"/>
          <w:color w:val="000000"/>
          <w:sz w:val="22"/>
          <w:szCs w:val="22"/>
          <w:lang w:eastAsia="pt-BR"/>
        </w:rPr>
        <w:t>Acrescentou que “</w:t>
      </w:r>
      <w:r w:rsidR="0055519A" w:rsidRPr="00717551">
        <w:rPr>
          <w:rFonts w:eastAsia="Times New Roman"/>
          <w:i/>
          <w:color w:val="000000"/>
          <w:sz w:val="22"/>
          <w:szCs w:val="22"/>
          <w:lang w:eastAsia="pt-BR"/>
        </w:rPr>
        <w:t>a relação de documentos constante dos artigos 27 a 31 da Lei 8.666/1993 é taxativa</w:t>
      </w:r>
      <w:r w:rsidR="0055519A" w:rsidRPr="00717551">
        <w:rPr>
          <w:rFonts w:eastAsia="Times New Roman"/>
          <w:color w:val="000000"/>
          <w:sz w:val="22"/>
          <w:szCs w:val="22"/>
          <w:lang w:eastAsia="pt-BR"/>
        </w:rPr>
        <w:t>”, a exemplo do</w:t>
      </w:r>
      <w:r w:rsidR="00DA5781" w:rsidRPr="00717551">
        <w:rPr>
          <w:rFonts w:eastAsia="Times New Roman"/>
          <w:color w:val="000000"/>
          <w:sz w:val="22"/>
          <w:szCs w:val="22"/>
          <w:lang w:eastAsia="pt-BR"/>
        </w:rPr>
        <w:t>s precedentes contidos nos</w:t>
      </w:r>
      <w:r w:rsidR="0055519A" w:rsidRPr="00717551">
        <w:rPr>
          <w:rFonts w:eastAsia="Times New Roman"/>
          <w:color w:val="000000"/>
          <w:sz w:val="22"/>
          <w:szCs w:val="22"/>
          <w:lang w:eastAsia="pt-BR"/>
        </w:rPr>
        <w:t xml:space="preserve"> </w:t>
      </w:r>
      <w:hyperlink r:id="rId9" w:history="1">
        <w:r w:rsidR="00DA5781" w:rsidRPr="00717551">
          <w:rPr>
            <w:rStyle w:val="Hyperlink"/>
            <w:sz w:val="22"/>
            <w:szCs w:val="22"/>
            <w:shd w:val="clear" w:color="auto" w:fill="FFFFFF"/>
          </w:rPr>
          <w:t>Acórdãos 597/2007-</w:t>
        </w:r>
        <w:r w:rsidR="005A3B5A" w:rsidRPr="00717551">
          <w:rPr>
            <w:rStyle w:val="Hyperlink"/>
            <w:sz w:val="22"/>
            <w:szCs w:val="22"/>
            <w:shd w:val="clear" w:color="auto" w:fill="FFFFFF"/>
          </w:rPr>
          <w:t>Plenário</w:t>
        </w:r>
      </w:hyperlink>
      <w:r w:rsidR="005A3B5A" w:rsidRPr="00717551">
        <w:rPr>
          <w:rStyle w:val="Hyperlink"/>
          <w:b/>
          <w:sz w:val="22"/>
          <w:szCs w:val="22"/>
          <w:shd w:val="clear" w:color="auto" w:fill="FFFFFF"/>
        </w:rPr>
        <w:t xml:space="preserve"> </w:t>
      </w:r>
      <w:r w:rsidR="0055519A" w:rsidRPr="00717551">
        <w:rPr>
          <w:rFonts w:eastAsia="Times New Roman"/>
          <w:color w:val="000000"/>
          <w:sz w:val="22"/>
          <w:szCs w:val="22"/>
          <w:lang w:eastAsia="pt-BR"/>
        </w:rPr>
        <w:t>e</w:t>
      </w:r>
      <w:hyperlink r:id="rId10" w:history="1">
        <w:r w:rsidR="005A3B5A" w:rsidRPr="00717551">
          <w:rPr>
            <w:rStyle w:val="Hyperlink"/>
            <w:sz w:val="22"/>
            <w:szCs w:val="22"/>
            <w:shd w:val="clear" w:color="auto" w:fill="FFFFFF"/>
          </w:rPr>
          <w:t xml:space="preserve"> 1564/2015</w:t>
        </w:r>
        <w:r w:rsidR="00DA5781" w:rsidRPr="00717551">
          <w:rPr>
            <w:rStyle w:val="Hyperlink"/>
            <w:sz w:val="22"/>
            <w:szCs w:val="22"/>
            <w:shd w:val="clear" w:color="auto" w:fill="FFFFFF"/>
          </w:rPr>
          <w:t>-</w:t>
        </w:r>
        <w:r w:rsidR="005A3B5A" w:rsidRPr="00717551">
          <w:rPr>
            <w:rStyle w:val="Hyperlink"/>
            <w:sz w:val="22"/>
            <w:szCs w:val="22"/>
            <w:shd w:val="clear" w:color="auto" w:fill="FFFFFF"/>
          </w:rPr>
          <w:t>Segunda Câmara</w:t>
        </w:r>
      </w:hyperlink>
      <w:r w:rsidR="0055519A" w:rsidRPr="00717551">
        <w:rPr>
          <w:rFonts w:eastAsia="Times New Roman"/>
          <w:color w:val="000000"/>
          <w:sz w:val="22"/>
          <w:szCs w:val="22"/>
          <w:lang w:eastAsia="pt-BR"/>
        </w:rPr>
        <w:t>.</w:t>
      </w:r>
      <w:r w:rsidR="0028723A" w:rsidRPr="00717551">
        <w:rPr>
          <w:rFonts w:eastAsia="Times New Roman"/>
          <w:color w:val="000000"/>
          <w:sz w:val="22"/>
          <w:szCs w:val="22"/>
          <w:lang w:eastAsia="pt-BR"/>
        </w:rPr>
        <w:t xml:space="preserve"> </w:t>
      </w:r>
      <w:r w:rsidR="00DA5781" w:rsidRPr="00717551">
        <w:rPr>
          <w:rFonts w:eastAsia="Times New Roman"/>
          <w:color w:val="000000"/>
          <w:sz w:val="22"/>
          <w:szCs w:val="22"/>
          <w:lang w:eastAsia="pt-BR"/>
        </w:rPr>
        <w:t xml:space="preserve">Sobre o caso </w:t>
      </w:r>
      <w:r w:rsidR="0028723A" w:rsidRPr="00717551">
        <w:rPr>
          <w:rFonts w:eastAsia="Times New Roman"/>
          <w:color w:val="000000"/>
          <w:sz w:val="22"/>
          <w:szCs w:val="22"/>
          <w:lang w:eastAsia="pt-BR"/>
        </w:rPr>
        <w:t>concreto,</w:t>
      </w:r>
      <w:r w:rsidR="00DA5781" w:rsidRPr="00717551">
        <w:rPr>
          <w:rFonts w:eastAsia="Times New Roman"/>
          <w:color w:val="000000"/>
          <w:sz w:val="22"/>
          <w:szCs w:val="22"/>
          <w:lang w:eastAsia="pt-BR"/>
        </w:rPr>
        <w:t xml:space="preserve"> a relatora</w:t>
      </w:r>
      <w:r w:rsidR="0028723A" w:rsidRPr="00717551">
        <w:rPr>
          <w:rFonts w:eastAsia="Times New Roman"/>
          <w:color w:val="000000"/>
          <w:sz w:val="22"/>
          <w:szCs w:val="22"/>
          <w:lang w:eastAsia="pt-BR"/>
        </w:rPr>
        <w:t xml:space="preserve"> observou que “</w:t>
      </w:r>
      <w:r w:rsidR="0028723A" w:rsidRPr="00717551">
        <w:rPr>
          <w:rFonts w:eastAsia="Times New Roman"/>
          <w:i/>
          <w:color w:val="000000"/>
          <w:sz w:val="22"/>
          <w:szCs w:val="22"/>
          <w:lang w:eastAsia="pt-BR"/>
        </w:rPr>
        <w:t>a representante comprovou ter a capacidade mínima exigida pelo certame, visto que a apreciação inicial do atestado foi condição suficiente para certificar que a empresa atendeu ao termo de referência</w:t>
      </w:r>
      <w:r w:rsidR="00DA5781" w:rsidRPr="00717551">
        <w:rPr>
          <w:rFonts w:eastAsia="Times New Roman"/>
          <w:color w:val="000000"/>
          <w:sz w:val="22"/>
          <w:szCs w:val="22"/>
          <w:lang w:eastAsia="pt-BR"/>
        </w:rPr>
        <w:t xml:space="preserve">”. </w:t>
      </w:r>
      <w:r w:rsidR="0028723A" w:rsidRPr="00717551">
        <w:rPr>
          <w:rFonts w:eastAsia="Times New Roman"/>
          <w:color w:val="000000"/>
          <w:sz w:val="22"/>
          <w:szCs w:val="22"/>
          <w:lang w:eastAsia="pt-BR"/>
        </w:rPr>
        <w:t>Observou ainda que a fundação, em momento anterior à desclassificação da representante, promovera diligências para sanar a dúvida quanto a esse aspecto e teve a oportunidade de concluir que o atestado de capacid</w:t>
      </w:r>
      <w:r w:rsidR="00DA5781" w:rsidRPr="00717551">
        <w:rPr>
          <w:rFonts w:eastAsia="Times New Roman"/>
          <w:color w:val="000000"/>
          <w:sz w:val="22"/>
          <w:szCs w:val="22"/>
          <w:lang w:eastAsia="pt-BR"/>
        </w:rPr>
        <w:t>ade técnica apresentado atendia</w:t>
      </w:r>
      <w:r w:rsidR="0028723A" w:rsidRPr="00717551">
        <w:rPr>
          <w:rFonts w:eastAsia="Times New Roman"/>
          <w:color w:val="000000"/>
          <w:sz w:val="22"/>
          <w:szCs w:val="22"/>
          <w:lang w:eastAsia="pt-BR"/>
        </w:rPr>
        <w:t xml:space="preserve"> as exigências do edital, “</w:t>
      </w:r>
      <w:r w:rsidR="0028723A" w:rsidRPr="00717551">
        <w:rPr>
          <w:rFonts w:eastAsia="Times New Roman"/>
          <w:i/>
          <w:color w:val="000000"/>
          <w:sz w:val="22"/>
          <w:szCs w:val="22"/>
          <w:lang w:eastAsia="pt-BR"/>
        </w:rPr>
        <w:t xml:space="preserve">conforme atestou a Diretoria de Tecnologia e Informação daquela entidade por meio da nota técnica </w:t>
      </w:r>
      <w:r w:rsidR="00DC6A70" w:rsidRPr="00717551">
        <w:rPr>
          <w:rFonts w:eastAsia="Times New Roman"/>
          <w:i/>
          <w:color w:val="000000"/>
          <w:sz w:val="22"/>
          <w:szCs w:val="22"/>
          <w:lang w:eastAsia="pt-BR"/>
        </w:rPr>
        <w:t>(</w:t>
      </w:r>
      <w:r w:rsidR="0028723A" w:rsidRPr="00717551">
        <w:rPr>
          <w:rFonts w:eastAsia="Times New Roman"/>
          <w:i/>
          <w:color w:val="000000"/>
          <w:sz w:val="22"/>
          <w:szCs w:val="22"/>
          <w:lang w:eastAsia="pt-BR"/>
        </w:rPr>
        <w:t>...</w:t>
      </w:r>
      <w:r w:rsidR="00DC6A70" w:rsidRPr="00717551">
        <w:rPr>
          <w:rFonts w:eastAsia="Times New Roman"/>
          <w:i/>
          <w:color w:val="000000"/>
          <w:sz w:val="22"/>
          <w:szCs w:val="22"/>
          <w:lang w:eastAsia="pt-BR"/>
        </w:rPr>
        <w:t>)</w:t>
      </w:r>
      <w:r w:rsidR="0028723A" w:rsidRPr="00717551">
        <w:rPr>
          <w:rFonts w:eastAsia="Times New Roman"/>
          <w:i/>
          <w:color w:val="000000"/>
          <w:sz w:val="22"/>
          <w:szCs w:val="22"/>
          <w:lang w:eastAsia="pt-BR"/>
        </w:rPr>
        <w:t>acostada aos autos</w:t>
      </w:r>
      <w:r w:rsidR="0028723A" w:rsidRPr="00717551">
        <w:rPr>
          <w:rFonts w:eastAsia="Times New Roman"/>
          <w:color w:val="000000"/>
          <w:sz w:val="22"/>
          <w:szCs w:val="22"/>
          <w:lang w:eastAsia="pt-BR"/>
        </w:rPr>
        <w:t>”.</w:t>
      </w:r>
      <w:r w:rsidR="00DC6A70" w:rsidRPr="00717551">
        <w:rPr>
          <w:rFonts w:eastAsia="Times New Roman"/>
          <w:color w:val="000000"/>
          <w:sz w:val="22"/>
          <w:szCs w:val="22"/>
          <w:lang w:eastAsia="pt-BR"/>
        </w:rPr>
        <w:t xml:space="preserve"> Em vista do exposto pela</w:t>
      </w:r>
      <w:r w:rsidR="00C010D8" w:rsidRPr="00717551">
        <w:rPr>
          <w:rFonts w:eastAsia="Times New Roman"/>
          <w:color w:val="000000"/>
          <w:sz w:val="22"/>
          <w:szCs w:val="22"/>
          <w:lang w:eastAsia="pt-BR"/>
        </w:rPr>
        <w:t xml:space="preserve"> relator</w:t>
      </w:r>
      <w:r w:rsidR="00DC6A70" w:rsidRPr="00717551">
        <w:rPr>
          <w:rFonts w:eastAsia="Times New Roman"/>
          <w:color w:val="000000"/>
          <w:sz w:val="22"/>
          <w:szCs w:val="22"/>
          <w:lang w:eastAsia="pt-BR"/>
        </w:rPr>
        <w:t>a</w:t>
      </w:r>
      <w:r w:rsidR="00C010D8" w:rsidRPr="00717551">
        <w:rPr>
          <w:rFonts w:eastAsia="Times New Roman"/>
          <w:color w:val="000000"/>
          <w:sz w:val="22"/>
          <w:szCs w:val="22"/>
          <w:lang w:eastAsia="pt-BR"/>
        </w:rPr>
        <w:t xml:space="preserve">, o Tribunal </w:t>
      </w:r>
      <w:r w:rsidR="00572EAC" w:rsidRPr="00717551">
        <w:rPr>
          <w:rFonts w:eastAsia="Times New Roman"/>
          <w:color w:val="000000"/>
          <w:sz w:val="22"/>
          <w:szCs w:val="22"/>
          <w:lang w:eastAsia="pt-BR"/>
        </w:rPr>
        <w:t xml:space="preserve">considerou a </w:t>
      </w:r>
      <w:r w:rsidR="00DC6A70" w:rsidRPr="00717551">
        <w:rPr>
          <w:rFonts w:eastAsia="Times New Roman"/>
          <w:color w:val="000000"/>
          <w:sz w:val="22"/>
          <w:szCs w:val="22"/>
          <w:lang w:eastAsia="pt-BR"/>
        </w:rPr>
        <w:t>Representação procedente e</w:t>
      </w:r>
      <w:r w:rsidR="00572EAC" w:rsidRPr="00717551">
        <w:rPr>
          <w:rFonts w:eastAsia="Times New Roman"/>
          <w:color w:val="000000"/>
          <w:sz w:val="22"/>
          <w:szCs w:val="22"/>
          <w:lang w:eastAsia="pt-BR"/>
        </w:rPr>
        <w:t xml:space="preserve"> fixou prazo para que a Capes tornasse sem efeito a inabilitação e a desclassificação da representante, cientificando</w:t>
      </w:r>
      <w:r w:rsidR="00DC6A70" w:rsidRPr="00717551">
        <w:rPr>
          <w:rFonts w:eastAsia="Times New Roman"/>
          <w:color w:val="000000"/>
          <w:sz w:val="22"/>
          <w:szCs w:val="22"/>
          <w:lang w:eastAsia="pt-BR"/>
        </w:rPr>
        <w:t xml:space="preserve"> ainda</w:t>
      </w:r>
      <w:r w:rsidR="00572EAC" w:rsidRPr="00717551">
        <w:rPr>
          <w:rFonts w:eastAsia="Times New Roman"/>
          <w:color w:val="000000"/>
          <w:sz w:val="22"/>
          <w:szCs w:val="22"/>
          <w:lang w:eastAsia="pt-BR"/>
        </w:rPr>
        <w:t xml:space="preserve"> a fundação de que “</w:t>
      </w:r>
      <w:r w:rsidR="00572EAC" w:rsidRPr="00717551">
        <w:rPr>
          <w:rFonts w:eastAsia="Times New Roman"/>
          <w:i/>
          <w:color w:val="000000"/>
          <w:sz w:val="22"/>
          <w:szCs w:val="22"/>
          <w:lang w:eastAsia="pt-BR"/>
        </w:rPr>
        <w:t xml:space="preserve">a exigência de apresentação de atestados de capacidade técnica juntamente com as notas fiscais e/ou contratos prevista no edital do pregão eletrônico </w:t>
      </w:r>
      <w:r w:rsidR="00DC6A70" w:rsidRPr="00717551">
        <w:rPr>
          <w:rFonts w:eastAsia="Times New Roman"/>
          <w:i/>
          <w:color w:val="000000"/>
          <w:sz w:val="22"/>
          <w:szCs w:val="22"/>
          <w:lang w:eastAsia="pt-BR"/>
        </w:rPr>
        <w:t>(</w:t>
      </w:r>
      <w:r w:rsidR="00572EAC" w:rsidRPr="00717551">
        <w:rPr>
          <w:rFonts w:eastAsia="Times New Roman"/>
          <w:i/>
          <w:color w:val="000000"/>
          <w:sz w:val="22"/>
          <w:szCs w:val="22"/>
          <w:lang w:eastAsia="pt-BR"/>
        </w:rPr>
        <w:t>...</w:t>
      </w:r>
      <w:r w:rsidR="00DC6A70" w:rsidRPr="00717551">
        <w:rPr>
          <w:rFonts w:eastAsia="Times New Roman"/>
          <w:i/>
          <w:color w:val="000000"/>
          <w:sz w:val="22"/>
          <w:szCs w:val="22"/>
          <w:lang w:eastAsia="pt-BR"/>
        </w:rPr>
        <w:t>)</w:t>
      </w:r>
      <w:r w:rsidR="00572EAC" w:rsidRPr="00717551">
        <w:rPr>
          <w:rFonts w:eastAsia="Times New Roman"/>
          <w:i/>
          <w:color w:val="000000"/>
          <w:sz w:val="22"/>
          <w:szCs w:val="22"/>
          <w:lang w:eastAsia="pt-BR"/>
        </w:rPr>
        <w:t xml:space="preserve"> não encontra amparo no art. 30 da Lei 8.666/1993 e na juri</w:t>
      </w:r>
      <w:r w:rsidR="000E3955" w:rsidRPr="00717551">
        <w:rPr>
          <w:rFonts w:eastAsia="Times New Roman"/>
          <w:i/>
          <w:color w:val="000000"/>
          <w:sz w:val="22"/>
          <w:szCs w:val="22"/>
          <w:lang w:eastAsia="pt-BR"/>
        </w:rPr>
        <w:t>sprudência desta Corte</w:t>
      </w:r>
      <w:r w:rsidR="00572EAC" w:rsidRPr="00717551">
        <w:rPr>
          <w:rFonts w:eastAsia="Times New Roman"/>
          <w:color w:val="000000"/>
          <w:sz w:val="22"/>
          <w:szCs w:val="22"/>
          <w:lang w:eastAsia="pt-BR"/>
        </w:rPr>
        <w:t>”</w:t>
      </w:r>
      <w:r w:rsidR="004E5C7F" w:rsidRPr="00717551">
        <w:rPr>
          <w:rFonts w:eastAsia="Times New Roman"/>
          <w:color w:val="000000"/>
          <w:sz w:val="22"/>
          <w:szCs w:val="22"/>
          <w:lang w:eastAsia="pt-BR"/>
        </w:rPr>
        <w:t>.</w:t>
      </w:r>
      <w:r w:rsidR="000E3955" w:rsidRPr="00717551">
        <w:rPr>
          <w:rFonts w:eastAsia="Times New Roman"/>
          <w:color w:val="000000"/>
          <w:sz w:val="22"/>
          <w:szCs w:val="22"/>
          <w:lang w:eastAsia="pt-BR"/>
        </w:rPr>
        <w:t xml:space="preserve"> </w:t>
      </w:r>
      <w:hyperlink r:id="rId11" w:history="1">
        <w:r w:rsidR="000E3955" w:rsidRPr="00717551">
          <w:rPr>
            <w:rStyle w:val="Hyperlink"/>
            <w:b/>
            <w:i/>
            <w:sz w:val="22"/>
            <w:szCs w:val="22"/>
            <w:shd w:val="clear" w:color="auto" w:fill="FFFFFF"/>
          </w:rPr>
          <w:t>Acórdão 1224/2015-Plenário</w:t>
        </w:r>
      </w:hyperlink>
      <w:r w:rsidR="004E5C7F" w:rsidRPr="00717551">
        <w:rPr>
          <w:rFonts w:eastAsia="Times New Roman"/>
          <w:b/>
          <w:i/>
          <w:color w:val="000000"/>
          <w:sz w:val="22"/>
          <w:szCs w:val="22"/>
          <w:lang w:eastAsia="pt-BR"/>
        </w:rPr>
        <w:t xml:space="preserve">, TC 003.763/2015-3, </w:t>
      </w:r>
      <w:r w:rsidR="000E3955" w:rsidRPr="00717551">
        <w:rPr>
          <w:rFonts w:eastAsia="Times New Roman"/>
          <w:b/>
          <w:i/>
          <w:color w:val="000000"/>
          <w:sz w:val="22"/>
          <w:szCs w:val="22"/>
          <w:lang w:eastAsia="pt-BR"/>
        </w:rPr>
        <w:t>r</w:t>
      </w:r>
      <w:r w:rsidR="004E5C7F" w:rsidRPr="00717551">
        <w:rPr>
          <w:rFonts w:eastAsia="Times New Roman"/>
          <w:b/>
          <w:i/>
          <w:color w:val="000000"/>
          <w:sz w:val="22"/>
          <w:szCs w:val="22"/>
          <w:lang w:eastAsia="pt-BR"/>
        </w:rPr>
        <w:t>elator</w:t>
      </w:r>
      <w:r w:rsidR="005A3B5A" w:rsidRPr="00717551">
        <w:rPr>
          <w:rFonts w:eastAsia="Times New Roman"/>
          <w:b/>
          <w:i/>
          <w:color w:val="000000"/>
          <w:sz w:val="22"/>
          <w:szCs w:val="22"/>
          <w:lang w:eastAsia="pt-BR"/>
        </w:rPr>
        <w:t>a</w:t>
      </w:r>
      <w:r w:rsidR="004E5C7F" w:rsidRPr="00717551">
        <w:rPr>
          <w:rFonts w:eastAsia="Times New Roman"/>
          <w:b/>
          <w:i/>
          <w:color w:val="000000"/>
          <w:sz w:val="22"/>
          <w:szCs w:val="22"/>
          <w:lang w:eastAsia="pt-BR"/>
        </w:rPr>
        <w:t xml:space="preserve"> Ministra Ana Arraes, 20.5.2015.</w:t>
      </w:r>
    </w:p>
    <w:p w:rsidR="00033587" w:rsidRPr="00572EAC" w:rsidRDefault="00033587" w:rsidP="00D010A0">
      <w:pPr>
        <w:spacing w:after="60"/>
        <w:ind w:left="0"/>
        <w:rPr>
          <w:rFonts w:eastAsia="Times New Roman"/>
          <w:color w:val="000000"/>
          <w:sz w:val="22"/>
          <w:szCs w:val="22"/>
          <w:lang w:eastAsia="pt-BR"/>
        </w:rPr>
      </w:pPr>
    </w:p>
    <w:p w:rsidR="007B6E2E" w:rsidRDefault="007B6E2E" w:rsidP="007B6E2E">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SEGUNDA</w:t>
      </w:r>
      <w:r w:rsidRPr="00A5345F">
        <w:rPr>
          <w:b/>
          <w:bCs/>
          <w:smallCaps/>
          <w:sz w:val="22"/>
          <w:szCs w:val="22"/>
        </w:rPr>
        <w:t xml:space="preserve"> CÂMARA</w:t>
      </w:r>
    </w:p>
    <w:p w:rsidR="00946958" w:rsidRPr="00A5345F" w:rsidRDefault="00946958" w:rsidP="007B6E2E">
      <w:pPr>
        <w:pBdr>
          <w:top w:val="threeDEmboss" w:sz="24" w:space="5" w:color="auto"/>
        </w:pBdr>
        <w:tabs>
          <w:tab w:val="left" w:pos="284"/>
          <w:tab w:val="left" w:pos="4172"/>
          <w:tab w:val="center" w:pos="4818"/>
        </w:tabs>
        <w:spacing w:after="0"/>
        <w:ind w:left="0"/>
        <w:jc w:val="center"/>
        <w:rPr>
          <w:b/>
          <w:bCs/>
          <w:smallCaps/>
          <w:sz w:val="22"/>
          <w:szCs w:val="22"/>
        </w:rPr>
      </w:pPr>
    </w:p>
    <w:p w:rsidR="00AD17EC" w:rsidRPr="00717551" w:rsidRDefault="00685234" w:rsidP="002962D4">
      <w:pPr>
        <w:spacing w:after="0"/>
        <w:ind w:left="0"/>
        <w:rPr>
          <w:b/>
          <w:sz w:val="22"/>
          <w:szCs w:val="22"/>
          <w:lang w:eastAsia="pt-BR"/>
        </w:rPr>
      </w:pPr>
      <w:r w:rsidRPr="00717551">
        <w:rPr>
          <w:b/>
          <w:sz w:val="22"/>
          <w:szCs w:val="22"/>
          <w:lang w:eastAsia="pt-BR"/>
        </w:rPr>
        <w:t>2</w:t>
      </w:r>
      <w:r w:rsidR="00745019" w:rsidRPr="00717551">
        <w:rPr>
          <w:b/>
          <w:sz w:val="22"/>
          <w:szCs w:val="22"/>
          <w:lang w:eastAsia="pt-BR"/>
        </w:rPr>
        <w:t xml:space="preserve">. </w:t>
      </w:r>
      <w:r w:rsidR="00AD17EC" w:rsidRPr="00717551">
        <w:rPr>
          <w:b/>
          <w:sz w:val="22"/>
          <w:szCs w:val="22"/>
          <w:lang w:eastAsia="pt-BR"/>
        </w:rPr>
        <w:t>Nos processos de fiscal</w:t>
      </w:r>
      <w:r w:rsidR="00C95240" w:rsidRPr="00717551">
        <w:rPr>
          <w:b/>
          <w:sz w:val="22"/>
          <w:szCs w:val="22"/>
          <w:lang w:eastAsia="pt-BR"/>
        </w:rPr>
        <w:t>ização de obras,</w:t>
      </w:r>
      <w:r w:rsidR="00AD17EC" w:rsidRPr="00717551">
        <w:rPr>
          <w:b/>
          <w:sz w:val="22"/>
          <w:szCs w:val="22"/>
          <w:lang w:eastAsia="pt-BR"/>
        </w:rPr>
        <w:t xml:space="preserve"> presume-se que os referenciais oficiais da Administração refletem os preços de mercado, razão pela qual podem e devem ser considerados para a</w:t>
      </w:r>
      <w:r w:rsidR="00C95240" w:rsidRPr="00717551">
        <w:rPr>
          <w:b/>
          <w:sz w:val="22"/>
          <w:szCs w:val="22"/>
          <w:lang w:eastAsia="pt-BR"/>
        </w:rPr>
        <w:t xml:space="preserve"> análise de adequação de preços e apuração de eventual superfaturamento. Alegações em contrário devem ser comprovadas com base em elementos fáticos que permitam afastar os preços de referência utilizados pelo TCU. </w:t>
      </w:r>
    </w:p>
    <w:p w:rsidR="00110ECA" w:rsidRPr="00717551" w:rsidRDefault="007E7E98" w:rsidP="00442567">
      <w:pPr>
        <w:shd w:val="clear" w:color="auto" w:fill="FFFFFF"/>
        <w:spacing w:after="0"/>
        <w:ind w:left="0"/>
        <w:rPr>
          <w:rFonts w:eastAsia="Times New Roman"/>
          <w:color w:val="000000"/>
          <w:sz w:val="22"/>
          <w:szCs w:val="22"/>
          <w:lang w:eastAsia="pt-BR"/>
        </w:rPr>
      </w:pPr>
      <w:r w:rsidRPr="00717551">
        <w:rPr>
          <w:rFonts w:eastAsia="Times New Roman"/>
          <w:color w:val="000000"/>
          <w:sz w:val="22"/>
          <w:szCs w:val="22"/>
          <w:lang w:eastAsia="pt-BR"/>
        </w:rPr>
        <w:t>T</w:t>
      </w:r>
      <w:r w:rsidR="00675509" w:rsidRPr="00717551">
        <w:rPr>
          <w:rFonts w:eastAsia="Times New Roman"/>
          <w:color w:val="000000"/>
          <w:sz w:val="22"/>
          <w:szCs w:val="22"/>
          <w:lang w:eastAsia="pt-BR"/>
        </w:rPr>
        <w:t>omada de Contas E</w:t>
      </w:r>
      <w:r w:rsidRPr="00717551">
        <w:rPr>
          <w:rFonts w:eastAsia="Times New Roman"/>
          <w:color w:val="000000"/>
          <w:sz w:val="22"/>
          <w:szCs w:val="22"/>
          <w:lang w:eastAsia="pt-BR"/>
        </w:rPr>
        <w:t>special instaurada pelo Departamento Nacional de Infraestrutura</w:t>
      </w:r>
      <w:r w:rsidR="00675509" w:rsidRPr="00717551">
        <w:rPr>
          <w:rFonts w:eastAsia="Times New Roman"/>
          <w:color w:val="000000"/>
          <w:sz w:val="22"/>
          <w:szCs w:val="22"/>
          <w:lang w:eastAsia="pt-BR"/>
        </w:rPr>
        <w:t xml:space="preserve"> de Transportes (</w:t>
      </w:r>
      <w:proofErr w:type="spellStart"/>
      <w:r w:rsidRPr="00717551">
        <w:rPr>
          <w:rFonts w:eastAsia="Times New Roman"/>
          <w:color w:val="000000"/>
          <w:sz w:val="22"/>
          <w:szCs w:val="22"/>
          <w:lang w:eastAsia="pt-BR"/>
        </w:rPr>
        <w:t>Dnit</w:t>
      </w:r>
      <w:proofErr w:type="spellEnd"/>
      <w:r w:rsidR="00675509" w:rsidRPr="00717551">
        <w:rPr>
          <w:rFonts w:eastAsia="Times New Roman"/>
          <w:color w:val="000000"/>
          <w:sz w:val="22"/>
          <w:szCs w:val="22"/>
          <w:lang w:eastAsia="pt-BR"/>
        </w:rPr>
        <w:t xml:space="preserve">) </w:t>
      </w:r>
      <w:r w:rsidRPr="00717551">
        <w:rPr>
          <w:rFonts w:eastAsia="Times New Roman"/>
          <w:color w:val="000000"/>
          <w:sz w:val="22"/>
          <w:szCs w:val="22"/>
          <w:lang w:eastAsia="pt-BR"/>
        </w:rPr>
        <w:t xml:space="preserve">apurara possível </w:t>
      </w:r>
      <w:proofErr w:type="spellStart"/>
      <w:r w:rsidRPr="00717551">
        <w:rPr>
          <w:rFonts w:eastAsia="Times New Roman"/>
          <w:color w:val="000000"/>
          <w:sz w:val="22"/>
          <w:szCs w:val="22"/>
          <w:lang w:eastAsia="pt-BR"/>
        </w:rPr>
        <w:t>dano</w:t>
      </w:r>
      <w:proofErr w:type="spellEnd"/>
      <w:r w:rsidRPr="00717551">
        <w:rPr>
          <w:rFonts w:eastAsia="Times New Roman"/>
          <w:color w:val="000000"/>
          <w:sz w:val="22"/>
          <w:szCs w:val="22"/>
          <w:lang w:eastAsia="pt-BR"/>
        </w:rPr>
        <w:t xml:space="preserve"> ao erário em razão de irregularidades na execução de convênio destinado às obras de construção de vias marginais no perímetro urbano do município de Cacoal/RO, às margens da BR-364/RO. O</w:t>
      </w:r>
      <w:r w:rsidR="00675509" w:rsidRPr="00717551">
        <w:rPr>
          <w:rFonts w:eastAsia="Times New Roman"/>
          <w:color w:val="000000"/>
          <w:sz w:val="22"/>
          <w:szCs w:val="22"/>
          <w:lang w:eastAsia="pt-BR"/>
        </w:rPr>
        <w:t xml:space="preserve"> dano apontado fundamentara-se em</w:t>
      </w:r>
      <w:r w:rsidRPr="00717551">
        <w:rPr>
          <w:rFonts w:eastAsia="Times New Roman"/>
          <w:color w:val="000000"/>
          <w:sz w:val="22"/>
          <w:szCs w:val="22"/>
          <w:lang w:eastAsia="pt-BR"/>
        </w:rPr>
        <w:t xml:space="preserve"> indícios de superfaturamento nos preços de contrato firmado pela municipalidade </w:t>
      </w:r>
      <w:r w:rsidR="00D50C79" w:rsidRPr="00717551">
        <w:rPr>
          <w:rFonts w:eastAsia="Times New Roman"/>
          <w:color w:val="000000"/>
          <w:sz w:val="22"/>
          <w:szCs w:val="22"/>
          <w:lang w:eastAsia="pt-BR"/>
        </w:rPr>
        <w:t xml:space="preserve">para a consecução dos objetivos conveniados. Realizado o contraditório, anotou </w:t>
      </w:r>
      <w:r w:rsidR="00675509" w:rsidRPr="00717551">
        <w:rPr>
          <w:rFonts w:eastAsia="Times New Roman"/>
          <w:color w:val="000000"/>
          <w:sz w:val="22"/>
          <w:szCs w:val="22"/>
          <w:lang w:eastAsia="pt-BR"/>
        </w:rPr>
        <w:t>a r</w:t>
      </w:r>
      <w:r w:rsidR="005923A1" w:rsidRPr="00717551">
        <w:rPr>
          <w:rFonts w:eastAsia="Times New Roman"/>
          <w:color w:val="000000"/>
          <w:sz w:val="22"/>
          <w:szCs w:val="22"/>
          <w:lang w:eastAsia="pt-BR"/>
        </w:rPr>
        <w:t>elatora</w:t>
      </w:r>
      <w:r w:rsidR="00D50C79" w:rsidRPr="00717551">
        <w:rPr>
          <w:rFonts w:eastAsia="Times New Roman"/>
          <w:color w:val="000000"/>
          <w:sz w:val="22"/>
          <w:szCs w:val="22"/>
          <w:lang w:eastAsia="pt-BR"/>
        </w:rPr>
        <w:t xml:space="preserve"> que a </w:t>
      </w:r>
      <w:r w:rsidR="00D50C79" w:rsidRPr="00717551">
        <w:rPr>
          <w:rFonts w:eastAsia="Times New Roman"/>
          <w:i/>
          <w:color w:val="000000"/>
          <w:sz w:val="22"/>
          <w:szCs w:val="22"/>
          <w:lang w:eastAsia="pt-BR"/>
        </w:rPr>
        <w:t xml:space="preserve">“comparação dos valores praticados pela Prefeitura no contrato (...) com os referenciais de mercado expressos no </w:t>
      </w:r>
      <w:proofErr w:type="spellStart"/>
      <w:r w:rsidR="00D50C79" w:rsidRPr="00717551">
        <w:rPr>
          <w:rFonts w:eastAsia="Times New Roman"/>
          <w:i/>
          <w:color w:val="000000"/>
          <w:sz w:val="22"/>
          <w:szCs w:val="22"/>
          <w:lang w:eastAsia="pt-BR"/>
        </w:rPr>
        <w:t>Sicro</w:t>
      </w:r>
      <w:proofErr w:type="spellEnd"/>
      <w:r w:rsidR="00D50C79" w:rsidRPr="00717551">
        <w:rPr>
          <w:rFonts w:eastAsia="Times New Roman"/>
          <w:i/>
          <w:color w:val="000000"/>
          <w:sz w:val="22"/>
          <w:szCs w:val="22"/>
          <w:lang w:eastAsia="pt-BR"/>
        </w:rPr>
        <w:t>, evidenciaram superfaturamento de R$ 494 mil que não foi afastado pelas alegações dos responsáveis”</w:t>
      </w:r>
      <w:r w:rsidR="00D50C79" w:rsidRPr="00717551">
        <w:rPr>
          <w:rFonts w:eastAsia="Times New Roman"/>
          <w:color w:val="000000"/>
          <w:sz w:val="22"/>
          <w:szCs w:val="22"/>
          <w:lang w:eastAsia="pt-BR"/>
        </w:rPr>
        <w:t xml:space="preserve">. A propósito, prosseguiu, </w:t>
      </w:r>
      <w:r w:rsidR="00D50C79" w:rsidRPr="00717551">
        <w:rPr>
          <w:rFonts w:eastAsia="Times New Roman"/>
          <w:i/>
          <w:color w:val="000000"/>
          <w:sz w:val="22"/>
          <w:szCs w:val="22"/>
          <w:lang w:eastAsia="pt-BR"/>
        </w:rPr>
        <w:t>“nos processos de fiscalização de obras desta Corte, como presunção, adotam-se os referenciais oficiais da Administração como balizadores de preços; estes seriam os preços de mercado. Ilações em contrário devem ser comprovadas por quem as apresenta e argumentações genéricas, dissociadas de elementos fáticos que sustentem valores diferentes, não permitem afastar as referências”</w:t>
      </w:r>
      <w:r w:rsidR="00675509" w:rsidRPr="00717551">
        <w:rPr>
          <w:rFonts w:eastAsia="Times New Roman"/>
          <w:color w:val="000000"/>
          <w:sz w:val="22"/>
          <w:szCs w:val="22"/>
          <w:lang w:eastAsia="pt-BR"/>
        </w:rPr>
        <w:t>. Dess</w:t>
      </w:r>
      <w:r w:rsidR="00D50C79" w:rsidRPr="00717551">
        <w:rPr>
          <w:rFonts w:eastAsia="Times New Roman"/>
          <w:color w:val="000000"/>
          <w:sz w:val="22"/>
          <w:szCs w:val="22"/>
          <w:lang w:eastAsia="pt-BR"/>
        </w:rPr>
        <w:t xml:space="preserve">e modo, ao contrário do que alegara o ex-prefeito, </w:t>
      </w:r>
      <w:r w:rsidR="00D50C79" w:rsidRPr="00717551">
        <w:rPr>
          <w:rFonts w:eastAsia="Times New Roman"/>
          <w:i/>
          <w:color w:val="000000"/>
          <w:sz w:val="22"/>
          <w:szCs w:val="22"/>
          <w:lang w:eastAsia="pt-BR"/>
        </w:rPr>
        <w:t xml:space="preserve">“os preços paradigmas advindos do sistema </w:t>
      </w:r>
      <w:proofErr w:type="spellStart"/>
      <w:r w:rsidR="00D50C79" w:rsidRPr="00717551">
        <w:rPr>
          <w:rFonts w:eastAsia="Times New Roman"/>
          <w:i/>
          <w:color w:val="000000"/>
          <w:sz w:val="22"/>
          <w:szCs w:val="22"/>
          <w:lang w:eastAsia="pt-BR"/>
        </w:rPr>
        <w:t>Sicro</w:t>
      </w:r>
      <w:proofErr w:type="spellEnd"/>
      <w:r w:rsidR="00D50C79" w:rsidRPr="00717551">
        <w:rPr>
          <w:rFonts w:eastAsia="Times New Roman"/>
          <w:i/>
          <w:color w:val="000000"/>
          <w:sz w:val="22"/>
          <w:szCs w:val="22"/>
          <w:lang w:eastAsia="pt-BR"/>
        </w:rPr>
        <w:t xml:space="preserve"> podem e devem ser considerados na análise da adequação dos preços”</w:t>
      </w:r>
      <w:r w:rsidR="00D50C79" w:rsidRPr="00717551">
        <w:rPr>
          <w:rFonts w:eastAsia="Times New Roman"/>
          <w:color w:val="000000"/>
          <w:sz w:val="22"/>
          <w:szCs w:val="22"/>
          <w:lang w:eastAsia="pt-BR"/>
        </w:rPr>
        <w:t>. Nesses termos, o Plenário acolheu a proposta d</w:t>
      </w:r>
      <w:r w:rsidR="00675509" w:rsidRPr="00717551">
        <w:rPr>
          <w:rFonts w:eastAsia="Times New Roman"/>
          <w:color w:val="000000"/>
          <w:sz w:val="22"/>
          <w:szCs w:val="22"/>
          <w:lang w:eastAsia="pt-BR"/>
        </w:rPr>
        <w:t>a r</w:t>
      </w:r>
      <w:r w:rsidR="005923A1" w:rsidRPr="00717551">
        <w:rPr>
          <w:rFonts w:eastAsia="Times New Roman"/>
          <w:color w:val="000000"/>
          <w:sz w:val="22"/>
          <w:szCs w:val="22"/>
          <w:lang w:eastAsia="pt-BR"/>
        </w:rPr>
        <w:t>elatora</w:t>
      </w:r>
      <w:r w:rsidR="00675509" w:rsidRPr="00717551">
        <w:rPr>
          <w:rFonts w:eastAsia="Times New Roman"/>
          <w:color w:val="000000"/>
          <w:sz w:val="22"/>
          <w:szCs w:val="22"/>
          <w:lang w:eastAsia="pt-BR"/>
        </w:rPr>
        <w:t>, fixando prazo de trinta</w:t>
      </w:r>
      <w:r w:rsidR="00817C7D" w:rsidRPr="00717551">
        <w:rPr>
          <w:rFonts w:eastAsia="Times New Roman"/>
          <w:color w:val="000000"/>
          <w:sz w:val="22"/>
          <w:szCs w:val="22"/>
          <w:lang w:eastAsia="pt-BR"/>
        </w:rPr>
        <w:t xml:space="preserve"> dias para que o </w:t>
      </w:r>
      <w:proofErr w:type="spellStart"/>
      <w:r w:rsidR="00817C7D" w:rsidRPr="00717551">
        <w:rPr>
          <w:rFonts w:eastAsia="Times New Roman"/>
          <w:color w:val="000000"/>
          <w:sz w:val="22"/>
          <w:szCs w:val="22"/>
          <w:lang w:eastAsia="pt-BR"/>
        </w:rPr>
        <w:t>Dnit</w:t>
      </w:r>
      <w:proofErr w:type="spellEnd"/>
      <w:r w:rsidR="00817C7D" w:rsidRPr="00717551">
        <w:rPr>
          <w:rFonts w:eastAsia="Times New Roman"/>
          <w:color w:val="000000"/>
          <w:sz w:val="22"/>
          <w:szCs w:val="22"/>
          <w:lang w:eastAsia="pt-BR"/>
        </w:rPr>
        <w:t xml:space="preserve"> adot</w:t>
      </w:r>
      <w:r w:rsidR="005923A1" w:rsidRPr="00717551">
        <w:rPr>
          <w:rFonts w:eastAsia="Times New Roman"/>
          <w:color w:val="000000"/>
          <w:sz w:val="22"/>
          <w:szCs w:val="22"/>
          <w:lang w:eastAsia="pt-BR"/>
        </w:rPr>
        <w:t>e</w:t>
      </w:r>
      <w:r w:rsidR="00817C7D" w:rsidRPr="00717551">
        <w:rPr>
          <w:rFonts w:eastAsia="Times New Roman"/>
          <w:color w:val="000000"/>
          <w:sz w:val="22"/>
          <w:szCs w:val="22"/>
          <w:lang w:eastAsia="pt-BR"/>
        </w:rPr>
        <w:t xml:space="preserve"> medidas tendentes à elisão do débito constatado nos autos, conduzindo a formalização de acordo, entre a Prefeitura Municipal de Cacoal/RO e a empresa contratada, para a promoção de compensação dos valores indevidamente pagos com os créditos </w:t>
      </w:r>
      <w:r w:rsidR="00675509" w:rsidRPr="00717551">
        <w:rPr>
          <w:rFonts w:eastAsia="Times New Roman"/>
          <w:color w:val="000000"/>
          <w:sz w:val="22"/>
          <w:szCs w:val="22"/>
          <w:lang w:eastAsia="pt-BR"/>
        </w:rPr>
        <w:t xml:space="preserve">ainda </w:t>
      </w:r>
      <w:r w:rsidR="00817C7D" w:rsidRPr="00717551">
        <w:rPr>
          <w:rFonts w:eastAsia="Times New Roman"/>
          <w:color w:val="000000"/>
          <w:sz w:val="22"/>
          <w:szCs w:val="22"/>
          <w:lang w:eastAsia="pt-BR"/>
        </w:rPr>
        <w:t>devidos pela municipalidade à co</w:t>
      </w:r>
      <w:r w:rsidR="00675509" w:rsidRPr="00717551">
        <w:rPr>
          <w:rFonts w:eastAsia="Times New Roman"/>
          <w:color w:val="000000"/>
          <w:sz w:val="22"/>
          <w:szCs w:val="22"/>
          <w:lang w:eastAsia="pt-BR"/>
        </w:rPr>
        <w:t>ntratada</w:t>
      </w:r>
      <w:r w:rsidR="004124D7" w:rsidRPr="00717551">
        <w:rPr>
          <w:rFonts w:eastAsia="Times New Roman"/>
          <w:color w:val="000000"/>
          <w:sz w:val="22"/>
          <w:szCs w:val="22"/>
          <w:lang w:eastAsia="pt-BR"/>
        </w:rPr>
        <w:t xml:space="preserve">. </w:t>
      </w:r>
      <w:hyperlink r:id="rId12" w:history="1">
        <w:r w:rsidR="00717551">
          <w:rPr>
            <w:rStyle w:val="Hyperlink"/>
            <w:rFonts w:eastAsia="Times New Roman"/>
            <w:b/>
            <w:i/>
            <w:sz w:val="22"/>
            <w:szCs w:val="22"/>
            <w:lang w:eastAsia="pt-BR"/>
          </w:rPr>
          <w:t xml:space="preserve">Acórdão 2654/2015-Segunda </w:t>
        </w:r>
        <w:r w:rsidR="004124D7" w:rsidRPr="00717551">
          <w:rPr>
            <w:rStyle w:val="Hyperlink"/>
            <w:rFonts w:eastAsia="Times New Roman"/>
            <w:b/>
            <w:i/>
            <w:sz w:val="22"/>
            <w:szCs w:val="22"/>
            <w:lang w:eastAsia="pt-BR"/>
          </w:rPr>
          <w:t>Câmara</w:t>
        </w:r>
      </w:hyperlink>
      <w:r w:rsidR="0094787C" w:rsidRPr="00717551">
        <w:rPr>
          <w:rFonts w:eastAsia="Times New Roman"/>
          <w:b/>
          <w:i/>
          <w:color w:val="000000"/>
          <w:sz w:val="22"/>
          <w:szCs w:val="22"/>
          <w:lang w:eastAsia="pt-BR"/>
        </w:rPr>
        <w:t xml:space="preserve">, TC </w:t>
      </w:r>
      <w:r w:rsidR="00293C4B" w:rsidRPr="00717551">
        <w:rPr>
          <w:rFonts w:eastAsia="Times New Roman"/>
          <w:b/>
          <w:i/>
          <w:color w:val="000000"/>
          <w:sz w:val="22"/>
          <w:szCs w:val="22"/>
          <w:lang w:eastAsia="pt-BR"/>
        </w:rPr>
        <w:t>012</w:t>
      </w:r>
      <w:r w:rsidR="0094787C" w:rsidRPr="00717551">
        <w:rPr>
          <w:rFonts w:eastAsia="Times New Roman"/>
          <w:b/>
          <w:i/>
          <w:color w:val="000000"/>
          <w:sz w:val="22"/>
          <w:szCs w:val="22"/>
          <w:lang w:eastAsia="pt-BR"/>
        </w:rPr>
        <w:t>.</w:t>
      </w:r>
      <w:r w:rsidR="00293C4B" w:rsidRPr="00717551">
        <w:rPr>
          <w:rFonts w:eastAsia="Times New Roman"/>
          <w:b/>
          <w:i/>
          <w:color w:val="000000"/>
          <w:sz w:val="22"/>
          <w:szCs w:val="22"/>
          <w:lang w:eastAsia="pt-BR"/>
        </w:rPr>
        <w:t>573/2005-8</w:t>
      </w:r>
      <w:r w:rsidR="00745019" w:rsidRPr="00717551">
        <w:rPr>
          <w:rFonts w:eastAsia="Times New Roman"/>
          <w:b/>
          <w:i/>
          <w:color w:val="000000"/>
          <w:sz w:val="22"/>
          <w:szCs w:val="22"/>
          <w:lang w:eastAsia="pt-BR"/>
        </w:rPr>
        <w:t xml:space="preserve">, </w:t>
      </w:r>
      <w:r w:rsidR="000E3955" w:rsidRPr="00717551">
        <w:rPr>
          <w:rFonts w:eastAsia="Times New Roman"/>
          <w:b/>
          <w:i/>
          <w:color w:val="000000"/>
          <w:sz w:val="22"/>
          <w:szCs w:val="22"/>
          <w:lang w:eastAsia="pt-BR"/>
        </w:rPr>
        <w:t>r</w:t>
      </w:r>
      <w:r w:rsidR="00745019" w:rsidRPr="00717551">
        <w:rPr>
          <w:rFonts w:eastAsia="Times New Roman"/>
          <w:b/>
          <w:i/>
          <w:color w:val="000000"/>
          <w:sz w:val="22"/>
          <w:szCs w:val="22"/>
          <w:lang w:eastAsia="pt-BR"/>
        </w:rPr>
        <w:t>elator</w:t>
      </w:r>
      <w:r w:rsidR="00ED6C28" w:rsidRPr="00717551">
        <w:rPr>
          <w:rFonts w:eastAsia="Times New Roman"/>
          <w:b/>
          <w:i/>
          <w:color w:val="000000"/>
          <w:sz w:val="22"/>
          <w:szCs w:val="22"/>
          <w:lang w:eastAsia="pt-BR"/>
        </w:rPr>
        <w:t>a</w:t>
      </w:r>
      <w:r w:rsidR="00745019" w:rsidRPr="00717551">
        <w:rPr>
          <w:rFonts w:eastAsia="Times New Roman"/>
          <w:b/>
          <w:i/>
          <w:color w:val="000000"/>
          <w:sz w:val="22"/>
          <w:szCs w:val="22"/>
          <w:lang w:eastAsia="pt-BR"/>
        </w:rPr>
        <w:t xml:space="preserve"> Ministra Ana Arraes</w:t>
      </w:r>
      <w:r w:rsidR="0094787C" w:rsidRPr="00717551">
        <w:rPr>
          <w:rFonts w:eastAsia="Times New Roman"/>
          <w:b/>
          <w:i/>
          <w:color w:val="000000"/>
          <w:sz w:val="22"/>
          <w:szCs w:val="22"/>
          <w:lang w:eastAsia="pt-BR"/>
        </w:rPr>
        <w:t>, 1</w:t>
      </w:r>
      <w:r w:rsidR="00745019" w:rsidRPr="00717551">
        <w:rPr>
          <w:rFonts w:eastAsia="Times New Roman"/>
          <w:b/>
          <w:i/>
          <w:color w:val="000000"/>
          <w:sz w:val="22"/>
          <w:szCs w:val="22"/>
          <w:lang w:eastAsia="pt-BR"/>
        </w:rPr>
        <w:t>9</w:t>
      </w:r>
      <w:r w:rsidR="0094787C" w:rsidRPr="00717551">
        <w:rPr>
          <w:rFonts w:eastAsia="Times New Roman"/>
          <w:b/>
          <w:i/>
          <w:color w:val="000000"/>
          <w:sz w:val="22"/>
          <w:szCs w:val="22"/>
          <w:lang w:eastAsia="pt-BR"/>
        </w:rPr>
        <w:t>.5.2015.</w:t>
      </w:r>
    </w:p>
    <w:p w:rsidR="00136670" w:rsidRPr="00717551" w:rsidRDefault="00136670" w:rsidP="00442567">
      <w:pPr>
        <w:shd w:val="clear" w:color="auto" w:fill="FFFFFF"/>
        <w:spacing w:after="0"/>
        <w:ind w:left="0"/>
        <w:rPr>
          <w:rFonts w:eastAsia="Times New Roman"/>
          <w:color w:val="000000"/>
          <w:sz w:val="22"/>
          <w:szCs w:val="22"/>
          <w:lang w:eastAsia="pt-BR"/>
        </w:rPr>
      </w:pPr>
    </w:p>
    <w:p w:rsidR="00136670" w:rsidRPr="00717551" w:rsidRDefault="00685234" w:rsidP="00442567">
      <w:pPr>
        <w:shd w:val="clear" w:color="auto" w:fill="FFFFFF"/>
        <w:spacing w:after="0"/>
        <w:ind w:left="0"/>
        <w:rPr>
          <w:rFonts w:eastAsia="Times New Roman"/>
          <w:b/>
          <w:color w:val="000000"/>
          <w:sz w:val="22"/>
          <w:szCs w:val="22"/>
          <w:lang w:eastAsia="pt-BR"/>
        </w:rPr>
      </w:pPr>
      <w:r w:rsidRPr="00717551">
        <w:rPr>
          <w:rFonts w:eastAsia="Times New Roman"/>
          <w:b/>
          <w:color w:val="000000"/>
          <w:sz w:val="22"/>
          <w:szCs w:val="22"/>
          <w:lang w:eastAsia="pt-BR"/>
        </w:rPr>
        <w:t>3</w:t>
      </w:r>
      <w:r w:rsidR="00745019" w:rsidRPr="00717551">
        <w:rPr>
          <w:rFonts w:eastAsia="Times New Roman"/>
          <w:b/>
          <w:color w:val="000000"/>
          <w:sz w:val="22"/>
          <w:szCs w:val="22"/>
          <w:lang w:eastAsia="pt-BR"/>
        </w:rPr>
        <w:t xml:space="preserve">. </w:t>
      </w:r>
      <w:r w:rsidR="001C6B8C" w:rsidRPr="00717551">
        <w:rPr>
          <w:rFonts w:eastAsia="Times New Roman"/>
          <w:b/>
          <w:color w:val="000000"/>
          <w:sz w:val="22"/>
          <w:szCs w:val="22"/>
          <w:lang w:eastAsia="pt-BR"/>
        </w:rPr>
        <w:t>Constatado superfaturamento na execução contratual, é possível, antes de eventual condenação dos responsáveis, a adoção de medida administrativa visando a elisão do dano, mediante formalização de acordo para a compensação dos valores superfaturados com</w:t>
      </w:r>
      <w:r w:rsidR="007B7980" w:rsidRPr="00717551">
        <w:rPr>
          <w:rFonts w:eastAsia="Times New Roman"/>
          <w:b/>
          <w:color w:val="000000"/>
          <w:sz w:val="22"/>
          <w:szCs w:val="22"/>
          <w:lang w:eastAsia="pt-BR"/>
        </w:rPr>
        <w:t xml:space="preserve"> as</w:t>
      </w:r>
      <w:r w:rsidR="001C6B8C" w:rsidRPr="00717551">
        <w:rPr>
          <w:rFonts w:eastAsia="Times New Roman"/>
          <w:b/>
          <w:color w:val="000000"/>
          <w:sz w:val="22"/>
          <w:szCs w:val="22"/>
          <w:lang w:eastAsia="pt-BR"/>
        </w:rPr>
        <w:t xml:space="preserve"> obrigações não adimplidas pela Administração no âmbito do mesmo ajuste, desde que estas sejam suficientes para tanto. O eventual insucesso no acordo administrativo para o encontro de contas acarreta a condenação dos responsáveis ao recolhimento ao erário do prejuízo apurado.</w:t>
      </w:r>
    </w:p>
    <w:p w:rsidR="00745019" w:rsidRPr="00717551" w:rsidRDefault="000C0B99" w:rsidP="00442567">
      <w:pPr>
        <w:shd w:val="clear" w:color="auto" w:fill="FFFFFF"/>
        <w:spacing w:after="0"/>
        <w:ind w:left="0"/>
        <w:rPr>
          <w:rFonts w:eastAsia="Times New Roman"/>
          <w:b/>
          <w:i/>
          <w:color w:val="000000"/>
          <w:sz w:val="22"/>
          <w:szCs w:val="22"/>
          <w:lang w:eastAsia="pt-BR"/>
        </w:rPr>
      </w:pPr>
      <w:r w:rsidRPr="00717551">
        <w:rPr>
          <w:rFonts w:eastAsia="Times New Roman"/>
          <w:color w:val="000000"/>
          <w:sz w:val="22"/>
          <w:szCs w:val="22"/>
          <w:lang w:eastAsia="pt-BR"/>
        </w:rPr>
        <w:t>Ainda na Tomada de Contas E</w:t>
      </w:r>
      <w:r w:rsidR="00F8187E" w:rsidRPr="00717551">
        <w:rPr>
          <w:rFonts w:eastAsia="Times New Roman"/>
          <w:color w:val="000000"/>
          <w:sz w:val="22"/>
          <w:szCs w:val="22"/>
          <w:lang w:eastAsia="pt-BR"/>
        </w:rPr>
        <w:t xml:space="preserve">special relativa às obras de construção de vias marginais no perímetro urbano do município de Cacoal/RO, </w:t>
      </w:r>
      <w:r w:rsidRPr="00717551">
        <w:rPr>
          <w:rFonts w:eastAsia="Times New Roman"/>
          <w:color w:val="000000"/>
          <w:sz w:val="22"/>
          <w:szCs w:val="22"/>
          <w:lang w:eastAsia="pt-BR"/>
        </w:rPr>
        <w:t>a r</w:t>
      </w:r>
      <w:r w:rsidR="00257354" w:rsidRPr="00717551">
        <w:rPr>
          <w:rFonts w:eastAsia="Times New Roman"/>
          <w:color w:val="000000"/>
          <w:sz w:val="22"/>
          <w:szCs w:val="22"/>
          <w:lang w:eastAsia="pt-BR"/>
        </w:rPr>
        <w:t>elatora</w:t>
      </w:r>
      <w:r w:rsidR="00F8187E" w:rsidRPr="00717551">
        <w:rPr>
          <w:rFonts w:eastAsia="Times New Roman"/>
          <w:color w:val="000000"/>
          <w:sz w:val="22"/>
          <w:szCs w:val="22"/>
          <w:lang w:eastAsia="pt-BR"/>
        </w:rPr>
        <w:t xml:space="preserve">, embora concordasse com as conclusões da unidade instrutiva e do Ministério Público/TCU pela ocorrência de superfaturamento, dissentiu do encaminhamento sugerido, </w:t>
      </w:r>
      <w:r w:rsidR="00F8187E" w:rsidRPr="00717551">
        <w:rPr>
          <w:rFonts w:eastAsia="Times New Roman"/>
          <w:i/>
          <w:color w:val="000000"/>
          <w:sz w:val="22"/>
          <w:szCs w:val="22"/>
          <w:lang w:eastAsia="pt-BR"/>
        </w:rPr>
        <w:t>“por vislumbrar situação que pode atender de forma mais efetiva ao interesse público”</w:t>
      </w:r>
      <w:r w:rsidR="00F8187E" w:rsidRPr="00717551">
        <w:rPr>
          <w:rFonts w:eastAsia="Times New Roman"/>
          <w:color w:val="000000"/>
          <w:sz w:val="22"/>
          <w:szCs w:val="22"/>
          <w:lang w:eastAsia="pt-BR"/>
        </w:rPr>
        <w:t xml:space="preserve">. </w:t>
      </w:r>
      <w:r w:rsidR="00EC5CA3" w:rsidRPr="00717551">
        <w:rPr>
          <w:rFonts w:eastAsia="Times New Roman"/>
          <w:color w:val="000000"/>
          <w:sz w:val="22"/>
          <w:szCs w:val="22"/>
          <w:lang w:eastAsia="pt-BR"/>
        </w:rPr>
        <w:t xml:space="preserve">Restou evidenciado nos autos – mediante informações fornecidas pela municipalidade, pela contratada e pelo </w:t>
      </w:r>
      <w:proofErr w:type="spellStart"/>
      <w:r w:rsidR="00EC5CA3" w:rsidRPr="00717551">
        <w:rPr>
          <w:rFonts w:eastAsia="Times New Roman"/>
          <w:color w:val="000000"/>
          <w:sz w:val="22"/>
          <w:szCs w:val="22"/>
          <w:lang w:eastAsia="pt-BR"/>
        </w:rPr>
        <w:t>Dnit</w:t>
      </w:r>
      <w:proofErr w:type="spellEnd"/>
      <w:r w:rsidR="00EC5CA3" w:rsidRPr="00717551">
        <w:rPr>
          <w:rFonts w:eastAsia="Times New Roman"/>
          <w:color w:val="000000"/>
          <w:sz w:val="22"/>
          <w:szCs w:val="22"/>
          <w:lang w:eastAsia="pt-BR"/>
        </w:rPr>
        <w:t xml:space="preserve"> – a existência de </w:t>
      </w:r>
      <w:r w:rsidR="00EC5CA3" w:rsidRPr="00717551">
        <w:rPr>
          <w:rFonts w:eastAsia="Times New Roman"/>
          <w:i/>
          <w:color w:val="000000"/>
          <w:sz w:val="22"/>
          <w:szCs w:val="22"/>
          <w:lang w:eastAsia="pt-BR"/>
        </w:rPr>
        <w:t>“pagamentos pendentes que ultrapassariam o eventual débito”</w:t>
      </w:r>
      <w:r w:rsidR="00EC5CA3" w:rsidRPr="00717551">
        <w:rPr>
          <w:rFonts w:eastAsia="Times New Roman"/>
          <w:color w:val="000000"/>
          <w:sz w:val="22"/>
          <w:szCs w:val="22"/>
          <w:lang w:eastAsia="pt-BR"/>
        </w:rPr>
        <w:t xml:space="preserve">. Ademais, anotou </w:t>
      </w:r>
      <w:r w:rsidRPr="00717551">
        <w:rPr>
          <w:rFonts w:eastAsia="Times New Roman"/>
          <w:color w:val="000000"/>
          <w:sz w:val="22"/>
          <w:szCs w:val="22"/>
          <w:lang w:eastAsia="pt-BR"/>
        </w:rPr>
        <w:t>a r</w:t>
      </w:r>
      <w:r w:rsidR="00257354" w:rsidRPr="00717551">
        <w:rPr>
          <w:rFonts w:eastAsia="Times New Roman"/>
          <w:color w:val="000000"/>
          <w:sz w:val="22"/>
          <w:szCs w:val="22"/>
          <w:lang w:eastAsia="pt-BR"/>
        </w:rPr>
        <w:t xml:space="preserve">elatora que </w:t>
      </w:r>
      <w:r w:rsidR="00EC5CA3" w:rsidRPr="00717551">
        <w:rPr>
          <w:rFonts w:eastAsia="Times New Roman"/>
          <w:i/>
          <w:color w:val="000000"/>
          <w:sz w:val="22"/>
          <w:szCs w:val="22"/>
          <w:lang w:eastAsia="pt-BR"/>
        </w:rPr>
        <w:t>“há registro nos autos de que as constatações de superfaturamento e a consequente instauração de tomada de contas especial obstaram o pagamento de serviços efetivamente executados no âmbito do contrato”</w:t>
      </w:r>
      <w:r w:rsidR="00EC5CA3" w:rsidRPr="00717551">
        <w:rPr>
          <w:rFonts w:eastAsia="Times New Roman"/>
          <w:color w:val="000000"/>
          <w:sz w:val="22"/>
          <w:szCs w:val="22"/>
          <w:lang w:eastAsia="pt-BR"/>
        </w:rPr>
        <w:t xml:space="preserve">. </w:t>
      </w:r>
      <w:r w:rsidR="00704E6D" w:rsidRPr="00717551">
        <w:rPr>
          <w:rFonts w:eastAsia="Times New Roman"/>
          <w:color w:val="000000"/>
          <w:sz w:val="22"/>
          <w:szCs w:val="22"/>
          <w:lang w:eastAsia="pt-BR"/>
        </w:rPr>
        <w:t>Ana</w:t>
      </w:r>
      <w:r w:rsidRPr="00717551">
        <w:rPr>
          <w:rFonts w:eastAsia="Times New Roman"/>
          <w:color w:val="000000"/>
          <w:sz w:val="22"/>
          <w:szCs w:val="22"/>
          <w:lang w:eastAsia="pt-BR"/>
        </w:rPr>
        <w:t>lisando a questão, ponderou</w:t>
      </w:r>
      <w:r w:rsidR="00287D5D" w:rsidRPr="00717551">
        <w:rPr>
          <w:rFonts w:eastAsia="Times New Roman"/>
          <w:color w:val="000000"/>
          <w:sz w:val="22"/>
          <w:szCs w:val="22"/>
          <w:lang w:eastAsia="pt-BR"/>
        </w:rPr>
        <w:t xml:space="preserve"> que, embora não seja competência do TCU determinar a quitação de serviços contratados pelo ente municipal, </w:t>
      </w:r>
      <w:r w:rsidR="00287D5D" w:rsidRPr="00717551">
        <w:rPr>
          <w:rFonts w:eastAsia="Times New Roman"/>
          <w:i/>
          <w:color w:val="000000"/>
          <w:sz w:val="22"/>
          <w:szCs w:val="22"/>
          <w:lang w:eastAsia="pt-BR"/>
        </w:rPr>
        <w:t xml:space="preserve">“não é possível olvidar que na avaliação de um contrato com preços superiores aos </w:t>
      </w:r>
      <w:r w:rsidR="00287D5D" w:rsidRPr="00717551">
        <w:rPr>
          <w:rFonts w:eastAsia="Times New Roman"/>
          <w:i/>
          <w:color w:val="000000"/>
          <w:sz w:val="22"/>
          <w:szCs w:val="22"/>
          <w:lang w:eastAsia="pt-BR"/>
        </w:rPr>
        <w:lastRenderedPageBreak/>
        <w:t>referenciais de mercado, a execução financeira é o critério a ser utilizado para apuração do dano causado ao erário”</w:t>
      </w:r>
      <w:r w:rsidR="00287D5D" w:rsidRPr="00717551">
        <w:rPr>
          <w:rFonts w:eastAsia="Times New Roman"/>
          <w:color w:val="000000"/>
          <w:sz w:val="22"/>
          <w:szCs w:val="22"/>
          <w:lang w:eastAsia="pt-BR"/>
        </w:rPr>
        <w:t xml:space="preserve">. Assim, </w:t>
      </w:r>
      <w:r w:rsidR="00287D5D" w:rsidRPr="00717551">
        <w:rPr>
          <w:rFonts w:eastAsia="Times New Roman"/>
          <w:i/>
          <w:color w:val="000000"/>
          <w:sz w:val="22"/>
          <w:szCs w:val="22"/>
          <w:lang w:eastAsia="pt-BR"/>
        </w:rPr>
        <w:t>“se no âmbito de um mesmo ajuste há registros de pagamentos não adimplidos que podem ultrapassar o superfaturamento, a compensação dos valores pode afastar a ocorrência de prejuízo”</w:t>
      </w:r>
      <w:r w:rsidR="00287D5D" w:rsidRPr="00717551">
        <w:rPr>
          <w:rFonts w:eastAsia="Times New Roman"/>
          <w:color w:val="000000"/>
          <w:sz w:val="22"/>
          <w:szCs w:val="22"/>
          <w:lang w:eastAsia="pt-BR"/>
        </w:rPr>
        <w:t xml:space="preserve">. Em tais circunstâncias, </w:t>
      </w:r>
      <w:r w:rsidR="00287D5D" w:rsidRPr="00717551">
        <w:rPr>
          <w:rFonts w:eastAsia="Times New Roman"/>
          <w:i/>
          <w:color w:val="000000"/>
          <w:sz w:val="22"/>
          <w:szCs w:val="22"/>
          <w:lang w:eastAsia="pt-BR"/>
        </w:rPr>
        <w:t>“a imputação de débito apenas seria justificada diante da recusa das partes em promover as conciliações necessárias à eliminação do superfaturamento”</w:t>
      </w:r>
      <w:r w:rsidR="00287D5D" w:rsidRPr="00717551">
        <w:rPr>
          <w:rFonts w:eastAsia="Times New Roman"/>
          <w:color w:val="000000"/>
          <w:sz w:val="22"/>
          <w:szCs w:val="22"/>
          <w:lang w:eastAsia="pt-BR"/>
        </w:rPr>
        <w:t xml:space="preserve">. No caso concreto, concluiu </w:t>
      </w:r>
      <w:r w:rsidRPr="00717551">
        <w:rPr>
          <w:rFonts w:eastAsia="Times New Roman"/>
          <w:color w:val="000000"/>
          <w:sz w:val="22"/>
          <w:szCs w:val="22"/>
          <w:lang w:eastAsia="pt-BR"/>
        </w:rPr>
        <w:t>a r</w:t>
      </w:r>
      <w:r w:rsidR="00257354" w:rsidRPr="00717551">
        <w:rPr>
          <w:rFonts w:eastAsia="Times New Roman"/>
          <w:color w:val="000000"/>
          <w:sz w:val="22"/>
          <w:szCs w:val="22"/>
          <w:lang w:eastAsia="pt-BR"/>
        </w:rPr>
        <w:t>elatora que</w:t>
      </w:r>
      <w:r w:rsidR="00287D5D" w:rsidRPr="00717551">
        <w:rPr>
          <w:rFonts w:eastAsia="Times New Roman"/>
          <w:color w:val="000000"/>
          <w:sz w:val="22"/>
          <w:szCs w:val="22"/>
          <w:lang w:eastAsia="pt-BR"/>
        </w:rPr>
        <w:t xml:space="preserve"> </w:t>
      </w:r>
      <w:r w:rsidR="00287D5D" w:rsidRPr="00717551">
        <w:rPr>
          <w:rFonts w:eastAsia="Times New Roman"/>
          <w:i/>
          <w:color w:val="000000"/>
          <w:sz w:val="22"/>
          <w:szCs w:val="22"/>
          <w:lang w:eastAsia="pt-BR"/>
        </w:rPr>
        <w:t xml:space="preserve">“ainda há possibilidade de adoção de medida administrativa pelo </w:t>
      </w:r>
      <w:proofErr w:type="spellStart"/>
      <w:r w:rsidR="00287D5D" w:rsidRPr="00717551">
        <w:rPr>
          <w:rFonts w:eastAsia="Times New Roman"/>
          <w:i/>
          <w:color w:val="000000"/>
          <w:sz w:val="22"/>
          <w:szCs w:val="22"/>
          <w:lang w:eastAsia="pt-BR"/>
        </w:rPr>
        <w:t>Dnit</w:t>
      </w:r>
      <w:proofErr w:type="spellEnd"/>
      <w:r w:rsidR="00287D5D" w:rsidRPr="00717551">
        <w:rPr>
          <w:rFonts w:eastAsia="Times New Roman"/>
          <w:i/>
          <w:color w:val="000000"/>
          <w:sz w:val="22"/>
          <w:szCs w:val="22"/>
          <w:lang w:eastAsia="pt-BR"/>
        </w:rPr>
        <w:t xml:space="preserve"> para acerto de contas e elisão do dano ao erário”</w:t>
      </w:r>
      <w:r w:rsidR="00287D5D" w:rsidRPr="00717551">
        <w:rPr>
          <w:rFonts w:eastAsia="Times New Roman"/>
          <w:color w:val="000000"/>
          <w:sz w:val="22"/>
          <w:szCs w:val="22"/>
          <w:lang w:eastAsia="pt-BR"/>
        </w:rPr>
        <w:t xml:space="preserve">. Nesse sentido, como medida preliminar ao julgamento das contas e </w:t>
      </w:r>
      <w:r w:rsidR="0001659A" w:rsidRPr="00717551">
        <w:rPr>
          <w:rFonts w:eastAsia="Times New Roman"/>
          <w:color w:val="000000"/>
          <w:sz w:val="22"/>
          <w:szCs w:val="22"/>
          <w:lang w:eastAsia="pt-BR"/>
        </w:rPr>
        <w:t>à imputação de débito, entendeu</w:t>
      </w:r>
      <w:r w:rsidR="00287D5D" w:rsidRPr="00717551">
        <w:rPr>
          <w:rFonts w:eastAsia="Times New Roman"/>
          <w:color w:val="000000"/>
          <w:sz w:val="22"/>
          <w:szCs w:val="22"/>
          <w:lang w:eastAsia="pt-BR"/>
        </w:rPr>
        <w:t xml:space="preserve"> pertinente a fixação de prazo para a realização </w:t>
      </w:r>
      <w:r w:rsidR="00704E6D" w:rsidRPr="00717551">
        <w:rPr>
          <w:rFonts w:eastAsia="Times New Roman"/>
          <w:color w:val="000000"/>
          <w:sz w:val="22"/>
          <w:szCs w:val="22"/>
          <w:lang w:eastAsia="pt-BR"/>
        </w:rPr>
        <w:t>do</w:t>
      </w:r>
      <w:r w:rsidR="00287D5D" w:rsidRPr="00717551">
        <w:rPr>
          <w:rFonts w:eastAsia="Times New Roman"/>
          <w:color w:val="000000"/>
          <w:sz w:val="22"/>
          <w:szCs w:val="22"/>
          <w:lang w:eastAsia="pt-BR"/>
        </w:rPr>
        <w:t xml:space="preserve"> encontro de contas. Nada obstante, consignou que </w:t>
      </w:r>
      <w:r w:rsidR="00287D5D" w:rsidRPr="00717551">
        <w:rPr>
          <w:rFonts w:eastAsia="Times New Roman"/>
          <w:i/>
          <w:color w:val="000000"/>
          <w:sz w:val="22"/>
          <w:szCs w:val="22"/>
          <w:lang w:eastAsia="pt-BR"/>
        </w:rPr>
        <w:t>“eventual insucesso das medidas preliminares para elisão do débito tornaria obrigatória a condenação dos responsáveis ao recolhimento ao Tesouro Nacional dos valores relativos ao superfaturamento constatado nestes autos”</w:t>
      </w:r>
      <w:r w:rsidR="00287D5D" w:rsidRPr="00717551">
        <w:rPr>
          <w:rFonts w:eastAsia="Times New Roman"/>
          <w:color w:val="000000"/>
          <w:sz w:val="22"/>
          <w:szCs w:val="22"/>
          <w:lang w:eastAsia="pt-BR"/>
        </w:rPr>
        <w:t>. Nesses termos, o Plenário acolheu a proposta d</w:t>
      </w:r>
      <w:r w:rsidR="0001659A" w:rsidRPr="00717551">
        <w:rPr>
          <w:rFonts w:eastAsia="Times New Roman"/>
          <w:color w:val="000000"/>
          <w:sz w:val="22"/>
          <w:szCs w:val="22"/>
          <w:lang w:eastAsia="pt-BR"/>
        </w:rPr>
        <w:t>a r</w:t>
      </w:r>
      <w:r w:rsidR="00257354" w:rsidRPr="00717551">
        <w:rPr>
          <w:rFonts w:eastAsia="Times New Roman"/>
          <w:color w:val="000000"/>
          <w:sz w:val="22"/>
          <w:szCs w:val="22"/>
          <w:lang w:eastAsia="pt-BR"/>
        </w:rPr>
        <w:t>elatora</w:t>
      </w:r>
      <w:r w:rsidR="00287D5D" w:rsidRPr="00717551">
        <w:rPr>
          <w:rFonts w:eastAsia="Times New Roman"/>
          <w:color w:val="000000"/>
          <w:sz w:val="22"/>
          <w:szCs w:val="22"/>
          <w:lang w:eastAsia="pt-BR"/>
        </w:rPr>
        <w:t>, fixando</w:t>
      </w:r>
      <w:r w:rsidR="0001659A" w:rsidRPr="00717551">
        <w:rPr>
          <w:rFonts w:eastAsia="Times New Roman"/>
          <w:color w:val="000000"/>
          <w:sz w:val="22"/>
          <w:szCs w:val="22"/>
          <w:lang w:eastAsia="pt-BR"/>
        </w:rPr>
        <w:t xml:space="preserve"> prazo de trinta</w:t>
      </w:r>
      <w:r w:rsidR="00287D5D" w:rsidRPr="00717551">
        <w:rPr>
          <w:rFonts w:eastAsia="Times New Roman"/>
          <w:color w:val="000000"/>
          <w:sz w:val="22"/>
          <w:szCs w:val="22"/>
          <w:lang w:eastAsia="pt-BR"/>
        </w:rPr>
        <w:t xml:space="preserve"> dias para que o </w:t>
      </w:r>
      <w:proofErr w:type="spellStart"/>
      <w:r w:rsidR="00287D5D" w:rsidRPr="00717551">
        <w:rPr>
          <w:rFonts w:eastAsia="Times New Roman"/>
          <w:color w:val="000000"/>
          <w:sz w:val="22"/>
          <w:szCs w:val="22"/>
          <w:lang w:eastAsia="pt-BR"/>
        </w:rPr>
        <w:t>Dnit</w:t>
      </w:r>
      <w:proofErr w:type="spellEnd"/>
      <w:r w:rsidR="00287D5D" w:rsidRPr="00717551">
        <w:rPr>
          <w:rFonts w:eastAsia="Times New Roman"/>
          <w:color w:val="000000"/>
          <w:sz w:val="22"/>
          <w:szCs w:val="22"/>
          <w:lang w:eastAsia="pt-BR"/>
        </w:rPr>
        <w:t xml:space="preserve"> adote medidas tendentes à elisão do débito constatado nos autos, conduzindo a formalização de acordo, entre a Prefeitura Municipal de Cacoal/RO e a empresa contratada, para a promoção de compensação dos valores indevidamente pagos com os créditos devidos à contratada na execução do contrato.</w:t>
      </w:r>
      <w:r w:rsidR="00704E6D" w:rsidRPr="00717551">
        <w:rPr>
          <w:rFonts w:eastAsia="Times New Roman"/>
          <w:color w:val="000000"/>
          <w:sz w:val="22"/>
          <w:szCs w:val="22"/>
          <w:lang w:eastAsia="pt-BR"/>
        </w:rPr>
        <w:t xml:space="preserve"> </w:t>
      </w:r>
      <w:hyperlink r:id="rId13" w:history="1">
        <w:r w:rsidR="00745019" w:rsidRPr="00717551">
          <w:rPr>
            <w:rStyle w:val="Hyperlink"/>
            <w:rFonts w:eastAsia="Times New Roman"/>
            <w:b/>
            <w:i/>
            <w:sz w:val="22"/>
            <w:szCs w:val="22"/>
            <w:lang w:eastAsia="pt-BR"/>
          </w:rPr>
          <w:t>Acórdão 2654/2015-Segunda Câmara</w:t>
        </w:r>
      </w:hyperlink>
      <w:r w:rsidR="00745019" w:rsidRPr="00717551">
        <w:rPr>
          <w:rFonts w:eastAsia="Times New Roman"/>
          <w:b/>
          <w:i/>
          <w:color w:val="000000"/>
          <w:sz w:val="22"/>
          <w:szCs w:val="22"/>
          <w:lang w:eastAsia="pt-BR"/>
        </w:rPr>
        <w:t xml:space="preserve">, TC 012.573/2005-8, </w:t>
      </w:r>
      <w:r w:rsidR="002661DB" w:rsidRPr="00717551">
        <w:rPr>
          <w:rFonts w:eastAsia="Times New Roman"/>
          <w:b/>
          <w:i/>
          <w:color w:val="000000"/>
          <w:sz w:val="22"/>
          <w:szCs w:val="22"/>
          <w:lang w:eastAsia="pt-BR"/>
        </w:rPr>
        <w:t>r</w:t>
      </w:r>
      <w:r w:rsidR="00745019" w:rsidRPr="00717551">
        <w:rPr>
          <w:rFonts w:eastAsia="Times New Roman"/>
          <w:b/>
          <w:i/>
          <w:color w:val="000000"/>
          <w:sz w:val="22"/>
          <w:szCs w:val="22"/>
          <w:lang w:eastAsia="pt-BR"/>
        </w:rPr>
        <w:t>elator</w:t>
      </w:r>
      <w:r w:rsidR="00ED6C28" w:rsidRPr="00717551">
        <w:rPr>
          <w:rFonts w:eastAsia="Times New Roman"/>
          <w:b/>
          <w:i/>
          <w:color w:val="000000"/>
          <w:sz w:val="22"/>
          <w:szCs w:val="22"/>
          <w:lang w:eastAsia="pt-BR"/>
        </w:rPr>
        <w:t>a</w:t>
      </w:r>
      <w:r w:rsidR="00745019" w:rsidRPr="00717551">
        <w:rPr>
          <w:rFonts w:eastAsia="Times New Roman"/>
          <w:b/>
          <w:i/>
          <w:color w:val="000000"/>
          <w:sz w:val="22"/>
          <w:szCs w:val="22"/>
          <w:lang w:eastAsia="pt-BR"/>
        </w:rPr>
        <w:t xml:space="preserve"> Ministra Ana Arraes, 19.5.2015.</w:t>
      </w:r>
    </w:p>
    <w:p w:rsidR="00033587" w:rsidRPr="00717551" w:rsidRDefault="00033587" w:rsidP="00442567">
      <w:pPr>
        <w:shd w:val="clear" w:color="auto" w:fill="FFFFFF"/>
        <w:spacing w:after="0"/>
        <w:ind w:left="0"/>
        <w:rPr>
          <w:rFonts w:eastAsia="Times New Roman"/>
          <w:b/>
          <w:i/>
          <w:color w:val="000000"/>
          <w:sz w:val="22"/>
          <w:szCs w:val="22"/>
          <w:lang w:eastAsia="pt-BR"/>
        </w:rPr>
      </w:pPr>
    </w:p>
    <w:p w:rsidR="00033587" w:rsidRPr="00717551" w:rsidRDefault="00685234" w:rsidP="00442567">
      <w:pPr>
        <w:shd w:val="clear" w:color="auto" w:fill="FFFFFF"/>
        <w:spacing w:after="0"/>
        <w:ind w:left="0"/>
        <w:rPr>
          <w:rFonts w:eastAsia="Times New Roman"/>
          <w:b/>
          <w:color w:val="000000"/>
          <w:sz w:val="22"/>
          <w:szCs w:val="22"/>
          <w:lang w:eastAsia="pt-BR"/>
        </w:rPr>
      </w:pPr>
      <w:r w:rsidRPr="00717551">
        <w:rPr>
          <w:rFonts w:eastAsia="Times New Roman"/>
          <w:b/>
          <w:color w:val="000000"/>
          <w:sz w:val="22"/>
          <w:szCs w:val="22"/>
          <w:lang w:eastAsia="pt-BR"/>
        </w:rPr>
        <w:t>4</w:t>
      </w:r>
      <w:r w:rsidR="00033587" w:rsidRPr="00717551">
        <w:rPr>
          <w:rFonts w:eastAsia="Times New Roman"/>
          <w:b/>
          <w:color w:val="000000"/>
          <w:sz w:val="22"/>
          <w:szCs w:val="22"/>
          <w:lang w:eastAsia="pt-BR"/>
        </w:rPr>
        <w:t xml:space="preserve">. </w:t>
      </w:r>
      <w:r w:rsidR="00893384" w:rsidRPr="00717551">
        <w:rPr>
          <w:b/>
          <w:sz w:val="22"/>
          <w:szCs w:val="22"/>
          <w:lang w:eastAsia="pt-BR"/>
        </w:rPr>
        <w:t>P</w:t>
      </w:r>
      <w:r w:rsidR="005572CD" w:rsidRPr="00717551">
        <w:rPr>
          <w:b/>
          <w:sz w:val="22"/>
          <w:szCs w:val="22"/>
          <w:lang w:eastAsia="pt-BR"/>
        </w:rPr>
        <w:t>ara</w:t>
      </w:r>
      <w:r w:rsidR="005923A1" w:rsidRPr="00717551">
        <w:rPr>
          <w:b/>
          <w:sz w:val="22"/>
          <w:szCs w:val="22"/>
          <w:lang w:eastAsia="pt-BR"/>
        </w:rPr>
        <w:t xml:space="preserve"> </w:t>
      </w:r>
      <w:r w:rsidR="00893384" w:rsidRPr="00717551">
        <w:rPr>
          <w:b/>
          <w:sz w:val="22"/>
          <w:szCs w:val="22"/>
          <w:lang w:eastAsia="pt-BR"/>
        </w:rPr>
        <w:t xml:space="preserve">a </w:t>
      </w:r>
      <w:r w:rsidR="005923A1" w:rsidRPr="00717551">
        <w:rPr>
          <w:b/>
          <w:sz w:val="22"/>
          <w:szCs w:val="22"/>
          <w:lang w:eastAsia="pt-BR"/>
        </w:rPr>
        <w:t xml:space="preserve">avaliação de </w:t>
      </w:r>
      <w:proofErr w:type="spellStart"/>
      <w:r w:rsidR="005923A1" w:rsidRPr="00717551">
        <w:rPr>
          <w:b/>
          <w:sz w:val="22"/>
          <w:szCs w:val="22"/>
          <w:lang w:eastAsia="pt-BR"/>
        </w:rPr>
        <w:t>sobrepreço</w:t>
      </w:r>
      <w:proofErr w:type="spellEnd"/>
      <w:r w:rsidR="005572CD" w:rsidRPr="00717551">
        <w:rPr>
          <w:b/>
          <w:sz w:val="22"/>
          <w:szCs w:val="22"/>
          <w:lang w:eastAsia="pt-BR"/>
        </w:rPr>
        <w:t xml:space="preserve"> na fase de licitação</w:t>
      </w:r>
      <w:r w:rsidR="005923A1" w:rsidRPr="00717551">
        <w:rPr>
          <w:b/>
          <w:sz w:val="22"/>
          <w:szCs w:val="22"/>
          <w:lang w:eastAsia="pt-BR"/>
        </w:rPr>
        <w:t xml:space="preserve"> é pre</w:t>
      </w:r>
      <w:r w:rsidR="005572CD" w:rsidRPr="00717551">
        <w:rPr>
          <w:b/>
          <w:sz w:val="22"/>
          <w:szCs w:val="22"/>
          <w:lang w:eastAsia="pt-BR"/>
        </w:rPr>
        <w:t>ferível a aplicação do “Método da</w:t>
      </w:r>
      <w:r w:rsidR="005923A1" w:rsidRPr="00717551">
        <w:rPr>
          <w:b/>
          <w:sz w:val="22"/>
          <w:szCs w:val="22"/>
          <w:lang w:eastAsia="pt-BR"/>
        </w:rPr>
        <w:t xml:space="preserve"> </w:t>
      </w:r>
      <w:r w:rsidR="005572CD" w:rsidRPr="00717551">
        <w:rPr>
          <w:b/>
          <w:sz w:val="22"/>
          <w:szCs w:val="22"/>
          <w:lang w:eastAsia="pt-BR"/>
        </w:rPr>
        <w:t>L</w:t>
      </w:r>
      <w:r w:rsidR="005923A1" w:rsidRPr="00717551">
        <w:rPr>
          <w:b/>
          <w:sz w:val="22"/>
          <w:szCs w:val="22"/>
          <w:lang w:eastAsia="pt-BR"/>
        </w:rPr>
        <w:t>imitação do</w:t>
      </w:r>
      <w:r w:rsidR="005572CD" w:rsidRPr="00717551">
        <w:rPr>
          <w:b/>
          <w:sz w:val="22"/>
          <w:szCs w:val="22"/>
          <w:lang w:eastAsia="pt-BR"/>
        </w:rPr>
        <w:t>s P</w:t>
      </w:r>
      <w:r w:rsidR="005923A1" w:rsidRPr="00717551">
        <w:rPr>
          <w:b/>
          <w:sz w:val="22"/>
          <w:szCs w:val="22"/>
          <w:lang w:eastAsia="pt-BR"/>
        </w:rPr>
        <w:t>reço</w:t>
      </w:r>
      <w:r w:rsidR="005572CD" w:rsidRPr="00717551">
        <w:rPr>
          <w:b/>
          <w:sz w:val="22"/>
          <w:szCs w:val="22"/>
          <w:lang w:eastAsia="pt-BR"/>
        </w:rPr>
        <w:t>s U</w:t>
      </w:r>
      <w:r w:rsidR="005923A1" w:rsidRPr="00717551">
        <w:rPr>
          <w:b/>
          <w:sz w:val="22"/>
          <w:szCs w:val="22"/>
          <w:lang w:eastAsia="pt-BR"/>
        </w:rPr>
        <w:t>nitário</w:t>
      </w:r>
      <w:r w:rsidR="005572CD" w:rsidRPr="00717551">
        <w:rPr>
          <w:b/>
          <w:sz w:val="22"/>
          <w:szCs w:val="22"/>
          <w:lang w:eastAsia="pt-BR"/>
        </w:rPr>
        <w:t>s Ajustado”</w:t>
      </w:r>
      <w:r w:rsidR="005923A1" w:rsidRPr="00717551">
        <w:rPr>
          <w:b/>
          <w:sz w:val="22"/>
          <w:szCs w:val="22"/>
          <w:lang w:eastAsia="pt-BR"/>
        </w:rPr>
        <w:t>, que per</w:t>
      </w:r>
      <w:r w:rsidR="005572CD" w:rsidRPr="00717551">
        <w:rPr>
          <w:b/>
          <w:sz w:val="22"/>
          <w:szCs w:val="22"/>
          <w:lang w:eastAsia="pt-BR"/>
        </w:rPr>
        <w:t>mite verificar</w:t>
      </w:r>
      <w:r w:rsidR="005923A1" w:rsidRPr="00717551">
        <w:rPr>
          <w:b/>
          <w:sz w:val="22"/>
          <w:szCs w:val="22"/>
          <w:lang w:eastAsia="pt-BR"/>
        </w:rPr>
        <w:t xml:space="preserve"> os critérios de aceitabilidade de preços un</w:t>
      </w:r>
      <w:r w:rsidR="008B31B3" w:rsidRPr="00717551">
        <w:rPr>
          <w:b/>
          <w:sz w:val="22"/>
          <w:szCs w:val="22"/>
          <w:lang w:eastAsia="pt-BR"/>
        </w:rPr>
        <w:t>itários e globais (</w:t>
      </w:r>
      <w:r w:rsidR="005923A1" w:rsidRPr="00717551">
        <w:rPr>
          <w:b/>
          <w:sz w:val="22"/>
          <w:szCs w:val="22"/>
          <w:lang w:eastAsia="pt-BR"/>
        </w:rPr>
        <w:t>art. 40, inciso X, da Lei 8.666/93</w:t>
      </w:r>
      <w:r w:rsidR="008B31B3" w:rsidRPr="00717551">
        <w:rPr>
          <w:b/>
          <w:sz w:val="22"/>
          <w:szCs w:val="22"/>
          <w:lang w:eastAsia="pt-BR"/>
        </w:rPr>
        <w:t xml:space="preserve">). </w:t>
      </w:r>
      <w:r w:rsidR="005572CD" w:rsidRPr="00717551">
        <w:rPr>
          <w:b/>
          <w:sz w:val="22"/>
          <w:szCs w:val="22"/>
          <w:lang w:eastAsia="pt-BR"/>
        </w:rPr>
        <w:t>Para</w:t>
      </w:r>
      <w:r w:rsidR="005923A1" w:rsidRPr="00717551">
        <w:rPr>
          <w:b/>
          <w:sz w:val="22"/>
          <w:szCs w:val="22"/>
          <w:lang w:eastAsia="pt-BR"/>
        </w:rPr>
        <w:t xml:space="preserve"> contrato</w:t>
      </w:r>
      <w:r w:rsidR="008B31B3" w:rsidRPr="00717551">
        <w:rPr>
          <w:b/>
          <w:sz w:val="22"/>
          <w:szCs w:val="22"/>
          <w:lang w:eastAsia="pt-BR"/>
        </w:rPr>
        <w:t>s</w:t>
      </w:r>
      <w:r w:rsidR="005923A1" w:rsidRPr="00717551">
        <w:rPr>
          <w:b/>
          <w:sz w:val="22"/>
          <w:szCs w:val="22"/>
          <w:lang w:eastAsia="pt-BR"/>
        </w:rPr>
        <w:t xml:space="preserve"> em andamento ou finalizado</w:t>
      </w:r>
      <w:r w:rsidR="008B31B3" w:rsidRPr="00717551">
        <w:rPr>
          <w:b/>
          <w:sz w:val="22"/>
          <w:szCs w:val="22"/>
          <w:lang w:eastAsia="pt-BR"/>
        </w:rPr>
        <w:t>s</w:t>
      </w:r>
      <w:r w:rsidR="005923A1" w:rsidRPr="00717551">
        <w:rPr>
          <w:b/>
          <w:sz w:val="22"/>
          <w:szCs w:val="22"/>
          <w:lang w:eastAsia="pt-BR"/>
        </w:rPr>
        <w:t xml:space="preserve">, é recomendável a aplicação do </w:t>
      </w:r>
      <w:r w:rsidR="005572CD" w:rsidRPr="00717551">
        <w:rPr>
          <w:b/>
          <w:sz w:val="22"/>
          <w:szCs w:val="22"/>
          <w:lang w:eastAsia="pt-BR"/>
        </w:rPr>
        <w:t>“Método da Limitação do Preço G</w:t>
      </w:r>
      <w:r w:rsidR="008B31B3" w:rsidRPr="00717551">
        <w:rPr>
          <w:b/>
          <w:sz w:val="22"/>
          <w:szCs w:val="22"/>
          <w:lang w:eastAsia="pt-BR"/>
        </w:rPr>
        <w:t>lobal</w:t>
      </w:r>
      <w:r w:rsidR="005572CD" w:rsidRPr="00717551">
        <w:rPr>
          <w:b/>
          <w:sz w:val="22"/>
          <w:szCs w:val="22"/>
          <w:lang w:eastAsia="pt-BR"/>
        </w:rPr>
        <w:t>”</w:t>
      </w:r>
      <w:r w:rsidR="008B31B3" w:rsidRPr="00717551">
        <w:rPr>
          <w:b/>
          <w:sz w:val="22"/>
          <w:szCs w:val="22"/>
          <w:lang w:eastAsia="pt-BR"/>
        </w:rPr>
        <w:t>, que</w:t>
      </w:r>
      <w:r w:rsidR="005923A1" w:rsidRPr="00717551">
        <w:rPr>
          <w:b/>
          <w:sz w:val="22"/>
          <w:szCs w:val="22"/>
          <w:lang w:eastAsia="pt-BR"/>
        </w:rPr>
        <w:t xml:space="preserve"> admite</w:t>
      </w:r>
      <w:r w:rsidR="008B31B3" w:rsidRPr="00717551">
        <w:rPr>
          <w:b/>
          <w:sz w:val="22"/>
          <w:szCs w:val="22"/>
          <w:lang w:eastAsia="pt-BR"/>
        </w:rPr>
        <w:t xml:space="preserve"> a compensação entre </w:t>
      </w:r>
      <w:proofErr w:type="spellStart"/>
      <w:r w:rsidR="008B31B3" w:rsidRPr="00717551">
        <w:rPr>
          <w:b/>
          <w:sz w:val="22"/>
          <w:szCs w:val="22"/>
          <w:lang w:eastAsia="pt-BR"/>
        </w:rPr>
        <w:t>sobrepreços</w:t>
      </w:r>
      <w:proofErr w:type="spellEnd"/>
      <w:r w:rsidR="008B31B3" w:rsidRPr="00717551">
        <w:rPr>
          <w:b/>
          <w:sz w:val="22"/>
          <w:szCs w:val="22"/>
          <w:lang w:eastAsia="pt-BR"/>
        </w:rPr>
        <w:t xml:space="preserve"> e</w:t>
      </w:r>
      <w:r w:rsidR="005923A1" w:rsidRPr="00717551">
        <w:rPr>
          <w:b/>
          <w:sz w:val="22"/>
          <w:szCs w:val="22"/>
          <w:lang w:eastAsia="pt-BR"/>
        </w:rPr>
        <w:t xml:space="preserve"> subpreços unitários durante a execução contratual, de forma a manter o equilíbrio econômico-financeiro do ajuste.</w:t>
      </w:r>
    </w:p>
    <w:p w:rsidR="00D526A3" w:rsidRPr="00717551" w:rsidRDefault="001305CC" w:rsidP="00442567">
      <w:pPr>
        <w:shd w:val="clear" w:color="auto" w:fill="FFFFFF"/>
        <w:spacing w:after="0"/>
        <w:ind w:left="0"/>
        <w:rPr>
          <w:b/>
          <w:i/>
          <w:sz w:val="22"/>
          <w:szCs w:val="22"/>
        </w:rPr>
      </w:pPr>
      <w:r w:rsidRPr="00717551">
        <w:rPr>
          <w:sz w:val="22"/>
          <w:szCs w:val="22"/>
        </w:rPr>
        <w:t xml:space="preserve">Tomada de </w:t>
      </w:r>
      <w:r w:rsidR="007A5BC2" w:rsidRPr="00717551">
        <w:rPr>
          <w:sz w:val="22"/>
          <w:szCs w:val="22"/>
        </w:rPr>
        <w:t>C</w:t>
      </w:r>
      <w:r w:rsidRPr="00717551">
        <w:rPr>
          <w:sz w:val="22"/>
          <w:szCs w:val="22"/>
        </w:rPr>
        <w:t xml:space="preserve">ontas </w:t>
      </w:r>
      <w:r w:rsidR="007A5BC2" w:rsidRPr="00717551">
        <w:rPr>
          <w:sz w:val="22"/>
          <w:szCs w:val="22"/>
        </w:rPr>
        <w:t>E</w:t>
      </w:r>
      <w:r w:rsidRPr="00717551">
        <w:rPr>
          <w:sz w:val="22"/>
          <w:szCs w:val="22"/>
        </w:rPr>
        <w:t xml:space="preserve">special apurara indícios de superfaturamento </w:t>
      </w:r>
      <w:r w:rsidR="00FB3959" w:rsidRPr="00717551">
        <w:rPr>
          <w:sz w:val="22"/>
          <w:szCs w:val="22"/>
        </w:rPr>
        <w:t xml:space="preserve">nos contratos decorrentes </w:t>
      </w:r>
      <w:r w:rsidRPr="00717551">
        <w:rPr>
          <w:sz w:val="22"/>
          <w:szCs w:val="22"/>
        </w:rPr>
        <w:t xml:space="preserve">de convênio celebrado entre o </w:t>
      </w:r>
      <w:proofErr w:type="spellStart"/>
      <w:r w:rsidRPr="00717551">
        <w:rPr>
          <w:sz w:val="22"/>
          <w:szCs w:val="22"/>
        </w:rPr>
        <w:t>Dnit</w:t>
      </w:r>
      <w:proofErr w:type="spellEnd"/>
      <w:r w:rsidRPr="00717551">
        <w:rPr>
          <w:sz w:val="22"/>
          <w:szCs w:val="22"/>
        </w:rPr>
        <w:t xml:space="preserve"> e o Município de Maringá/PR, cujo objeto consistia no rebaixamento da linha férrea do contorno ferroviário da cidade. Para o cálculo do </w:t>
      </w:r>
      <w:proofErr w:type="spellStart"/>
      <w:r w:rsidRPr="00717551">
        <w:rPr>
          <w:sz w:val="22"/>
          <w:szCs w:val="22"/>
        </w:rPr>
        <w:t>sobrepreço</w:t>
      </w:r>
      <w:proofErr w:type="spellEnd"/>
      <w:r w:rsidRPr="00717551">
        <w:rPr>
          <w:sz w:val="22"/>
          <w:szCs w:val="22"/>
        </w:rPr>
        <w:t>, a unidade técnica (então Secob-4), utilizara, em análise preliminar, o método de limitação dos preços unitários ajustado</w:t>
      </w:r>
      <w:r w:rsidR="00182A21" w:rsidRPr="00717551">
        <w:rPr>
          <w:sz w:val="22"/>
          <w:szCs w:val="22"/>
        </w:rPr>
        <w:t xml:space="preserve">, não considerando </w:t>
      </w:r>
      <w:r w:rsidR="003D189B" w:rsidRPr="00717551">
        <w:rPr>
          <w:sz w:val="22"/>
          <w:szCs w:val="22"/>
        </w:rPr>
        <w:t>as composições da A</w:t>
      </w:r>
      <w:r w:rsidRPr="00717551">
        <w:rPr>
          <w:sz w:val="22"/>
          <w:szCs w:val="22"/>
        </w:rPr>
        <w:t xml:space="preserve">dministração que não foram possíveis de serem aferidas. </w:t>
      </w:r>
      <w:r w:rsidR="00540BDC" w:rsidRPr="00717551">
        <w:rPr>
          <w:sz w:val="22"/>
          <w:szCs w:val="22"/>
        </w:rPr>
        <w:t>Em nova análise dos autos, a unidade técnica</w:t>
      </w:r>
      <w:r w:rsidR="00E933BD" w:rsidRPr="00717551">
        <w:rPr>
          <w:sz w:val="22"/>
          <w:szCs w:val="22"/>
        </w:rPr>
        <w:t xml:space="preserve"> (</w:t>
      </w:r>
      <w:proofErr w:type="spellStart"/>
      <w:r w:rsidR="00E933BD" w:rsidRPr="00717551">
        <w:rPr>
          <w:sz w:val="22"/>
          <w:szCs w:val="22"/>
        </w:rPr>
        <w:t>SeinfraHidroferrovia</w:t>
      </w:r>
      <w:proofErr w:type="spellEnd"/>
      <w:r w:rsidR="00E933BD" w:rsidRPr="00717551">
        <w:rPr>
          <w:sz w:val="22"/>
          <w:szCs w:val="22"/>
        </w:rPr>
        <w:t>)</w:t>
      </w:r>
      <w:r w:rsidR="00540BDC" w:rsidRPr="00717551">
        <w:rPr>
          <w:sz w:val="22"/>
          <w:szCs w:val="22"/>
        </w:rPr>
        <w:t>, utilizando como premissa o método da limitação do preço global, e adotando as composições de preços da administração para as quais não havia contestação anterior, concluiu que não se confirma</w:t>
      </w:r>
      <w:r w:rsidR="009B077E" w:rsidRPr="00717551">
        <w:rPr>
          <w:sz w:val="22"/>
          <w:szCs w:val="22"/>
        </w:rPr>
        <w:t>r</w:t>
      </w:r>
      <w:r w:rsidR="00540BDC" w:rsidRPr="00717551">
        <w:rPr>
          <w:sz w:val="22"/>
          <w:szCs w:val="22"/>
        </w:rPr>
        <w:t>am os indícios de superfaturamento nos percentuais apurados inicialmente, “</w:t>
      </w:r>
      <w:r w:rsidR="00540BDC" w:rsidRPr="00717551">
        <w:rPr>
          <w:i/>
          <w:sz w:val="22"/>
          <w:szCs w:val="22"/>
        </w:rPr>
        <w:t xml:space="preserve">já que as discrepâncias </w:t>
      </w:r>
      <w:r w:rsidR="003D189B" w:rsidRPr="00717551">
        <w:rPr>
          <w:i/>
          <w:sz w:val="22"/>
          <w:szCs w:val="22"/>
        </w:rPr>
        <w:t>(</w:t>
      </w:r>
      <w:r w:rsidR="00F13F88" w:rsidRPr="00717551">
        <w:rPr>
          <w:i/>
          <w:sz w:val="22"/>
          <w:szCs w:val="22"/>
        </w:rPr>
        <w:t>...</w:t>
      </w:r>
      <w:r w:rsidR="003D189B" w:rsidRPr="00717551">
        <w:rPr>
          <w:i/>
          <w:sz w:val="22"/>
          <w:szCs w:val="22"/>
        </w:rPr>
        <w:t>)</w:t>
      </w:r>
      <w:r w:rsidR="00540BDC" w:rsidRPr="00717551">
        <w:rPr>
          <w:i/>
          <w:sz w:val="22"/>
          <w:szCs w:val="22"/>
        </w:rPr>
        <w:t xml:space="preserve"> se situariam em patamares metodologicamente aceitáveis</w:t>
      </w:r>
      <w:r w:rsidR="00540BDC" w:rsidRPr="00717551">
        <w:rPr>
          <w:sz w:val="22"/>
          <w:szCs w:val="22"/>
        </w:rPr>
        <w:t>”</w:t>
      </w:r>
      <w:r w:rsidR="00D20403" w:rsidRPr="00717551">
        <w:rPr>
          <w:sz w:val="22"/>
          <w:szCs w:val="22"/>
        </w:rPr>
        <w:t>.</w:t>
      </w:r>
      <w:r w:rsidR="00540BDC" w:rsidRPr="00717551">
        <w:rPr>
          <w:sz w:val="22"/>
          <w:szCs w:val="22"/>
        </w:rPr>
        <w:t xml:space="preserve"> </w:t>
      </w:r>
      <w:r w:rsidR="007A5BC2" w:rsidRPr="00717551">
        <w:rPr>
          <w:sz w:val="22"/>
          <w:szCs w:val="22"/>
        </w:rPr>
        <w:t xml:space="preserve">Em juízo de mérito, o </w:t>
      </w:r>
      <w:r w:rsidR="003D189B" w:rsidRPr="00717551">
        <w:rPr>
          <w:sz w:val="22"/>
          <w:szCs w:val="22"/>
        </w:rPr>
        <w:t>r</w:t>
      </w:r>
      <w:r w:rsidR="007A5BC2" w:rsidRPr="00717551">
        <w:rPr>
          <w:sz w:val="22"/>
          <w:szCs w:val="22"/>
        </w:rPr>
        <w:t xml:space="preserve">elator, endossando a análise da </w:t>
      </w:r>
      <w:proofErr w:type="spellStart"/>
      <w:r w:rsidR="007A5BC2" w:rsidRPr="00717551">
        <w:rPr>
          <w:sz w:val="22"/>
          <w:szCs w:val="22"/>
        </w:rPr>
        <w:t>SeinfraHidroferrovia</w:t>
      </w:r>
      <w:proofErr w:type="spellEnd"/>
      <w:r w:rsidR="007A5BC2" w:rsidRPr="00717551">
        <w:rPr>
          <w:sz w:val="22"/>
          <w:szCs w:val="22"/>
        </w:rPr>
        <w:t xml:space="preserve">, observou que a então Secob-4 utilizara o </w:t>
      </w:r>
      <w:r w:rsidR="009B077E" w:rsidRPr="00717551">
        <w:rPr>
          <w:sz w:val="22"/>
          <w:szCs w:val="22"/>
        </w:rPr>
        <w:t>m</w:t>
      </w:r>
      <w:r w:rsidR="00B833E1" w:rsidRPr="00717551">
        <w:rPr>
          <w:sz w:val="22"/>
          <w:szCs w:val="22"/>
        </w:rPr>
        <w:t xml:space="preserve">étodo da </w:t>
      </w:r>
      <w:r w:rsidR="009B077E" w:rsidRPr="00717551">
        <w:rPr>
          <w:sz w:val="22"/>
          <w:szCs w:val="22"/>
        </w:rPr>
        <w:t>l</w:t>
      </w:r>
      <w:r w:rsidR="00B833E1" w:rsidRPr="00717551">
        <w:rPr>
          <w:sz w:val="22"/>
          <w:szCs w:val="22"/>
        </w:rPr>
        <w:t xml:space="preserve">imitação dos </w:t>
      </w:r>
      <w:r w:rsidR="009B077E" w:rsidRPr="00717551">
        <w:rPr>
          <w:sz w:val="22"/>
          <w:szCs w:val="22"/>
        </w:rPr>
        <w:t>p</w:t>
      </w:r>
      <w:r w:rsidR="00B833E1" w:rsidRPr="00717551">
        <w:rPr>
          <w:sz w:val="22"/>
          <w:szCs w:val="22"/>
        </w:rPr>
        <w:t xml:space="preserve">reços </w:t>
      </w:r>
      <w:r w:rsidR="009B077E" w:rsidRPr="00717551">
        <w:rPr>
          <w:sz w:val="22"/>
          <w:szCs w:val="22"/>
        </w:rPr>
        <w:t>u</w:t>
      </w:r>
      <w:r w:rsidR="00B833E1" w:rsidRPr="00717551">
        <w:rPr>
          <w:sz w:val="22"/>
          <w:szCs w:val="22"/>
        </w:rPr>
        <w:t xml:space="preserve">nitários </w:t>
      </w:r>
      <w:r w:rsidR="009B077E" w:rsidRPr="00717551">
        <w:rPr>
          <w:sz w:val="22"/>
          <w:szCs w:val="22"/>
        </w:rPr>
        <w:t>a</w:t>
      </w:r>
      <w:r w:rsidR="00B833E1" w:rsidRPr="00717551">
        <w:rPr>
          <w:sz w:val="22"/>
          <w:szCs w:val="22"/>
        </w:rPr>
        <w:t>justado,</w:t>
      </w:r>
      <w:r w:rsidR="007A5BC2" w:rsidRPr="00717551">
        <w:rPr>
          <w:sz w:val="22"/>
          <w:szCs w:val="22"/>
        </w:rPr>
        <w:t xml:space="preserve"> “</w:t>
      </w:r>
      <w:r w:rsidR="007A5BC2" w:rsidRPr="00717551">
        <w:rPr>
          <w:i/>
          <w:sz w:val="22"/>
          <w:szCs w:val="22"/>
        </w:rPr>
        <w:t xml:space="preserve">preconizado pelo ultrapassado </w:t>
      </w:r>
      <w:hyperlink r:id="rId14" w:history="1">
        <w:r w:rsidR="00295C85" w:rsidRPr="00717551">
          <w:rPr>
            <w:rStyle w:val="Hyperlink"/>
            <w:i/>
            <w:sz w:val="22"/>
            <w:szCs w:val="22"/>
            <w:shd w:val="clear" w:color="auto" w:fill="FFFFFF"/>
          </w:rPr>
          <w:t>Acórdão 2319/2009 - Plenário</w:t>
        </w:r>
      </w:hyperlink>
      <w:r w:rsidR="007A5BC2" w:rsidRPr="00717551">
        <w:rPr>
          <w:sz w:val="22"/>
          <w:szCs w:val="22"/>
        </w:rPr>
        <w:t>”</w:t>
      </w:r>
      <w:r w:rsidR="00B833E1" w:rsidRPr="00717551">
        <w:rPr>
          <w:sz w:val="22"/>
          <w:szCs w:val="22"/>
        </w:rPr>
        <w:t>.</w:t>
      </w:r>
      <w:r w:rsidR="007A5BC2" w:rsidRPr="00717551">
        <w:rPr>
          <w:sz w:val="22"/>
          <w:szCs w:val="22"/>
        </w:rPr>
        <w:t xml:space="preserve"> </w:t>
      </w:r>
      <w:r w:rsidR="004C6DC4" w:rsidRPr="00717551">
        <w:rPr>
          <w:sz w:val="22"/>
          <w:szCs w:val="22"/>
        </w:rPr>
        <w:t xml:space="preserve">Explicou o </w:t>
      </w:r>
      <w:r w:rsidR="003D189B" w:rsidRPr="00717551">
        <w:rPr>
          <w:sz w:val="22"/>
          <w:szCs w:val="22"/>
        </w:rPr>
        <w:t>r</w:t>
      </w:r>
      <w:r w:rsidR="004C6DC4" w:rsidRPr="00717551">
        <w:rPr>
          <w:sz w:val="22"/>
          <w:szCs w:val="22"/>
        </w:rPr>
        <w:t>elator que “</w:t>
      </w:r>
      <w:r w:rsidR="004C6DC4" w:rsidRPr="00717551">
        <w:rPr>
          <w:i/>
          <w:sz w:val="22"/>
          <w:szCs w:val="22"/>
        </w:rPr>
        <w:t xml:space="preserve">tal método </w:t>
      </w:r>
      <w:r w:rsidR="003D189B" w:rsidRPr="00717551">
        <w:rPr>
          <w:i/>
          <w:sz w:val="22"/>
          <w:szCs w:val="22"/>
        </w:rPr>
        <w:t>(</w:t>
      </w:r>
      <w:r w:rsidR="004C6DC4" w:rsidRPr="00717551">
        <w:rPr>
          <w:i/>
          <w:sz w:val="22"/>
          <w:szCs w:val="22"/>
        </w:rPr>
        <w:t>...</w:t>
      </w:r>
      <w:r w:rsidR="003D189B" w:rsidRPr="00717551">
        <w:rPr>
          <w:i/>
          <w:sz w:val="22"/>
          <w:szCs w:val="22"/>
        </w:rPr>
        <w:t>)</w:t>
      </w:r>
      <w:r w:rsidR="004C6DC4" w:rsidRPr="00717551">
        <w:rPr>
          <w:i/>
          <w:sz w:val="22"/>
          <w:szCs w:val="22"/>
        </w:rPr>
        <w:t xml:space="preserve"> caracterizava-se por considerar como débito qualquer pagamento de serviço com </w:t>
      </w:r>
      <w:proofErr w:type="spellStart"/>
      <w:r w:rsidR="004C6DC4" w:rsidRPr="00717551">
        <w:rPr>
          <w:i/>
          <w:sz w:val="22"/>
          <w:szCs w:val="22"/>
        </w:rPr>
        <w:t>sobrepreço</w:t>
      </w:r>
      <w:proofErr w:type="spellEnd"/>
      <w:r w:rsidR="004C6DC4" w:rsidRPr="00717551">
        <w:rPr>
          <w:i/>
          <w:sz w:val="22"/>
          <w:szCs w:val="22"/>
        </w:rPr>
        <w:t xml:space="preserve"> unitário, independentemente de o preço global do orçamento estar compatível com os parâmetros de mercado, partindo da premissa de que nenhum preço unitário de serviço, contratado originalmente ou acrescido posteriormente, poderia ser injustificadamente superior ao paradigma de mercado, de modo que não se admitiria nenhum tipo de compensação entre </w:t>
      </w:r>
      <w:proofErr w:type="spellStart"/>
      <w:r w:rsidR="004C6DC4" w:rsidRPr="00717551">
        <w:rPr>
          <w:i/>
          <w:sz w:val="22"/>
          <w:szCs w:val="22"/>
        </w:rPr>
        <w:t>sobrepreços</w:t>
      </w:r>
      <w:proofErr w:type="spellEnd"/>
      <w:r w:rsidR="004C6DC4" w:rsidRPr="00717551">
        <w:rPr>
          <w:i/>
          <w:sz w:val="22"/>
          <w:szCs w:val="22"/>
        </w:rPr>
        <w:t xml:space="preserve"> e subpreços unitários</w:t>
      </w:r>
      <w:r w:rsidR="004C6DC4" w:rsidRPr="00717551">
        <w:rPr>
          <w:sz w:val="22"/>
          <w:szCs w:val="22"/>
        </w:rPr>
        <w:t>”.</w:t>
      </w:r>
      <w:r w:rsidR="00214A98" w:rsidRPr="00717551">
        <w:rPr>
          <w:sz w:val="22"/>
          <w:szCs w:val="22"/>
        </w:rPr>
        <w:t xml:space="preserve"> </w:t>
      </w:r>
      <w:r w:rsidR="00BD7560" w:rsidRPr="00717551">
        <w:rPr>
          <w:sz w:val="22"/>
          <w:szCs w:val="22"/>
        </w:rPr>
        <w:t xml:space="preserve">Contudo, destacou o </w:t>
      </w:r>
      <w:r w:rsidR="003D189B" w:rsidRPr="00717551">
        <w:rPr>
          <w:sz w:val="22"/>
          <w:szCs w:val="22"/>
        </w:rPr>
        <w:t>r</w:t>
      </w:r>
      <w:r w:rsidR="00BD7560" w:rsidRPr="00717551">
        <w:rPr>
          <w:sz w:val="22"/>
          <w:szCs w:val="22"/>
        </w:rPr>
        <w:t>elator</w:t>
      </w:r>
      <w:r w:rsidR="00A212B8" w:rsidRPr="00717551">
        <w:rPr>
          <w:sz w:val="22"/>
          <w:szCs w:val="22"/>
        </w:rPr>
        <w:t>,</w:t>
      </w:r>
      <w:r w:rsidR="007A3544" w:rsidRPr="00717551">
        <w:rPr>
          <w:sz w:val="22"/>
          <w:szCs w:val="22"/>
        </w:rPr>
        <w:t xml:space="preserve"> diversos</w:t>
      </w:r>
      <w:r w:rsidR="00BD7560" w:rsidRPr="00717551">
        <w:rPr>
          <w:sz w:val="22"/>
          <w:szCs w:val="22"/>
        </w:rPr>
        <w:t xml:space="preserve"> acórdãos</w:t>
      </w:r>
      <w:r w:rsidR="00BD7560" w:rsidRPr="00717551">
        <w:rPr>
          <w:i/>
          <w:sz w:val="22"/>
          <w:szCs w:val="22"/>
        </w:rPr>
        <w:t xml:space="preserve"> </w:t>
      </w:r>
      <w:r w:rsidR="007A3544" w:rsidRPr="00717551">
        <w:rPr>
          <w:i/>
          <w:sz w:val="22"/>
          <w:szCs w:val="22"/>
        </w:rPr>
        <w:t>“</w:t>
      </w:r>
      <w:r w:rsidR="00BD7560" w:rsidRPr="00717551">
        <w:rPr>
          <w:i/>
          <w:sz w:val="22"/>
          <w:szCs w:val="22"/>
        </w:rPr>
        <w:t xml:space="preserve">adotaram outras formas de cálculo para o dano derivado </w:t>
      </w:r>
      <w:r w:rsidR="00D20403" w:rsidRPr="00717551">
        <w:rPr>
          <w:i/>
          <w:sz w:val="22"/>
          <w:szCs w:val="22"/>
        </w:rPr>
        <w:t xml:space="preserve">de </w:t>
      </w:r>
      <w:r w:rsidR="00BD7560" w:rsidRPr="00717551">
        <w:rPr>
          <w:i/>
          <w:sz w:val="22"/>
          <w:szCs w:val="22"/>
        </w:rPr>
        <w:t xml:space="preserve">indícios de </w:t>
      </w:r>
      <w:proofErr w:type="spellStart"/>
      <w:r w:rsidR="00BD7560" w:rsidRPr="00717551">
        <w:rPr>
          <w:i/>
          <w:sz w:val="22"/>
          <w:szCs w:val="22"/>
        </w:rPr>
        <w:t>sobrepreço</w:t>
      </w:r>
      <w:proofErr w:type="spellEnd"/>
      <w:r w:rsidR="00BD7560" w:rsidRPr="00717551">
        <w:rPr>
          <w:i/>
          <w:sz w:val="22"/>
          <w:szCs w:val="22"/>
        </w:rPr>
        <w:t xml:space="preserve"> ou de superfaturamento, com destaque para o </w:t>
      </w:r>
      <w:r w:rsidR="003D189B" w:rsidRPr="00717551">
        <w:rPr>
          <w:i/>
          <w:sz w:val="22"/>
          <w:szCs w:val="22"/>
        </w:rPr>
        <w:t>(</w:t>
      </w:r>
      <w:r w:rsidR="00F113CF" w:rsidRPr="00717551">
        <w:rPr>
          <w:i/>
          <w:sz w:val="22"/>
          <w:szCs w:val="22"/>
        </w:rPr>
        <w:t>...</w:t>
      </w:r>
      <w:r w:rsidR="003D189B" w:rsidRPr="00717551">
        <w:rPr>
          <w:i/>
          <w:sz w:val="22"/>
          <w:szCs w:val="22"/>
        </w:rPr>
        <w:t>) ‘</w:t>
      </w:r>
      <w:r w:rsidR="00BD7560" w:rsidRPr="00717551">
        <w:rPr>
          <w:i/>
          <w:sz w:val="22"/>
          <w:szCs w:val="22"/>
        </w:rPr>
        <w:t xml:space="preserve">Método da </w:t>
      </w:r>
      <w:r w:rsidR="003D189B" w:rsidRPr="00717551">
        <w:rPr>
          <w:i/>
          <w:sz w:val="22"/>
          <w:szCs w:val="22"/>
        </w:rPr>
        <w:t>Limitação do Preço Global’</w:t>
      </w:r>
      <w:r w:rsidR="00BD7560" w:rsidRPr="00717551">
        <w:rPr>
          <w:i/>
          <w:sz w:val="22"/>
          <w:szCs w:val="22"/>
        </w:rPr>
        <w:t>, que admite no cálculo do débito a compensação dos serviços com preço excessivo com outros serviços cujos preços se mostrem inferiores ao preço de mercado</w:t>
      </w:r>
      <w:r w:rsidR="00BD7560" w:rsidRPr="00717551">
        <w:rPr>
          <w:sz w:val="22"/>
          <w:szCs w:val="22"/>
        </w:rPr>
        <w:t xml:space="preserve">”. </w:t>
      </w:r>
      <w:r w:rsidR="003D189B" w:rsidRPr="00717551">
        <w:rPr>
          <w:sz w:val="22"/>
          <w:szCs w:val="22"/>
        </w:rPr>
        <w:t>Observou ainda</w:t>
      </w:r>
      <w:r w:rsidR="007A3544" w:rsidRPr="00717551">
        <w:rPr>
          <w:sz w:val="22"/>
          <w:szCs w:val="22"/>
        </w:rPr>
        <w:t xml:space="preserve"> que, pela jurisprudência mais recente, “</w:t>
      </w:r>
      <w:r w:rsidR="007A3544" w:rsidRPr="00717551">
        <w:rPr>
          <w:i/>
          <w:sz w:val="22"/>
          <w:szCs w:val="22"/>
        </w:rPr>
        <w:t xml:space="preserve">o método da limitação do preço global continuou a ser aplicado pelo Tribunal, considerando as circunstâncias do caso concreto e, em especial, o equilíbrio econômico-financeiro do contrato, desde que o preço global esteja no limite aceitável, dado pelo orçamento da licitação, e que não tenha havido alteração dos quantitativos dos itens com </w:t>
      </w:r>
      <w:proofErr w:type="spellStart"/>
      <w:r w:rsidR="007A3544" w:rsidRPr="00717551">
        <w:rPr>
          <w:i/>
          <w:sz w:val="22"/>
          <w:szCs w:val="22"/>
        </w:rPr>
        <w:t>sobrepreço</w:t>
      </w:r>
      <w:proofErr w:type="spellEnd"/>
      <w:r w:rsidR="007A3544" w:rsidRPr="00717551">
        <w:rPr>
          <w:i/>
          <w:sz w:val="22"/>
          <w:szCs w:val="22"/>
        </w:rPr>
        <w:t xml:space="preserve"> (para mais) e com subpreço (para menos)</w:t>
      </w:r>
      <w:r w:rsidR="007A3544" w:rsidRPr="00717551">
        <w:rPr>
          <w:sz w:val="22"/>
          <w:szCs w:val="22"/>
        </w:rPr>
        <w:t xml:space="preserve">”. </w:t>
      </w:r>
      <w:r w:rsidR="006D1CF0" w:rsidRPr="00717551">
        <w:rPr>
          <w:sz w:val="22"/>
          <w:szCs w:val="22"/>
        </w:rPr>
        <w:t xml:space="preserve">Sobre o método da limitação dos preços unitários ajustado, acrescentou o </w:t>
      </w:r>
      <w:r w:rsidR="003D189B" w:rsidRPr="00717551">
        <w:rPr>
          <w:sz w:val="22"/>
          <w:szCs w:val="22"/>
        </w:rPr>
        <w:t>r</w:t>
      </w:r>
      <w:r w:rsidR="006D1CF0" w:rsidRPr="00717551">
        <w:rPr>
          <w:sz w:val="22"/>
          <w:szCs w:val="22"/>
        </w:rPr>
        <w:t xml:space="preserve">elator que </w:t>
      </w:r>
      <w:r w:rsidR="0021780D" w:rsidRPr="00717551">
        <w:rPr>
          <w:sz w:val="22"/>
          <w:szCs w:val="22"/>
        </w:rPr>
        <w:t>“</w:t>
      </w:r>
      <w:r w:rsidR="0021780D" w:rsidRPr="00717551">
        <w:rPr>
          <w:i/>
          <w:sz w:val="22"/>
          <w:szCs w:val="22"/>
        </w:rPr>
        <w:t>tem sido aplicado apenas nos casos em que se analisam orçamentos de obras ainda na fase da licitação</w:t>
      </w:r>
      <w:r w:rsidR="0021780D" w:rsidRPr="00717551">
        <w:rPr>
          <w:sz w:val="22"/>
          <w:szCs w:val="22"/>
        </w:rPr>
        <w:t>”,</w:t>
      </w:r>
      <w:r w:rsidR="00C56CE4" w:rsidRPr="00717551">
        <w:rPr>
          <w:sz w:val="22"/>
          <w:szCs w:val="22"/>
        </w:rPr>
        <w:t xml:space="preserve"> o que permite “</w:t>
      </w:r>
      <w:r w:rsidR="00C56CE4" w:rsidRPr="00717551">
        <w:rPr>
          <w:i/>
          <w:sz w:val="22"/>
          <w:szCs w:val="22"/>
        </w:rPr>
        <w:t>verificar se o gestor cumpriu com o seu dever de balizar os preços unitários do certame pelos referenciais preconizados nas Lei de Diretrizes Orçamentárias (LDO), estabelecendo os critérios de aceitabilidade de preços unitários e globais exigidos pelo art. 40, inciso X, da Lei de Licitações</w:t>
      </w:r>
      <w:r w:rsidR="00C56CE4" w:rsidRPr="00717551">
        <w:rPr>
          <w:sz w:val="22"/>
          <w:szCs w:val="22"/>
        </w:rPr>
        <w:t xml:space="preserve">”. </w:t>
      </w:r>
      <w:r w:rsidR="00F113CF" w:rsidRPr="00717551">
        <w:rPr>
          <w:sz w:val="22"/>
          <w:szCs w:val="22"/>
        </w:rPr>
        <w:t xml:space="preserve">Observou ainda que </w:t>
      </w:r>
      <w:r w:rsidR="00630B7A" w:rsidRPr="00717551">
        <w:rPr>
          <w:sz w:val="22"/>
          <w:szCs w:val="22"/>
        </w:rPr>
        <w:t>a aplicação desse método “</w:t>
      </w:r>
      <w:r w:rsidR="00630B7A" w:rsidRPr="00717551">
        <w:rPr>
          <w:i/>
          <w:sz w:val="22"/>
          <w:szCs w:val="22"/>
        </w:rPr>
        <w:t xml:space="preserve">nos casos de contratos em andamento e/ou finalizado, sem considerar a efetiva compensação entre indícios de </w:t>
      </w:r>
      <w:proofErr w:type="spellStart"/>
      <w:r w:rsidR="00630B7A" w:rsidRPr="00717551">
        <w:rPr>
          <w:i/>
          <w:sz w:val="22"/>
          <w:szCs w:val="22"/>
        </w:rPr>
        <w:t>sobrepreços</w:t>
      </w:r>
      <w:proofErr w:type="spellEnd"/>
      <w:r w:rsidR="00630B7A" w:rsidRPr="00717551">
        <w:rPr>
          <w:i/>
          <w:sz w:val="22"/>
          <w:szCs w:val="22"/>
        </w:rPr>
        <w:t xml:space="preserve"> e de subpreços unitários durante a execução contratual, poderia gerar inaceitável desequilibro econômico-financeiro em desfavor do contratado</w:t>
      </w:r>
      <w:r w:rsidR="00630B7A" w:rsidRPr="00717551">
        <w:rPr>
          <w:sz w:val="22"/>
          <w:szCs w:val="22"/>
        </w:rPr>
        <w:t>”</w:t>
      </w:r>
      <w:r w:rsidR="000D56C5" w:rsidRPr="00717551">
        <w:rPr>
          <w:sz w:val="22"/>
          <w:szCs w:val="22"/>
        </w:rPr>
        <w:t>, ressalvando que esse raciocínio não se aplica</w:t>
      </w:r>
      <w:r w:rsidR="00A212B8" w:rsidRPr="00717551">
        <w:rPr>
          <w:sz w:val="22"/>
          <w:szCs w:val="22"/>
        </w:rPr>
        <w:t>ria</w:t>
      </w:r>
      <w:r w:rsidR="000D56C5" w:rsidRPr="00717551">
        <w:rPr>
          <w:sz w:val="22"/>
          <w:szCs w:val="22"/>
        </w:rPr>
        <w:t xml:space="preserve"> a débitos decorrentes do chamado “jogo de planilha”</w:t>
      </w:r>
      <w:r w:rsidR="00630B7A" w:rsidRPr="00717551">
        <w:rPr>
          <w:sz w:val="22"/>
          <w:szCs w:val="22"/>
        </w:rPr>
        <w:t xml:space="preserve">. </w:t>
      </w:r>
      <w:r w:rsidR="00E40C44" w:rsidRPr="00717551">
        <w:rPr>
          <w:sz w:val="22"/>
          <w:szCs w:val="22"/>
        </w:rPr>
        <w:t xml:space="preserve">Por fim, </w:t>
      </w:r>
      <w:r w:rsidR="00E1178F" w:rsidRPr="00717551">
        <w:rPr>
          <w:sz w:val="22"/>
          <w:szCs w:val="22"/>
        </w:rPr>
        <w:t xml:space="preserve">o </w:t>
      </w:r>
      <w:r w:rsidR="003D189B" w:rsidRPr="00717551">
        <w:rPr>
          <w:sz w:val="22"/>
          <w:szCs w:val="22"/>
        </w:rPr>
        <w:t>r</w:t>
      </w:r>
      <w:r w:rsidR="00E1178F" w:rsidRPr="00717551">
        <w:rPr>
          <w:sz w:val="22"/>
          <w:szCs w:val="22"/>
        </w:rPr>
        <w:t xml:space="preserve">elator concluiu que </w:t>
      </w:r>
      <w:r w:rsidR="00484A58" w:rsidRPr="00717551">
        <w:rPr>
          <w:sz w:val="22"/>
          <w:szCs w:val="22"/>
        </w:rPr>
        <w:t xml:space="preserve">o método da limitação do preço global </w:t>
      </w:r>
      <w:r w:rsidR="00775241" w:rsidRPr="00717551">
        <w:rPr>
          <w:sz w:val="22"/>
          <w:szCs w:val="22"/>
        </w:rPr>
        <w:t>mostra-se “</w:t>
      </w:r>
      <w:r w:rsidR="00484A58" w:rsidRPr="00717551">
        <w:rPr>
          <w:i/>
          <w:sz w:val="22"/>
          <w:szCs w:val="22"/>
        </w:rPr>
        <w:t>mais coerente com os ditames legais, em especial, com a LDO</w:t>
      </w:r>
      <w:r w:rsidR="00E1178F" w:rsidRPr="00717551">
        <w:rPr>
          <w:i/>
          <w:sz w:val="22"/>
          <w:szCs w:val="22"/>
        </w:rPr>
        <w:t xml:space="preserve"> </w:t>
      </w:r>
      <w:r w:rsidR="00484A58" w:rsidRPr="00717551">
        <w:rPr>
          <w:i/>
          <w:sz w:val="22"/>
          <w:szCs w:val="22"/>
        </w:rPr>
        <w:t>quanto à observância dos referenciais de preço de mercado fixados nos sistema</w:t>
      </w:r>
      <w:r w:rsidR="00772D7B" w:rsidRPr="00717551">
        <w:rPr>
          <w:i/>
          <w:sz w:val="22"/>
          <w:szCs w:val="22"/>
        </w:rPr>
        <w:t>s</w:t>
      </w:r>
      <w:r w:rsidR="00484A58" w:rsidRPr="00717551">
        <w:rPr>
          <w:i/>
          <w:sz w:val="22"/>
          <w:szCs w:val="22"/>
        </w:rPr>
        <w:t xml:space="preserve"> oficiais de custos de obras</w:t>
      </w:r>
      <w:r w:rsidR="00484A58" w:rsidRPr="00717551">
        <w:rPr>
          <w:sz w:val="22"/>
          <w:szCs w:val="22"/>
        </w:rPr>
        <w:t>”</w:t>
      </w:r>
      <w:r w:rsidR="00D20403" w:rsidRPr="00717551">
        <w:rPr>
          <w:sz w:val="22"/>
          <w:szCs w:val="22"/>
        </w:rPr>
        <w:t>. Considerando que</w:t>
      </w:r>
      <w:r w:rsidR="00484A58" w:rsidRPr="00717551">
        <w:rPr>
          <w:sz w:val="22"/>
          <w:szCs w:val="22"/>
        </w:rPr>
        <w:t>,</w:t>
      </w:r>
      <w:r w:rsidR="00E1178F" w:rsidRPr="00717551">
        <w:rPr>
          <w:sz w:val="22"/>
          <w:szCs w:val="22"/>
        </w:rPr>
        <w:t xml:space="preserve"> no caso concreto,</w:t>
      </w:r>
      <w:r w:rsidR="00484A58" w:rsidRPr="00717551">
        <w:rPr>
          <w:sz w:val="22"/>
          <w:szCs w:val="22"/>
        </w:rPr>
        <w:t xml:space="preserve"> após a compensação </w:t>
      </w:r>
      <w:r w:rsidR="00E1178F" w:rsidRPr="00717551">
        <w:rPr>
          <w:sz w:val="22"/>
          <w:szCs w:val="22"/>
        </w:rPr>
        <w:t xml:space="preserve">entre </w:t>
      </w:r>
      <w:proofErr w:type="spellStart"/>
      <w:r w:rsidR="00E1178F" w:rsidRPr="00717551">
        <w:rPr>
          <w:sz w:val="22"/>
          <w:szCs w:val="22"/>
        </w:rPr>
        <w:t>sobrepreços</w:t>
      </w:r>
      <w:proofErr w:type="spellEnd"/>
      <w:r w:rsidR="00E1178F" w:rsidRPr="00717551">
        <w:rPr>
          <w:sz w:val="22"/>
          <w:szCs w:val="22"/>
        </w:rPr>
        <w:t xml:space="preserve"> e subpreços unitários, </w:t>
      </w:r>
      <w:r w:rsidR="00484A58" w:rsidRPr="00717551">
        <w:rPr>
          <w:sz w:val="22"/>
          <w:szCs w:val="22"/>
        </w:rPr>
        <w:t xml:space="preserve">o indício de débito </w:t>
      </w:r>
      <w:r w:rsidR="00D20403" w:rsidRPr="00717551">
        <w:rPr>
          <w:sz w:val="22"/>
          <w:szCs w:val="22"/>
        </w:rPr>
        <w:t xml:space="preserve">foi </w:t>
      </w:r>
      <w:r w:rsidR="00484A58" w:rsidRPr="00717551">
        <w:rPr>
          <w:sz w:val="22"/>
          <w:szCs w:val="22"/>
        </w:rPr>
        <w:t>considerado inexistente</w:t>
      </w:r>
      <w:r w:rsidR="00D20403" w:rsidRPr="00717551">
        <w:rPr>
          <w:sz w:val="22"/>
          <w:szCs w:val="22"/>
        </w:rPr>
        <w:t>, o</w:t>
      </w:r>
      <w:r w:rsidR="00E1178F" w:rsidRPr="00717551">
        <w:rPr>
          <w:sz w:val="22"/>
          <w:szCs w:val="22"/>
        </w:rPr>
        <w:t xml:space="preserve"> Tribunal</w:t>
      </w:r>
      <w:r w:rsidR="00484A58" w:rsidRPr="00717551">
        <w:rPr>
          <w:sz w:val="22"/>
          <w:szCs w:val="22"/>
        </w:rPr>
        <w:t xml:space="preserve">, </w:t>
      </w:r>
      <w:r w:rsidR="00C0739F" w:rsidRPr="00717551">
        <w:rPr>
          <w:sz w:val="22"/>
          <w:szCs w:val="22"/>
        </w:rPr>
        <w:t xml:space="preserve">pelos motivos </w:t>
      </w:r>
      <w:r w:rsidR="00C0739F" w:rsidRPr="00717551">
        <w:rPr>
          <w:sz w:val="22"/>
          <w:szCs w:val="22"/>
        </w:rPr>
        <w:lastRenderedPageBreak/>
        <w:t xml:space="preserve">expostos pela relatoria, </w:t>
      </w:r>
      <w:r w:rsidR="003D189B" w:rsidRPr="00717551">
        <w:rPr>
          <w:sz w:val="22"/>
          <w:szCs w:val="22"/>
        </w:rPr>
        <w:t>decidiu arquivar a Tomada de Contas E</w:t>
      </w:r>
      <w:r w:rsidR="00775241" w:rsidRPr="00717551">
        <w:rPr>
          <w:sz w:val="22"/>
          <w:szCs w:val="22"/>
        </w:rPr>
        <w:t xml:space="preserve">special, por ausência de pressupostos de constituição e de desenvolvimento válido e regular do processo. </w:t>
      </w:r>
      <w:hyperlink r:id="rId15" w:history="1">
        <w:r w:rsidR="001166F1" w:rsidRPr="00717551">
          <w:rPr>
            <w:rStyle w:val="Hyperlink"/>
            <w:b/>
            <w:i/>
            <w:sz w:val="22"/>
            <w:szCs w:val="22"/>
          </w:rPr>
          <w:t>Acórdão 26</w:t>
        </w:r>
        <w:r w:rsidR="00D72718" w:rsidRPr="00717551">
          <w:rPr>
            <w:rStyle w:val="Hyperlink"/>
            <w:b/>
            <w:i/>
            <w:sz w:val="22"/>
            <w:szCs w:val="22"/>
          </w:rPr>
          <w:t>77</w:t>
        </w:r>
        <w:r w:rsidR="001166F1" w:rsidRPr="00717551">
          <w:rPr>
            <w:rStyle w:val="Hyperlink"/>
            <w:b/>
            <w:i/>
            <w:sz w:val="22"/>
            <w:szCs w:val="22"/>
          </w:rPr>
          <w:t>/2015-Segunda Câmara</w:t>
        </w:r>
      </w:hyperlink>
      <w:r w:rsidR="001166F1" w:rsidRPr="00717551">
        <w:rPr>
          <w:b/>
          <w:i/>
          <w:sz w:val="22"/>
          <w:szCs w:val="22"/>
        </w:rPr>
        <w:t>, TC 0</w:t>
      </w:r>
      <w:r w:rsidR="00D72718" w:rsidRPr="00717551">
        <w:rPr>
          <w:b/>
          <w:i/>
          <w:sz w:val="22"/>
          <w:szCs w:val="22"/>
        </w:rPr>
        <w:t>44</w:t>
      </w:r>
      <w:r w:rsidR="001166F1" w:rsidRPr="00717551">
        <w:rPr>
          <w:b/>
          <w:i/>
          <w:sz w:val="22"/>
          <w:szCs w:val="22"/>
        </w:rPr>
        <w:t>.</w:t>
      </w:r>
      <w:r w:rsidR="00D72718" w:rsidRPr="00717551">
        <w:rPr>
          <w:b/>
          <w:i/>
          <w:sz w:val="22"/>
          <w:szCs w:val="22"/>
        </w:rPr>
        <w:t>511</w:t>
      </w:r>
      <w:r w:rsidR="001166F1" w:rsidRPr="00717551">
        <w:rPr>
          <w:b/>
          <w:i/>
          <w:sz w:val="22"/>
          <w:szCs w:val="22"/>
        </w:rPr>
        <w:t>/20</w:t>
      </w:r>
      <w:r w:rsidR="00D72718" w:rsidRPr="00717551">
        <w:rPr>
          <w:b/>
          <w:i/>
          <w:sz w:val="22"/>
          <w:szCs w:val="22"/>
        </w:rPr>
        <w:t>12</w:t>
      </w:r>
      <w:r w:rsidR="001166F1" w:rsidRPr="00717551">
        <w:rPr>
          <w:b/>
          <w:i/>
          <w:sz w:val="22"/>
          <w:szCs w:val="22"/>
        </w:rPr>
        <w:t>-</w:t>
      </w:r>
      <w:r w:rsidR="00D72718" w:rsidRPr="00717551">
        <w:rPr>
          <w:b/>
          <w:i/>
          <w:sz w:val="22"/>
          <w:szCs w:val="22"/>
        </w:rPr>
        <w:t>4</w:t>
      </w:r>
      <w:r w:rsidR="001166F1" w:rsidRPr="00717551">
        <w:rPr>
          <w:b/>
          <w:i/>
          <w:sz w:val="22"/>
          <w:szCs w:val="22"/>
        </w:rPr>
        <w:t>, relator Ministr</w:t>
      </w:r>
      <w:r w:rsidR="00D72718" w:rsidRPr="00717551">
        <w:rPr>
          <w:b/>
          <w:i/>
          <w:sz w:val="22"/>
          <w:szCs w:val="22"/>
        </w:rPr>
        <w:t>o</w:t>
      </w:r>
      <w:r w:rsidR="003D189B" w:rsidRPr="00717551">
        <w:rPr>
          <w:b/>
          <w:i/>
          <w:sz w:val="22"/>
          <w:szCs w:val="22"/>
        </w:rPr>
        <w:t>-</w:t>
      </w:r>
      <w:r w:rsidR="00D72718" w:rsidRPr="00717551">
        <w:rPr>
          <w:b/>
          <w:i/>
          <w:sz w:val="22"/>
          <w:szCs w:val="22"/>
        </w:rPr>
        <w:t>Substituto André Luís de Carvalho</w:t>
      </w:r>
      <w:r w:rsidR="001166F1" w:rsidRPr="00717551">
        <w:rPr>
          <w:b/>
          <w:i/>
          <w:sz w:val="22"/>
          <w:szCs w:val="22"/>
        </w:rPr>
        <w:t>, 19.5.2015.</w:t>
      </w:r>
    </w:p>
    <w:p w:rsidR="002661DB" w:rsidRDefault="002661DB" w:rsidP="00442567">
      <w:pPr>
        <w:shd w:val="clear" w:color="auto" w:fill="FFFFFF"/>
        <w:spacing w:after="0"/>
        <w:ind w:left="0"/>
        <w:rPr>
          <w:b/>
          <w:i/>
          <w:sz w:val="22"/>
          <w:szCs w:val="22"/>
        </w:rPr>
      </w:pPr>
    </w:p>
    <w:p w:rsidR="002661DB" w:rsidRPr="007944E3" w:rsidRDefault="002661DB" w:rsidP="00442567">
      <w:pPr>
        <w:shd w:val="clear" w:color="auto" w:fill="FFFFFF"/>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6" w:history="1">
              <w:r w:rsidR="00745019" w:rsidRPr="00DE25D5">
                <w:rPr>
                  <w:rStyle w:val="Hyperlink"/>
                  <w:b/>
                  <w:i/>
                  <w:sz w:val="18"/>
                  <w:szCs w:val="18"/>
                </w:rPr>
                <w:t>infojuris@tcu.gov.br</w:t>
              </w:r>
            </w:hyperlink>
          </w:p>
        </w:tc>
      </w:tr>
    </w:tbl>
    <w:p w:rsidR="004A3A81" w:rsidRDefault="004A3A81" w:rsidP="002911C8">
      <w:pPr>
        <w:ind w:left="0"/>
        <w:rPr>
          <w:sz w:val="22"/>
          <w:szCs w:val="22"/>
        </w:rPr>
      </w:pPr>
    </w:p>
    <w:p w:rsidR="00745019" w:rsidRDefault="00745019" w:rsidP="002911C8">
      <w:pPr>
        <w:ind w:left="0"/>
        <w:rPr>
          <w:sz w:val="22"/>
          <w:szCs w:val="22"/>
        </w:rPr>
      </w:pPr>
    </w:p>
    <w:p w:rsidR="00745019" w:rsidRDefault="00745019" w:rsidP="002911C8">
      <w:pPr>
        <w:ind w:left="0"/>
        <w:rPr>
          <w:sz w:val="22"/>
          <w:szCs w:val="22"/>
        </w:rPr>
      </w:pPr>
    </w:p>
    <w:p w:rsidR="00FF6518" w:rsidRDefault="00FF6518" w:rsidP="002911C8">
      <w:pPr>
        <w:ind w:left="0"/>
        <w:rPr>
          <w:sz w:val="22"/>
          <w:szCs w:val="22"/>
        </w:rPr>
      </w:pPr>
    </w:p>
    <w:p w:rsidR="00FF6518" w:rsidRDefault="00FF6518" w:rsidP="002911C8">
      <w:pPr>
        <w:ind w:left="0"/>
        <w:rPr>
          <w:sz w:val="22"/>
          <w:szCs w:val="22"/>
        </w:rPr>
      </w:pPr>
    </w:p>
    <w:p w:rsidR="00FF6518" w:rsidRDefault="00FF6518" w:rsidP="002911C8">
      <w:pPr>
        <w:ind w:left="0"/>
        <w:rPr>
          <w:sz w:val="22"/>
          <w:szCs w:val="22"/>
        </w:rPr>
      </w:pPr>
    </w:p>
    <w:sectPr w:rsidR="00FF6518" w:rsidSect="00616945">
      <w:footerReference w:type="default" r:id="rId17"/>
      <w:headerReference w:type="first" r:id="rId18"/>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37" w:rsidRDefault="00E63437" w:rsidP="008B0547">
      <w:pPr>
        <w:spacing w:after="0"/>
      </w:pPr>
      <w:r>
        <w:separator/>
      </w:r>
    </w:p>
  </w:endnote>
  <w:endnote w:type="continuationSeparator" w:id="0">
    <w:p w:rsidR="00E63437" w:rsidRDefault="00E63437"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Segoe UI WP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717551">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37" w:rsidRDefault="00E63437" w:rsidP="008B0547">
      <w:pPr>
        <w:spacing w:after="0"/>
      </w:pPr>
      <w:r>
        <w:separator/>
      </w:r>
    </w:p>
  </w:footnote>
  <w:footnote w:type="continuationSeparator" w:id="0">
    <w:p w:rsidR="00E63437" w:rsidRDefault="00E63437"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8CF"/>
    <w:rsid w:val="00023AFD"/>
    <w:rsid w:val="00023D72"/>
    <w:rsid w:val="00024363"/>
    <w:rsid w:val="0002510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E66"/>
    <w:rsid w:val="00066F26"/>
    <w:rsid w:val="0006707B"/>
    <w:rsid w:val="000675D5"/>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154F"/>
    <w:rsid w:val="00081635"/>
    <w:rsid w:val="0008178A"/>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573"/>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5EF"/>
    <w:rsid w:val="000A77BB"/>
    <w:rsid w:val="000A78E5"/>
    <w:rsid w:val="000A79DB"/>
    <w:rsid w:val="000B00CC"/>
    <w:rsid w:val="000B0631"/>
    <w:rsid w:val="000B0765"/>
    <w:rsid w:val="000B0ECB"/>
    <w:rsid w:val="000B0F42"/>
    <w:rsid w:val="000B0FEA"/>
    <w:rsid w:val="000B1052"/>
    <w:rsid w:val="000B1627"/>
    <w:rsid w:val="000B1A59"/>
    <w:rsid w:val="000B1B9E"/>
    <w:rsid w:val="000B2AFA"/>
    <w:rsid w:val="000B2B2C"/>
    <w:rsid w:val="000B2C79"/>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EC2"/>
    <w:rsid w:val="000C0013"/>
    <w:rsid w:val="000C02AD"/>
    <w:rsid w:val="000C049A"/>
    <w:rsid w:val="000C060B"/>
    <w:rsid w:val="000C0AA8"/>
    <w:rsid w:val="000C0B99"/>
    <w:rsid w:val="000C0D07"/>
    <w:rsid w:val="000C1585"/>
    <w:rsid w:val="000C1757"/>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9A2"/>
    <w:rsid w:val="000D2CBD"/>
    <w:rsid w:val="000D359B"/>
    <w:rsid w:val="000D37B0"/>
    <w:rsid w:val="000D3C1E"/>
    <w:rsid w:val="000D3E44"/>
    <w:rsid w:val="000D52D9"/>
    <w:rsid w:val="000D56C5"/>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A0"/>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EF3"/>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3132"/>
    <w:rsid w:val="00173174"/>
    <w:rsid w:val="001731D5"/>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53C"/>
    <w:rsid w:val="001777EF"/>
    <w:rsid w:val="001778C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CD1"/>
    <w:rsid w:val="001C2F68"/>
    <w:rsid w:val="001C3470"/>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FAF"/>
    <w:rsid w:val="001D11F8"/>
    <w:rsid w:val="001D1478"/>
    <w:rsid w:val="001D1E52"/>
    <w:rsid w:val="001D1ECA"/>
    <w:rsid w:val="001D1FCD"/>
    <w:rsid w:val="001D263A"/>
    <w:rsid w:val="001D2746"/>
    <w:rsid w:val="001D2968"/>
    <w:rsid w:val="001D2B84"/>
    <w:rsid w:val="001D2BC5"/>
    <w:rsid w:val="001D2D43"/>
    <w:rsid w:val="001D2E56"/>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48E"/>
    <w:rsid w:val="001F34F8"/>
    <w:rsid w:val="001F473A"/>
    <w:rsid w:val="001F4DA1"/>
    <w:rsid w:val="001F5138"/>
    <w:rsid w:val="001F5268"/>
    <w:rsid w:val="001F553C"/>
    <w:rsid w:val="001F5A5A"/>
    <w:rsid w:val="001F5E50"/>
    <w:rsid w:val="001F5EB4"/>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4A98"/>
    <w:rsid w:val="00215057"/>
    <w:rsid w:val="0021508D"/>
    <w:rsid w:val="00215156"/>
    <w:rsid w:val="0021517D"/>
    <w:rsid w:val="002157BF"/>
    <w:rsid w:val="00216157"/>
    <w:rsid w:val="00216BD9"/>
    <w:rsid w:val="00217566"/>
    <w:rsid w:val="0021780D"/>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AEF"/>
    <w:rsid w:val="00231BB3"/>
    <w:rsid w:val="00231CBC"/>
    <w:rsid w:val="00231DA0"/>
    <w:rsid w:val="00232158"/>
    <w:rsid w:val="00232164"/>
    <w:rsid w:val="0023253B"/>
    <w:rsid w:val="0023279B"/>
    <w:rsid w:val="002328F9"/>
    <w:rsid w:val="00232B8A"/>
    <w:rsid w:val="00232E1E"/>
    <w:rsid w:val="00233117"/>
    <w:rsid w:val="00233785"/>
    <w:rsid w:val="0023395B"/>
    <w:rsid w:val="00233A5A"/>
    <w:rsid w:val="00233CE3"/>
    <w:rsid w:val="002340FE"/>
    <w:rsid w:val="00234285"/>
    <w:rsid w:val="002343BF"/>
    <w:rsid w:val="002344C1"/>
    <w:rsid w:val="00234556"/>
    <w:rsid w:val="00234634"/>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68"/>
    <w:rsid w:val="00243797"/>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7AD"/>
    <w:rsid w:val="00255B58"/>
    <w:rsid w:val="00255CF8"/>
    <w:rsid w:val="00255E00"/>
    <w:rsid w:val="00255FC7"/>
    <w:rsid w:val="00256044"/>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3058"/>
    <w:rsid w:val="002731B9"/>
    <w:rsid w:val="00273206"/>
    <w:rsid w:val="00273A11"/>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3C4B"/>
    <w:rsid w:val="0029450E"/>
    <w:rsid w:val="00294B1A"/>
    <w:rsid w:val="00294C0F"/>
    <w:rsid w:val="00294F77"/>
    <w:rsid w:val="0029551E"/>
    <w:rsid w:val="0029574D"/>
    <w:rsid w:val="00295922"/>
    <w:rsid w:val="00295C85"/>
    <w:rsid w:val="002962CB"/>
    <w:rsid w:val="002962D4"/>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D74"/>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588"/>
    <w:rsid w:val="002C662D"/>
    <w:rsid w:val="002C66E9"/>
    <w:rsid w:val="002C6B2F"/>
    <w:rsid w:val="002C6BFB"/>
    <w:rsid w:val="002C71CF"/>
    <w:rsid w:val="002C7813"/>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BF5"/>
    <w:rsid w:val="002D2D0E"/>
    <w:rsid w:val="002D3043"/>
    <w:rsid w:val="002D35F5"/>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C92"/>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3FAF"/>
    <w:rsid w:val="00304072"/>
    <w:rsid w:val="00304161"/>
    <w:rsid w:val="00304201"/>
    <w:rsid w:val="003043A7"/>
    <w:rsid w:val="00304618"/>
    <w:rsid w:val="00304643"/>
    <w:rsid w:val="0030477F"/>
    <w:rsid w:val="003047D2"/>
    <w:rsid w:val="0030493A"/>
    <w:rsid w:val="00304A73"/>
    <w:rsid w:val="00304AB6"/>
    <w:rsid w:val="00304AFB"/>
    <w:rsid w:val="00304DFD"/>
    <w:rsid w:val="00304EFB"/>
    <w:rsid w:val="00304FE5"/>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0EA6"/>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44"/>
    <w:rsid w:val="00324E78"/>
    <w:rsid w:val="003250C3"/>
    <w:rsid w:val="00325246"/>
    <w:rsid w:val="003253A1"/>
    <w:rsid w:val="00325619"/>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EBB"/>
    <w:rsid w:val="00366F43"/>
    <w:rsid w:val="0036772F"/>
    <w:rsid w:val="00367BD2"/>
    <w:rsid w:val="003705BB"/>
    <w:rsid w:val="00370612"/>
    <w:rsid w:val="00370987"/>
    <w:rsid w:val="003709BD"/>
    <w:rsid w:val="00370A1C"/>
    <w:rsid w:val="00370AD3"/>
    <w:rsid w:val="00370BC7"/>
    <w:rsid w:val="00370EAD"/>
    <w:rsid w:val="00370FB6"/>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3DDB"/>
    <w:rsid w:val="00373F9C"/>
    <w:rsid w:val="00374226"/>
    <w:rsid w:val="00374B8C"/>
    <w:rsid w:val="00375080"/>
    <w:rsid w:val="0037523C"/>
    <w:rsid w:val="00375561"/>
    <w:rsid w:val="00375772"/>
    <w:rsid w:val="0037593A"/>
    <w:rsid w:val="00375D9E"/>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4DE"/>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4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03"/>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3F76"/>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2FA"/>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810"/>
    <w:rsid w:val="004108C3"/>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47A"/>
    <w:rsid w:val="00471E08"/>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22BC"/>
    <w:rsid w:val="004923BD"/>
    <w:rsid w:val="00492568"/>
    <w:rsid w:val="00492862"/>
    <w:rsid w:val="00492E3F"/>
    <w:rsid w:val="004930B3"/>
    <w:rsid w:val="00493DEE"/>
    <w:rsid w:val="00493F5C"/>
    <w:rsid w:val="00494129"/>
    <w:rsid w:val="0049412A"/>
    <w:rsid w:val="00494269"/>
    <w:rsid w:val="004945E3"/>
    <w:rsid w:val="0049469C"/>
    <w:rsid w:val="00494A4D"/>
    <w:rsid w:val="00494D66"/>
    <w:rsid w:val="00494EB3"/>
    <w:rsid w:val="00494F75"/>
    <w:rsid w:val="00495135"/>
    <w:rsid w:val="004952F2"/>
    <w:rsid w:val="0049560D"/>
    <w:rsid w:val="00495DB3"/>
    <w:rsid w:val="00495F43"/>
    <w:rsid w:val="00496B7B"/>
    <w:rsid w:val="00497AB1"/>
    <w:rsid w:val="00497F5E"/>
    <w:rsid w:val="004A00B0"/>
    <w:rsid w:val="004A10F9"/>
    <w:rsid w:val="004A16BB"/>
    <w:rsid w:val="004A171B"/>
    <w:rsid w:val="004A1A36"/>
    <w:rsid w:val="004A1C9C"/>
    <w:rsid w:val="004A207E"/>
    <w:rsid w:val="004A2148"/>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3F"/>
    <w:rsid w:val="004B326B"/>
    <w:rsid w:val="004B329D"/>
    <w:rsid w:val="004B32F8"/>
    <w:rsid w:val="004B3476"/>
    <w:rsid w:val="004B36AE"/>
    <w:rsid w:val="004B3FAE"/>
    <w:rsid w:val="004B4672"/>
    <w:rsid w:val="004B4745"/>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DC4"/>
    <w:rsid w:val="004C6E03"/>
    <w:rsid w:val="004C6F47"/>
    <w:rsid w:val="004C6F97"/>
    <w:rsid w:val="004C73E2"/>
    <w:rsid w:val="004C780C"/>
    <w:rsid w:val="004C79B9"/>
    <w:rsid w:val="004C7AA2"/>
    <w:rsid w:val="004C7D5A"/>
    <w:rsid w:val="004D03BA"/>
    <w:rsid w:val="004D0A75"/>
    <w:rsid w:val="004D0F17"/>
    <w:rsid w:val="004D0FAE"/>
    <w:rsid w:val="004D118A"/>
    <w:rsid w:val="004D1346"/>
    <w:rsid w:val="004D16E2"/>
    <w:rsid w:val="004D20F4"/>
    <w:rsid w:val="004D2696"/>
    <w:rsid w:val="004D2898"/>
    <w:rsid w:val="004D2E74"/>
    <w:rsid w:val="004D301C"/>
    <w:rsid w:val="004D3100"/>
    <w:rsid w:val="004D32EE"/>
    <w:rsid w:val="004D3441"/>
    <w:rsid w:val="004D349D"/>
    <w:rsid w:val="004D357C"/>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E0C"/>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4D4"/>
    <w:rsid w:val="0052382F"/>
    <w:rsid w:val="005239DD"/>
    <w:rsid w:val="00523BB0"/>
    <w:rsid w:val="00523BD9"/>
    <w:rsid w:val="00523CA1"/>
    <w:rsid w:val="00523EB9"/>
    <w:rsid w:val="0052417B"/>
    <w:rsid w:val="00524469"/>
    <w:rsid w:val="00524A9C"/>
    <w:rsid w:val="00525956"/>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6332"/>
    <w:rsid w:val="0053655B"/>
    <w:rsid w:val="00536601"/>
    <w:rsid w:val="00536B78"/>
    <w:rsid w:val="00536BE9"/>
    <w:rsid w:val="005373DF"/>
    <w:rsid w:val="00537433"/>
    <w:rsid w:val="005376F2"/>
    <w:rsid w:val="00537A19"/>
    <w:rsid w:val="00537A4C"/>
    <w:rsid w:val="00540308"/>
    <w:rsid w:val="00540322"/>
    <w:rsid w:val="00540BDC"/>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8D7"/>
    <w:rsid w:val="00587BD5"/>
    <w:rsid w:val="00587BD9"/>
    <w:rsid w:val="00587C5F"/>
    <w:rsid w:val="00587CCA"/>
    <w:rsid w:val="00590750"/>
    <w:rsid w:val="00590907"/>
    <w:rsid w:val="00590B0F"/>
    <w:rsid w:val="0059130F"/>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7B"/>
    <w:rsid w:val="00594C49"/>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677"/>
    <w:rsid w:val="005D5E15"/>
    <w:rsid w:val="005D5F8D"/>
    <w:rsid w:val="005D6038"/>
    <w:rsid w:val="005D6261"/>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6C8"/>
    <w:rsid w:val="005F3709"/>
    <w:rsid w:val="005F3A57"/>
    <w:rsid w:val="005F3C7E"/>
    <w:rsid w:val="005F3EAB"/>
    <w:rsid w:val="005F4027"/>
    <w:rsid w:val="005F42BB"/>
    <w:rsid w:val="005F45DB"/>
    <w:rsid w:val="005F4603"/>
    <w:rsid w:val="005F48C0"/>
    <w:rsid w:val="005F4E54"/>
    <w:rsid w:val="005F4EAE"/>
    <w:rsid w:val="005F574A"/>
    <w:rsid w:val="005F57F7"/>
    <w:rsid w:val="005F59DC"/>
    <w:rsid w:val="005F5DC9"/>
    <w:rsid w:val="005F6186"/>
    <w:rsid w:val="005F676C"/>
    <w:rsid w:val="005F68BE"/>
    <w:rsid w:val="005F70B6"/>
    <w:rsid w:val="005F73B3"/>
    <w:rsid w:val="005F7518"/>
    <w:rsid w:val="005F772E"/>
    <w:rsid w:val="005F775C"/>
    <w:rsid w:val="005F778D"/>
    <w:rsid w:val="005F7A87"/>
    <w:rsid w:val="005F7BA0"/>
    <w:rsid w:val="005F7C34"/>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B38"/>
    <w:rsid w:val="00626765"/>
    <w:rsid w:val="00626AB6"/>
    <w:rsid w:val="00626C3D"/>
    <w:rsid w:val="00626C48"/>
    <w:rsid w:val="00626F58"/>
    <w:rsid w:val="0062707B"/>
    <w:rsid w:val="006272EC"/>
    <w:rsid w:val="006275F3"/>
    <w:rsid w:val="00627733"/>
    <w:rsid w:val="00627921"/>
    <w:rsid w:val="00627FB8"/>
    <w:rsid w:val="0063016C"/>
    <w:rsid w:val="00630A86"/>
    <w:rsid w:val="00630B7A"/>
    <w:rsid w:val="00630E1F"/>
    <w:rsid w:val="006311E3"/>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9F0"/>
    <w:rsid w:val="00637AD5"/>
    <w:rsid w:val="00637E9B"/>
    <w:rsid w:val="00637FDD"/>
    <w:rsid w:val="00640129"/>
    <w:rsid w:val="006407E3"/>
    <w:rsid w:val="0064090D"/>
    <w:rsid w:val="00641DD3"/>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58A"/>
    <w:rsid w:val="00646602"/>
    <w:rsid w:val="00646BC4"/>
    <w:rsid w:val="00646D0E"/>
    <w:rsid w:val="006471F4"/>
    <w:rsid w:val="00647782"/>
    <w:rsid w:val="006478E6"/>
    <w:rsid w:val="00647DB1"/>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DE9"/>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CE"/>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3DB4"/>
    <w:rsid w:val="00674093"/>
    <w:rsid w:val="00674BC6"/>
    <w:rsid w:val="00675403"/>
    <w:rsid w:val="00675498"/>
    <w:rsid w:val="00675509"/>
    <w:rsid w:val="00675640"/>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7A"/>
    <w:rsid w:val="00695597"/>
    <w:rsid w:val="00695896"/>
    <w:rsid w:val="00695EF1"/>
    <w:rsid w:val="00696411"/>
    <w:rsid w:val="00696A89"/>
    <w:rsid w:val="00696F75"/>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4B5"/>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B15"/>
    <w:rsid w:val="006E1CC8"/>
    <w:rsid w:val="006E1DA5"/>
    <w:rsid w:val="006E220A"/>
    <w:rsid w:val="006E27F1"/>
    <w:rsid w:val="006E2E12"/>
    <w:rsid w:val="006E346A"/>
    <w:rsid w:val="006E3C8A"/>
    <w:rsid w:val="006E3E0D"/>
    <w:rsid w:val="006E4064"/>
    <w:rsid w:val="006E4806"/>
    <w:rsid w:val="006E4C0D"/>
    <w:rsid w:val="006E4CAF"/>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72C"/>
    <w:rsid w:val="006F21C6"/>
    <w:rsid w:val="006F27E0"/>
    <w:rsid w:val="006F28D9"/>
    <w:rsid w:val="006F2F67"/>
    <w:rsid w:val="006F30EF"/>
    <w:rsid w:val="006F3625"/>
    <w:rsid w:val="006F3CA4"/>
    <w:rsid w:val="006F4148"/>
    <w:rsid w:val="006F41AA"/>
    <w:rsid w:val="006F4986"/>
    <w:rsid w:val="006F4DE0"/>
    <w:rsid w:val="006F4EF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407E"/>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CE1"/>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019"/>
    <w:rsid w:val="007455E6"/>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4C54"/>
    <w:rsid w:val="00764CB0"/>
    <w:rsid w:val="0076506C"/>
    <w:rsid w:val="007651A7"/>
    <w:rsid w:val="00765229"/>
    <w:rsid w:val="00765890"/>
    <w:rsid w:val="007660A1"/>
    <w:rsid w:val="0076613D"/>
    <w:rsid w:val="00766266"/>
    <w:rsid w:val="0076641B"/>
    <w:rsid w:val="0076651A"/>
    <w:rsid w:val="007666D8"/>
    <w:rsid w:val="00766D03"/>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EDA"/>
    <w:rsid w:val="007773AF"/>
    <w:rsid w:val="00777463"/>
    <w:rsid w:val="00777599"/>
    <w:rsid w:val="007779A0"/>
    <w:rsid w:val="00777A2C"/>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1151"/>
    <w:rsid w:val="007A1397"/>
    <w:rsid w:val="007A13C1"/>
    <w:rsid w:val="007A145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DFA"/>
    <w:rsid w:val="007B6E2E"/>
    <w:rsid w:val="007B7287"/>
    <w:rsid w:val="007B74C3"/>
    <w:rsid w:val="007B753A"/>
    <w:rsid w:val="007B7637"/>
    <w:rsid w:val="007B7677"/>
    <w:rsid w:val="007B7821"/>
    <w:rsid w:val="007B7980"/>
    <w:rsid w:val="007B7A70"/>
    <w:rsid w:val="007C0033"/>
    <w:rsid w:val="007C06A5"/>
    <w:rsid w:val="007C08AB"/>
    <w:rsid w:val="007C17CF"/>
    <w:rsid w:val="007C2208"/>
    <w:rsid w:val="007C24B9"/>
    <w:rsid w:val="007C2CBC"/>
    <w:rsid w:val="007C2EA3"/>
    <w:rsid w:val="007C33E6"/>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BDC"/>
    <w:rsid w:val="007D4C4B"/>
    <w:rsid w:val="007D560E"/>
    <w:rsid w:val="007D5AAB"/>
    <w:rsid w:val="007D5D5F"/>
    <w:rsid w:val="007D5F85"/>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9E6"/>
    <w:rsid w:val="00811B4D"/>
    <w:rsid w:val="00811DA1"/>
    <w:rsid w:val="008124CB"/>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8FE"/>
    <w:rsid w:val="00825D4C"/>
    <w:rsid w:val="00825D9F"/>
    <w:rsid w:val="00825EB9"/>
    <w:rsid w:val="008261E9"/>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B7F"/>
    <w:rsid w:val="00847CE5"/>
    <w:rsid w:val="0085012C"/>
    <w:rsid w:val="008501A4"/>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780"/>
    <w:rsid w:val="00870AAD"/>
    <w:rsid w:val="00871909"/>
    <w:rsid w:val="00871EC0"/>
    <w:rsid w:val="008720A6"/>
    <w:rsid w:val="008726DA"/>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032"/>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A8"/>
    <w:rsid w:val="008928EB"/>
    <w:rsid w:val="00892ABE"/>
    <w:rsid w:val="00892BB8"/>
    <w:rsid w:val="00892EBB"/>
    <w:rsid w:val="00893014"/>
    <w:rsid w:val="0089338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1DD1"/>
    <w:rsid w:val="008A2417"/>
    <w:rsid w:val="008A273A"/>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DA7"/>
    <w:rsid w:val="008B607E"/>
    <w:rsid w:val="008B6640"/>
    <w:rsid w:val="008B71A7"/>
    <w:rsid w:val="008B7518"/>
    <w:rsid w:val="008B756E"/>
    <w:rsid w:val="008B79A7"/>
    <w:rsid w:val="008B7AC2"/>
    <w:rsid w:val="008B7B55"/>
    <w:rsid w:val="008B7E1F"/>
    <w:rsid w:val="008B7FD5"/>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775"/>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13D"/>
    <w:rsid w:val="008F03C0"/>
    <w:rsid w:val="008F03CB"/>
    <w:rsid w:val="008F045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37D"/>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958"/>
    <w:rsid w:val="00946A49"/>
    <w:rsid w:val="00946D3C"/>
    <w:rsid w:val="009476BA"/>
    <w:rsid w:val="0094787C"/>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978"/>
    <w:rsid w:val="00954C38"/>
    <w:rsid w:val="00954E92"/>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554"/>
    <w:rsid w:val="00973B6E"/>
    <w:rsid w:val="00973E1D"/>
    <w:rsid w:val="00973F4A"/>
    <w:rsid w:val="0097401F"/>
    <w:rsid w:val="00974595"/>
    <w:rsid w:val="0097465C"/>
    <w:rsid w:val="00974DB6"/>
    <w:rsid w:val="00974E53"/>
    <w:rsid w:val="00974F91"/>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CD6"/>
    <w:rsid w:val="009E6CD9"/>
    <w:rsid w:val="009E733E"/>
    <w:rsid w:val="009E74C5"/>
    <w:rsid w:val="009F015D"/>
    <w:rsid w:val="009F01DB"/>
    <w:rsid w:val="009F1041"/>
    <w:rsid w:val="009F1253"/>
    <w:rsid w:val="009F16B2"/>
    <w:rsid w:val="009F18E8"/>
    <w:rsid w:val="009F202B"/>
    <w:rsid w:val="009F20C6"/>
    <w:rsid w:val="009F28CE"/>
    <w:rsid w:val="009F2E7E"/>
    <w:rsid w:val="009F37BF"/>
    <w:rsid w:val="009F3DA5"/>
    <w:rsid w:val="009F4087"/>
    <w:rsid w:val="009F4326"/>
    <w:rsid w:val="009F43AF"/>
    <w:rsid w:val="009F4702"/>
    <w:rsid w:val="009F484C"/>
    <w:rsid w:val="009F4D5E"/>
    <w:rsid w:val="009F519F"/>
    <w:rsid w:val="009F560A"/>
    <w:rsid w:val="009F5834"/>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EFA"/>
    <w:rsid w:val="00A02FC7"/>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47EE"/>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9B"/>
    <w:rsid w:val="00A455C7"/>
    <w:rsid w:val="00A4568D"/>
    <w:rsid w:val="00A45893"/>
    <w:rsid w:val="00A459E6"/>
    <w:rsid w:val="00A45A7F"/>
    <w:rsid w:val="00A464E3"/>
    <w:rsid w:val="00A4679A"/>
    <w:rsid w:val="00A46E28"/>
    <w:rsid w:val="00A473D7"/>
    <w:rsid w:val="00A477C6"/>
    <w:rsid w:val="00A478FA"/>
    <w:rsid w:val="00A4799F"/>
    <w:rsid w:val="00A47A9A"/>
    <w:rsid w:val="00A47D31"/>
    <w:rsid w:val="00A501F6"/>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88F"/>
    <w:rsid w:val="00A64A19"/>
    <w:rsid w:val="00A64A93"/>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56"/>
    <w:rsid w:val="00A767B2"/>
    <w:rsid w:val="00A76A78"/>
    <w:rsid w:val="00A76BDD"/>
    <w:rsid w:val="00A76BE7"/>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83F"/>
    <w:rsid w:val="00AD0ABD"/>
    <w:rsid w:val="00AD1176"/>
    <w:rsid w:val="00AD17EC"/>
    <w:rsid w:val="00AD221B"/>
    <w:rsid w:val="00AD2262"/>
    <w:rsid w:val="00AD22C5"/>
    <w:rsid w:val="00AD2519"/>
    <w:rsid w:val="00AD283D"/>
    <w:rsid w:val="00AD294A"/>
    <w:rsid w:val="00AD2E6B"/>
    <w:rsid w:val="00AD3115"/>
    <w:rsid w:val="00AD3920"/>
    <w:rsid w:val="00AD3D9F"/>
    <w:rsid w:val="00AD4431"/>
    <w:rsid w:val="00AD465C"/>
    <w:rsid w:val="00AD4D66"/>
    <w:rsid w:val="00AD516C"/>
    <w:rsid w:val="00AD51CC"/>
    <w:rsid w:val="00AD5922"/>
    <w:rsid w:val="00AD5CB8"/>
    <w:rsid w:val="00AD5E96"/>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EF"/>
    <w:rsid w:val="00AF735A"/>
    <w:rsid w:val="00AF75FC"/>
    <w:rsid w:val="00AF7766"/>
    <w:rsid w:val="00AF78A5"/>
    <w:rsid w:val="00AF7E12"/>
    <w:rsid w:val="00B0025D"/>
    <w:rsid w:val="00B006D8"/>
    <w:rsid w:val="00B0073B"/>
    <w:rsid w:val="00B00A61"/>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011"/>
    <w:rsid w:val="00B11792"/>
    <w:rsid w:val="00B118D8"/>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BC0"/>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54FD"/>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8A0"/>
    <w:rsid w:val="00B94A6A"/>
    <w:rsid w:val="00B94B02"/>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265"/>
    <w:rsid w:val="00BB28BF"/>
    <w:rsid w:val="00BB2B25"/>
    <w:rsid w:val="00BB2ED7"/>
    <w:rsid w:val="00BB30EA"/>
    <w:rsid w:val="00BB35B6"/>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39A"/>
    <w:rsid w:val="00BC64D9"/>
    <w:rsid w:val="00BC65A7"/>
    <w:rsid w:val="00BC6782"/>
    <w:rsid w:val="00BC6D81"/>
    <w:rsid w:val="00BC70A9"/>
    <w:rsid w:val="00BC71DC"/>
    <w:rsid w:val="00BD032B"/>
    <w:rsid w:val="00BD043C"/>
    <w:rsid w:val="00BD045B"/>
    <w:rsid w:val="00BD0B42"/>
    <w:rsid w:val="00BD0D1E"/>
    <w:rsid w:val="00BD0DA1"/>
    <w:rsid w:val="00BD11FF"/>
    <w:rsid w:val="00BD1200"/>
    <w:rsid w:val="00BD151C"/>
    <w:rsid w:val="00BD1747"/>
    <w:rsid w:val="00BD1C97"/>
    <w:rsid w:val="00BD2483"/>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9B1"/>
    <w:rsid w:val="00BE00E2"/>
    <w:rsid w:val="00BE021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0BD"/>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D9F"/>
    <w:rsid w:val="00C156A5"/>
    <w:rsid w:val="00C156D7"/>
    <w:rsid w:val="00C15740"/>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C7B"/>
    <w:rsid w:val="00C22F12"/>
    <w:rsid w:val="00C2305C"/>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8A5"/>
    <w:rsid w:val="00C42B09"/>
    <w:rsid w:val="00C42EE4"/>
    <w:rsid w:val="00C42F96"/>
    <w:rsid w:val="00C430EE"/>
    <w:rsid w:val="00C4315C"/>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A2F"/>
    <w:rsid w:val="00C94B76"/>
    <w:rsid w:val="00C94BDC"/>
    <w:rsid w:val="00C94BF9"/>
    <w:rsid w:val="00C94CF0"/>
    <w:rsid w:val="00C95005"/>
    <w:rsid w:val="00C95240"/>
    <w:rsid w:val="00C954C8"/>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F6"/>
    <w:rsid w:val="00CA7FB2"/>
    <w:rsid w:val="00CB00F3"/>
    <w:rsid w:val="00CB031D"/>
    <w:rsid w:val="00CB036A"/>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A0B"/>
    <w:rsid w:val="00CC6D93"/>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D2B"/>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D003F8"/>
    <w:rsid w:val="00D0052C"/>
    <w:rsid w:val="00D00B02"/>
    <w:rsid w:val="00D00E04"/>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3EC"/>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96F"/>
    <w:rsid w:val="00D33A40"/>
    <w:rsid w:val="00D33DBD"/>
    <w:rsid w:val="00D341C9"/>
    <w:rsid w:val="00D3447D"/>
    <w:rsid w:val="00D3488B"/>
    <w:rsid w:val="00D34A20"/>
    <w:rsid w:val="00D34A8C"/>
    <w:rsid w:val="00D34AF6"/>
    <w:rsid w:val="00D34E78"/>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E16"/>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70BC"/>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12E"/>
    <w:rsid w:val="00D83630"/>
    <w:rsid w:val="00D8371D"/>
    <w:rsid w:val="00D83A9F"/>
    <w:rsid w:val="00D83B48"/>
    <w:rsid w:val="00D8414C"/>
    <w:rsid w:val="00D841A5"/>
    <w:rsid w:val="00D844B1"/>
    <w:rsid w:val="00D8469F"/>
    <w:rsid w:val="00D84D91"/>
    <w:rsid w:val="00D84DE3"/>
    <w:rsid w:val="00D84E4D"/>
    <w:rsid w:val="00D84F62"/>
    <w:rsid w:val="00D85375"/>
    <w:rsid w:val="00D8603D"/>
    <w:rsid w:val="00D865D1"/>
    <w:rsid w:val="00D86C20"/>
    <w:rsid w:val="00D86DD4"/>
    <w:rsid w:val="00D87CFA"/>
    <w:rsid w:val="00D87F18"/>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17C"/>
    <w:rsid w:val="00D96398"/>
    <w:rsid w:val="00D966E1"/>
    <w:rsid w:val="00D9680D"/>
    <w:rsid w:val="00D96917"/>
    <w:rsid w:val="00D96924"/>
    <w:rsid w:val="00D96BC9"/>
    <w:rsid w:val="00D96F24"/>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78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AAF"/>
    <w:rsid w:val="00DE4CAF"/>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9A"/>
    <w:rsid w:val="00E10BFA"/>
    <w:rsid w:val="00E1133A"/>
    <w:rsid w:val="00E11428"/>
    <w:rsid w:val="00E116C6"/>
    <w:rsid w:val="00E116D4"/>
    <w:rsid w:val="00E1178F"/>
    <w:rsid w:val="00E12030"/>
    <w:rsid w:val="00E1239C"/>
    <w:rsid w:val="00E1262D"/>
    <w:rsid w:val="00E1273C"/>
    <w:rsid w:val="00E128A2"/>
    <w:rsid w:val="00E12AD1"/>
    <w:rsid w:val="00E13137"/>
    <w:rsid w:val="00E13181"/>
    <w:rsid w:val="00E13207"/>
    <w:rsid w:val="00E134FE"/>
    <w:rsid w:val="00E13958"/>
    <w:rsid w:val="00E13B0C"/>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0A4"/>
    <w:rsid w:val="00E632A2"/>
    <w:rsid w:val="00E63424"/>
    <w:rsid w:val="00E63437"/>
    <w:rsid w:val="00E6376A"/>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93"/>
    <w:rsid w:val="00E933BD"/>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6A8"/>
    <w:rsid w:val="00E97851"/>
    <w:rsid w:val="00E97B8E"/>
    <w:rsid w:val="00E97DA3"/>
    <w:rsid w:val="00E97E70"/>
    <w:rsid w:val="00EA0038"/>
    <w:rsid w:val="00EA088B"/>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3E"/>
    <w:rsid w:val="00EA4FC7"/>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19FB"/>
    <w:rsid w:val="00EB2310"/>
    <w:rsid w:val="00EB2721"/>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A36"/>
    <w:rsid w:val="00F12A9F"/>
    <w:rsid w:val="00F13137"/>
    <w:rsid w:val="00F1339B"/>
    <w:rsid w:val="00F1372F"/>
    <w:rsid w:val="00F13A2F"/>
    <w:rsid w:val="00F13F88"/>
    <w:rsid w:val="00F14C13"/>
    <w:rsid w:val="00F14CE8"/>
    <w:rsid w:val="00F15471"/>
    <w:rsid w:val="00F15FBF"/>
    <w:rsid w:val="00F17174"/>
    <w:rsid w:val="00F172D0"/>
    <w:rsid w:val="00F173CB"/>
    <w:rsid w:val="00F17939"/>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6C"/>
    <w:rsid w:val="00F40508"/>
    <w:rsid w:val="00F406D5"/>
    <w:rsid w:val="00F409C2"/>
    <w:rsid w:val="00F40CAB"/>
    <w:rsid w:val="00F40D09"/>
    <w:rsid w:val="00F40D6A"/>
    <w:rsid w:val="00F41968"/>
    <w:rsid w:val="00F4272C"/>
    <w:rsid w:val="00F42739"/>
    <w:rsid w:val="00F429E5"/>
    <w:rsid w:val="00F432C6"/>
    <w:rsid w:val="00F43470"/>
    <w:rsid w:val="00F4352E"/>
    <w:rsid w:val="00F437B6"/>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8EC"/>
    <w:rsid w:val="00F97C49"/>
    <w:rsid w:val="00FA01B1"/>
    <w:rsid w:val="00FA0942"/>
    <w:rsid w:val="00FA0AC9"/>
    <w:rsid w:val="00FA12CC"/>
    <w:rsid w:val="00FA188C"/>
    <w:rsid w:val="00FA1FF2"/>
    <w:rsid w:val="00FA2910"/>
    <w:rsid w:val="00FA2948"/>
    <w:rsid w:val="00FA29F4"/>
    <w:rsid w:val="00FA2B04"/>
    <w:rsid w:val="00FA3206"/>
    <w:rsid w:val="00FA3291"/>
    <w:rsid w:val="00FA362D"/>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518"/>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AD126E-C979-4674-BA91-04EF6F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87"/>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2654&amp;colegiado=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2654&amp;colegiado=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uri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1224&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15&amp;numero=2677&amp;colegiado=2" TargetMode="External"/><Relationship Id="rId10" Type="http://schemas.openxmlformats.org/officeDocument/2006/relationships/hyperlink" Target="https://contas.tcu.gov.br/juris/SvlProxyHighlight?base=ACORDAO&amp;ano=2015&amp;numero=1564&amp;colegiado=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as.tcu.gov.br/juris/SvlProxyHighlight?base=ACORDAO&amp;ano=2007&amp;numero=597&amp;colegiado=P" TargetMode="External"/><Relationship Id="rId14" Type="http://schemas.openxmlformats.org/officeDocument/2006/relationships/hyperlink" Target="https://contas.tcu.gov.br/juris/SvlProxyHighlight?base=ACORDAO&amp;ano=2009&amp;numero=2319&amp;colegiado=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AB63-840D-411E-880C-89C456A2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2536</Words>
  <Characters>13697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16201</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21</cp:revision>
  <cp:lastPrinted>2015-05-05T13:18:00Z</cp:lastPrinted>
  <dcterms:created xsi:type="dcterms:W3CDTF">2015-06-09T18:53:00Z</dcterms:created>
  <dcterms:modified xsi:type="dcterms:W3CDTF">2015-06-09T22:34:00Z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