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027A8F">
        <w:rPr>
          <w:rFonts w:ascii="Times New Roman" w:hAnsi="Times New Roman"/>
          <w:b/>
          <w:i w:val="0"/>
          <w:sz w:val="22"/>
          <w:szCs w:val="22"/>
          <w:lang w:val="pt-BR"/>
        </w:rPr>
        <w:t>63</w:t>
      </w:r>
    </w:p>
    <w:p w:rsidR="00C61626" w:rsidRPr="003A0B0D" w:rsidRDefault="00681D68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027A8F">
        <w:rPr>
          <w:rFonts w:ascii="Times New Roman" w:hAnsi="Times New Roman"/>
          <w:b/>
          <w:i w:val="0"/>
          <w:sz w:val="22"/>
          <w:szCs w:val="22"/>
          <w:lang w:val="pt-BR"/>
        </w:rPr>
        <w:t>13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027A8F">
        <w:rPr>
          <w:rFonts w:ascii="Times New Roman" w:hAnsi="Times New Roman"/>
          <w:b/>
          <w:i w:val="0"/>
          <w:sz w:val="22"/>
          <w:szCs w:val="22"/>
          <w:lang w:val="pt-BR"/>
        </w:rPr>
        <w:t>14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027A8F">
        <w:rPr>
          <w:rFonts w:ascii="Times New Roman" w:hAnsi="Times New Roman"/>
          <w:b/>
          <w:i w:val="0"/>
          <w:sz w:val="22"/>
          <w:szCs w:val="22"/>
          <w:lang w:val="pt-BR"/>
        </w:rPr>
        <w:t>outub</w:t>
      </w:r>
      <w:r w:rsidR="00771BAD">
        <w:rPr>
          <w:rFonts w:ascii="Times New Roman" w:hAnsi="Times New Roman"/>
          <w:b/>
          <w:i w:val="0"/>
          <w:sz w:val="22"/>
          <w:szCs w:val="22"/>
          <w:lang w:val="pt-BR"/>
        </w:rPr>
        <w:t>r</w:t>
      </w:r>
      <w:r w:rsidR="00975EA5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55771A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 xml:space="preserve">disponíveis. As informações aqui apresentadas não são </w:t>
      </w:r>
      <w:proofErr w:type="gramStart"/>
      <w:r w:rsidRPr="005D6E13">
        <w:rPr>
          <w:sz w:val="22"/>
          <w:szCs w:val="22"/>
          <w:lang w:val="pt-BR"/>
        </w:rPr>
        <w:t>repositórios</w:t>
      </w:r>
      <w:proofErr w:type="gramEnd"/>
      <w:r w:rsidRPr="005D6E13">
        <w:rPr>
          <w:sz w:val="22"/>
          <w:szCs w:val="22"/>
          <w:lang w:val="pt-BR"/>
        </w:rPr>
        <w:t xml:space="preserve">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BC5C14" w:rsidRDefault="00BC5C14" w:rsidP="0055771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Plenário</w:t>
      </w:r>
    </w:p>
    <w:p w:rsidR="008602D0" w:rsidRDefault="008602D0" w:rsidP="008602D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="00A265A6" w:rsidRPr="00A265A6">
        <w:rPr>
          <w:rFonts w:eastAsia="Times New Roman"/>
          <w:sz w:val="22"/>
          <w:szCs w:val="22"/>
        </w:rPr>
        <w:t xml:space="preserve">Não é aceitável a inclusão do “fator chuva” nos orçamentos de obras rodoviárias, pois a precipitação de chuvas ordinárias não repercute de modo significativo sobre os custos dos empreendimentos, além de ser contrabalanceada por fatores não considerados pelo </w:t>
      </w:r>
      <w:proofErr w:type="spellStart"/>
      <w:r w:rsidR="00A265A6" w:rsidRPr="00A265A6">
        <w:rPr>
          <w:rFonts w:eastAsia="Times New Roman"/>
          <w:sz w:val="22"/>
          <w:szCs w:val="22"/>
        </w:rPr>
        <w:t>Sicro</w:t>
      </w:r>
      <w:proofErr w:type="spellEnd"/>
      <w:r w:rsidR="00A265A6" w:rsidRPr="00A265A6">
        <w:rPr>
          <w:rFonts w:eastAsia="Times New Roman"/>
          <w:sz w:val="22"/>
          <w:szCs w:val="22"/>
        </w:rPr>
        <w:t xml:space="preserve"> na formaçã</w:t>
      </w:r>
      <w:r w:rsidR="00703CB5">
        <w:rPr>
          <w:rFonts w:eastAsia="Times New Roman"/>
          <w:sz w:val="22"/>
          <w:szCs w:val="22"/>
        </w:rPr>
        <w:t>o do preço de referência, como</w:t>
      </w:r>
      <w:r w:rsidR="00A265A6" w:rsidRPr="00A265A6">
        <w:rPr>
          <w:rFonts w:eastAsia="Times New Roman"/>
          <w:sz w:val="22"/>
          <w:szCs w:val="22"/>
        </w:rPr>
        <w:t xml:space="preserve"> fator de barganha, economia de escala, valor residual subestimado no cálculo das depreciações dos equipamentos, produtividades ultrapassadas, entre outros</w:t>
      </w:r>
      <w:r w:rsidRPr="008602D0">
        <w:rPr>
          <w:rFonts w:eastAsia="Times New Roman"/>
          <w:sz w:val="22"/>
          <w:szCs w:val="22"/>
        </w:rPr>
        <w:t xml:space="preserve">. </w:t>
      </w:r>
    </w:p>
    <w:p w:rsidR="008602D0" w:rsidRDefault="008602D0" w:rsidP="008602D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="00226E3E" w:rsidRPr="00226E3E">
        <w:rPr>
          <w:rFonts w:eastAsia="Times New Roman"/>
          <w:sz w:val="22"/>
          <w:szCs w:val="22"/>
        </w:rPr>
        <w:t>Em regra, os editais de pregão devem contemplar orçamento detalhado e critérios de aceitabilidade de preço</w:t>
      </w:r>
      <w:r w:rsidR="00FB0C3E">
        <w:rPr>
          <w:rFonts w:eastAsia="Times New Roman"/>
          <w:sz w:val="22"/>
          <w:szCs w:val="22"/>
        </w:rPr>
        <w:t>s</w:t>
      </w:r>
      <w:r w:rsidR="00226E3E" w:rsidRPr="00226E3E">
        <w:rPr>
          <w:rFonts w:eastAsia="Times New Roman"/>
          <w:sz w:val="22"/>
          <w:szCs w:val="22"/>
        </w:rPr>
        <w:t xml:space="preserve"> unitário</w:t>
      </w:r>
      <w:r w:rsidR="00FB0C3E">
        <w:rPr>
          <w:rFonts w:eastAsia="Times New Roman"/>
          <w:sz w:val="22"/>
          <w:szCs w:val="22"/>
        </w:rPr>
        <w:t>s</w:t>
      </w:r>
      <w:r w:rsidR="00226E3E" w:rsidRPr="00226E3E">
        <w:rPr>
          <w:rFonts w:eastAsia="Times New Roman"/>
          <w:sz w:val="22"/>
          <w:szCs w:val="22"/>
        </w:rPr>
        <w:t xml:space="preserve"> e global, admitida sua dispensa, motivadamente e considerando os riscos e benefícios da medida, no caso de objetos complexos, com alto grau de incerteza em sua definição e/ou características muito peculiares de mercado</w:t>
      </w:r>
      <w:r w:rsidRPr="008602D0">
        <w:rPr>
          <w:rFonts w:eastAsia="Times New Roman"/>
          <w:sz w:val="22"/>
          <w:szCs w:val="22"/>
        </w:rPr>
        <w:t>.</w:t>
      </w:r>
    </w:p>
    <w:p w:rsidR="007413BA" w:rsidRDefault="007413BA" w:rsidP="008602D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 w:rsidR="002D2E54">
        <w:rPr>
          <w:rFonts w:eastAsia="Times New Roman"/>
          <w:sz w:val="22"/>
          <w:szCs w:val="22"/>
        </w:rPr>
        <w:t>Quanto à abrangência da sanção, o</w:t>
      </w:r>
      <w:r w:rsidR="000D2883" w:rsidRPr="000D2883">
        <w:rPr>
          <w:rFonts w:eastAsia="Times New Roman"/>
          <w:sz w:val="22"/>
          <w:szCs w:val="22"/>
        </w:rPr>
        <w:t xml:space="preserve"> impedimento de contratar e licitar com o ente federativo que promove o pregão e fiscaliza o contrato (art. 7º da Lei 10.520/02) é pena mais rígida</w:t>
      </w:r>
      <w:r w:rsidR="002D2E54">
        <w:rPr>
          <w:rFonts w:eastAsia="Times New Roman"/>
          <w:sz w:val="22"/>
          <w:szCs w:val="22"/>
        </w:rPr>
        <w:t xml:space="preserve"> do</w:t>
      </w:r>
      <w:r w:rsidR="000D2883" w:rsidRPr="000D2883">
        <w:rPr>
          <w:rFonts w:eastAsia="Times New Roman"/>
          <w:sz w:val="22"/>
          <w:szCs w:val="22"/>
        </w:rPr>
        <w:t xml:space="preserve"> que a suspensão temporária de participação em licitação e</w:t>
      </w:r>
      <w:r w:rsidR="002D2E54">
        <w:rPr>
          <w:rFonts w:eastAsia="Times New Roman"/>
          <w:sz w:val="22"/>
          <w:szCs w:val="22"/>
        </w:rPr>
        <w:t xml:space="preserve"> o</w:t>
      </w:r>
      <w:r w:rsidR="000D2883" w:rsidRPr="000D2883">
        <w:rPr>
          <w:rFonts w:eastAsia="Times New Roman"/>
          <w:sz w:val="22"/>
          <w:szCs w:val="22"/>
        </w:rPr>
        <w:t xml:space="preserve"> impedimento de contratar com um órgão da Administração (art. 87, inciso III, da Lei 8.666/93), e mais branda </w:t>
      </w:r>
      <w:r w:rsidR="002D2E54">
        <w:rPr>
          <w:rFonts w:eastAsia="Times New Roman"/>
          <w:sz w:val="22"/>
          <w:szCs w:val="22"/>
        </w:rPr>
        <w:t xml:space="preserve">do </w:t>
      </w:r>
      <w:r w:rsidR="000D2883" w:rsidRPr="000D2883">
        <w:rPr>
          <w:rFonts w:eastAsia="Times New Roman"/>
          <w:sz w:val="22"/>
          <w:szCs w:val="22"/>
        </w:rPr>
        <w:t>que a declaração de inidoneidade para licitar ou contratar com toda a Administração Pública (art. 87, inciso IV, da Lei 8.666/93)</w:t>
      </w:r>
      <w:r>
        <w:rPr>
          <w:rFonts w:eastAsia="Times New Roman"/>
          <w:sz w:val="22"/>
          <w:szCs w:val="22"/>
        </w:rPr>
        <w:t>.</w:t>
      </w:r>
    </w:p>
    <w:p w:rsidR="007413BA" w:rsidRDefault="007413BA" w:rsidP="008602D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 w:rsidR="000E7E92" w:rsidRPr="000E7E92">
        <w:rPr>
          <w:rFonts w:eastAsia="Times New Roman"/>
          <w:sz w:val="22"/>
          <w:szCs w:val="22"/>
        </w:rPr>
        <w:t xml:space="preserve">Nas licitações de serviços de </w:t>
      </w:r>
      <w:r w:rsidR="000E7E92" w:rsidRPr="009A180C">
        <w:rPr>
          <w:rFonts w:eastAsia="Times New Roman"/>
          <w:i/>
          <w:sz w:val="22"/>
          <w:szCs w:val="22"/>
        </w:rPr>
        <w:t>outsourcing</w:t>
      </w:r>
      <w:r w:rsidR="000E7E92" w:rsidRPr="000E7E92">
        <w:rPr>
          <w:rFonts w:eastAsia="Times New Roman"/>
          <w:sz w:val="22"/>
          <w:szCs w:val="22"/>
        </w:rPr>
        <w:t xml:space="preserve"> de impressão, os limites referentes à gramatura de papel devem ser devidamente justificados pela Administração com estudos técnicos.</w:t>
      </w:r>
    </w:p>
    <w:p w:rsidR="00DF69E4" w:rsidRPr="005A7ED9" w:rsidRDefault="00DF69E4" w:rsidP="00DF69E4">
      <w:pPr>
        <w:autoSpaceDE w:val="0"/>
        <w:autoSpaceDN w:val="0"/>
        <w:adjustRightInd w:val="0"/>
        <w:spacing w:after="60"/>
        <w:ind w:left="0"/>
        <w:rPr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Primeir</w:t>
      </w:r>
      <w:r w:rsidRPr="005A7ED9">
        <w:rPr>
          <w:b/>
          <w:bCs/>
          <w:sz w:val="22"/>
          <w:szCs w:val="22"/>
          <w:lang w:eastAsia="pt-BR"/>
        </w:rPr>
        <w:t>a Câmara</w:t>
      </w:r>
    </w:p>
    <w:p w:rsidR="007413BA" w:rsidRDefault="007413BA" w:rsidP="008602D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</w:t>
      </w:r>
      <w:r w:rsidR="00197904" w:rsidRPr="00197904">
        <w:rPr>
          <w:rFonts w:eastAsia="Times New Roman"/>
          <w:sz w:val="22"/>
          <w:szCs w:val="22"/>
        </w:rPr>
        <w:t>A exigência de prestação de garantia antes da data de apresentação dos documentos de habilitação não encontra amparo na Lei 8.666/93, pois, além de constituir fator restritivo à competitividade, permite o conhecimento antecipado das empresas que efetivamente participarão do certame, com possível dano à</w:t>
      </w:r>
      <w:r w:rsidR="00931955">
        <w:rPr>
          <w:rFonts w:eastAsia="Times New Roman"/>
          <w:sz w:val="22"/>
          <w:szCs w:val="22"/>
        </w:rPr>
        <w:t xml:space="preserve"> ampla</w:t>
      </w:r>
      <w:r w:rsidR="00197904" w:rsidRPr="00197904">
        <w:rPr>
          <w:rFonts w:eastAsia="Times New Roman"/>
          <w:sz w:val="22"/>
          <w:szCs w:val="22"/>
        </w:rPr>
        <w:t xml:space="preserve"> concorrência</w:t>
      </w:r>
    </w:p>
    <w:p w:rsidR="00DF69E4" w:rsidRPr="00CB7ADF" w:rsidRDefault="00DF69E4" w:rsidP="00DF69E4">
      <w:pPr>
        <w:spacing w:after="6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CB7ADF">
        <w:rPr>
          <w:rFonts w:eastAsia="Times New Roman"/>
          <w:b/>
          <w:color w:val="000000"/>
          <w:sz w:val="22"/>
          <w:szCs w:val="22"/>
          <w:lang w:eastAsia="pt-BR"/>
        </w:rPr>
        <w:t>Inovação Legislativa</w:t>
      </w:r>
    </w:p>
    <w:p w:rsidR="008602D0" w:rsidRDefault="00976726" w:rsidP="00DF69E4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Lei</w:t>
      </w:r>
      <w:r w:rsidR="00DF69E4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pt-BR"/>
        </w:rPr>
        <w:t>13.173</w:t>
      </w:r>
      <w:r w:rsidR="00DF69E4">
        <w:rPr>
          <w:rFonts w:eastAsia="Times New Roman"/>
          <w:color w:val="000000"/>
          <w:sz w:val="22"/>
          <w:szCs w:val="22"/>
          <w:lang w:eastAsia="pt-BR"/>
        </w:rPr>
        <w:t xml:space="preserve">, de </w:t>
      </w:r>
      <w:r>
        <w:rPr>
          <w:rFonts w:eastAsia="Times New Roman"/>
          <w:color w:val="000000"/>
          <w:sz w:val="22"/>
          <w:szCs w:val="22"/>
          <w:lang w:eastAsia="pt-BR"/>
        </w:rPr>
        <w:t>21</w:t>
      </w:r>
      <w:r w:rsidR="00DF69E4">
        <w:rPr>
          <w:rFonts w:eastAsia="Times New Roman"/>
          <w:color w:val="000000"/>
          <w:sz w:val="22"/>
          <w:szCs w:val="22"/>
          <w:lang w:eastAsia="pt-BR"/>
        </w:rPr>
        <w:t>/10/15</w:t>
      </w:r>
    </w:p>
    <w:p w:rsidR="00846D10" w:rsidRDefault="00846D10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921705" w:rsidRPr="003436F1" w:rsidRDefault="00921705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8602D0" w:rsidRPr="009062C7" w:rsidRDefault="008602D0" w:rsidP="006F44C9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9062C7">
        <w:rPr>
          <w:rFonts w:eastAsia="Times New Roman"/>
          <w:b/>
          <w:sz w:val="22"/>
          <w:szCs w:val="22"/>
        </w:rPr>
        <w:t xml:space="preserve">1. </w:t>
      </w:r>
      <w:r w:rsidR="008C69BF" w:rsidRPr="009062C7">
        <w:rPr>
          <w:rFonts w:eastAsia="Times New Roman"/>
          <w:b/>
          <w:sz w:val="22"/>
          <w:szCs w:val="22"/>
        </w:rPr>
        <w:t xml:space="preserve">Não é aceitável a inclusão do “fator chuva” nos orçamentos de obras rodoviárias, pois a </w:t>
      </w:r>
      <w:r w:rsidR="00FC2AC9" w:rsidRPr="009062C7">
        <w:rPr>
          <w:rFonts w:eastAsia="Times New Roman"/>
          <w:b/>
          <w:sz w:val="22"/>
          <w:szCs w:val="22"/>
        </w:rPr>
        <w:t>precipitação</w:t>
      </w:r>
      <w:r w:rsidR="008C69BF" w:rsidRPr="009062C7">
        <w:rPr>
          <w:rFonts w:eastAsia="Times New Roman"/>
          <w:b/>
          <w:sz w:val="22"/>
          <w:szCs w:val="22"/>
        </w:rPr>
        <w:t xml:space="preserve"> de chuvas ordinárias não repercute de modo significativo sobre os custos do</w:t>
      </w:r>
      <w:r w:rsidR="00FC2AC9" w:rsidRPr="009062C7">
        <w:rPr>
          <w:rFonts w:eastAsia="Times New Roman"/>
          <w:b/>
          <w:sz w:val="22"/>
          <w:szCs w:val="22"/>
        </w:rPr>
        <w:t>s</w:t>
      </w:r>
      <w:r w:rsidR="008C69BF" w:rsidRPr="009062C7">
        <w:rPr>
          <w:rFonts w:eastAsia="Times New Roman"/>
          <w:b/>
          <w:sz w:val="22"/>
          <w:szCs w:val="22"/>
        </w:rPr>
        <w:t xml:space="preserve"> empreendimento</w:t>
      </w:r>
      <w:r w:rsidR="00FC2AC9" w:rsidRPr="009062C7">
        <w:rPr>
          <w:rFonts w:eastAsia="Times New Roman"/>
          <w:b/>
          <w:sz w:val="22"/>
          <w:szCs w:val="22"/>
        </w:rPr>
        <w:t>s</w:t>
      </w:r>
      <w:r w:rsidR="008C69BF" w:rsidRPr="009062C7">
        <w:rPr>
          <w:rFonts w:eastAsia="Times New Roman"/>
          <w:b/>
          <w:sz w:val="22"/>
          <w:szCs w:val="22"/>
        </w:rPr>
        <w:t xml:space="preserve">, além de ser contrabalanceada por fatores não considerados pelo </w:t>
      </w:r>
      <w:proofErr w:type="spellStart"/>
      <w:r w:rsidR="008C69BF" w:rsidRPr="009062C7">
        <w:rPr>
          <w:rFonts w:eastAsia="Times New Roman"/>
          <w:b/>
          <w:sz w:val="22"/>
          <w:szCs w:val="22"/>
        </w:rPr>
        <w:t>Sicro</w:t>
      </w:r>
      <w:proofErr w:type="spellEnd"/>
      <w:r w:rsidR="008C69BF" w:rsidRPr="009062C7">
        <w:rPr>
          <w:rFonts w:eastAsia="Times New Roman"/>
          <w:b/>
          <w:sz w:val="22"/>
          <w:szCs w:val="22"/>
        </w:rPr>
        <w:t xml:space="preserve"> na formaçã</w:t>
      </w:r>
      <w:r w:rsidR="00703CB5">
        <w:rPr>
          <w:rFonts w:eastAsia="Times New Roman"/>
          <w:b/>
          <w:sz w:val="22"/>
          <w:szCs w:val="22"/>
        </w:rPr>
        <w:t>o do preço de referência, como</w:t>
      </w:r>
      <w:r w:rsidR="008C69BF" w:rsidRPr="009062C7">
        <w:rPr>
          <w:rFonts w:eastAsia="Times New Roman"/>
          <w:b/>
          <w:sz w:val="22"/>
          <w:szCs w:val="22"/>
        </w:rPr>
        <w:t xml:space="preserve"> fator de barganha, economia de escala, valor residual subestimado no cálculo das depreciações dos equipamentos, produtividades ultrapassadas, entre outros.</w:t>
      </w:r>
    </w:p>
    <w:p w:rsidR="008602D0" w:rsidRPr="00F02EA4" w:rsidRDefault="000A413A" w:rsidP="000A413A">
      <w:pPr>
        <w:shd w:val="clear" w:color="auto" w:fill="FFFFFF"/>
        <w:spacing w:after="0"/>
        <w:ind w:left="0"/>
        <w:rPr>
          <w:rFonts w:ascii="Segoe UI WPC" w:hAnsi="Segoe UI WPC"/>
          <w:i/>
          <w:color w:val="282828"/>
          <w:sz w:val="22"/>
          <w:szCs w:val="22"/>
        </w:rPr>
      </w:pPr>
      <w:r w:rsidRPr="009062C7">
        <w:rPr>
          <w:sz w:val="22"/>
          <w:szCs w:val="22"/>
        </w:rPr>
        <w:t>Em A</w:t>
      </w:r>
      <w:r w:rsidR="008C69BF" w:rsidRPr="009062C7">
        <w:rPr>
          <w:sz w:val="22"/>
          <w:szCs w:val="22"/>
        </w:rPr>
        <w:t xml:space="preserve">uditoria </w:t>
      </w:r>
      <w:r w:rsidRPr="009062C7">
        <w:rPr>
          <w:sz w:val="22"/>
          <w:szCs w:val="22"/>
        </w:rPr>
        <w:t>realizada nas obras de execução da BR-226/RN</w:t>
      </w:r>
      <w:r w:rsidR="009407BB">
        <w:rPr>
          <w:sz w:val="22"/>
          <w:szCs w:val="22"/>
        </w:rPr>
        <w:t xml:space="preserve">, o TCU determinara, </w:t>
      </w:r>
      <w:r w:rsidRPr="009062C7">
        <w:rPr>
          <w:sz w:val="22"/>
          <w:szCs w:val="22"/>
        </w:rPr>
        <w:t xml:space="preserve">entre outras medidas, a audiência de diversos responsáveis, em </w:t>
      </w:r>
      <w:r w:rsidR="0094205A" w:rsidRPr="009062C7">
        <w:rPr>
          <w:sz w:val="22"/>
          <w:szCs w:val="22"/>
        </w:rPr>
        <w:t>decorrência</w:t>
      </w:r>
      <w:r w:rsidRPr="009062C7">
        <w:rPr>
          <w:sz w:val="22"/>
          <w:szCs w:val="22"/>
        </w:rPr>
        <w:t xml:space="preserve"> </w:t>
      </w:r>
      <w:r w:rsidR="00D22A8A" w:rsidRPr="009062C7">
        <w:rPr>
          <w:sz w:val="22"/>
          <w:szCs w:val="22"/>
        </w:rPr>
        <w:t>da consideração do “fator chuva” nos orçame</w:t>
      </w:r>
      <w:r w:rsidR="009407BB">
        <w:rPr>
          <w:sz w:val="22"/>
          <w:szCs w:val="22"/>
        </w:rPr>
        <w:t>ntos que serviram de base para</w:t>
      </w:r>
      <w:r w:rsidR="00D22A8A" w:rsidRPr="009062C7">
        <w:rPr>
          <w:sz w:val="22"/>
          <w:szCs w:val="22"/>
        </w:rPr>
        <w:t xml:space="preserve"> reavaliação dos preços contratados. </w:t>
      </w:r>
      <w:r w:rsidR="00852541" w:rsidRPr="009062C7">
        <w:rPr>
          <w:sz w:val="22"/>
          <w:szCs w:val="22"/>
        </w:rPr>
        <w:t>Especificamente, o</w:t>
      </w:r>
      <w:r w:rsidR="009407BB">
        <w:rPr>
          <w:sz w:val="22"/>
          <w:szCs w:val="22"/>
        </w:rPr>
        <w:t xml:space="preserve"> Tribunal constatara</w:t>
      </w:r>
      <w:r w:rsidR="00D22A8A" w:rsidRPr="009062C7">
        <w:rPr>
          <w:sz w:val="22"/>
          <w:szCs w:val="22"/>
        </w:rPr>
        <w:t xml:space="preserve"> </w:t>
      </w:r>
      <w:r w:rsidR="009407BB">
        <w:rPr>
          <w:sz w:val="22"/>
          <w:szCs w:val="22"/>
        </w:rPr>
        <w:t>a majoração d</w:t>
      </w:r>
      <w:r w:rsidR="00D22A8A" w:rsidRPr="009062C7">
        <w:rPr>
          <w:sz w:val="22"/>
          <w:szCs w:val="22"/>
        </w:rPr>
        <w:t xml:space="preserve">o orçamento base da contratação </w:t>
      </w:r>
      <w:r w:rsidR="00852541" w:rsidRPr="009062C7">
        <w:rPr>
          <w:sz w:val="22"/>
          <w:szCs w:val="22"/>
        </w:rPr>
        <w:t>em</w:t>
      </w:r>
      <w:r w:rsidR="00D22A8A" w:rsidRPr="009062C7">
        <w:rPr>
          <w:sz w:val="22"/>
          <w:szCs w:val="22"/>
        </w:rPr>
        <w:t xml:space="preserve"> cerca de 2,76% do valor global</w:t>
      </w:r>
      <w:r w:rsidR="00852541" w:rsidRPr="009062C7">
        <w:rPr>
          <w:sz w:val="22"/>
          <w:szCs w:val="22"/>
        </w:rPr>
        <w:t>,</w:t>
      </w:r>
      <w:r w:rsidR="00D22A8A" w:rsidRPr="009062C7">
        <w:rPr>
          <w:sz w:val="22"/>
          <w:szCs w:val="22"/>
        </w:rPr>
        <w:t xml:space="preserve"> em razão da influência das chuvas nas produtividades das equipes mecânicas constantes das composições do Sistema de</w:t>
      </w:r>
      <w:r w:rsidR="00852541" w:rsidRPr="009062C7">
        <w:rPr>
          <w:sz w:val="22"/>
          <w:szCs w:val="22"/>
        </w:rPr>
        <w:t xml:space="preserve"> </w:t>
      </w:r>
      <w:r w:rsidR="00D22A8A" w:rsidRPr="009062C7">
        <w:rPr>
          <w:sz w:val="22"/>
          <w:szCs w:val="22"/>
        </w:rPr>
        <w:t>Custos Rodoviários (</w:t>
      </w:r>
      <w:proofErr w:type="spellStart"/>
      <w:r w:rsidR="00D22A8A" w:rsidRPr="009062C7">
        <w:rPr>
          <w:sz w:val="22"/>
          <w:szCs w:val="22"/>
        </w:rPr>
        <w:t>Sicro</w:t>
      </w:r>
      <w:proofErr w:type="spellEnd"/>
      <w:r w:rsidR="00D22A8A" w:rsidRPr="009062C7">
        <w:rPr>
          <w:sz w:val="22"/>
          <w:szCs w:val="22"/>
        </w:rPr>
        <w:t xml:space="preserve">) do </w:t>
      </w:r>
      <w:proofErr w:type="spellStart"/>
      <w:r w:rsidR="00D22A8A" w:rsidRPr="009062C7">
        <w:rPr>
          <w:sz w:val="22"/>
          <w:szCs w:val="22"/>
        </w:rPr>
        <w:t>Dnit</w:t>
      </w:r>
      <w:proofErr w:type="spellEnd"/>
      <w:r w:rsidR="00D22A8A" w:rsidRPr="009062C7">
        <w:rPr>
          <w:sz w:val="22"/>
          <w:szCs w:val="22"/>
        </w:rPr>
        <w:t>.</w:t>
      </w:r>
      <w:r w:rsidR="00852541" w:rsidRPr="009062C7">
        <w:rPr>
          <w:sz w:val="22"/>
          <w:szCs w:val="22"/>
        </w:rPr>
        <w:t xml:space="preserve"> Ao examinar o caso, o relator assinalou que “</w:t>
      </w:r>
      <w:r w:rsidR="00852541" w:rsidRPr="009062C7">
        <w:rPr>
          <w:i/>
          <w:sz w:val="22"/>
          <w:szCs w:val="22"/>
        </w:rPr>
        <w:t>desde a prolação do</w:t>
      </w:r>
      <w:r w:rsidR="00F02EA4">
        <w:rPr>
          <w:i/>
          <w:sz w:val="22"/>
          <w:szCs w:val="22"/>
        </w:rPr>
        <w:t xml:space="preserve"> </w:t>
      </w:r>
      <w:hyperlink r:id="rId9" w:history="1">
        <w:r w:rsidR="00F02EA4" w:rsidRPr="00F02EA4">
          <w:rPr>
            <w:rStyle w:val="Hyperlink"/>
            <w:i/>
            <w:sz w:val="22"/>
            <w:szCs w:val="22"/>
            <w:shd w:val="clear" w:color="auto" w:fill="FFFFFF"/>
          </w:rPr>
          <w:t>Acórdão 2.061/2006-Plenário</w:t>
        </w:r>
      </w:hyperlink>
      <w:r w:rsidR="00852541" w:rsidRPr="009062C7">
        <w:rPr>
          <w:i/>
          <w:sz w:val="22"/>
          <w:szCs w:val="22"/>
        </w:rPr>
        <w:t>, em 8/11/2006, o Tribunal passou a rejeitar a inclusão do ‘fator chuva’ nos orçamentos de obras rodoviárias</w:t>
      </w:r>
      <w:r w:rsidR="00852541" w:rsidRPr="009062C7">
        <w:rPr>
          <w:sz w:val="22"/>
          <w:szCs w:val="22"/>
        </w:rPr>
        <w:t xml:space="preserve">”. Esse entendimento baseou-se no fato </w:t>
      </w:r>
      <w:r w:rsidR="00697431" w:rsidRPr="009062C7">
        <w:rPr>
          <w:sz w:val="22"/>
          <w:szCs w:val="22"/>
        </w:rPr>
        <w:t xml:space="preserve">de que a mera ocorrência de chuvas ordinárias não deveria </w:t>
      </w:r>
      <w:r w:rsidR="00BC46CC" w:rsidRPr="009062C7">
        <w:rPr>
          <w:sz w:val="22"/>
          <w:szCs w:val="22"/>
        </w:rPr>
        <w:t>repercuti</w:t>
      </w:r>
      <w:r w:rsidR="00697431" w:rsidRPr="009062C7">
        <w:rPr>
          <w:sz w:val="22"/>
          <w:szCs w:val="22"/>
        </w:rPr>
        <w:t xml:space="preserve">r </w:t>
      </w:r>
      <w:r w:rsidR="00BC46CC" w:rsidRPr="009062C7">
        <w:rPr>
          <w:sz w:val="22"/>
          <w:szCs w:val="22"/>
        </w:rPr>
        <w:lastRenderedPageBreak/>
        <w:t xml:space="preserve">sobre </w:t>
      </w:r>
      <w:r w:rsidR="00697431" w:rsidRPr="009062C7">
        <w:rPr>
          <w:sz w:val="22"/>
          <w:szCs w:val="22"/>
        </w:rPr>
        <w:t xml:space="preserve">os custos consignados no </w:t>
      </w:r>
      <w:proofErr w:type="spellStart"/>
      <w:r w:rsidR="00697431" w:rsidRPr="009062C7">
        <w:rPr>
          <w:sz w:val="22"/>
          <w:szCs w:val="22"/>
        </w:rPr>
        <w:t>Sicro</w:t>
      </w:r>
      <w:proofErr w:type="spellEnd"/>
      <w:r w:rsidR="00697431" w:rsidRPr="009062C7">
        <w:rPr>
          <w:sz w:val="22"/>
          <w:szCs w:val="22"/>
        </w:rPr>
        <w:t>, “</w:t>
      </w:r>
      <w:r w:rsidR="00697431" w:rsidRPr="009062C7">
        <w:rPr>
          <w:i/>
          <w:sz w:val="22"/>
          <w:szCs w:val="22"/>
        </w:rPr>
        <w:t xml:space="preserve">porque a influência das precipitações seria pouca sobre o total contratado e seria contrabalançada por outros fatores não considerados pelo sistema orçamentário (fator de barganha e fator de escala para compra dos insumos, valor residual subestimado no cálculo das depreciações dos equipamentos, produtividades ultrapassadas, </w:t>
      </w:r>
      <w:proofErr w:type="gramStart"/>
      <w:r w:rsidR="00BC46CC" w:rsidRPr="009062C7">
        <w:rPr>
          <w:i/>
          <w:sz w:val="22"/>
          <w:szCs w:val="22"/>
        </w:rPr>
        <w:t>etc.)</w:t>
      </w:r>
      <w:r w:rsidR="00BC46CC" w:rsidRPr="009062C7">
        <w:rPr>
          <w:sz w:val="22"/>
          <w:szCs w:val="22"/>
        </w:rPr>
        <w:t>”</w:t>
      </w:r>
      <w:proofErr w:type="gramEnd"/>
      <w:r w:rsidR="00697431" w:rsidRPr="009062C7">
        <w:rPr>
          <w:sz w:val="22"/>
          <w:szCs w:val="22"/>
        </w:rPr>
        <w:t>.</w:t>
      </w:r>
      <w:r w:rsidR="00852541" w:rsidRPr="009062C7">
        <w:rPr>
          <w:sz w:val="22"/>
          <w:szCs w:val="22"/>
        </w:rPr>
        <w:t xml:space="preserve"> </w:t>
      </w:r>
      <w:r w:rsidR="00D90852" w:rsidRPr="009062C7">
        <w:rPr>
          <w:sz w:val="22"/>
          <w:szCs w:val="22"/>
        </w:rPr>
        <w:t>Não obstante isso, o condutor do processo observou que</w:t>
      </w:r>
      <w:r w:rsidR="00AF70C0" w:rsidRPr="009062C7">
        <w:rPr>
          <w:sz w:val="22"/>
          <w:szCs w:val="22"/>
        </w:rPr>
        <w:t>,</w:t>
      </w:r>
      <w:r w:rsidR="00D90852" w:rsidRPr="009062C7">
        <w:rPr>
          <w:sz w:val="22"/>
          <w:szCs w:val="22"/>
        </w:rPr>
        <w:t xml:space="preserve"> no momento da aprovação dos projetos e celebração dos aditivos, </w:t>
      </w:r>
      <w:r w:rsidR="00AD3E55" w:rsidRPr="009062C7">
        <w:rPr>
          <w:sz w:val="22"/>
          <w:szCs w:val="22"/>
        </w:rPr>
        <w:t>“</w:t>
      </w:r>
      <w:r w:rsidR="00AD3E55" w:rsidRPr="009062C7">
        <w:rPr>
          <w:i/>
          <w:sz w:val="22"/>
          <w:szCs w:val="22"/>
        </w:rPr>
        <w:t>era aplicável o entendimento preconizado pelo</w:t>
      </w:r>
      <w:r w:rsidR="00F02EA4">
        <w:rPr>
          <w:i/>
          <w:sz w:val="22"/>
          <w:szCs w:val="22"/>
        </w:rPr>
        <w:t xml:space="preserve"> </w:t>
      </w:r>
      <w:hyperlink r:id="rId10" w:history="1">
        <w:r w:rsidR="00F02EA4" w:rsidRPr="00F02EA4">
          <w:rPr>
            <w:rStyle w:val="Hyperlink"/>
            <w:i/>
            <w:sz w:val="22"/>
            <w:szCs w:val="22"/>
            <w:shd w:val="clear" w:color="auto" w:fill="FFFFFF"/>
          </w:rPr>
          <w:t>Acórdão 490/2005-Plenário</w:t>
        </w:r>
      </w:hyperlink>
      <w:r w:rsidR="00AD3E55" w:rsidRPr="009062C7">
        <w:rPr>
          <w:i/>
          <w:sz w:val="22"/>
          <w:szCs w:val="22"/>
        </w:rPr>
        <w:t xml:space="preserve">, quando </w:t>
      </w:r>
      <w:proofErr w:type="gramStart"/>
      <w:r w:rsidR="00AD3E55" w:rsidRPr="009062C7">
        <w:rPr>
          <w:i/>
          <w:sz w:val="22"/>
          <w:szCs w:val="22"/>
        </w:rPr>
        <w:t>admitiu-se</w:t>
      </w:r>
      <w:proofErr w:type="gramEnd"/>
      <w:r w:rsidR="00AD3E55" w:rsidRPr="009062C7">
        <w:rPr>
          <w:i/>
          <w:sz w:val="22"/>
          <w:szCs w:val="22"/>
        </w:rPr>
        <w:t>, mesmo que excepcionalmente, a inclusão do ‘fator chuva’ nos orçamentos das obras do Corredor Nordeste</w:t>
      </w:r>
      <w:r w:rsidR="00AD3E55" w:rsidRPr="009062C7">
        <w:rPr>
          <w:sz w:val="22"/>
          <w:szCs w:val="22"/>
        </w:rPr>
        <w:t xml:space="preserve">. </w:t>
      </w:r>
      <w:r w:rsidR="00AD3E55" w:rsidRPr="009062C7">
        <w:rPr>
          <w:i/>
          <w:sz w:val="22"/>
          <w:szCs w:val="22"/>
        </w:rPr>
        <w:t xml:space="preserve">Na mesma época, o Tribunal também acatou a inclusão do ‘fator chuva’ ao discutir a ocorrência de </w:t>
      </w:r>
      <w:proofErr w:type="spellStart"/>
      <w:r w:rsidR="00AD3E55" w:rsidRPr="009062C7">
        <w:rPr>
          <w:i/>
          <w:sz w:val="22"/>
          <w:szCs w:val="22"/>
        </w:rPr>
        <w:t>sobrepreço</w:t>
      </w:r>
      <w:proofErr w:type="spellEnd"/>
      <w:r w:rsidR="00AD3E55" w:rsidRPr="009062C7">
        <w:rPr>
          <w:i/>
          <w:sz w:val="22"/>
          <w:szCs w:val="22"/>
        </w:rPr>
        <w:t xml:space="preserve"> em obra da BR-242/TO, conforme</w:t>
      </w:r>
      <w:r w:rsidR="00F02EA4">
        <w:rPr>
          <w:i/>
          <w:sz w:val="22"/>
          <w:szCs w:val="22"/>
        </w:rPr>
        <w:t xml:space="preserve"> </w:t>
      </w:r>
      <w:hyperlink r:id="rId11" w:history="1">
        <w:r w:rsidR="00F02EA4" w:rsidRPr="00F02EA4">
          <w:rPr>
            <w:rStyle w:val="Hyperlink"/>
            <w:i/>
            <w:sz w:val="22"/>
            <w:szCs w:val="22"/>
            <w:shd w:val="clear" w:color="auto" w:fill="FFFFFF"/>
          </w:rPr>
          <w:t>Acórdão 1438/2005-Plenário</w:t>
        </w:r>
      </w:hyperlink>
      <w:r w:rsidR="00AD3E55" w:rsidRPr="009062C7">
        <w:rPr>
          <w:i/>
          <w:sz w:val="22"/>
          <w:szCs w:val="22"/>
        </w:rPr>
        <w:t>, de 14/9/2005</w:t>
      </w:r>
      <w:r w:rsidR="00AD3E55" w:rsidRPr="009062C7">
        <w:rPr>
          <w:sz w:val="22"/>
          <w:szCs w:val="22"/>
        </w:rPr>
        <w:t>”.</w:t>
      </w:r>
      <w:r w:rsidR="00B908D5">
        <w:rPr>
          <w:sz w:val="22"/>
          <w:szCs w:val="22"/>
        </w:rPr>
        <w:t xml:space="preserve"> Assim, considerando o entendimento </w:t>
      </w:r>
      <w:r w:rsidR="00AD3E55" w:rsidRPr="009062C7">
        <w:rPr>
          <w:sz w:val="22"/>
          <w:szCs w:val="22"/>
        </w:rPr>
        <w:t>juris</w:t>
      </w:r>
      <w:r w:rsidR="00B908D5">
        <w:rPr>
          <w:sz w:val="22"/>
          <w:szCs w:val="22"/>
        </w:rPr>
        <w:t>prudencial da época</w:t>
      </w:r>
      <w:r w:rsidR="00AD3E55" w:rsidRPr="009062C7">
        <w:rPr>
          <w:sz w:val="22"/>
          <w:szCs w:val="22"/>
        </w:rPr>
        <w:t xml:space="preserve"> e que a falha verificada não acarretou </w:t>
      </w:r>
      <w:r w:rsidR="00AF70C0" w:rsidRPr="009062C7">
        <w:rPr>
          <w:sz w:val="22"/>
          <w:szCs w:val="22"/>
        </w:rPr>
        <w:t>prejuíz</w:t>
      </w:r>
      <w:r w:rsidR="00AD3E55" w:rsidRPr="009062C7">
        <w:rPr>
          <w:sz w:val="22"/>
          <w:szCs w:val="22"/>
        </w:rPr>
        <w:t xml:space="preserve">o ao erário, pois houve a retenção cautelar dos valores medidos a maior devido à </w:t>
      </w:r>
      <w:r w:rsidR="00CD6228" w:rsidRPr="009062C7">
        <w:rPr>
          <w:sz w:val="22"/>
          <w:szCs w:val="22"/>
        </w:rPr>
        <w:t xml:space="preserve">inclusão do “fator chuva”, o relator propôs </w:t>
      </w:r>
      <w:r w:rsidR="00AF70C0" w:rsidRPr="009062C7">
        <w:rPr>
          <w:sz w:val="22"/>
          <w:szCs w:val="22"/>
        </w:rPr>
        <w:t xml:space="preserve">acolher </w:t>
      </w:r>
      <w:r w:rsidR="00CD6228" w:rsidRPr="009062C7">
        <w:rPr>
          <w:sz w:val="22"/>
          <w:szCs w:val="22"/>
        </w:rPr>
        <w:t>as razões de justificativa apresentadas</w:t>
      </w:r>
      <w:r w:rsidR="00AD3E55" w:rsidRPr="009062C7">
        <w:rPr>
          <w:sz w:val="22"/>
          <w:szCs w:val="22"/>
        </w:rPr>
        <w:t xml:space="preserve"> </w:t>
      </w:r>
      <w:r w:rsidR="00CD6228" w:rsidRPr="009062C7">
        <w:rPr>
          <w:sz w:val="22"/>
          <w:szCs w:val="22"/>
        </w:rPr>
        <w:t xml:space="preserve">pelos </w:t>
      </w:r>
      <w:r w:rsidR="00AF70C0" w:rsidRPr="009062C7">
        <w:rPr>
          <w:sz w:val="22"/>
          <w:szCs w:val="22"/>
        </w:rPr>
        <w:t>responsávei</w:t>
      </w:r>
      <w:r w:rsidR="00CD6228" w:rsidRPr="009062C7">
        <w:rPr>
          <w:sz w:val="22"/>
          <w:szCs w:val="22"/>
        </w:rPr>
        <w:t>s</w:t>
      </w:r>
      <w:r w:rsidR="00AD3E55" w:rsidRPr="009062C7">
        <w:rPr>
          <w:sz w:val="22"/>
          <w:szCs w:val="22"/>
        </w:rPr>
        <w:t>, no que foi acompanhado pelo Colegiado.</w:t>
      </w:r>
      <w:r w:rsidR="00CD6228" w:rsidRPr="009062C7">
        <w:rPr>
          <w:sz w:val="22"/>
          <w:szCs w:val="22"/>
        </w:rPr>
        <w:t xml:space="preserve"> </w:t>
      </w:r>
      <w:hyperlink r:id="rId12" w:history="1">
        <w:r w:rsidR="008602D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Acórdão </w:t>
        </w:r>
        <w:r w:rsidR="003C03B6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2514</w:t>
        </w:r>
        <w:r w:rsidR="008602D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/2015-Plenário</w:t>
        </w:r>
      </w:hyperlink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</w:t>
      </w:r>
      <w:r w:rsidR="003C03B6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010.702/2005-8</w:t>
      </w:r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Benjamin </w:t>
      </w:r>
      <w:proofErr w:type="spellStart"/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</w:t>
      </w:r>
      <w:r w:rsidR="007413BA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14</w:t>
      </w:r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7413BA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10</w:t>
      </w:r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.2015.</w:t>
      </w:r>
    </w:p>
    <w:p w:rsidR="008602D0" w:rsidRPr="009062C7" w:rsidRDefault="008602D0" w:rsidP="006F44C9">
      <w:pPr>
        <w:shd w:val="clear" w:color="auto" w:fill="FFFFFF"/>
        <w:spacing w:after="0"/>
        <w:ind w:left="0"/>
        <w:rPr>
          <w:rFonts w:eastAsia="Times New Roman"/>
          <w:sz w:val="22"/>
          <w:szCs w:val="22"/>
        </w:rPr>
      </w:pPr>
      <w:r w:rsidRPr="009062C7">
        <w:rPr>
          <w:rFonts w:eastAsia="Times New Roman"/>
          <w:sz w:val="22"/>
          <w:szCs w:val="22"/>
        </w:rPr>
        <w:t xml:space="preserve"> </w:t>
      </w:r>
    </w:p>
    <w:p w:rsidR="00797740" w:rsidRPr="009062C7" w:rsidRDefault="00797740" w:rsidP="00797740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9062C7">
        <w:rPr>
          <w:rFonts w:eastAsia="Times New Roman"/>
          <w:b/>
          <w:sz w:val="22"/>
          <w:szCs w:val="22"/>
        </w:rPr>
        <w:t xml:space="preserve">2. </w:t>
      </w:r>
      <w:r w:rsidR="00B629C0" w:rsidRPr="009062C7">
        <w:rPr>
          <w:rFonts w:eastAsia="Times New Roman"/>
          <w:b/>
          <w:sz w:val="22"/>
          <w:szCs w:val="22"/>
        </w:rPr>
        <w:t>Em regra, os editais de pregão devem contemplar orçamento detalhado e critérios de aceitabilidade de preço</w:t>
      </w:r>
      <w:r w:rsidR="00FB0C3E">
        <w:rPr>
          <w:rFonts w:eastAsia="Times New Roman"/>
          <w:b/>
          <w:sz w:val="22"/>
          <w:szCs w:val="22"/>
        </w:rPr>
        <w:t>s</w:t>
      </w:r>
      <w:r w:rsidR="00B629C0" w:rsidRPr="009062C7">
        <w:rPr>
          <w:rFonts w:eastAsia="Times New Roman"/>
          <w:b/>
          <w:sz w:val="22"/>
          <w:szCs w:val="22"/>
        </w:rPr>
        <w:t xml:space="preserve"> unitário</w:t>
      </w:r>
      <w:r w:rsidR="00FB0C3E">
        <w:rPr>
          <w:rFonts w:eastAsia="Times New Roman"/>
          <w:b/>
          <w:sz w:val="22"/>
          <w:szCs w:val="22"/>
        </w:rPr>
        <w:t>s</w:t>
      </w:r>
      <w:r w:rsidR="00B629C0" w:rsidRPr="009062C7">
        <w:rPr>
          <w:rFonts w:eastAsia="Times New Roman"/>
          <w:b/>
          <w:sz w:val="22"/>
          <w:szCs w:val="22"/>
        </w:rPr>
        <w:t xml:space="preserve"> e global, admitida sua dispensa, motivadamente e considerando os riscos e benefícios da medida, no caso de objetos complexos, com alto grau de incerteza em sua definição e/ou características muito peculiares de mercado</w:t>
      </w:r>
      <w:r w:rsidRPr="009062C7">
        <w:rPr>
          <w:rFonts w:eastAsia="Times New Roman"/>
          <w:b/>
          <w:sz w:val="22"/>
          <w:szCs w:val="22"/>
        </w:rPr>
        <w:t>.</w:t>
      </w:r>
    </w:p>
    <w:p w:rsidR="00797740" w:rsidRPr="009062C7" w:rsidRDefault="00FB0C3E" w:rsidP="00797740">
      <w:pPr>
        <w:shd w:val="clear" w:color="auto" w:fill="FFFFFF"/>
        <w:spacing w:after="0"/>
        <w:ind w:left="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 Caixa Econômica Federal opôs Embargos de D</w:t>
      </w:r>
      <w:r w:rsidR="00EE6DA3" w:rsidRPr="009062C7">
        <w:rPr>
          <w:sz w:val="22"/>
          <w:szCs w:val="22"/>
        </w:rPr>
        <w:t>eclaração contra acórdão do TCU que expedira determinação à empresa no sentido de que os futuros editais de licita</w:t>
      </w:r>
      <w:r>
        <w:rPr>
          <w:sz w:val="22"/>
          <w:szCs w:val="22"/>
        </w:rPr>
        <w:t>ção na modalidade pregão incluíssem</w:t>
      </w:r>
      <w:r w:rsidR="00EE6DA3" w:rsidRPr="009062C7">
        <w:rPr>
          <w:sz w:val="22"/>
          <w:szCs w:val="22"/>
        </w:rPr>
        <w:t xml:space="preserve"> orçamento detalhado e critérios de aceitabilidade de preço</w:t>
      </w:r>
      <w:r>
        <w:rPr>
          <w:sz w:val="22"/>
          <w:szCs w:val="22"/>
        </w:rPr>
        <w:t>s</w:t>
      </w:r>
      <w:r w:rsidR="00EE6DA3" w:rsidRPr="009062C7">
        <w:rPr>
          <w:sz w:val="22"/>
          <w:szCs w:val="22"/>
        </w:rPr>
        <w:t xml:space="preserve"> unitário</w:t>
      </w:r>
      <w:r>
        <w:rPr>
          <w:sz w:val="22"/>
          <w:szCs w:val="22"/>
        </w:rPr>
        <w:t>s</w:t>
      </w:r>
      <w:r w:rsidR="00EE6DA3" w:rsidRPr="009062C7">
        <w:rPr>
          <w:sz w:val="22"/>
          <w:szCs w:val="22"/>
        </w:rPr>
        <w:t xml:space="preserve"> e global, em consonância com o art. 6º, inciso IX, alínea “f”, o art. 7º, § 2°, inciso II</w:t>
      </w:r>
      <w:r>
        <w:rPr>
          <w:sz w:val="22"/>
          <w:szCs w:val="22"/>
        </w:rPr>
        <w:t>,</w:t>
      </w:r>
      <w:r w:rsidR="00EE6DA3" w:rsidRPr="009062C7">
        <w:rPr>
          <w:sz w:val="22"/>
          <w:szCs w:val="22"/>
        </w:rPr>
        <w:t xml:space="preserve"> o art. 40, inciso X e §</w:t>
      </w:r>
      <w:r>
        <w:rPr>
          <w:sz w:val="22"/>
          <w:szCs w:val="22"/>
        </w:rPr>
        <w:t xml:space="preserve"> 2º, inciso II, da Lei 8.666/93</w:t>
      </w:r>
      <w:r w:rsidR="00EE6DA3" w:rsidRPr="009062C7">
        <w:rPr>
          <w:sz w:val="22"/>
          <w:szCs w:val="22"/>
        </w:rPr>
        <w:t xml:space="preserve"> e a jurisprudência do TCU. </w:t>
      </w:r>
      <w:r w:rsidR="00622B91" w:rsidRPr="009062C7">
        <w:rPr>
          <w:sz w:val="22"/>
          <w:szCs w:val="22"/>
        </w:rPr>
        <w:t>A</w:t>
      </w:r>
      <w:r w:rsidR="00EE6DA3" w:rsidRPr="009062C7">
        <w:rPr>
          <w:sz w:val="22"/>
          <w:szCs w:val="22"/>
        </w:rPr>
        <w:t xml:space="preserve"> C</w:t>
      </w:r>
      <w:r w:rsidR="00622B91" w:rsidRPr="009062C7">
        <w:rPr>
          <w:sz w:val="22"/>
          <w:szCs w:val="22"/>
        </w:rPr>
        <w:t>aixa</w:t>
      </w:r>
      <w:r w:rsidR="00EE6DA3" w:rsidRPr="009062C7">
        <w:rPr>
          <w:sz w:val="22"/>
          <w:szCs w:val="22"/>
        </w:rPr>
        <w:t xml:space="preserve"> argumentou que: a) os ditames da Lei de Licitações não se aplicam à modalidade pregão, que possui lei específica; e b) o Tribunal firmou entendimento no sentido de que não seria obrigatória a inclusão de orçamento estimado em planilhas de quantitativos e preços unitários no edital do pregão. </w:t>
      </w:r>
      <w:r w:rsidR="00622B91" w:rsidRPr="009062C7">
        <w:rPr>
          <w:sz w:val="22"/>
          <w:szCs w:val="22"/>
        </w:rPr>
        <w:t>Analisando o caso, p</w:t>
      </w:r>
      <w:r w:rsidR="00EE6DA3" w:rsidRPr="009062C7">
        <w:rPr>
          <w:sz w:val="22"/>
          <w:szCs w:val="22"/>
        </w:rPr>
        <w:t>onderou o relator que “</w:t>
      </w:r>
      <w:r w:rsidR="00EE6DA3" w:rsidRPr="009062C7">
        <w:rPr>
          <w:i/>
          <w:sz w:val="22"/>
          <w:szCs w:val="22"/>
        </w:rPr>
        <w:t>a aplicação subsidiária da Lei 8.666/93, norma que estabelece as regras gerais para todas as modalidades de licitação, incluindo o pregão, está prevista no art. 9º da Lei 10.520/2002</w:t>
      </w:r>
      <w:r w:rsidR="00C43DE8">
        <w:rPr>
          <w:i/>
          <w:sz w:val="22"/>
          <w:szCs w:val="22"/>
        </w:rPr>
        <w:t>,</w:t>
      </w:r>
      <w:r w:rsidR="00EE6DA3" w:rsidRPr="009062C7">
        <w:rPr>
          <w:i/>
          <w:sz w:val="22"/>
          <w:szCs w:val="22"/>
        </w:rPr>
        <w:t xml:space="preserve"> que institui o pregão, não subsistindo dúvidas sobre esse tema</w:t>
      </w:r>
      <w:r w:rsidR="00EE6DA3" w:rsidRPr="009062C7">
        <w:rPr>
          <w:sz w:val="22"/>
          <w:szCs w:val="22"/>
        </w:rPr>
        <w:t xml:space="preserve">”. </w:t>
      </w:r>
      <w:r w:rsidR="00622B91" w:rsidRPr="009062C7">
        <w:rPr>
          <w:sz w:val="22"/>
          <w:szCs w:val="22"/>
        </w:rPr>
        <w:t>Q</w:t>
      </w:r>
      <w:r w:rsidR="00EE6DA3" w:rsidRPr="009062C7">
        <w:rPr>
          <w:sz w:val="22"/>
          <w:szCs w:val="22"/>
        </w:rPr>
        <w:t>uanto à afirmação da embargante de que a jurisprudência do TCU é tendente a afastar a exigência da inclusão de orçamento estimado em planilhas de quantitativos e preços unitários no edital do pregão, entendeu o relator que a alegação “</w:t>
      </w:r>
      <w:r w:rsidR="00EE6DA3" w:rsidRPr="009062C7">
        <w:rPr>
          <w:i/>
          <w:sz w:val="22"/>
          <w:szCs w:val="22"/>
        </w:rPr>
        <w:t>é parcialmente procedente</w:t>
      </w:r>
      <w:r w:rsidR="00EE6DA3" w:rsidRPr="009062C7">
        <w:rPr>
          <w:sz w:val="22"/>
          <w:szCs w:val="22"/>
        </w:rPr>
        <w:t>”. Expôs que se verifica na jurisprudência do Tribunal “</w:t>
      </w:r>
      <w:r w:rsidR="00EE6DA3" w:rsidRPr="009062C7">
        <w:rPr>
          <w:i/>
          <w:sz w:val="22"/>
          <w:szCs w:val="22"/>
        </w:rPr>
        <w:t>um amadurecimento de ideias, não havendo, no entanto, entendimento firmado até o momento</w:t>
      </w:r>
      <w:r w:rsidR="00EE6DA3" w:rsidRPr="009062C7">
        <w:rPr>
          <w:sz w:val="22"/>
          <w:szCs w:val="22"/>
        </w:rPr>
        <w:t xml:space="preserve">”. Neste ponto, o relator afirmou sua convicção </w:t>
      </w:r>
      <w:r w:rsidR="00D52DE4" w:rsidRPr="009062C7">
        <w:rPr>
          <w:sz w:val="22"/>
          <w:szCs w:val="22"/>
        </w:rPr>
        <w:t xml:space="preserve">de </w:t>
      </w:r>
      <w:r w:rsidR="00EE6DA3" w:rsidRPr="009062C7">
        <w:rPr>
          <w:sz w:val="22"/>
          <w:szCs w:val="22"/>
        </w:rPr>
        <w:t>“</w:t>
      </w:r>
      <w:r w:rsidR="00EE6DA3" w:rsidRPr="009062C7">
        <w:rPr>
          <w:i/>
          <w:sz w:val="22"/>
          <w:szCs w:val="22"/>
        </w:rPr>
        <w:t>que, de maneira geral, deve permanecer a exigência de inserir o orçamento detalhado e critérios de aceitabilidade de preço unitário e global</w:t>
      </w:r>
      <w:r w:rsidR="00EE6DA3" w:rsidRPr="009062C7">
        <w:rPr>
          <w:sz w:val="22"/>
          <w:szCs w:val="22"/>
        </w:rPr>
        <w:t>”, que deve ser “</w:t>
      </w:r>
      <w:r w:rsidR="00EE6DA3" w:rsidRPr="009062C7">
        <w:rPr>
          <w:i/>
          <w:sz w:val="22"/>
          <w:szCs w:val="22"/>
        </w:rPr>
        <w:t>elaborado em consonância com os valores praticados no mercado</w:t>
      </w:r>
      <w:r w:rsidR="00EE6DA3" w:rsidRPr="009062C7">
        <w:rPr>
          <w:sz w:val="22"/>
          <w:szCs w:val="22"/>
        </w:rPr>
        <w:t>”. Explicou</w:t>
      </w:r>
      <w:r w:rsidR="00C43DE8">
        <w:rPr>
          <w:sz w:val="22"/>
          <w:szCs w:val="22"/>
        </w:rPr>
        <w:t xml:space="preserve"> ainda</w:t>
      </w:r>
      <w:r w:rsidR="00EE6DA3" w:rsidRPr="009062C7">
        <w:rPr>
          <w:sz w:val="22"/>
          <w:szCs w:val="22"/>
        </w:rPr>
        <w:t xml:space="preserve"> que “</w:t>
      </w:r>
      <w:r w:rsidR="00EE6DA3" w:rsidRPr="009062C7">
        <w:rPr>
          <w:i/>
          <w:sz w:val="22"/>
          <w:szCs w:val="22"/>
        </w:rPr>
        <w:t>o objetivo de tal publicidade é assegurar a isonomia entre as licitantes</w:t>
      </w:r>
      <w:r w:rsidR="00C43DE8">
        <w:rPr>
          <w:sz w:val="22"/>
          <w:szCs w:val="22"/>
        </w:rPr>
        <w:t>”, de modo</w:t>
      </w:r>
      <w:r w:rsidR="00EE6DA3" w:rsidRPr="009062C7">
        <w:rPr>
          <w:sz w:val="22"/>
          <w:szCs w:val="22"/>
        </w:rPr>
        <w:t xml:space="preserve"> </w:t>
      </w:r>
      <w:r w:rsidR="00C43DE8">
        <w:rPr>
          <w:sz w:val="22"/>
          <w:szCs w:val="22"/>
        </w:rPr>
        <w:t>ao pregoeiro dispor</w:t>
      </w:r>
      <w:r w:rsidR="00EE6DA3" w:rsidRPr="009062C7">
        <w:rPr>
          <w:sz w:val="22"/>
          <w:szCs w:val="22"/>
        </w:rPr>
        <w:t xml:space="preserve"> de “</w:t>
      </w:r>
      <w:r w:rsidR="00EE6DA3" w:rsidRPr="009062C7">
        <w:rPr>
          <w:i/>
          <w:sz w:val="22"/>
          <w:szCs w:val="22"/>
        </w:rPr>
        <w:t xml:space="preserve">critério objetivo de aceitabilidade de preços unitário e global para julgar a exequibilidade das propostas dos </w:t>
      </w:r>
      <w:proofErr w:type="spellStart"/>
      <w:r w:rsidR="00EE6DA3" w:rsidRPr="009062C7">
        <w:rPr>
          <w:i/>
          <w:sz w:val="22"/>
          <w:szCs w:val="22"/>
        </w:rPr>
        <w:t>certamistas</w:t>
      </w:r>
      <w:proofErr w:type="spellEnd"/>
      <w:r w:rsidR="00EE6DA3" w:rsidRPr="009062C7">
        <w:rPr>
          <w:sz w:val="22"/>
          <w:szCs w:val="22"/>
        </w:rPr>
        <w:t>”</w:t>
      </w:r>
      <w:r w:rsidR="00C43DE8">
        <w:rPr>
          <w:sz w:val="22"/>
          <w:szCs w:val="22"/>
        </w:rPr>
        <w:t>,</w:t>
      </w:r>
      <w:r w:rsidR="00EE6DA3" w:rsidRPr="009062C7">
        <w:rPr>
          <w:sz w:val="22"/>
          <w:szCs w:val="22"/>
        </w:rPr>
        <w:t xml:space="preserve"> </w:t>
      </w:r>
      <w:r w:rsidR="00622B91" w:rsidRPr="009062C7">
        <w:rPr>
          <w:sz w:val="22"/>
          <w:szCs w:val="22"/>
        </w:rPr>
        <w:t>e</w:t>
      </w:r>
      <w:r w:rsidR="00EE6DA3" w:rsidRPr="009062C7">
        <w:rPr>
          <w:sz w:val="22"/>
          <w:szCs w:val="22"/>
        </w:rPr>
        <w:t xml:space="preserve"> que “</w:t>
      </w:r>
      <w:r w:rsidR="00EE6DA3" w:rsidRPr="009062C7">
        <w:rPr>
          <w:i/>
          <w:sz w:val="22"/>
          <w:szCs w:val="22"/>
        </w:rPr>
        <w:t>retirar essa exigência de todas as licitações pode comprometer a transparência na sua condução, o tratamento isonômico entre os licitantes, o critério objetivo de julgamento e, por conseguinte, os resultados dos certames com eventual prejuízo à Administração</w:t>
      </w:r>
      <w:r w:rsidR="00EE6DA3" w:rsidRPr="009062C7">
        <w:rPr>
          <w:sz w:val="22"/>
          <w:szCs w:val="22"/>
        </w:rPr>
        <w:t>”. Em sua conclusão, o relator sopesou que “</w:t>
      </w:r>
      <w:r w:rsidR="00EE6DA3" w:rsidRPr="009062C7">
        <w:rPr>
          <w:i/>
          <w:sz w:val="22"/>
          <w:szCs w:val="22"/>
        </w:rPr>
        <w:t>a exigência poderá ser dispensada em casos particulares, com a cautela requerida</w:t>
      </w:r>
      <w:r w:rsidR="00EE6DA3" w:rsidRPr="009062C7">
        <w:rPr>
          <w:sz w:val="22"/>
          <w:szCs w:val="22"/>
        </w:rPr>
        <w:t>” e desde que motivadamente “</w:t>
      </w:r>
      <w:r w:rsidR="00EE6DA3" w:rsidRPr="009062C7">
        <w:rPr>
          <w:i/>
          <w:sz w:val="22"/>
          <w:szCs w:val="22"/>
        </w:rPr>
        <w:t>para objetos complexos, com alto grau de incerteza em sua definição e/ou características muito peculiares de mercado que justifiquem a medida, considerando os riscos e benefícios esperados para a Administração no caso concreto</w:t>
      </w:r>
      <w:r w:rsidR="00EE6DA3" w:rsidRPr="009062C7">
        <w:rPr>
          <w:sz w:val="22"/>
          <w:szCs w:val="22"/>
        </w:rPr>
        <w:t>”</w:t>
      </w:r>
      <w:r w:rsidR="00797740" w:rsidRPr="009062C7">
        <w:rPr>
          <w:sz w:val="22"/>
          <w:szCs w:val="22"/>
        </w:rPr>
        <w:t>.</w:t>
      </w:r>
      <w:r w:rsidR="00C634AE" w:rsidRPr="009062C7">
        <w:rPr>
          <w:sz w:val="22"/>
          <w:szCs w:val="22"/>
        </w:rPr>
        <w:t xml:space="preserve"> </w:t>
      </w:r>
      <w:r w:rsidR="005D2F6B" w:rsidRPr="009062C7">
        <w:rPr>
          <w:sz w:val="22"/>
          <w:szCs w:val="22"/>
        </w:rPr>
        <w:t>Em sintonia com</w:t>
      </w:r>
      <w:r w:rsidR="00C634AE" w:rsidRPr="009062C7">
        <w:rPr>
          <w:sz w:val="22"/>
          <w:szCs w:val="22"/>
        </w:rPr>
        <w:t xml:space="preserve"> o voto</w:t>
      </w:r>
      <w:r w:rsidR="005D2F6B" w:rsidRPr="009062C7">
        <w:rPr>
          <w:sz w:val="22"/>
          <w:szCs w:val="22"/>
        </w:rPr>
        <w:t xml:space="preserve"> apresentado</w:t>
      </w:r>
      <w:r w:rsidR="00C634AE" w:rsidRPr="009062C7">
        <w:rPr>
          <w:sz w:val="22"/>
          <w:szCs w:val="22"/>
        </w:rPr>
        <w:t>, o Plenário acolheu parcialmente os embargos, dando-lhes efeitos infringentes, a fim de conformar o acórdão recorrido ao entendimento defendido pel</w:t>
      </w:r>
      <w:r w:rsidR="005D2F6B" w:rsidRPr="009062C7">
        <w:rPr>
          <w:sz w:val="22"/>
          <w:szCs w:val="22"/>
        </w:rPr>
        <w:t>a</w:t>
      </w:r>
      <w:r w:rsidR="00C634AE" w:rsidRPr="009062C7">
        <w:rPr>
          <w:sz w:val="22"/>
          <w:szCs w:val="22"/>
        </w:rPr>
        <w:t xml:space="preserve"> </w:t>
      </w:r>
      <w:r w:rsidR="005D2F6B" w:rsidRPr="009062C7">
        <w:rPr>
          <w:sz w:val="22"/>
          <w:szCs w:val="22"/>
        </w:rPr>
        <w:t>relatoria</w:t>
      </w:r>
      <w:r w:rsidR="00C634AE" w:rsidRPr="009062C7">
        <w:rPr>
          <w:sz w:val="22"/>
          <w:szCs w:val="22"/>
        </w:rPr>
        <w:t xml:space="preserve">. </w:t>
      </w:r>
      <w:r w:rsidR="00797740" w:rsidRPr="009062C7">
        <w:rPr>
          <w:sz w:val="22"/>
          <w:szCs w:val="22"/>
        </w:rPr>
        <w:t xml:space="preserve"> </w:t>
      </w:r>
      <w:hyperlink r:id="rId13" w:history="1">
        <w:r w:rsidR="0079774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Acórdão </w:t>
        </w:r>
        <w:r w:rsidR="00114C24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2547</w:t>
        </w:r>
        <w:r w:rsidR="0079774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/2015-Plenário</w:t>
        </w:r>
      </w:hyperlink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</w:t>
      </w:r>
      <w:r w:rsidR="00114C24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005.917/2015-8</w:t>
      </w:r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</w:t>
      </w:r>
      <w:r w:rsidR="00114C24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Raimundo Carreiro</w:t>
      </w:r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, 14.10.2015.</w:t>
      </w:r>
    </w:p>
    <w:p w:rsidR="00797740" w:rsidRPr="009062C7" w:rsidRDefault="00797740" w:rsidP="006F44C9">
      <w:pPr>
        <w:shd w:val="clear" w:color="auto" w:fill="FFFFFF"/>
        <w:spacing w:after="0"/>
        <w:ind w:left="0"/>
        <w:rPr>
          <w:rFonts w:eastAsia="Times New Roman"/>
          <w:sz w:val="22"/>
          <w:szCs w:val="22"/>
        </w:rPr>
      </w:pPr>
    </w:p>
    <w:p w:rsidR="002D2E54" w:rsidRPr="002D2E54" w:rsidRDefault="00797740" w:rsidP="002D2E54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2D2E54">
        <w:rPr>
          <w:rFonts w:eastAsia="Times New Roman"/>
          <w:b/>
          <w:sz w:val="22"/>
          <w:szCs w:val="22"/>
        </w:rPr>
        <w:t xml:space="preserve">3. </w:t>
      </w:r>
      <w:r w:rsidR="002D2E54" w:rsidRPr="002D2E54">
        <w:rPr>
          <w:rFonts w:eastAsia="Times New Roman"/>
          <w:b/>
          <w:sz w:val="22"/>
          <w:szCs w:val="22"/>
        </w:rPr>
        <w:t>Quanto à abrangência da sanção, o impedimento de contratar e licitar com o ente federativo que promove o pregão e fiscaliza o contrato (art. 7º da Lei 10.520/02) é pena mais rígida do que a suspensão temporária de participação em licitação e o impedimento de contratar com um órgão da Administração (art. 87, inciso III, da Lei 8.666/93), e mais branda do que a declaração de inidoneidade para licitar ou contratar com toda a Administração Pública (art. 87, inciso IV, da Lei 8.666/93).</w:t>
      </w:r>
    </w:p>
    <w:p w:rsidR="00797740" w:rsidRPr="00DB1B72" w:rsidRDefault="001D7685" w:rsidP="00A94088">
      <w:pPr>
        <w:shd w:val="clear" w:color="auto" w:fill="FFFFFF"/>
        <w:spacing w:after="0"/>
        <w:ind w:left="0"/>
        <w:rPr>
          <w:rFonts w:ascii="Segoe UI WPC" w:hAnsi="Segoe UI WPC"/>
          <w:color w:val="282828"/>
          <w:sz w:val="21"/>
          <w:szCs w:val="23"/>
        </w:rPr>
      </w:pPr>
      <w:r w:rsidRPr="009062C7">
        <w:rPr>
          <w:sz w:val="22"/>
          <w:szCs w:val="22"/>
        </w:rPr>
        <w:t>E</w:t>
      </w:r>
      <w:r w:rsidR="00A94088" w:rsidRPr="009062C7">
        <w:rPr>
          <w:sz w:val="22"/>
          <w:szCs w:val="22"/>
        </w:rPr>
        <w:t>m sede de E</w:t>
      </w:r>
      <w:r w:rsidRPr="009062C7">
        <w:rPr>
          <w:sz w:val="22"/>
          <w:szCs w:val="22"/>
        </w:rPr>
        <w:t>mbargos de Declaração</w:t>
      </w:r>
      <w:r w:rsidR="00A94088" w:rsidRPr="009062C7">
        <w:rPr>
          <w:sz w:val="22"/>
          <w:szCs w:val="22"/>
        </w:rPr>
        <w:t>,</w:t>
      </w:r>
      <w:r w:rsidRPr="009062C7">
        <w:rPr>
          <w:sz w:val="22"/>
          <w:szCs w:val="22"/>
        </w:rPr>
        <w:t xml:space="preserve"> </w:t>
      </w:r>
      <w:r w:rsidR="00A94088" w:rsidRPr="009062C7">
        <w:rPr>
          <w:sz w:val="22"/>
          <w:szCs w:val="22"/>
        </w:rPr>
        <w:t xml:space="preserve">o TCU analisou suposto paralelismo relacionado com a aplicação das </w:t>
      </w:r>
      <w:r w:rsidR="00A963F9" w:rsidRPr="009062C7">
        <w:rPr>
          <w:sz w:val="22"/>
          <w:szCs w:val="22"/>
        </w:rPr>
        <w:t>sançõe</w:t>
      </w:r>
      <w:r w:rsidR="00A94088" w:rsidRPr="009062C7">
        <w:rPr>
          <w:sz w:val="22"/>
          <w:szCs w:val="22"/>
        </w:rPr>
        <w:t xml:space="preserve">s previstas no art. 87, </w:t>
      </w:r>
      <w:r w:rsidR="00C43DE8">
        <w:rPr>
          <w:sz w:val="22"/>
          <w:szCs w:val="22"/>
        </w:rPr>
        <w:t>inciso III, da Lei 8.666/93</w:t>
      </w:r>
      <w:r w:rsidR="00A94088" w:rsidRPr="009062C7">
        <w:rPr>
          <w:sz w:val="22"/>
          <w:szCs w:val="22"/>
        </w:rPr>
        <w:t xml:space="preserve"> e no art. 7º da Lei 10.520/02, arguido </w:t>
      </w:r>
      <w:r w:rsidRPr="009062C7">
        <w:rPr>
          <w:sz w:val="22"/>
          <w:szCs w:val="22"/>
        </w:rPr>
        <w:t>por sociedade empresária</w:t>
      </w:r>
      <w:r w:rsidR="00D33685" w:rsidRPr="009062C7">
        <w:rPr>
          <w:sz w:val="22"/>
          <w:szCs w:val="22"/>
        </w:rPr>
        <w:t xml:space="preserve"> do seguinte modo: “</w:t>
      </w:r>
      <w:r w:rsidR="00D33685" w:rsidRPr="009062C7">
        <w:rPr>
          <w:i/>
          <w:sz w:val="22"/>
          <w:szCs w:val="22"/>
        </w:rPr>
        <w:t>soa mais razoável interpretar o artigo 7° da Lei 10.520 considerando-se a mesma abrangência do inciso III do artigo 87 da Lei 8.666, a não ser que haja a declaração de inidoneidade, hipótese em que haveria abrangência semelhante à constante do inciso IV do artigo 87 da Lei 8.666</w:t>
      </w:r>
      <w:r w:rsidR="00D33685" w:rsidRPr="009062C7">
        <w:rPr>
          <w:sz w:val="22"/>
          <w:szCs w:val="22"/>
        </w:rPr>
        <w:t xml:space="preserve">”. Após conhecer do recurso, o relator afirmou que a questão da abrangência das penalidades previstas nos </w:t>
      </w:r>
      <w:r w:rsidR="00FE0E38" w:rsidRPr="009062C7">
        <w:rPr>
          <w:sz w:val="22"/>
          <w:szCs w:val="22"/>
        </w:rPr>
        <w:t>referid</w:t>
      </w:r>
      <w:r w:rsidR="00D33685" w:rsidRPr="009062C7">
        <w:rPr>
          <w:sz w:val="22"/>
          <w:szCs w:val="22"/>
        </w:rPr>
        <w:t xml:space="preserve">os </w:t>
      </w:r>
      <w:r w:rsidR="00D33685" w:rsidRPr="009062C7">
        <w:rPr>
          <w:sz w:val="22"/>
          <w:szCs w:val="22"/>
        </w:rPr>
        <w:lastRenderedPageBreak/>
        <w:t>normativos está pacificada no Tribunal. Mencionando idêntica discu</w:t>
      </w:r>
      <w:r w:rsidR="00FE0E38" w:rsidRPr="009062C7">
        <w:rPr>
          <w:sz w:val="22"/>
          <w:szCs w:val="22"/>
        </w:rPr>
        <w:t>ssão</w:t>
      </w:r>
      <w:r w:rsidR="00C43DE8">
        <w:rPr>
          <w:sz w:val="22"/>
          <w:szCs w:val="22"/>
        </w:rPr>
        <w:t xml:space="preserve"> travada</w:t>
      </w:r>
      <w:r w:rsidR="00D33685" w:rsidRPr="009062C7">
        <w:rPr>
          <w:sz w:val="22"/>
          <w:szCs w:val="22"/>
        </w:rPr>
        <w:t xml:space="preserve"> </w:t>
      </w:r>
      <w:r w:rsidR="00783F5D" w:rsidRPr="009062C7">
        <w:rPr>
          <w:sz w:val="22"/>
          <w:szCs w:val="22"/>
        </w:rPr>
        <w:t>no</w:t>
      </w:r>
      <w:r w:rsidR="00DB1B72">
        <w:rPr>
          <w:sz w:val="22"/>
          <w:szCs w:val="22"/>
        </w:rPr>
        <w:t xml:space="preserve"> </w:t>
      </w:r>
      <w:hyperlink r:id="rId14" w:history="1">
        <w:r w:rsidR="00DB1B72" w:rsidRPr="00DB1B72">
          <w:rPr>
            <w:rStyle w:val="Hyperlink"/>
            <w:sz w:val="22"/>
            <w:szCs w:val="23"/>
            <w:shd w:val="clear" w:color="auto" w:fill="FFFFFF"/>
          </w:rPr>
          <w:t>Acórdão 2.081/2014 Plenário</w:t>
        </w:r>
      </w:hyperlink>
      <w:bookmarkStart w:id="0" w:name="_GoBack"/>
      <w:bookmarkEnd w:id="0"/>
      <w:r w:rsidR="00783F5D" w:rsidRPr="009062C7">
        <w:rPr>
          <w:sz w:val="22"/>
          <w:szCs w:val="22"/>
        </w:rPr>
        <w:t>, o relator asseverou que</w:t>
      </w:r>
      <w:r w:rsidR="00FE0E38" w:rsidRPr="009062C7">
        <w:rPr>
          <w:sz w:val="22"/>
          <w:szCs w:val="22"/>
        </w:rPr>
        <w:t xml:space="preserve"> “</w:t>
      </w:r>
      <w:r w:rsidR="00C43DE8">
        <w:rPr>
          <w:i/>
          <w:sz w:val="22"/>
          <w:szCs w:val="22"/>
        </w:rPr>
        <w:t>o</w:t>
      </w:r>
      <w:r w:rsidR="00FE0E38" w:rsidRPr="009062C7">
        <w:rPr>
          <w:i/>
          <w:sz w:val="22"/>
          <w:szCs w:val="22"/>
        </w:rPr>
        <w:t>s dispositivos estão inseridos em leis diferentes e tratam do assunto dando tratamento diferenciado em cada situação</w:t>
      </w:r>
      <w:r w:rsidR="00FE0E38" w:rsidRPr="009062C7">
        <w:rPr>
          <w:sz w:val="22"/>
          <w:szCs w:val="22"/>
        </w:rPr>
        <w:t xml:space="preserve">”, inexistindo paralelismo de entendimento entre os normativos. Na ótica do relator, a Lei 10.520/02 criou mais uma </w:t>
      </w:r>
      <w:r w:rsidR="00DC5BC4" w:rsidRPr="009062C7">
        <w:rPr>
          <w:sz w:val="22"/>
          <w:szCs w:val="22"/>
        </w:rPr>
        <w:t>penalidade</w:t>
      </w:r>
      <w:r w:rsidR="00FE0E38" w:rsidRPr="009062C7">
        <w:rPr>
          <w:sz w:val="22"/>
          <w:szCs w:val="22"/>
        </w:rPr>
        <w:t xml:space="preserve"> que pode </w:t>
      </w:r>
      <w:r w:rsidR="00DC5BC4" w:rsidRPr="009062C7">
        <w:rPr>
          <w:sz w:val="22"/>
          <w:szCs w:val="22"/>
        </w:rPr>
        <w:t>integrar-se às sanções previstas na Lei 8.666/93, não havendo antinomia entre elas. Em arremate ao seu posicionamento, o relator aquilatou que “</w:t>
      </w:r>
      <w:r w:rsidR="00DC5BC4" w:rsidRPr="009062C7">
        <w:rPr>
          <w:i/>
          <w:sz w:val="22"/>
          <w:szCs w:val="22"/>
        </w:rPr>
        <w:t xml:space="preserve">o impedimento de contratar e licitar com o </w:t>
      </w:r>
      <w:r w:rsidR="00DC5BC4" w:rsidRPr="009062C7">
        <w:rPr>
          <w:b/>
          <w:i/>
          <w:sz w:val="22"/>
          <w:szCs w:val="22"/>
          <w:u w:val="single"/>
        </w:rPr>
        <w:t>ente federativo</w:t>
      </w:r>
      <w:r w:rsidR="00DC5BC4" w:rsidRPr="009062C7">
        <w:rPr>
          <w:i/>
          <w:sz w:val="22"/>
          <w:szCs w:val="22"/>
        </w:rPr>
        <w:t xml:space="preserve"> que promove o pregão e fiscaliza o contrato (art. 7º da Lei 10.520/2002) seria pena mais rígida que a mera suspensão temporária de participação em licitação e impedimento de contratar com um </w:t>
      </w:r>
      <w:r w:rsidR="00DC5BC4" w:rsidRPr="009062C7">
        <w:rPr>
          <w:b/>
          <w:i/>
          <w:sz w:val="22"/>
          <w:szCs w:val="22"/>
          <w:u w:val="single"/>
        </w:rPr>
        <w:t>órgão da Administração</w:t>
      </w:r>
      <w:r w:rsidR="00DC5BC4" w:rsidRPr="009062C7">
        <w:rPr>
          <w:i/>
          <w:sz w:val="22"/>
          <w:szCs w:val="22"/>
        </w:rPr>
        <w:t xml:space="preserve"> (art. 87, inciso III, da Lei 8.666/1993) e mais branda que a declaração de inidoneidade para licitar ou contratar com </w:t>
      </w:r>
      <w:r w:rsidR="00DC5BC4" w:rsidRPr="009062C7">
        <w:rPr>
          <w:b/>
          <w:i/>
          <w:sz w:val="22"/>
          <w:szCs w:val="22"/>
          <w:u w:val="single"/>
        </w:rPr>
        <w:t>toda a Administração Pública</w:t>
      </w:r>
      <w:r w:rsidR="00DC5BC4" w:rsidRPr="009062C7">
        <w:rPr>
          <w:i/>
          <w:sz w:val="22"/>
          <w:szCs w:val="22"/>
        </w:rPr>
        <w:t xml:space="preserve"> (art. 87, inciso IV, da Lei 8.666/1993)</w:t>
      </w:r>
      <w:r w:rsidR="00DC5BC4" w:rsidRPr="009062C7">
        <w:rPr>
          <w:sz w:val="22"/>
          <w:szCs w:val="22"/>
        </w:rPr>
        <w:t>”</w:t>
      </w:r>
      <w:r w:rsidR="00C43DE8">
        <w:rPr>
          <w:sz w:val="22"/>
          <w:szCs w:val="22"/>
        </w:rPr>
        <w:t xml:space="preserve"> (grifos nossos)</w:t>
      </w:r>
      <w:r w:rsidR="00542A12" w:rsidRPr="009062C7">
        <w:rPr>
          <w:sz w:val="22"/>
          <w:szCs w:val="22"/>
        </w:rPr>
        <w:t>.</w:t>
      </w:r>
      <w:r w:rsidR="00DC5BC4" w:rsidRPr="009062C7">
        <w:rPr>
          <w:sz w:val="22"/>
          <w:szCs w:val="22"/>
        </w:rPr>
        <w:t xml:space="preserve"> </w:t>
      </w:r>
      <w:r w:rsidR="00542A12" w:rsidRPr="009062C7">
        <w:rPr>
          <w:sz w:val="22"/>
          <w:szCs w:val="22"/>
        </w:rPr>
        <w:t xml:space="preserve">Transcrevendo diversas deliberações que amparavam o seu posicionamento e aduzindo a ausência de contradição pelo fato de não terem sido acolhidas as teses e </w:t>
      </w:r>
      <w:r w:rsidR="00E95832" w:rsidRPr="009062C7">
        <w:rPr>
          <w:sz w:val="22"/>
          <w:szCs w:val="22"/>
        </w:rPr>
        <w:t>interpretações apresentadas</w:t>
      </w:r>
      <w:r w:rsidR="00542A12" w:rsidRPr="009062C7">
        <w:rPr>
          <w:sz w:val="22"/>
          <w:szCs w:val="22"/>
        </w:rPr>
        <w:t xml:space="preserve">, o relator </w:t>
      </w:r>
      <w:r w:rsidR="009E5CBE" w:rsidRPr="009062C7">
        <w:rPr>
          <w:sz w:val="22"/>
          <w:szCs w:val="22"/>
        </w:rPr>
        <w:t xml:space="preserve">concluiu </w:t>
      </w:r>
      <w:r w:rsidR="00E95832" w:rsidRPr="009062C7">
        <w:rPr>
          <w:sz w:val="22"/>
          <w:szCs w:val="22"/>
        </w:rPr>
        <w:t>que a recorrente, na verdade, tentava rediscutir o mérito da deliberação recorrida, o que não é admissível na via dos embargos de declaração. Dessa forma, acompanhando o voto da relatoria, o Plenário decidiu conhecer do recurso, para, no mérito, rejeitá-lo</w:t>
      </w:r>
      <w:r w:rsidR="00797740" w:rsidRPr="009062C7">
        <w:rPr>
          <w:sz w:val="22"/>
          <w:szCs w:val="22"/>
        </w:rPr>
        <w:t xml:space="preserve">. </w:t>
      </w:r>
      <w:hyperlink r:id="rId15" w:history="1">
        <w:r w:rsidR="0079774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Acórdão </w:t>
        </w:r>
        <w:r w:rsidR="0098543F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2530</w:t>
        </w:r>
        <w:r w:rsidR="0079774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/2015-Plenário</w:t>
        </w:r>
      </w:hyperlink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</w:t>
      </w:r>
      <w:r w:rsidR="0098543F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016.312/2015-5</w:t>
      </w:r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, relator Ministro B</w:t>
      </w:r>
      <w:r w:rsidR="0098543F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runo Dantas</w:t>
      </w:r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, 14.10.2015.</w:t>
      </w:r>
    </w:p>
    <w:p w:rsidR="00797740" w:rsidRPr="009062C7" w:rsidRDefault="00797740" w:rsidP="006F44C9">
      <w:pPr>
        <w:shd w:val="clear" w:color="auto" w:fill="FFFFFF"/>
        <w:spacing w:after="0"/>
        <w:ind w:left="0"/>
        <w:rPr>
          <w:rFonts w:eastAsia="Times New Roman"/>
          <w:sz w:val="22"/>
          <w:szCs w:val="22"/>
        </w:rPr>
      </w:pPr>
    </w:p>
    <w:p w:rsidR="00797740" w:rsidRPr="009062C7" w:rsidRDefault="00797740" w:rsidP="00797740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9062C7">
        <w:rPr>
          <w:rFonts w:eastAsia="Times New Roman"/>
          <w:b/>
          <w:sz w:val="22"/>
          <w:szCs w:val="22"/>
        </w:rPr>
        <w:t xml:space="preserve">4. </w:t>
      </w:r>
      <w:r w:rsidR="000E7E92" w:rsidRPr="009062C7">
        <w:rPr>
          <w:rFonts w:eastAsia="Times New Roman"/>
          <w:b/>
          <w:sz w:val="22"/>
          <w:szCs w:val="22"/>
        </w:rPr>
        <w:t xml:space="preserve">Nas licitações de serviços de </w:t>
      </w:r>
      <w:r w:rsidR="000E7E92" w:rsidRPr="009A180C">
        <w:rPr>
          <w:rFonts w:eastAsia="Times New Roman"/>
          <w:b/>
          <w:i/>
          <w:sz w:val="22"/>
          <w:szCs w:val="22"/>
        </w:rPr>
        <w:t>outsourcing</w:t>
      </w:r>
      <w:r w:rsidR="000E7E92" w:rsidRPr="009062C7">
        <w:rPr>
          <w:rFonts w:eastAsia="Times New Roman"/>
          <w:b/>
          <w:sz w:val="22"/>
          <w:szCs w:val="22"/>
        </w:rPr>
        <w:t xml:space="preserve"> de impressão, os limites referentes à gramatura de papel devem ser devidamente justificados pela Administração com estudos técnicos</w:t>
      </w:r>
      <w:r w:rsidRPr="009062C7">
        <w:rPr>
          <w:rFonts w:eastAsia="Times New Roman"/>
          <w:b/>
          <w:sz w:val="22"/>
          <w:szCs w:val="22"/>
        </w:rPr>
        <w:t>.</w:t>
      </w:r>
    </w:p>
    <w:p w:rsidR="00797740" w:rsidRPr="009062C7" w:rsidRDefault="00A0675A" w:rsidP="00797740">
      <w:pPr>
        <w:shd w:val="clear" w:color="auto" w:fill="FFFFFF"/>
        <w:spacing w:after="0"/>
        <w:ind w:left="0"/>
        <w:rPr>
          <w:rFonts w:eastAsia="Times New Roman"/>
          <w:sz w:val="22"/>
          <w:szCs w:val="22"/>
        </w:rPr>
      </w:pP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Em Representação formulada contra o Pregão Eletrônico 5/2015 do Instituto Brasileiro de Turismo (Embratur), </w:t>
      </w:r>
      <w:r w:rsidR="00DB68D5" w:rsidRPr="009062C7">
        <w:rPr>
          <w:rFonts w:eastAsia="Times New Roman"/>
          <w:color w:val="000000"/>
          <w:sz w:val="22"/>
          <w:szCs w:val="22"/>
          <w:lang w:eastAsia="pt-BR"/>
        </w:rPr>
        <w:t>que teve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 por objeto a contratação de serviços de </w:t>
      </w:r>
      <w:r w:rsidRPr="009062C7">
        <w:rPr>
          <w:rFonts w:eastAsia="Times New Roman"/>
          <w:i/>
          <w:color w:val="000000"/>
          <w:sz w:val="22"/>
          <w:szCs w:val="22"/>
          <w:lang w:eastAsia="pt-BR"/>
        </w:rPr>
        <w:t xml:space="preserve">outsourcing </w:t>
      </w:r>
      <w:r w:rsidRPr="009A180C">
        <w:rPr>
          <w:rFonts w:eastAsia="Times New Roman"/>
          <w:color w:val="000000"/>
          <w:sz w:val="22"/>
          <w:szCs w:val="22"/>
          <w:lang w:eastAsia="pt-BR"/>
        </w:rPr>
        <w:t>de impressão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 (englobando fornecimento de equipamentos novos para impressões monocromáticas e policr</w:t>
      </w:r>
      <w:r w:rsidR="009A180C">
        <w:rPr>
          <w:rFonts w:eastAsia="Times New Roman"/>
          <w:color w:val="000000"/>
          <w:sz w:val="22"/>
          <w:szCs w:val="22"/>
          <w:lang w:eastAsia="pt-BR"/>
        </w:rPr>
        <w:t>omáticas e de todos os insumos, inclusive papel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, mão de obra especializada para monitoração do ambiente produtivo, reposição de peças e suprimentos originais, além dos serviços de instalação, manutenção e assistência técnica especializada), foram apontadas irregularidades que direcionariam o certame ou restringiriam a sua competitividade. Entre as </w:t>
      </w:r>
      <w:r w:rsidR="00DB68D5" w:rsidRPr="009062C7">
        <w:rPr>
          <w:rFonts w:eastAsia="Times New Roman"/>
          <w:color w:val="000000"/>
          <w:sz w:val="22"/>
          <w:szCs w:val="22"/>
          <w:lang w:eastAsia="pt-BR"/>
        </w:rPr>
        <w:t>ocorr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ências potencialmente restritivas figurou a referente à gramatura do papel: para os itens 1, 2 e 3, requereu-se intervalo de 60 a 220 g/m²; para os itens 4 e 5, de 75 a 250/300 g/m². Tal especificidade gerou a não conformação de alguns equipamentos apresentados por licitantes, que iniciavam com 64 g/m² ou alcançavam apenas 163, 173 ou 216 g/m². A princípio, </w:t>
      </w:r>
      <w:r w:rsidR="00DB68D5" w:rsidRPr="009062C7">
        <w:rPr>
          <w:rFonts w:eastAsia="Times New Roman"/>
          <w:color w:val="000000"/>
          <w:sz w:val="22"/>
          <w:szCs w:val="22"/>
          <w:lang w:eastAsia="pt-BR"/>
        </w:rPr>
        <w:t>destacou o r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>elator, poder-se-ia questionar se tal necessidade de fato se justificaria, já que as impressões tipicame</w:t>
      </w:r>
      <w:r w:rsidR="002B3A05" w:rsidRPr="009062C7">
        <w:rPr>
          <w:rFonts w:eastAsia="Times New Roman"/>
          <w:color w:val="000000"/>
          <w:sz w:val="22"/>
          <w:szCs w:val="22"/>
          <w:lang w:eastAsia="pt-BR"/>
        </w:rPr>
        <w:t>nte monocromáticas da A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dministração </w:t>
      </w:r>
      <w:r w:rsidR="002B3A05" w:rsidRPr="009062C7">
        <w:rPr>
          <w:rFonts w:eastAsia="Times New Roman"/>
          <w:color w:val="000000"/>
          <w:sz w:val="22"/>
          <w:szCs w:val="22"/>
          <w:lang w:eastAsia="pt-BR"/>
        </w:rPr>
        <w:t>P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ública (normas, documentos administrativos, etc.) não exigiriam papel com gramatura inferior a 75 nem superior a 220 g/m². Contudo, ponderou </w:t>
      </w:r>
      <w:r w:rsidR="002B3A05" w:rsidRPr="009062C7">
        <w:rPr>
          <w:rFonts w:eastAsia="Times New Roman"/>
          <w:color w:val="000000"/>
          <w:sz w:val="22"/>
          <w:szCs w:val="22"/>
          <w:lang w:eastAsia="pt-BR"/>
        </w:rPr>
        <w:t>que as exigências poderiam não ser desarrazoadas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>, dada a natureza de agência de promo</w:t>
      </w:r>
      <w:r w:rsidR="009A180C">
        <w:rPr>
          <w:rFonts w:eastAsia="Times New Roman"/>
          <w:color w:val="000000"/>
          <w:sz w:val="22"/>
          <w:szCs w:val="22"/>
          <w:lang w:eastAsia="pt-BR"/>
        </w:rPr>
        <w:t>ção que caracteriza a Embratur, que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 faz da impressão de material publicitário (fotos, banners, etc.) algo intimamente associado à </w:t>
      </w:r>
      <w:r w:rsidR="002B3A05" w:rsidRPr="009062C7">
        <w:rPr>
          <w:rFonts w:eastAsia="Times New Roman"/>
          <w:color w:val="000000"/>
          <w:sz w:val="22"/>
          <w:szCs w:val="22"/>
          <w:lang w:eastAsia="pt-BR"/>
        </w:rPr>
        <w:t xml:space="preserve">sua 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>atividade finalística. O Tribunal, acompanhando</w:t>
      </w:r>
      <w:r w:rsidR="009A180C">
        <w:rPr>
          <w:rFonts w:eastAsia="Times New Roman"/>
          <w:color w:val="000000"/>
          <w:sz w:val="22"/>
          <w:szCs w:val="22"/>
          <w:lang w:eastAsia="pt-BR"/>
        </w:rPr>
        <w:t xml:space="preserve"> a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 proposta do </w:t>
      </w:r>
      <w:r w:rsidR="002B3A05" w:rsidRPr="009062C7">
        <w:rPr>
          <w:rFonts w:eastAsia="Times New Roman"/>
          <w:color w:val="000000"/>
          <w:sz w:val="22"/>
          <w:szCs w:val="22"/>
          <w:lang w:eastAsia="pt-BR"/>
        </w:rPr>
        <w:t>r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 xml:space="preserve">elator, entendeu que, de modo geral, estaria descaracterizada a restrição à competitividade do certame, com ressalva à exigência de gramatura referente aos itens 1, 2 e 3 (60 a 220 g/m²), cujo aprofundamento, porém, deliberou dispensar, ante a participação de oito empresas. Consignou, no entanto, a necessidade de ciência à Embratur de que </w:t>
      </w:r>
      <w:r w:rsidR="002B3A05" w:rsidRPr="009062C7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9062C7">
        <w:rPr>
          <w:rFonts w:eastAsia="Times New Roman"/>
          <w:i/>
          <w:color w:val="000000"/>
          <w:sz w:val="22"/>
          <w:szCs w:val="22"/>
          <w:lang w:eastAsia="pt-BR"/>
        </w:rPr>
        <w:t>nas licitações de outsourcing de impressão, os limites referentes à gramatura de papel devem ser devidamente justificados com estudos técnicos</w:t>
      </w:r>
      <w:r w:rsidR="002B3A05" w:rsidRPr="009062C7">
        <w:rPr>
          <w:rFonts w:eastAsia="Times New Roman"/>
          <w:color w:val="000000"/>
          <w:sz w:val="22"/>
          <w:szCs w:val="22"/>
          <w:lang w:eastAsia="pt-BR"/>
        </w:rPr>
        <w:t>”</w:t>
      </w:r>
      <w:r w:rsidRPr="009062C7">
        <w:rPr>
          <w:rFonts w:eastAsia="Times New Roman"/>
          <w:color w:val="000000"/>
          <w:sz w:val="22"/>
          <w:szCs w:val="22"/>
          <w:lang w:eastAsia="pt-BR"/>
        </w:rPr>
        <w:t>.</w:t>
      </w:r>
      <w:r w:rsidR="00797740" w:rsidRPr="009062C7">
        <w:rPr>
          <w:sz w:val="22"/>
          <w:szCs w:val="22"/>
        </w:rPr>
        <w:t xml:space="preserve"> </w:t>
      </w:r>
      <w:hyperlink r:id="rId16" w:history="1">
        <w:r w:rsidR="0079774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Acórdão </w:t>
        </w:r>
        <w:r w:rsidR="007E303F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2537</w:t>
        </w:r>
        <w:r w:rsidR="0079774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/2015-Plenário</w:t>
        </w:r>
      </w:hyperlink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</w:t>
      </w:r>
      <w:r w:rsidR="007E303F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015.441/2015-6</w:t>
      </w:r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</w:t>
      </w:r>
      <w:r w:rsidR="007E303F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Vital do Rêgo</w:t>
      </w:r>
      <w:r w:rsidR="0079774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, 14.10.2015.</w:t>
      </w:r>
    </w:p>
    <w:p w:rsidR="001958EE" w:rsidRPr="00AC33E2" w:rsidRDefault="001958EE" w:rsidP="001958EE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1958EE" w:rsidRPr="001958EE" w:rsidRDefault="001958EE" w:rsidP="001958E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1958EE">
        <w:rPr>
          <w:b/>
          <w:bCs/>
          <w:smallCaps/>
          <w:sz w:val="22"/>
          <w:szCs w:val="22"/>
        </w:rPr>
        <w:t>PRIMEIR</w:t>
      </w:r>
      <w:r>
        <w:rPr>
          <w:b/>
          <w:bCs/>
          <w:smallCaps/>
          <w:sz w:val="22"/>
          <w:szCs w:val="22"/>
        </w:rPr>
        <w:t>A CÂMARA</w:t>
      </w:r>
    </w:p>
    <w:p w:rsidR="001958EE" w:rsidRPr="003436F1" w:rsidRDefault="001958EE" w:rsidP="001958EE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8602D0" w:rsidRPr="009062C7" w:rsidRDefault="00FA0926" w:rsidP="006F44C9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9062C7">
        <w:rPr>
          <w:rFonts w:eastAsia="Times New Roman"/>
          <w:b/>
          <w:sz w:val="22"/>
          <w:szCs w:val="22"/>
        </w:rPr>
        <w:t>5</w:t>
      </w:r>
      <w:r w:rsidR="008602D0" w:rsidRPr="009062C7">
        <w:rPr>
          <w:rFonts w:eastAsia="Times New Roman"/>
          <w:b/>
          <w:sz w:val="22"/>
          <w:szCs w:val="22"/>
        </w:rPr>
        <w:t xml:space="preserve">. </w:t>
      </w:r>
      <w:r w:rsidR="00844ECB" w:rsidRPr="009062C7">
        <w:rPr>
          <w:rFonts w:eastAsia="Times New Roman"/>
          <w:b/>
          <w:sz w:val="22"/>
          <w:szCs w:val="22"/>
        </w:rPr>
        <w:t>A</w:t>
      </w:r>
      <w:r w:rsidR="00033EF2" w:rsidRPr="009062C7">
        <w:rPr>
          <w:rFonts w:eastAsia="Times New Roman"/>
          <w:b/>
          <w:sz w:val="22"/>
          <w:szCs w:val="22"/>
        </w:rPr>
        <w:t xml:space="preserve"> exigência de prestação de garantia </w:t>
      </w:r>
      <w:r w:rsidR="00F12E56" w:rsidRPr="009062C7">
        <w:rPr>
          <w:rFonts w:eastAsia="Times New Roman"/>
          <w:b/>
          <w:sz w:val="22"/>
          <w:szCs w:val="22"/>
        </w:rPr>
        <w:t xml:space="preserve">antes </w:t>
      </w:r>
      <w:r w:rsidR="0060593F" w:rsidRPr="009062C7">
        <w:rPr>
          <w:rFonts w:eastAsia="Times New Roman"/>
          <w:b/>
          <w:sz w:val="22"/>
          <w:szCs w:val="22"/>
        </w:rPr>
        <w:t>da data de apresentação dos documentos de habilitação</w:t>
      </w:r>
      <w:r w:rsidR="00844ECB" w:rsidRPr="009062C7">
        <w:rPr>
          <w:rFonts w:eastAsia="Times New Roman"/>
          <w:b/>
          <w:sz w:val="22"/>
          <w:szCs w:val="22"/>
        </w:rPr>
        <w:t xml:space="preserve"> não encontra amparo na Lei 8.666/93</w:t>
      </w:r>
      <w:r w:rsidR="00033EF2" w:rsidRPr="009062C7">
        <w:rPr>
          <w:rFonts w:eastAsia="Times New Roman"/>
          <w:b/>
          <w:sz w:val="22"/>
          <w:szCs w:val="22"/>
        </w:rPr>
        <w:t xml:space="preserve">, pois, além de constituir fator restritivo à competitividade, permite o conhecimento antecipado das empresas que efetivamente participarão do certame, com possível dano à </w:t>
      </w:r>
      <w:r w:rsidR="00931955">
        <w:rPr>
          <w:rFonts w:eastAsia="Times New Roman"/>
          <w:b/>
          <w:sz w:val="22"/>
          <w:szCs w:val="22"/>
        </w:rPr>
        <w:t xml:space="preserve">ampla </w:t>
      </w:r>
      <w:r w:rsidR="00033EF2" w:rsidRPr="009062C7">
        <w:rPr>
          <w:rFonts w:eastAsia="Times New Roman"/>
          <w:b/>
          <w:sz w:val="22"/>
          <w:szCs w:val="22"/>
        </w:rPr>
        <w:t>concorrência</w:t>
      </w:r>
      <w:r w:rsidR="008602D0" w:rsidRPr="009062C7">
        <w:rPr>
          <w:rFonts w:eastAsia="Times New Roman"/>
          <w:b/>
          <w:sz w:val="22"/>
          <w:szCs w:val="22"/>
        </w:rPr>
        <w:t>.</w:t>
      </w:r>
    </w:p>
    <w:p w:rsidR="008602D0" w:rsidRPr="009062C7" w:rsidRDefault="00033EF2" w:rsidP="006F44C9">
      <w:pPr>
        <w:spacing w:after="0"/>
        <w:ind w:left="0"/>
        <w:rPr>
          <w:b/>
          <w:sz w:val="22"/>
          <w:szCs w:val="22"/>
        </w:rPr>
      </w:pPr>
      <w:r w:rsidRPr="009062C7">
        <w:rPr>
          <w:sz w:val="22"/>
          <w:szCs w:val="22"/>
        </w:rPr>
        <w:t>Representação formulada pela Controladoria-Geral da União trouxe ao conhecimento do TCU irregularidades ocorridas em licitação custeada com recursos oriundos de contrato de repasse celebrado entr</w:t>
      </w:r>
      <w:r w:rsidR="00D32BF9">
        <w:rPr>
          <w:sz w:val="22"/>
          <w:szCs w:val="22"/>
        </w:rPr>
        <w:t>e o M</w:t>
      </w:r>
      <w:r w:rsidRPr="009062C7">
        <w:rPr>
          <w:sz w:val="22"/>
          <w:szCs w:val="22"/>
        </w:rPr>
        <w:t xml:space="preserve">unicípio de Batalha/AL e o Ministério das Cidades. A </w:t>
      </w:r>
      <w:r w:rsidR="0046400D" w:rsidRPr="009062C7">
        <w:rPr>
          <w:sz w:val="22"/>
          <w:szCs w:val="22"/>
        </w:rPr>
        <w:t>licitação</w:t>
      </w:r>
      <w:r w:rsidRPr="009062C7">
        <w:rPr>
          <w:sz w:val="22"/>
          <w:szCs w:val="22"/>
        </w:rPr>
        <w:t xml:space="preserve"> objetivara a contratação de empresa para a construção de casas populares e a pavimentação de ruas da</w:t>
      </w:r>
      <w:r w:rsidR="00E05FF2" w:rsidRPr="009062C7">
        <w:rPr>
          <w:sz w:val="22"/>
          <w:szCs w:val="22"/>
        </w:rPr>
        <w:t>quele</w:t>
      </w:r>
      <w:r w:rsidRPr="009062C7">
        <w:rPr>
          <w:sz w:val="22"/>
          <w:szCs w:val="22"/>
        </w:rPr>
        <w:t xml:space="preserve"> </w:t>
      </w:r>
      <w:r w:rsidR="00E05FF2" w:rsidRPr="009062C7">
        <w:rPr>
          <w:sz w:val="22"/>
          <w:szCs w:val="22"/>
        </w:rPr>
        <w:t>município</w:t>
      </w:r>
      <w:r w:rsidRPr="009062C7">
        <w:rPr>
          <w:sz w:val="22"/>
          <w:szCs w:val="22"/>
        </w:rPr>
        <w:t>.</w:t>
      </w:r>
      <w:r w:rsidR="00754CE3" w:rsidRPr="009062C7">
        <w:rPr>
          <w:sz w:val="22"/>
          <w:szCs w:val="22"/>
        </w:rPr>
        <w:t xml:space="preserve"> Um dos pontos analisados disse</w:t>
      </w:r>
      <w:r w:rsidRPr="009062C7">
        <w:rPr>
          <w:sz w:val="22"/>
          <w:szCs w:val="22"/>
        </w:rPr>
        <w:t xml:space="preserve"> respeito à exigência constante </w:t>
      </w:r>
      <w:r w:rsidR="00E05FF2" w:rsidRPr="009062C7">
        <w:rPr>
          <w:sz w:val="22"/>
          <w:szCs w:val="22"/>
        </w:rPr>
        <w:t>n</w:t>
      </w:r>
      <w:r w:rsidRPr="009062C7">
        <w:rPr>
          <w:sz w:val="22"/>
          <w:szCs w:val="22"/>
        </w:rPr>
        <w:t xml:space="preserve">o instrumento convocatório de prestação de garantia de participação até três dias antes da data de apresentação dos documentos de habilitação e proposta. Ouvido em audiência, o ex-prefeito, responsável pela aprovação do edital e homologação do certame, alegou que a exigência encontra respaldo nos </w:t>
      </w:r>
      <w:proofErr w:type="spellStart"/>
      <w:r w:rsidRPr="009062C7">
        <w:rPr>
          <w:sz w:val="22"/>
          <w:szCs w:val="22"/>
        </w:rPr>
        <w:t>arts</w:t>
      </w:r>
      <w:proofErr w:type="spellEnd"/>
      <w:r w:rsidRPr="009062C7">
        <w:rPr>
          <w:sz w:val="22"/>
          <w:szCs w:val="22"/>
        </w:rPr>
        <w:t xml:space="preserve">. 31, inciso III, e 56 da Lei 8.666/93, e tem por objetivo colocar a </w:t>
      </w:r>
      <w:r w:rsidR="007B0B70">
        <w:rPr>
          <w:sz w:val="22"/>
          <w:szCs w:val="22"/>
        </w:rPr>
        <w:t>Administração a salvo de riscos</w:t>
      </w:r>
      <w:r w:rsidRPr="009062C7">
        <w:rPr>
          <w:sz w:val="22"/>
          <w:szCs w:val="22"/>
        </w:rPr>
        <w:t xml:space="preserve"> durante a execução do contrato. O relator, discordando da argumentação, aduziu que </w:t>
      </w:r>
      <w:r w:rsidR="00700E47" w:rsidRPr="009062C7">
        <w:rPr>
          <w:sz w:val="22"/>
          <w:szCs w:val="22"/>
        </w:rPr>
        <w:t xml:space="preserve">não </w:t>
      </w:r>
      <w:r w:rsidRPr="009062C7">
        <w:rPr>
          <w:sz w:val="22"/>
          <w:szCs w:val="22"/>
        </w:rPr>
        <w:t>“</w:t>
      </w:r>
      <w:r w:rsidRPr="009062C7">
        <w:rPr>
          <w:i/>
          <w:sz w:val="22"/>
          <w:szCs w:val="22"/>
        </w:rPr>
        <w:t xml:space="preserve">foi justificada adequadamente a exigência relativa à prestação de garantia de participação, correspondente a 1% do valor global previsto, até 3 dias antes da data de apresentação dos documentos de habilitação e proposta”. </w:t>
      </w:r>
      <w:r w:rsidRPr="009062C7">
        <w:rPr>
          <w:sz w:val="22"/>
          <w:szCs w:val="22"/>
        </w:rPr>
        <w:t xml:space="preserve">E </w:t>
      </w:r>
      <w:r w:rsidRPr="009062C7">
        <w:rPr>
          <w:sz w:val="22"/>
          <w:szCs w:val="22"/>
        </w:rPr>
        <w:lastRenderedPageBreak/>
        <w:t xml:space="preserve">continuou: </w:t>
      </w:r>
      <w:r w:rsidR="007B0B70">
        <w:rPr>
          <w:i/>
          <w:sz w:val="22"/>
          <w:szCs w:val="22"/>
        </w:rPr>
        <w:t>“n</w:t>
      </w:r>
      <w:r w:rsidRPr="009062C7">
        <w:rPr>
          <w:i/>
          <w:sz w:val="22"/>
          <w:szCs w:val="22"/>
        </w:rPr>
        <w:t>a verdade, a exigência, além de ilegal e contrária à jurisprudência do TCU, permite conhecer antecipadamente as empresas que efetivamente participarão do certame, facilitando eventuais acordos entre elas, com possível dano à ampla concorrência</w:t>
      </w:r>
      <w:r w:rsidRPr="009062C7">
        <w:rPr>
          <w:sz w:val="22"/>
          <w:szCs w:val="22"/>
        </w:rPr>
        <w:t xml:space="preserve">”. Considerando que as explicações apresentadas foram incapazes de afastar a ilicitude, o relator votou pela rejeição das razões de justificativa com aplicação de multa ao ex-prefeito. A proposta foi acolhida pelo </w:t>
      </w:r>
      <w:r w:rsidR="0066623A" w:rsidRPr="009062C7">
        <w:rPr>
          <w:sz w:val="22"/>
          <w:szCs w:val="22"/>
        </w:rPr>
        <w:t>Colegiado</w:t>
      </w:r>
      <w:r w:rsidRPr="009062C7">
        <w:rPr>
          <w:sz w:val="22"/>
          <w:szCs w:val="22"/>
        </w:rPr>
        <w:t>.</w:t>
      </w:r>
      <w:r w:rsidR="008602D0" w:rsidRPr="009062C7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7" w:history="1">
        <w:r w:rsidR="008602D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Acórdão </w:t>
        </w:r>
        <w:r w:rsidR="00E42854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6193</w:t>
        </w:r>
        <w:r w:rsidR="008602D0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</w:t>
        </w:r>
        <w:r w:rsidR="00E42854" w:rsidRPr="009062C7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rimeira Câmara</w:t>
        </w:r>
      </w:hyperlink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</w:t>
      </w:r>
      <w:r w:rsidR="00E42854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009.586/2011-3</w:t>
      </w:r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, relator Ministro</w:t>
      </w:r>
      <w:r w:rsidR="00E42854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José </w:t>
      </w:r>
      <w:proofErr w:type="spellStart"/>
      <w:r w:rsidR="00E42854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Múcio</w:t>
      </w:r>
      <w:proofErr w:type="spellEnd"/>
      <w:r w:rsidR="00E42854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Monteiro</w:t>
      </w:r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</w:t>
      </w:r>
      <w:r w:rsidR="007413BA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1</w:t>
      </w:r>
      <w:r w:rsidR="00114C24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3</w:t>
      </w:r>
      <w:r w:rsidR="007413BA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.10.2015</w:t>
      </w:r>
      <w:r w:rsidR="008602D0" w:rsidRPr="009062C7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</w:p>
    <w:p w:rsidR="006248F5" w:rsidRDefault="006248F5" w:rsidP="006248F5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6248F5" w:rsidRPr="00F7326C" w:rsidRDefault="006248F5" w:rsidP="006248F5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INOVAÇÃO LEGISLATIVA</w:t>
      </w:r>
    </w:p>
    <w:p w:rsidR="006248F5" w:rsidRDefault="006248F5" w:rsidP="006248F5">
      <w:pPr>
        <w:ind w:left="0"/>
        <w:rPr>
          <w:rFonts w:eastAsia="Times New Roman"/>
          <w:b/>
          <w:sz w:val="22"/>
          <w:szCs w:val="22"/>
        </w:rPr>
      </w:pPr>
    </w:p>
    <w:p w:rsidR="006248F5" w:rsidRPr="009062C7" w:rsidRDefault="00C43295" w:rsidP="009062C7">
      <w:pPr>
        <w:spacing w:after="0"/>
        <w:ind w:left="0"/>
        <w:rPr>
          <w:rFonts w:eastAsia="Times New Roman"/>
          <w:b/>
          <w:sz w:val="22"/>
          <w:szCs w:val="22"/>
        </w:rPr>
      </w:pPr>
      <w:hyperlink r:id="rId18" w:history="1">
        <w:r w:rsidR="006248F5" w:rsidRPr="009062C7">
          <w:rPr>
            <w:rStyle w:val="Hyperlink"/>
            <w:b/>
            <w:sz w:val="22"/>
            <w:szCs w:val="22"/>
            <w:shd w:val="clear" w:color="auto" w:fill="FFFFFF"/>
          </w:rPr>
          <w:t>Lei 13.173, de 21/10/15</w:t>
        </w:r>
      </w:hyperlink>
      <w:r w:rsidR="006248F5" w:rsidRPr="009062C7">
        <w:rPr>
          <w:sz w:val="22"/>
          <w:szCs w:val="22"/>
        </w:rPr>
        <w:t>: Dispõe sobre autorização para a realização de obras e serviços necessários ao fornecimento de energia elétrica te</w:t>
      </w:r>
      <w:r w:rsidR="009923E5">
        <w:rPr>
          <w:sz w:val="22"/>
          <w:szCs w:val="22"/>
        </w:rPr>
        <w:t>mporária para os Jogos Rio 2016 e</w:t>
      </w:r>
      <w:r w:rsidR="006248F5" w:rsidRPr="009062C7">
        <w:rPr>
          <w:sz w:val="22"/>
          <w:szCs w:val="22"/>
        </w:rPr>
        <w:t xml:space="preserve"> altera as Leis 11.473, de 10/05/07, que dispõe sobre cooperação federativa</w:t>
      </w:r>
      <w:r w:rsidR="009923E5">
        <w:rPr>
          <w:sz w:val="22"/>
          <w:szCs w:val="22"/>
        </w:rPr>
        <w:t xml:space="preserve"> no âmbito da segurança pública;</w:t>
      </w:r>
      <w:r w:rsidR="006248F5" w:rsidRPr="009062C7">
        <w:rPr>
          <w:sz w:val="22"/>
          <w:szCs w:val="22"/>
        </w:rPr>
        <w:t xml:space="preserve"> 11.977, de 07/07/09, que dispõe sobre o Programa Minha Casa, Minha Vida e a regularização fundiária de</w:t>
      </w:r>
      <w:r w:rsidR="009923E5">
        <w:rPr>
          <w:sz w:val="22"/>
          <w:szCs w:val="22"/>
        </w:rPr>
        <w:t xml:space="preserve"> assentamentos em áreas urbanas;</w:t>
      </w:r>
      <w:r w:rsidR="006248F5" w:rsidRPr="009062C7">
        <w:rPr>
          <w:sz w:val="22"/>
          <w:szCs w:val="22"/>
        </w:rPr>
        <w:t xml:space="preserve"> 12.035, de 1º/10/</w:t>
      </w:r>
      <w:r w:rsidR="009923E5">
        <w:rPr>
          <w:sz w:val="22"/>
          <w:szCs w:val="22"/>
        </w:rPr>
        <w:t>09, que institui o Ato Olímpico;</w:t>
      </w:r>
      <w:r w:rsidR="006248F5" w:rsidRPr="009062C7">
        <w:rPr>
          <w:sz w:val="22"/>
          <w:szCs w:val="22"/>
        </w:rPr>
        <w:t xml:space="preserve"> 12.462, de 04/08/11, que institui o Regime Diferenciado de Contratações Públicas (RDC); e revoga o art. 5º-A da Lei 12.035, de 1º/10/09.</w:t>
      </w:r>
    </w:p>
    <w:p w:rsidR="00637A5E" w:rsidRDefault="00637A5E" w:rsidP="006F44C9">
      <w:pPr>
        <w:spacing w:after="0"/>
        <w:ind w:left="0"/>
        <w:rPr>
          <w:sz w:val="22"/>
          <w:szCs w:val="22"/>
        </w:rPr>
      </w:pPr>
    </w:p>
    <w:p w:rsidR="006F44C9" w:rsidRPr="006F44C9" w:rsidRDefault="006F44C9" w:rsidP="006F44C9">
      <w:pPr>
        <w:spacing w:after="0"/>
        <w:ind w:left="0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9" w:history="1">
              <w:r w:rsidR="00A509F2" w:rsidRPr="008710E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C2329B">
      <w:pPr>
        <w:ind w:left="0"/>
        <w:rPr>
          <w:sz w:val="22"/>
          <w:szCs w:val="22"/>
        </w:rPr>
      </w:pPr>
    </w:p>
    <w:p w:rsidR="00650BC1" w:rsidRDefault="00650BC1" w:rsidP="00C2329B">
      <w:pPr>
        <w:ind w:left="0"/>
        <w:rPr>
          <w:sz w:val="22"/>
          <w:szCs w:val="22"/>
        </w:rPr>
      </w:pPr>
    </w:p>
    <w:sectPr w:rsidR="00650BC1" w:rsidSect="00616945">
      <w:footerReference w:type="default" r:id="rId20"/>
      <w:headerReference w:type="first" r:id="rId21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95" w:rsidRDefault="00C43295" w:rsidP="008B0547">
      <w:pPr>
        <w:spacing w:after="0"/>
      </w:pPr>
      <w:r>
        <w:separator/>
      </w:r>
    </w:p>
  </w:endnote>
  <w:endnote w:type="continuationSeparator" w:id="0">
    <w:p w:rsidR="00C43295" w:rsidRDefault="00C4329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WP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DB1B72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95" w:rsidRDefault="00C43295" w:rsidP="008B0547">
      <w:pPr>
        <w:spacing w:after="0"/>
      </w:pPr>
      <w:r>
        <w:separator/>
      </w:r>
    </w:p>
  </w:footnote>
  <w:footnote w:type="continuationSeparator" w:id="0">
    <w:p w:rsidR="00C43295" w:rsidRDefault="00C4329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FEE"/>
    <w:multiLevelType w:val="hybridMultilevel"/>
    <w:tmpl w:val="5CC8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A541CD"/>
    <w:multiLevelType w:val="hybridMultilevel"/>
    <w:tmpl w:val="73FC0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42F5"/>
    <w:multiLevelType w:val="hybridMultilevel"/>
    <w:tmpl w:val="87042368"/>
    <w:lvl w:ilvl="0" w:tplc="2960D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3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5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5AD"/>
    <w:multiLevelType w:val="hybridMultilevel"/>
    <w:tmpl w:val="6B18FEB6"/>
    <w:lvl w:ilvl="0" w:tplc="ACEC7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3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5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25"/>
  </w:num>
  <w:num w:numId="16">
    <w:abstractNumId w:val="0"/>
  </w:num>
  <w:num w:numId="17">
    <w:abstractNumId w:val="6"/>
  </w:num>
  <w:num w:numId="18">
    <w:abstractNumId w:val="4"/>
  </w:num>
  <w:num w:numId="19">
    <w:abstractNumId w:val="17"/>
  </w:num>
  <w:num w:numId="20">
    <w:abstractNumId w:val="1"/>
  </w:num>
  <w:num w:numId="21">
    <w:abstractNumId w:val="24"/>
  </w:num>
  <w:num w:numId="22">
    <w:abstractNumId w:val="13"/>
  </w:num>
  <w:num w:numId="23">
    <w:abstractNumId w:val="10"/>
  </w:num>
  <w:num w:numId="24">
    <w:abstractNumId w:val="11"/>
  </w:num>
  <w:num w:numId="25">
    <w:abstractNumId w:val="18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0B4"/>
    <w:rsid w:val="000004F5"/>
    <w:rsid w:val="0000059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17A"/>
    <w:rsid w:val="00007C63"/>
    <w:rsid w:val="00007FA6"/>
    <w:rsid w:val="0001037C"/>
    <w:rsid w:val="000103D9"/>
    <w:rsid w:val="00010A77"/>
    <w:rsid w:val="00010F62"/>
    <w:rsid w:val="00011074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89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207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A8F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3EF2"/>
    <w:rsid w:val="0003422F"/>
    <w:rsid w:val="000354D0"/>
    <w:rsid w:val="00035593"/>
    <w:rsid w:val="0003563E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A08"/>
    <w:rsid w:val="00053BB0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CD8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09A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395"/>
    <w:rsid w:val="000756E7"/>
    <w:rsid w:val="00075CE6"/>
    <w:rsid w:val="00075D3C"/>
    <w:rsid w:val="00075DC2"/>
    <w:rsid w:val="00076030"/>
    <w:rsid w:val="000761CD"/>
    <w:rsid w:val="0007670D"/>
    <w:rsid w:val="000768BB"/>
    <w:rsid w:val="00076909"/>
    <w:rsid w:val="00076CF7"/>
    <w:rsid w:val="00076E1D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3B97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13A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4C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279"/>
    <w:rsid w:val="000C69B3"/>
    <w:rsid w:val="000C6D64"/>
    <w:rsid w:val="000C6F6F"/>
    <w:rsid w:val="000C7281"/>
    <w:rsid w:val="000C743C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883"/>
    <w:rsid w:val="000D29A2"/>
    <w:rsid w:val="000D2CBD"/>
    <w:rsid w:val="000D359B"/>
    <w:rsid w:val="000D3759"/>
    <w:rsid w:val="000D37B0"/>
    <w:rsid w:val="000D3B5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E92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2133"/>
    <w:rsid w:val="000F28B2"/>
    <w:rsid w:val="000F28E9"/>
    <w:rsid w:val="000F2975"/>
    <w:rsid w:val="000F29B9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3EFB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8DE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66"/>
    <w:rsid w:val="00112F9E"/>
    <w:rsid w:val="00113168"/>
    <w:rsid w:val="0011373A"/>
    <w:rsid w:val="00113A1F"/>
    <w:rsid w:val="00113B55"/>
    <w:rsid w:val="00113CA5"/>
    <w:rsid w:val="00114137"/>
    <w:rsid w:val="0011429C"/>
    <w:rsid w:val="001142A2"/>
    <w:rsid w:val="00114511"/>
    <w:rsid w:val="00114ABD"/>
    <w:rsid w:val="00114C24"/>
    <w:rsid w:val="00115305"/>
    <w:rsid w:val="0011552F"/>
    <w:rsid w:val="001156BA"/>
    <w:rsid w:val="0011582E"/>
    <w:rsid w:val="00115911"/>
    <w:rsid w:val="00116039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188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4AC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560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212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C11"/>
    <w:rsid w:val="00164DAA"/>
    <w:rsid w:val="00164F82"/>
    <w:rsid w:val="0016510E"/>
    <w:rsid w:val="00165590"/>
    <w:rsid w:val="0016572F"/>
    <w:rsid w:val="001658D6"/>
    <w:rsid w:val="001663D3"/>
    <w:rsid w:val="001665B9"/>
    <w:rsid w:val="001667C0"/>
    <w:rsid w:val="00166B40"/>
    <w:rsid w:val="00166C60"/>
    <w:rsid w:val="00167271"/>
    <w:rsid w:val="00167274"/>
    <w:rsid w:val="001672BC"/>
    <w:rsid w:val="00167ECD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77A91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1EF1"/>
    <w:rsid w:val="0018200B"/>
    <w:rsid w:val="00182450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6F"/>
    <w:rsid w:val="001847D6"/>
    <w:rsid w:val="0018495A"/>
    <w:rsid w:val="00184DD0"/>
    <w:rsid w:val="00184E93"/>
    <w:rsid w:val="001855E1"/>
    <w:rsid w:val="001858A0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8C9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4F03"/>
    <w:rsid w:val="00195023"/>
    <w:rsid w:val="001951C9"/>
    <w:rsid w:val="001956E2"/>
    <w:rsid w:val="001958EE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04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4A6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349"/>
    <w:rsid w:val="001C7892"/>
    <w:rsid w:val="001C7AEE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85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D29"/>
    <w:rsid w:val="001E1E28"/>
    <w:rsid w:val="001E1E6E"/>
    <w:rsid w:val="001E2620"/>
    <w:rsid w:val="001E27E7"/>
    <w:rsid w:val="001E2AF5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0B0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D4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0C4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08"/>
    <w:rsid w:val="00212A4A"/>
    <w:rsid w:val="00212BA4"/>
    <w:rsid w:val="00212BDC"/>
    <w:rsid w:val="00212E2B"/>
    <w:rsid w:val="00212E42"/>
    <w:rsid w:val="002132AF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BFB"/>
    <w:rsid w:val="00226D9D"/>
    <w:rsid w:val="00226E3E"/>
    <w:rsid w:val="00227776"/>
    <w:rsid w:val="00227936"/>
    <w:rsid w:val="00230096"/>
    <w:rsid w:val="002301D3"/>
    <w:rsid w:val="002304EE"/>
    <w:rsid w:val="002308C7"/>
    <w:rsid w:val="00230CAD"/>
    <w:rsid w:val="002317C9"/>
    <w:rsid w:val="002317EE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34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511"/>
    <w:rsid w:val="0024353D"/>
    <w:rsid w:val="002435FC"/>
    <w:rsid w:val="00243768"/>
    <w:rsid w:val="00243797"/>
    <w:rsid w:val="00243859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0F5B"/>
    <w:rsid w:val="002510D5"/>
    <w:rsid w:val="00251572"/>
    <w:rsid w:val="0025173D"/>
    <w:rsid w:val="0025202D"/>
    <w:rsid w:val="002523CF"/>
    <w:rsid w:val="002527A3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82D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415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2D63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23E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5D4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1C1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3A05"/>
    <w:rsid w:val="002B4001"/>
    <w:rsid w:val="002B409B"/>
    <w:rsid w:val="002B40EA"/>
    <w:rsid w:val="002B4392"/>
    <w:rsid w:val="002B4528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540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391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42D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1D4F"/>
    <w:rsid w:val="002D25B7"/>
    <w:rsid w:val="002D264F"/>
    <w:rsid w:val="002D26EC"/>
    <w:rsid w:val="002D2884"/>
    <w:rsid w:val="002D2A87"/>
    <w:rsid w:val="002D2BF5"/>
    <w:rsid w:val="002D2D0E"/>
    <w:rsid w:val="002D2D9E"/>
    <w:rsid w:val="002D2E54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29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8B0"/>
    <w:rsid w:val="002F4DDB"/>
    <w:rsid w:val="002F4DF3"/>
    <w:rsid w:val="002F4EC1"/>
    <w:rsid w:val="002F5497"/>
    <w:rsid w:val="002F556F"/>
    <w:rsid w:val="002F5678"/>
    <w:rsid w:val="002F5818"/>
    <w:rsid w:val="002F5CE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1390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530"/>
    <w:rsid w:val="00306651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128"/>
    <w:rsid w:val="00310208"/>
    <w:rsid w:val="00310371"/>
    <w:rsid w:val="0031042D"/>
    <w:rsid w:val="0031058F"/>
    <w:rsid w:val="003107A6"/>
    <w:rsid w:val="0031089E"/>
    <w:rsid w:val="00310B1D"/>
    <w:rsid w:val="00310BD7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54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0A0"/>
    <w:rsid w:val="00330144"/>
    <w:rsid w:val="003302D8"/>
    <w:rsid w:val="0033032C"/>
    <w:rsid w:val="003304A1"/>
    <w:rsid w:val="0033052A"/>
    <w:rsid w:val="00330999"/>
    <w:rsid w:val="0033103C"/>
    <w:rsid w:val="00331316"/>
    <w:rsid w:val="0033133C"/>
    <w:rsid w:val="0033161D"/>
    <w:rsid w:val="00331864"/>
    <w:rsid w:val="003319A1"/>
    <w:rsid w:val="00331FF5"/>
    <w:rsid w:val="0033244F"/>
    <w:rsid w:val="0033283F"/>
    <w:rsid w:val="00332BF1"/>
    <w:rsid w:val="00332C1D"/>
    <w:rsid w:val="00332EF9"/>
    <w:rsid w:val="00332F67"/>
    <w:rsid w:val="00333005"/>
    <w:rsid w:val="00333597"/>
    <w:rsid w:val="00333611"/>
    <w:rsid w:val="003340BD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6EB7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6F1"/>
    <w:rsid w:val="00343FC9"/>
    <w:rsid w:val="003444BC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48C6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A1"/>
    <w:rsid w:val="003576DA"/>
    <w:rsid w:val="003577EB"/>
    <w:rsid w:val="00357B6E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18E"/>
    <w:rsid w:val="00363230"/>
    <w:rsid w:val="0036407C"/>
    <w:rsid w:val="003644B2"/>
    <w:rsid w:val="00364897"/>
    <w:rsid w:val="00364B80"/>
    <w:rsid w:val="00364D53"/>
    <w:rsid w:val="00364D74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946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333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3FF"/>
    <w:rsid w:val="003A46A8"/>
    <w:rsid w:val="003A4869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DC7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ACC"/>
    <w:rsid w:val="003B0C0A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C03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3B6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17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D7F6D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670"/>
    <w:rsid w:val="003E4ED6"/>
    <w:rsid w:val="003E5242"/>
    <w:rsid w:val="003E5587"/>
    <w:rsid w:val="003E57A2"/>
    <w:rsid w:val="003E5824"/>
    <w:rsid w:val="003E588C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328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437"/>
    <w:rsid w:val="0040363C"/>
    <w:rsid w:val="004036AF"/>
    <w:rsid w:val="0040371E"/>
    <w:rsid w:val="00403A08"/>
    <w:rsid w:val="00403A0F"/>
    <w:rsid w:val="00403BE7"/>
    <w:rsid w:val="00403F51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6FA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3CE"/>
    <w:rsid w:val="004174A0"/>
    <w:rsid w:val="00417956"/>
    <w:rsid w:val="004179AE"/>
    <w:rsid w:val="00417F88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5E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86A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4E"/>
    <w:rsid w:val="004373B8"/>
    <w:rsid w:val="00437550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21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3A1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B8C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8B3"/>
    <w:rsid w:val="00454D9A"/>
    <w:rsid w:val="00455223"/>
    <w:rsid w:val="0045576D"/>
    <w:rsid w:val="00456230"/>
    <w:rsid w:val="0045665B"/>
    <w:rsid w:val="00456819"/>
    <w:rsid w:val="00456A56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00D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86F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5E7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53F"/>
    <w:rsid w:val="00485673"/>
    <w:rsid w:val="00485B71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80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CE2"/>
    <w:rsid w:val="00497F5E"/>
    <w:rsid w:val="004A00B0"/>
    <w:rsid w:val="004A10F9"/>
    <w:rsid w:val="004A16BB"/>
    <w:rsid w:val="004A171B"/>
    <w:rsid w:val="004A1A36"/>
    <w:rsid w:val="004A1C9C"/>
    <w:rsid w:val="004A1D91"/>
    <w:rsid w:val="004A207E"/>
    <w:rsid w:val="004A2148"/>
    <w:rsid w:val="004A2151"/>
    <w:rsid w:val="004A2358"/>
    <w:rsid w:val="004A2385"/>
    <w:rsid w:val="004A27CE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323F"/>
    <w:rsid w:val="004B326B"/>
    <w:rsid w:val="004B329D"/>
    <w:rsid w:val="004B32F8"/>
    <w:rsid w:val="004B3476"/>
    <w:rsid w:val="004B36AE"/>
    <w:rsid w:val="004B3DB4"/>
    <w:rsid w:val="004B3FAE"/>
    <w:rsid w:val="004B40A8"/>
    <w:rsid w:val="004B4672"/>
    <w:rsid w:val="004B4745"/>
    <w:rsid w:val="004B4766"/>
    <w:rsid w:val="004B4837"/>
    <w:rsid w:val="004B5819"/>
    <w:rsid w:val="004B58F5"/>
    <w:rsid w:val="004B5B48"/>
    <w:rsid w:val="004B5C63"/>
    <w:rsid w:val="004B5E52"/>
    <w:rsid w:val="004B605A"/>
    <w:rsid w:val="004B6174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1A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340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69B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2CA"/>
    <w:rsid w:val="004E357A"/>
    <w:rsid w:val="004E35EE"/>
    <w:rsid w:val="004E3800"/>
    <w:rsid w:val="004E3861"/>
    <w:rsid w:val="004E390B"/>
    <w:rsid w:val="004E434A"/>
    <w:rsid w:val="004E4A0B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90"/>
    <w:rsid w:val="004F60A6"/>
    <w:rsid w:val="004F68C9"/>
    <w:rsid w:val="004F6E0C"/>
    <w:rsid w:val="004F70F0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BB7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A60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066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D06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174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A12"/>
    <w:rsid w:val="00542B06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4E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47BDB"/>
    <w:rsid w:val="00547CE6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5EE0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71A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02D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765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A7ED9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077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2F6B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28DD"/>
    <w:rsid w:val="006030B5"/>
    <w:rsid w:val="00603291"/>
    <w:rsid w:val="00603581"/>
    <w:rsid w:val="00603630"/>
    <w:rsid w:val="0060382E"/>
    <w:rsid w:val="00603CFA"/>
    <w:rsid w:val="00603D1C"/>
    <w:rsid w:val="00604174"/>
    <w:rsid w:val="006044E8"/>
    <w:rsid w:val="006046CA"/>
    <w:rsid w:val="006047D4"/>
    <w:rsid w:val="006049FB"/>
    <w:rsid w:val="00604DBE"/>
    <w:rsid w:val="0060510E"/>
    <w:rsid w:val="00605297"/>
    <w:rsid w:val="006057C2"/>
    <w:rsid w:val="006058CF"/>
    <w:rsid w:val="0060593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4D8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976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78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0E1"/>
    <w:rsid w:val="00621286"/>
    <w:rsid w:val="0062155F"/>
    <w:rsid w:val="006217BD"/>
    <w:rsid w:val="006219DD"/>
    <w:rsid w:val="00621AD4"/>
    <w:rsid w:val="00621D63"/>
    <w:rsid w:val="00621E48"/>
    <w:rsid w:val="00622172"/>
    <w:rsid w:val="00622A16"/>
    <w:rsid w:val="00622B91"/>
    <w:rsid w:val="00622DBA"/>
    <w:rsid w:val="00622EA7"/>
    <w:rsid w:val="00623472"/>
    <w:rsid w:val="0062372F"/>
    <w:rsid w:val="00623940"/>
    <w:rsid w:val="00623DAF"/>
    <w:rsid w:val="00623DCE"/>
    <w:rsid w:val="006242BF"/>
    <w:rsid w:val="00624678"/>
    <w:rsid w:val="006246FE"/>
    <w:rsid w:val="00624717"/>
    <w:rsid w:val="006248F5"/>
    <w:rsid w:val="00624E4E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2AFD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5E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26D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55F"/>
    <w:rsid w:val="006507FC"/>
    <w:rsid w:val="006507FD"/>
    <w:rsid w:val="0065082F"/>
    <w:rsid w:val="006509F9"/>
    <w:rsid w:val="00650BC1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264"/>
    <w:rsid w:val="0065646C"/>
    <w:rsid w:val="006564F2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BA2"/>
    <w:rsid w:val="00665DA2"/>
    <w:rsid w:val="0066601A"/>
    <w:rsid w:val="006660F5"/>
    <w:rsid w:val="00666238"/>
    <w:rsid w:val="0066623A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DCB"/>
    <w:rsid w:val="00670FEA"/>
    <w:rsid w:val="00671162"/>
    <w:rsid w:val="00671267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53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5F8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31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958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CBB"/>
    <w:rsid w:val="006A3D41"/>
    <w:rsid w:val="006A4022"/>
    <w:rsid w:val="006A4C19"/>
    <w:rsid w:val="006A511D"/>
    <w:rsid w:val="006A53F3"/>
    <w:rsid w:val="006A54B5"/>
    <w:rsid w:val="006A55B9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55A0"/>
    <w:rsid w:val="006B62A0"/>
    <w:rsid w:val="006B62B4"/>
    <w:rsid w:val="006B650F"/>
    <w:rsid w:val="006B6584"/>
    <w:rsid w:val="006B659C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26D6"/>
    <w:rsid w:val="006C2C87"/>
    <w:rsid w:val="006C2D2C"/>
    <w:rsid w:val="006C2D3A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81C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2F36"/>
    <w:rsid w:val="006E346A"/>
    <w:rsid w:val="006E3749"/>
    <w:rsid w:val="006E3C8A"/>
    <w:rsid w:val="006E3E0D"/>
    <w:rsid w:val="006E3EA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3DA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453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4C9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97C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0E47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CB5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0EA7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54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2C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40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3BA"/>
    <w:rsid w:val="00741426"/>
    <w:rsid w:val="00741500"/>
    <w:rsid w:val="007415CD"/>
    <w:rsid w:val="00742068"/>
    <w:rsid w:val="00742422"/>
    <w:rsid w:val="007424E5"/>
    <w:rsid w:val="0074262A"/>
    <w:rsid w:val="0074269A"/>
    <w:rsid w:val="0074293F"/>
    <w:rsid w:val="007429FC"/>
    <w:rsid w:val="00742A21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743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CE3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5FFF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01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BAD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73A"/>
    <w:rsid w:val="007747F1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992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3F5D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740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885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7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4FD3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1D"/>
    <w:rsid w:val="007B74C3"/>
    <w:rsid w:val="007B753A"/>
    <w:rsid w:val="007B7637"/>
    <w:rsid w:val="007B7677"/>
    <w:rsid w:val="007B7821"/>
    <w:rsid w:val="007B782B"/>
    <w:rsid w:val="007B7980"/>
    <w:rsid w:val="007B7A70"/>
    <w:rsid w:val="007C0033"/>
    <w:rsid w:val="007C06A5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4EE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B90"/>
    <w:rsid w:val="007D3E0E"/>
    <w:rsid w:val="007D3F33"/>
    <w:rsid w:val="007D3F48"/>
    <w:rsid w:val="007D4075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77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3FE"/>
    <w:rsid w:val="007E25F0"/>
    <w:rsid w:val="007E2815"/>
    <w:rsid w:val="007E2878"/>
    <w:rsid w:val="007E28E1"/>
    <w:rsid w:val="007E2A7E"/>
    <w:rsid w:val="007E2A98"/>
    <w:rsid w:val="007E303F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95"/>
    <w:rsid w:val="007F54D2"/>
    <w:rsid w:val="007F5589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67F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3FD7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6C3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3E"/>
    <w:rsid w:val="008142C1"/>
    <w:rsid w:val="00814307"/>
    <w:rsid w:val="0081440E"/>
    <w:rsid w:val="00814B69"/>
    <w:rsid w:val="00814D09"/>
    <w:rsid w:val="00814F4D"/>
    <w:rsid w:val="008152B9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0E62"/>
    <w:rsid w:val="0082117C"/>
    <w:rsid w:val="0082124A"/>
    <w:rsid w:val="00821702"/>
    <w:rsid w:val="008218ED"/>
    <w:rsid w:val="00822563"/>
    <w:rsid w:val="008231C5"/>
    <w:rsid w:val="00823230"/>
    <w:rsid w:val="00823414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171"/>
    <w:rsid w:val="0082545C"/>
    <w:rsid w:val="00825523"/>
    <w:rsid w:val="008258FE"/>
    <w:rsid w:val="00825A7C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AE4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A7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ECB"/>
    <w:rsid w:val="00844F50"/>
    <w:rsid w:val="008451F5"/>
    <w:rsid w:val="00845856"/>
    <w:rsid w:val="008458D3"/>
    <w:rsid w:val="00845944"/>
    <w:rsid w:val="008459A7"/>
    <w:rsid w:val="00845DFB"/>
    <w:rsid w:val="00845E6A"/>
    <w:rsid w:val="00846833"/>
    <w:rsid w:val="00846BB1"/>
    <w:rsid w:val="00846CE5"/>
    <w:rsid w:val="00846D10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541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2D0"/>
    <w:rsid w:val="008608AB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758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3CA3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535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0B7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4D7E"/>
    <w:rsid w:val="00885067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AAA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217"/>
    <w:rsid w:val="008965FF"/>
    <w:rsid w:val="00896755"/>
    <w:rsid w:val="00896E41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65D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6F08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9BF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529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05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5B11"/>
    <w:rsid w:val="00906150"/>
    <w:rsid w:val="009062C7"/>
    <w:rsid w:val="00906B15"/>
    <w:rsid w:val="00907430"/>
    <w:rsid w:val="00907498"/>
    <w:rsid w:val="00907968"/>
    <w:rsid w:val="00907A72"/>
    <w:rsid w:val="00907F0D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0FEC"/>
    <w:rsid w:val="009211CF"/>
    <w:rsid w:val="009211F2"/>
    <w:rsid w:val="00921705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955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4C2"/>
    <w:rsid w:val="009346EA"/>
    <w:rsid w:val="009347FC"/>
    <w:rsid w:val="00934AD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7BB"/>
    <w:rsid w:val="00940DD8"/>
    <w:rsid w:val="0094104B"/>
    <w:rsid w:val="0094141F"/>
    <w:rsid w:val="00941655"/>
    <w:rsid w:val="00941C5B"/>
    <w:rsid w:val="00941FF5"/>
    <w:rsid w:val="00942022"/>
    <w:rsid w:val="0094205A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EE9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D0C"/>
    <w:rsid w:val="00954E92"/>
    <w:rsid w:val="009550C2"/>
    <w:rsid w:val="00955620"/>
    <w:rsid w:val="00955C62"/>
    <w:rsid w:val="00955E2A"/>
    <w:rsid w:val="00955F59"/>
    <w:rsid w:val="00956330"/>
    <w:rsid w:val="00956348"/>
    <w:rsid w:val="0095650D"/>
    <w:rsid w:val="00956BA7"/>
    <w:rsid w:val="00956EB1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D70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67CA9"/>
    <w:rsid w:val="0097014D"/>
    <w:rsid w:val="009702E6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726"/>
    <w:rsid w:val="00976F32"/>
    <w:rsid w:val="0097752F"/>
    <w:rsid w:val="00977648"/>
    <w:rsid w:val="009778B7"/>
    <w:rsid w:val="00977D85"/>
    <w:rsid w:val="0098057D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43F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BC3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3E5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3D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20"/>
    <w:rsid w:val="00994948"/>
    <w:rsid w:val="00994E8A"/>
    <w:rsid w:val="00994F60"/>
    <w:rsid w:val="00995151"/>
    <w:rsid w:val="0099545F"/>
    <w:rsid w:val="00995BF1"/>
    <w:rsid w:val="00995CC4"/>
    <w:rsid w:val="00995DF2"/>
    <w:rsid w:val="00995F16"/>
    <w:rsid w:val="0099769B"/>
    <w:rsid w:val="00997764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0C"/>
    <w:rsid w:val="009A188A"/>
    <w:rsid w:val="009A1A95"/>
    <w:rsid w:val="009A1BCF"/>
    <w:rsid w:val="009A1C41"/>
    <w:rsid w:val="009A1C5F"/>
    <w:rsid w:val="009A1D11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498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7A6"/>
    <w:rsid w:val="009A78A3"/>
    <w:rsid w:val="009A7961"/>
    <w:rsid w:val="009A7B5C"/>
    <w:rsid w:val="009B03A1"/>
    <w:rsid w:val="009B03E8"/>
    <w:rsid w:val="009B06A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80B"/>
    <w:rsid w:val="009B4C24"/>
    <w:rsid w:val="009B4E58"/>
    <w:rsid w:val="009B522F"/>
    <w:rsid w:val="009B56E4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29D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B82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4F6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5AE6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2E7B"/>
    <w:rsid w:val="009E370E"/>
    <w:rsid w:val="009E3AD9"/>
    <w:rsid w:val="009E3B5A"/>
    <w:rsid w:val="009E3E85"/>
    <w:rsid w:val="009E4226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5CBE"/>
    <w:rsid w:val="009E6477"/>
    <w:rsid w:val="009E66EE"/>
    <w:rsid w:val="009E681A"/>
    <w:rsid w:val="009E6AAD"/>
    <w:rsid w:val="009E6CD6"/>
    <w:rsid w:val="009E6CD9"/>
    <w:rsid w:val="009E733E"/>
    <w:rsid w:val="009E74C5"/>
    <w:rsid w:val="009E7E3C"/>
    <w:rsid w:val="009E7F7E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CF1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75A"/>
    <w:rsid w:val="00A06C38"/>
    <w:rsid w:val="00A06EDB"/>
    <w:rsid w:val="00A0720D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879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5A6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4CFC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175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5D3D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2"/>
    <w:rsid w:val="00A5499C"/>
    <w:rsid w:val="00A54CCB"/>
    <w:rsid w:val="00A54E77"/>
    <w:rsid w:val="00A55424"/>
    <w:rsid w:val="00A55682"/>
    <w:rsid w:val="00A55911"/>
    <w:rsid w:val="00A55B71"/>
    <w:rsid w:val="00A55C52"/>
    <w:rsid w:val="00A55FFA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13D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D81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64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654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088"/>
    <w:rsid w:val="00A9413F"/>
    <w:rsid w:val="00A9439C"/>
    <w:rsid w:val="00A943F8"/>
    <w:rsid w:val="00A9448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3F9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30"/>
    <w:rsid w:val="00AA2167"/>
    <w:rsid w:val="00AA2493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3E2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3E55"/>
    <w:rsid w:val="00AD4431"/>
    <w:rsid w:val="00AD465C"/>
    <w:rsid w:val="00AD4D66"/>
    <w:rsid w:val="00AD516C"/>
    <w:rsid w:val="00AD51CC"/>
    <w:rsid w:val="00AD5922"/>
    <w:rsid w:val="00AD5B84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AAE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008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0C0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2B0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865"/>
    <w:rsid w:val="00B12904"/>
    <w:rsid w:val="00B12B44"/>
    <w:rsid w:val="00B12B95"/>
    <w:rsid w:val="00B133CD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5DA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E9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3B8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8F1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5B86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9C0"/>
    <w:rsid w:val="00B62AE0"/>
    <w:rsid w:val="00B630EF"/>
    <w:rsid w:val="00B63284"/>
    <w:rsid w:val="00B63709"/>
    <w:rsid w:val="00B6373D"/>
    <w:rsid w:val="00B63964"/>
    <w:rsid w:val="00B63E30"/>
    <w:rsid w:val="00B6445E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49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6D2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4CBC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8D5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22B"/>
    <w:rsid w:val="00B946A8"/>
    <w:rsid w:val="00B947AD"/>
    <w:rsid w:val="00B948A0"/>
    <w:rsid w:val="00B94A6A"/>
    <w:rsid w:val="00B94B02"/>
    <w:rsid w:val="00B94B27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A8E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8E8"/>
    <w:rsid w:val="00BA6936"/>
    <w:rsid w:val="00BA6C22"/>
    <w:rsid w:val="00BA6DBD"/>
    <w:rsid w:val="00BA7276"/>
    <w:rsid w:val="00BA78A8"/>
    <w:rsid w:val="00BA78CC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1FB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C6F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6CC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C14"/>
    <w:rsid w:val="00BC5E05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31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B75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5E5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3F49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8F6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4BB1"/>
    <w:rsid w:val="00C351DF"/>
    <w:rsid w:val="00C353CF"/>
    <w:rsid w:val="00C353DC"/>
    <w:rsid w:val="00C358A5"/>
    <w:rsid w:val="00C35A9A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95"/>
    <w:rsid w:val="00C432EC"/>
    <w:rsid w:val="00C43629"/>
    <w:rsid w:val="00C43801"/>
    <w:rsid w:val="00C4383F"/>
    <w:rsid w:val="00C438BB"/>
    <w:rsid w:val="00C43A90"/>
    <w:rsid w:val="00C43AD9"/>
    <w:rsid w:val="00C43DE8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163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A6A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4BBD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4AE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1EA7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627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65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9A4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875"/>
    <w:rsid w:val="00C86DDF"/>
    <w:rsid w:val="00C874D1"/>
    <w:rsid w:val="00C87B2C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5DB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6D3D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444"/>
    <w:rsid w:val="00CB2A98"/>
    <w:rsid w:val="00CB2AA5"/>
    <w:rsid w:val="00CB2E78"/>
    <w:rsid w:val="00CB2E9C"/>
    <w:rsid w:val="00CB2EAD"/>
    <w:rsid w:val="00CB3064"/>
    <w:rsid w:val="00CB3818"/>
    <w:rsid w:val="00CB3A96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DF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160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B93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AFB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228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767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941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1BB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A8A"/>
    <w:rsid w:val="00D22DD2"/>
    <w:rsid w:val="00D23105"/>
    <w:rsid w:val="00D23380"/>
    <w:rsid w:val="00D233EC"/>
    <w:rsid w:val="00D23801"/>
    <w:rsid w:val="00D23A28"/>
    <w:rsid w:val="00D24035"/>
    <w:rsid w:val="00D242AB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AF1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FFD"/>
    <w:rsid w:val="00D32074"/>
    <w:rsid w:val="00D3210D"/>
    <w:rsid w:val="00D3217F"/>
    <w:rsid w:val="00D32376"/>
    <w:rsid w:val="00D323B1"/>
    <w:rsid w:val="00D326DD"/>
    <w:rsid w:val="00D3277A"/>
    <w:rsid w:val="00D329D1"/>
    <w:rsid w:val="00D32BF9"/>
    <w:rsid w:val="00D32DD5"/>
    <w:rsid w:val="00D32E91"/>
    <w:rsid w:val="00D3307E"/>
    <w:rsid w:val="00D3356D"/>
    <w:rsid w:val="00D33635"/>
    <w:rsid w:val="00D3368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0A"/>
    <w:rsid w:val="00D4541B"/>
    <w:rsid w:val="00D456A7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A9A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DE4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CDD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55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618"/>
    <w:rsid w:val="00D64C56"/>
    <w:rsid w:val="00D65108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A9E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C8E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52"/>
    <w:rsid w:val="00D90898"/>
    <w:rsid w:val="00D90998"/>
    <w:rsid w:val="00D909BB"/>
    <w:rsid w:val="00D90BEF"/>
    <w:rsid w:val="00D90CE0"/>
    <w:rsid w:val="00D90DA0"/>
    <w:rsid w:val="00D90EB1"/>
    <w:rsid w:val="00D9111B"/>
    <w:rsid w:val="00D9127E"/>
    <w:rsid w:val="00D9174D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C41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B72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8D5"/>
    <w:rsid w:val="00DB6D7D"/>
    <w:rsid w:val="00DB7087"/>
    <w:rsid w:val="00DB7178"/>
    <w:rsid w:val="00DB7320"/>
    <w:rsid w:val="00DB734F"/>
    <w:rsid w:val="00DB75E7"/>
    <w:rsid w:val="00DB76A4"/>
    <w:rsid w:val="00DB777B"/>
    <w:rsid w:val="00DB78E8"/>
    <w:rsid w:val="00DB79D5"/>
    <w:rsid w:val="00DB79E4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BC4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0C66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9A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7B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3F3A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B3F"/>
    <w:rsid w:val="00DF5CAC"/>
    <w:rsid w:val="00DF5CF7"/>
    <w:rsid w:val="00DF5DC3"/>
    <w:rsid w:val="00DF6022"/>
    <w:rsid w:val="00DF6141"/>
    <w:rsid w:val="00DF677A"/>
    <w:rsid w:val="00DF69E4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0D7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67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5FF2"/>
    <w:rsid w:val="00E06065"/>
    <w:rsid w:val="00E060E7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428"/>
    <w:rsid w:val="00E116C6"/>
    <w:rsid w:val="00E116D4"/>
    <w:rsid w:val="00E1178F"/>
    <w:rsid w:val="00E11EE1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6F0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242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54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4DF5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DB1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CFD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592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945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7DC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418"/>
    <w:rsid w:val="00E95517"/>
    <w:rsid w:val="00E9567F"/>
    <w:rsid w:val="00E95761"/>
    <w:rsid w:val="00E95832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C47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573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587"/>
    <w:rsid w:val="00EB2721"/>
    <w:rsid w:val="00EB29E8"/>
    <w:rsid w:val="00EB2B78"/>
    <w:rsid w:val="00EB2EDA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7DC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092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56E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AC2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26A"/>
    <w:rsid w:val="00EE6946"/>
    <w:rsid w:val="00EE696B"/>
    <w:rsid w:val="00EE6DA3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6AA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A4"/>
    <w:rsid w:val="00F02ED9"/>
    <w:rsid w:val="00F03781"/>
    <w:rsid w:val="00F037D5"/>
    <w:rsid w:val="00F038A9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84A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6FB"/>
    <w:rsid w:val="00F12863"/>
    <w:rsid w:val="00F12A36"/>
    <w:rsid w:val="00F12A9F"/>
    <w:rsid w:val="00F12E56"/>
    <w:rsid w:val="00F1308B"/>
    <w:rsid w:val="00F13137"/>
    <w:rsid w:val="00F1339B"/>
    <w:rsid w:val="00F1372F"/>
    <w:rsid w:val="00F13A2F"/>
    <w:rsid w:val="00F13F88"/>
    <w:rsid w:val="00F14577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B8E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B96"/>
    <w:rsid w:val="00F23F06"/>
    <w:rsid w:val="00F23F7D"/>
    <w:rsid w:val="00F23FC5"/>
    <w:rsid w:val="00F23FF4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38F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3E6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80A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BF"/>
    <w:rsid w:val="00F432C6"/>
    <w:rsid w:val="00F43470"/>
    <w:rsid w:val="00F4352E"/>
    <w:rsid w:val="00F43536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617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BE"/>
    <w:rsid w:val="00F515CA"/>
    <w:rsid w:val="00F516C2"/>
    <w:rsid w:val="00F51D20"/>
    <w:rsid w:val="00F51EDD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89B"/>
    <w:rsid w:val="00F579FC"/>
    <w:rsid w:val="00F57FD9"/>
    <w:rsid w:val="00F601CA"/>
    <w:rsid w:val="00F60277"/>
    <w:rsid w:val="00F6065E"/>
    <w:rsid w:val="00F60860"/>
    <w:rsid w:val="00F6089D"/>
    <w:rsid w:val="00F60C74"/>
    <w:rsid w:val="00F60DEE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975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1AD6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C67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633"/>
    <w:rsid w:val="00FA0926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2CAA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0C3E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5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AC9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53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95D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8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B19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6B8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7F"/>
    <w:rsid w:val="00FF40CC"/>
    <w:rsid w:val="00FF465F"/>
    <w:rsid w:val="00FF4BC9"/>
    <w:rsid w:val="00FF4EB5"/>
    <w:rsid w:val="00FF5893"/>
    <w:rsid w:val="00FF5F7D"/>
    <w:rsid w:val="00FF6062"/>
    <w:rsid w:val="00FF6076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986926-5B62-481F-83AE-225C642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1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5&amp;numero=2547&amp;colegiado=P" TargetMode="External"/><Relationship Id="rId18" Type="http://schemas.openxmlformats.org/officeDocument/2006/relationships/hyperlink" Target="http://www.planalto.gov.br/ccivil_03/_Ato2015-2018/2015/Lei/L13173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5&amp;numero=2514&amp;colegiado=P" TargetMode="External"/><Relationship Id="rId17" Type="http://schemas.openxmlformats.org/officeDocument/2006/relationships/hyperlink" Target="https://contas.tcu.gov.br/juris/SvlProxyHighlight?base=ACORDAO&amp;ano=2015&amp;numero=6193&amp;colegiad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as.tcu.gov.br/juris/SvlProxyHighlight?base=ACORDAO&amp;ano=2015&amp;numero=2537&amp;colegiado=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05&amp;numero=1438&amp;colegiado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as.tcu.gov.br/juris/SvlProxyHighlight?base=ACORDAO&amp;ano=2015&amp;numero=2530&amp;colegiado=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as.tcu.gov.br/juris/SvlProxyHighlight?base=ACORDAO&amp;ano=2005&amp;numero=490&amp;colegiado=P" TargetMode="External"/><Relationship Id="rId19" Type="http://schemas.openxmlformats.org/officeDocument/2006/relationships/hyperlink" Target="mailto:infojuris@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06&amp;numero=2061&amp;colegiado=P" TargetMode="External"/><Relationship Id="rId14" Type="http://schemas.openxmlformats.org/officeDocument/2006/relationships/hyperlink" Target="https://contas.tcu.gov.br/juris/SvlProxyHighlight?base=ACORDAO&amp;ano=2014&amp;numero=2081&amp;colegiado=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1B22-7209-4ED2-A0B3-890B9A0D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2693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17205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Sergio Ricardo de Mendonca Salustiano</cp:lastModifiedBy>
  <cp:revision>17</cp:revision>
  <cp:lastPrinted>2015-05-05T13:18:00Z</cp:lastPrinted>
  <dcterms:created xsi:type="dcterms:W3CDTF">2015-10-27T18:19:00Z</dcterms:created>
  <dcterms:modified xsi:type="dcterms:W3CDTF">2015-10-27T22:40:00Z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