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D60327"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522B7C">
        <w:rPr>
          <w:rFonts w:ascii="Times New Roman" w:hAnsi="Times New Roman"/>
          <w:b/>
          <w:i w:val="0"/>
          <w:sz w:val="22"/>
          <w:szCs w:val="22"/>
          <w:lang w:val="pt-BR"/>
        </w:rPr>
        <w:t>64</w:t>
      </w:r>
    </w:p>
    <w:p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522B7C">
        <w:rPr>
          <w:rFonts w:ascii="Times New Roman" w:hAnsi="Times New Roman"/>
          <w:b/>
          <w:i w:val="0"/>
          <w:sz w:val="22"/>
          <w:szCs w:val="22"/>
          <w:lang w:val="pt-BR"/>
        </w:rPr>
        <w:t>20</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 xml:space="preserve">e </w:t>
      </w:r>
      <w:r w:rsidR="00522B7C">
        <w:rPr>
          <w:rFonts w:ascii="Times New Roman" w:hAnsi="Times New Roman"/>
          <w:b/>
          <w:i w:val="0"/>
          <w:sz w:val="22"/>
          <w:szCs w:val="22"/>
          <w:lang w:val="pt-BR"/>
        </w:rPr>
        <w:t>21</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7527CF">
        <w:rPr>
          <w:rFonts w:ascii="Times New Roman" w:hAnsi="Times New Roman"/>
          <w:b/>
          <w:i w:val="0"/>
          <w:sz w:val="22"/>
          <w:szCs w:val="22"/>
          <w:lang w:val="pt-BR"/>
        </w:rPr>
        <w:t>outu</w:t>
      </w:r>
      <w:r w:rsidR="00522B7C">
        <w:rPr>
          <w:rFonts w:ascii="Times New Roman" w:hAnsi="Times New Roman"/>
          <w:b/>
          <w:i w:val="0"/>
          <w:sz w:val="22"/>
          <w:szCs w:val="22"/>
          <w:lang w:val="pt-BR"/>
        </w:rPr>
        <w:t>bro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5D6E13" w:rsidRPr="005D6E13" w:rsidRDefault="005D6E13" w:rsidP="002E5E86">
      <w:pPr>
        <w:pStyle w:val="Corpodetexto2"/>
        <w:spacing w:after="60" w:line="240" w:lineRule="auto"/>
        <w:ind w:left="0"/>
        <w:rPr>
          <w:sz w:val="22"/>
          <w:szCs w:val="22"/>
          <w:lang w:val="pt-BR"/>
        </w:rPr>
      </w:pPr>
      <w:r w:rsidRPr="005D6E13">
        <w:rPr>
          <w:sz w:val="22"/>
          <w:szCs w:val="22"/>
          <w:lang w:val="pt-BR"/>
        </w:rPr>
        <w:t>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w:t>
      </w:r>
      <w:bookmarkStart w:id="0" w:name="_GoBack"/>
      <w:bookmarkEnd w:id="0"/>
      <w:r w:rsidRPr="005D6E13">
        <w:rPr>
          <w:sz w:val="22"/>
          <w:szCs w:val="22"/>
          <w:lang w:val="pt-BR"/>
        </w:rPr>
        <w:t xml:space="preserve">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 xml:space="preserve">disponíveis. As informações aqui apresentadas não são </w:t>
      </w:r>
      <w:proofErr w:type="gramStart"/>
      <w:r w:rsidRPr="005D6E13">
        <w:rPr>
          <w:sz w:val="22"/>
          <w:szCs w:val="22"/>
          <w:lang w:val="pt-BR"/>
        </w:rPr>
        <w:t>repositórios</w:t>
      </w:r>
      <w:proofErr w:type="gramEnd"/>
      <w:r w:rsidRPr="005D6E13">
        <w:rPr>
          <w:sz w:val="22"/>
          <w:szCs w:val="22"/>
          <w:lang w:val="pt-BR"/>
        </w:rPr>
        <w:t xml:space="preserve"> oficiais de jurisprudência.</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BC5C14" w:rsidRDefault="00BC5C14" w:rsidP="002B4B05">
      <w:pPr>
        <w:autoSpaceDE w:val="0"/>
        <w:autoSpaceDN w:val="0"/>
        <w:adjustRightInd w:val="0"/>
        <w:spacing w:after="60"/>
        <w:ind w:left="0"/>
        <w:rPr>
          <w:b/>
          <w:sz w:val="22"/>
          <w:szCs w:val="22"/>
          <w:lang w:eastAsia="pt-BR"/>
        </w:rPr>
      </w:pPr>
      <w:r>
        <w:rPr>
          <w:b/>
          <w:sz w:val="22"/>
          <w:szCs w:val="22"/>
          <w:lang w:eastAsia="pt-BR"/>
        </w:rPr>
        <w:t>Plenário</w:t>
      </w:r>
    </w:p>
    <w:p w:rsidR="00EB600C" w:rsidRDefault="00EB600C" w:rsidP="00EB600C">
      <w:pPr>
        <w:autoSpaceDE w:val="0"/>
        <w:autoSpaceDN w:val="0"/>
        <w:adjustRightInd w:val="0"/>
        <w:spacing w:after="60"/>
        <w:ind w:left="0"/>
        <w:rPr>
          <w:bCs/>
          <w:sz w:val="22"/>
          <w:szCs w:val="22"/>
          <w:lang w:eastAsia="pt-BR"/>
        </w:rPr>
      </w:pPr>
      <w:r>
        <w:rPr>
          <w:bCs/>
          <w:sz w:val="22"/>
          <w:szCs w:val="22"/>
          <w:lang w:eastAsia="pt-BR"/>
        </w:rPr>
        <w:t>1</w:t>
      </w:r>
      <w:r>
        <w:rPr>
          <w:bCs/>
          <w:sz w:val="22"/>
          <w:szCs w:val="22"/>
          <w:lang w:eastAsia="pt-BR"/>
        </w:rPr>
        <w:t xml:space="preserve">. </w:t>
      </w:r>
      <w:r w:rsidRPr="008623A9">
        <w:rPr>
          <w:bCs/>
          <w:sz w:val="22"/>
          <w:szCs w:val="22"/>
          <w:lang w:eastAsia="pt-BR"/>
        </w:rPr>
        <w:t>Nas contratações diretas por inexigibilidade de licitação, o conceito de singularidade não pode ser confundido com a ideia de unicidade, exclusividade, ineditismo ou raridade. O fato de o objeto poder ser executado por outros profissionais ou empresas não impede a contratação direta amparada no art. 25, inciso II, da Lei 8.666/93. A inexigibilidade, amparada nesse dispositivo legal, decorre da impossibilidade de se fixar critérios objetivos de julgamento.</w:t>
      </w:r>
    </w:p>
    <w:p w:rsidR="00E6554C" w:rsidRPr="00EB600C" w:rsidRDefault="00EB600C" w:rsidP="00EB600C">
      <w:pPr>
        <w:pStyle w:val="enter-3pt"/>
        <w:tabs>
          <w:tab w:val="left" w:pos="2590"/>
        </w:tabs>
        <w:spacing w:after="60" w:line="240" w:lineRule="auto"/>
        <w:rPr>
          <w:color w:val="000000"/>
          <w:sz w:val="22"/>
          <w:szCs w:val="22"/>
        </w:rPr>
      </w:pPr>
      <w:r>
        <w:rPr>
          <w:bCs/>
          <w:sz w:val="22"/>
          <w:szCs w:val="22"/>
        </w:rPr>
        <w:t>2</w:t>
      </w:r>
      <w:r w:rsidR="008623A9" w:rsidRPr="008623A9">
        <w:rPr>
          <w:bCs/>
          <w:sz w:val="22"/>
          <w:szCs w:val="22"/>
        </w:rPr>
        <w:t xml:space="preserve">. </w:t>
      </w:r>
      <w:r w:rsidRPr="00EB600C">
        <w:rPr>
          <w:color w:val="000000"/>
          <w:sz w:val="22"/>
          <w:szCs w:val="22"/>
        </w:rPr>
        <w:t xml:space="preserve">O Método de Limitação dos Preços Unitários Ajustado (MLPUA) deve ser utilizado para a quantificação de </w:t>
      </w:r>
      <w:proofErr w:type="spellStart"/>
      <w:r w:rsidRPr="00EB600C">
        <w:rPr>
          <w:color w:val="000000"/>
          <w:sz w:val="22"/>
          <w:szCs w:val="22"/>
        </w:rPr>
        <w:t>sobrepreço</w:t>
      </w:r>
      <w:proofErr w:type="spellEnd"/>
      <w:r w:rsidRPr="00EB600C">
        <w:rPr>
          <w:color w:val="000000"/>
          <w:sz w:val="22"/>
          <w:szCs w:val="22"/>
        </w:rPr>
        <w:t xml:space="preserve"> na fase licitatória, tendo em vista que os preços unitários só devem superar os referenciais de mercado em condições especiais, devidamente justificadas em relatório técnico circunstanciado aprovado pela autoridade competente.</w:t>
      </w:r>
    </w:p>
    <w:p w:rsidR="0004252B" w:rsidRDefault="004A475A" w:rsidP="0004252B">
      <w:pPr>
        <w:autoSpaceDE w:val="0"/>
        <w:autoSpaceDN w:val="0"/>
        <w:adjustRightInd w:val="0"/>
        <w:spacing w:after="60"/>
        <w:ind w:left="0"/>
        <w:rPr>
          <w:bCs/>
          <w:sz w:val="22"/>
          <w:szCs w:val="22"/>
          <w:lang w:eastAsia="pt-BR"/>
        </w:rPr>
      </w:pPr>
      <w:r>
        <w:rPr>
          <w:bCs/>
          <w:sz w:val="22"/>
          <w:szCs w:val="22"/>
          <w:lang w:eastAsia="pt-BR"/>
        </w:rPr>
        <w:t>3</w:t>
      </w:r>
      <w:r w:rsidR="0004252B" w:rsidRPr="0004252B">
        <w:rPr>
          <w:bCs/>
          <w:sz w:val="22"/>
          <w:szCs w:val="22"/>
          <w:lang w:eastAsia="pt-BR"/>
        </w:rPr>
        <w:t>. As estimativas de preços prévias às licitações devem estar baseadas em cesta de preços aceitáveis, tais como os oriundos de pesquisas diretas com fornecedores ou em seus catálogos, valores adjudicados em licitações de órgãos públicos, sistemas de compras (</w:t>
      </w:r>
      <w:proofErr w:type="spellStart"/>
      <w:r w:rsidR="0004252B" w:rsidRPr="0004252B">
        <w:rPr>
          <w:bCs/>
          <w:sz w:val="22"/>
          <w:szCs w:val="22"/>
          <w:lang w:eastAsia="pt-BR"/>
        </w:rPr>
        <w:t>Comprasnet</w:t>
      </w:r>
      <w:proofErr w:type="spellEnd"/>
      <w:r w:rsidR="0004252B" w:rsidRPr="0004252B">
        <w:rPr>
          <w:bCs/>
          <w:sz w:val="22"/>
          <w:szCs w:val="22"/>
          <w:lang w:eastAsia="pt-BR"/>
        </w:rPr>
        <w:t xml:space="preserve">), valores registrados em atas de SRP, avaliação de contratos recentes ou vigentes, compras e contratações realizadas por corporações privadas em condições idênticas ou semelhantes. </w:t>
      </w:r>
    </w:p>
    <w:p w:rsidR="0004252B" w:rsidRDefault="004A475A" w:rsidP="0004252B">
      <w:pPr>
        <w:autoSpaceDE w:val="0"/>
        <w:autoSpaceDN w:val="0"/>
        <w:adjustRightInd w:val="0"/>
        <w:spacing w:after="60"/>
        <w:ind w:left="0"/>
        <w:rPr>
          <w:bCs/>
          <w:sz w:val="22"/>
          <w:szCs w:val="22"/>
          <w:lang w:eastAsia="pt-BR"/>
        </w:rPr>
      </w:pPr>
      <w:r>
        <w:rPr>
          <w:bCs/>
          <w:sz w:val="22"/>
          <w:szCs w:val="22"/>
          <w:lang w:eastAsia="pt-BR"/>
        </w:rPr>
        <w:t>4</w:t>
      </w:r>
      <w:r w:rsidR="0004252B">
        <w:rPr>
          <w:bCs/>
          <w:sz w:val="22"/>
          <w:szCs w:val="22"/>
          <w:lang w:eastAsia="pt-BR"/>
        </w:rPr>
        <w:t xml:space="preserve">. </w:t>
      </w:r>
      <w:r w:rsidR="0004252B" w:rsidRPr="0004252B">
        <w:rPr>
          <w:bCs/>
          <w:sz w:val="22"/>
          <w:szCs w:val="22"/>
          <w:lang w:eastAsia="pt-BR"/>
        </w:rPr>
        <w:t>Nas licitações realizadas mediante pregão, constitui poder-dever da Administração a tentativa de negociação para reduzir o preço final do contrato, tendo em vista a maximização do interesse público em obter-se a proposta mais vantajosa, mesmo que eventualmente o valor da oferta tenha sido inferior à estimativa d</w:t>
      </w:r>
      <w:r w:rsidR="008456CA">
        <w:rPr>
          <w:bCs/>
          <w:sz w:val="22"/>
          <w:szCs w:val="22"/>
          <w:lang w:eastAsia="pt-BR"/>
        </w:rPr>
        <w:t>a licitação (art. 24, §§ 8º e 9º, do Decreto 5.450/</w:t>
      </w:r>
      <w:r w:rsidR="0004252B" w:rsidRPr="0004252B">
        <w:rPr>
          <w:bCs/>
          <w:sz w:val="22"/>
          <w:szCs w:val="22"/>
          <w:lang w:eastAsia="pt-BR"/>
        </w:rPr>
        <w:t>05).</w:t>
      </w:r>
    </w:p>
    <w:p w:rsidR="00846D10" w:rsidRDefault="00846D10" w:rsidP="00492AF9">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PLENÁRIO</w:t>
      </w:r>
    </w:p>
    <w:p w:rsidR="00921705" w:rsidRPr="00E6554C" w:rsidRDefault="00921705" w:rsidP="00B84CBC">
      <w:pPr>
        <w:shd w:val="clear" w:color="auto" w:fill="FFFFFF"/>
        <w:spacing w:after="0"/>
        <w:ind w:left="0"/>
        <w:rPr>
          <w:rFonts w:eastAsia="Times New Roman"/>
          <w:b/>
          <w:i/>
          <w:color w:val="000000"/>
          <w:sz w:val="22"/>
          <w:szCs w:val="22"/>
          <w:lang w:eastAsia="pt-BR"/>
        </w:rPr>
      </w:pPr>
    </w:p>
    <w:p w:rsidR="008623A9" w:rsidRPr="00E6554C" w:rsidRDefault="00EB600C" w:rsidP="006B4E7C">
      <w:pPr>
        <w:shd w:val="clear" w:color="auto" w:fill="FFFFFF"/>
        <w:spacing w:after="0"/>
        <w:ind w:left="0"/>
        <w:rPr>
          <w:rFonts w:eastAsia="Times New Roman"/>
          <w:b/>
          <w:bCs/>
          <w:sz w:val="22"/>
          <w:szCs w:val="22"/>
          <w:lang w:eastAsia="pt-BR"/>
        </w:rPr>
      </w:pPr>
      <w:r>
        <w:rPr>
          <w:rFonts w:eastAsia="Times New Roman"/>
          <w:b/>
          <w:bCs/>
          <w:sz w:val="22"/>
          <w:szCs w:val="22"/>
          <w:lang w:eastAsia="pt-BR"/>
        </w:rPr>
        <w:t>1</w:t>
      </w:r>
      <w:r w:rsidR="008623A9" w:rsidRPr="00E6554C">
        <w:rPr>
          <w:rFonts w:eastAsia="Times New Roman"/>
          <w:b/>
          <w:bCs/>
          <w:sz w:val="22"/>
          <w:szCs w:val="22"/>
          <w:lang w:eastAsia="pt-BR"/>
        </w:rPr>
        <w:t>. Nas contratações diretas por inexigibilidade de licitação, o conceito de singularidade não pode ser confundido com a ideia de unicidade, exclusividade, ineditismo ou raridade. O fato de o objeto poder ser executado por outros profissionais ou empresas não impede a contratação direta amparada no art. 25, inciso II, da Lei 8.666/93. A inexigibilidade, amparada nesse dispositivo legal, decorre da impossibilidade de se fixar critérios objetivos de julgamento.</w:t>
      </w:r>
    </w:p>
    <w:p w:rsidR="00FF67A4" w:rsidRPr="00D76E1C" w:rsidRDefault="00EB600C" w:rsidP="00FF67A4">
      <w:pPr>
        <w:shd w:val="clear" w:color="auto" w:fill="FFFFFF"/>
        <w:spacing w:after="0"/>
        <w:ind w:left="0"/>
        <w:rPr>
          <w:bCs/>
          <w:sz w:val="22"/>
          <w:szCs w:val="22"/>
        </w:rPr>
      </w:pPr>
      <w:r>
        <w:rPr>
          <w:sz w:val="22"/>
          <w:szCs w:val="22"/>
          <w:lang w:eastAsia="pt-BR"/>
        </w:rPr>
        <w:t xml:space="preserve">Fiscalização em processo de </w:t>
      </w:r>
      <w:r w:rsidR="00E519CB" w:rsidRPr="00E6554C">
        <w:rPr>
          <w:sz w:val="22"/>
          <w:szCs w:val="22"/>
          <w:lang w:eastAsia="pt-BR"/>
        </w:rPr>
        <w:t>S</w:t>
      </w:r>
      <w:r w:rsidR="001F690D" w:rsidRPr="00E6554C">
        <w:rPr>
          <w:sz w:val="22"/>
          <w:szCs w:val="22"/>
        </w:rPr>
        <w:t>olicitação do Congresso Nacional a</w:t>
      </w:r>
      <w:r w:rsidR="00E519CB" w:rsidRPr="00E6554C">
        <w:rPr>
          <w:sz w:val="22"/>
          <w:szCs w:val="22"/>
          <w:lang w:eastAsia="pt-BR"/>
        </w:rPr>
        <w:t>p</w:t>
      </w:r>
      <w:r w:rsidR="00B77B61">
        <w:rPr>
          <w:sz w:val="22"/>
          <w:szCs w:val="22"/>
          <w:lang w:eastAsia="pt-BR"/>
        </w:rPr>
        <w:t>urou</w:t>
      </w:r>
      <w:r w:rsidR="001F690D" w:rsidRPr="00E6554C">
        <w:rPr>
          <w:sz w:val="22"/>
          <w:szCs w:val="22"/>
        </w:rPr>
        <w:t xml:space="preserve"> possíveis irregularidades ocorridas no Ministério Público Federal (MPF), relacionadas à contratação direta d</w:t>
      </w:r>
      <w:r w:rsidR="00E519CB" w:rsidRPr="00E6554C">
        <w:rPr>
          <w:sz w:val="22"/>
          <w:szCs w:val="22"/>
          <w:lang w:eastAsia="pt-BR"/>
        </w:rPr>
        <w:t>e empresa</w:t>
      </w:r>
      <w:r w:rsidR="001F690D" w:rsidRPr="00E6554C">
        <w:rPr>
          <w:sz w:val="22"/>
          <w:szCs w:val="22"/>
        </w:rPr>
        <w:t xml:space="preserve">, por inexigibilidade de licitação, para a </w:t>
      </w:r>
      <w:r w:rsidR="00E519CB" w:rsidRPr="00E6554C">
        <w:rPr>
          <w:sz w:val="22"/>
          <w:szCs w:val="22"/>
          <w:lang w:eastAsia="pt-BR"/>
        </w:rPr>
        <w:t>“</w:t>
      </w:r>
      <w:r w:rsidR="001F690D" w:rsidRPr="00E6554C">
        <w:rPr>
          <w:i/>
          <w:sz w:val="22"/>
          <w:szCs w:val="22"/>
        </w:rPr>
        <w:t>implantação de mecanismos de governança interna com o intuito de melhorar o diálogo entre o Gabinete do Procurador-Geral da República, a alta administração, os membros e servidores do Ministério Público Federal</w:t>
      </w:r>
      <w:r w:rsidR="00E519CB" w:rsidRPr="00E6554C">
        <w:rPr>
          <w:sz w:val="22"/>
          <w:szCs w:val="22"/>
          <w:lang w:eastAsia="pt-BR"/>
        </w:rPr>
        <w:t xml:space="preserve">”. </w:t>
      </w:r>
      <w:r w:rsidR="00595EC0">
        <w:rPr>
          <w:sz w:val="22"/>
          <w:szCs w:val="22"/>
          <w:lang w:eastAsia="pt-BR"/>
        </w:rPr>
        <w:t>E</w:t>
      </w:r>
      <w:r w:rsidR="00E22963" w:rsidRPr="00E6554C">
        <w:rPr>
          <w:sz w:val="22"/>
          <w:szCs w:val="22"/>
          <w:lang w:eastAsia="pt-BR"/>
        </w:rPr>
        <w:t xml:space="preserve">ntre os fatos que motivaram </w:t>
      </w:r>
      <w:r w:rsidR="00E22963" w:rsidRPr="00E6554C">
        <w:rPr>
          <w:sz w:val="22"/>
          <w:szCs w:val="22"/>
        </w:rPr>
        <w:t>a requisição d</w:t>
      </w:r>
      <w:r w:rsidR="00E22963" w:rsidRPr="00E6554C">
        <w:rPr>
          <w:sz w:val="22"/>
          <w:szCs w:val="22"/>
          <w:lang w:eastAsia="pt-BR"/>
        </w:rPr>
        <w:t xml:space="preserve">a fiscalização, destaca-se </w:t>
      </w:r>
      <w:r w:rsidR="00E22963" w:rsidRPr="00E6554C">
        <w:rPr>
          <w:sz w:val="22"/>
          <w:szCs w:val="22"/>
        </w:rPr>
        <w:t>a contratação de empresa, por inexigibilidade de licitação, “</w:t>
      </w:r>
      <w:r w:rsidR="00E22963" w:rsidRPr="00E6554C">
        <w:rPr>
          <w:i/>
          <w:sz w:val="22"/>
          <w:szCs w:val="22"/>
        </w:rPr>
        <w:t>com base no inciso II do artigo 25, combinado, com o inciso III do artigo 13, todos da Lei 8.666, de 1993</w:t>
      </w:r>
      <w:r w:rsidR="00E22963" w:rsidRPr="00E6554C">
        <w:rPr>
          <w:sz w:val="22"/>
          <w:szCs w:val="22"/>
        </w:rPr>
        <w:t xml:space="preserve">”, sem o </w:t>
      </w:r>
      <w:r w:rsidR="00D43C0B" w:rsidRPr="00E6554C">
        <w:rPr>
          <w:sz w:val="22"/>
          <w:szCs w:val="22"/>
        </w:rPr>
        <w:t xml:space="preserve">atendimento dos requisitos de </w:t>
      </w:r>
      <w:r w:rsidR="00E22963" w:rsidRPr="00E6554C">
        <w:rPr>
          <w:sz w:val="22"/>
          <w:szCs w:val="22"/>
        </w:rPr>
        <w:t>"</w:t>
      </w:r>
      <w:r w:rsidR="00E22963" w:rsidRPr="00E6554C">
        <w:rPr>
          <w:i/>
          <w:sz w:val="22"/>
          <w:szCs w:val="22"/>
        </w:rPr>
        <w:t>inviabilidade de competição</w:t>
      </w:r>
      <w:r w:rsidR="00E22963" w:rsidRPr="00E6554C">
        <w:rPr>
          <w:sz w:val="22"/>
          <w:szCs w:val="22"/>
        </w:rPr>
        <w:t>", "</w:t>
      </w:r>
      <w:r w:rsidR="00E22963" w:rsidRPr="00E6554C">
        <w:rPr>
          <w:i/>
          <w:sz w:val="22"/>
          <w:szCs w:val="22"/>
        </w:rPr>
        <w:t>natureza singular do serviço</w:t>
      </w:r>
      <w:r w:rsidR="00E22963" w:rsidRPr="00E6554C">
        <w:rPr>
          <w:sz w:val="22"/>
          <w:szCs w:val="22"/>
        </w:rPr>
        <w:t>" e "</w:t>
      </w:r>
      <w:r w:rsidR="00E22963" w:rsidRPr="00E6554C">
        <w:rPr>
          <w:i/>
          <w:sz w:val="22"/>
          <w:szCs w:val="22"/>
        </w:rPr>
        <w:t>notória especialização</w:t>
      </w:r>
      <w:r w:rsidR="00E22963" w:rsidRPr="00E6554C">
        <w:rPr>
          <w:sz w:val="22"/>
          <w:szCs w:val="22"/>
        </w:rPr>
        <w:t xml:space="preserve">",  </w:t>
      </w:r>
      <w:r w:rsidR="00D43C0B" w:rsidRPr="00E6554C">
        <w:rPr>
          <w:sz w:val="22"/>
          <w:szCs w:val="22"/>
        </w:rPr>
        <w:t>uma vez que “</w:t>
      </w:r>
      <w:r w:rsidR="00E22963" w:rsidRPr="00E6554C">
        <w:rPr>
          <w:i/>
          <w:sz w:val="22"/>
          <w:szCs w:val="22"/>
        </w:rPr>
        <w:t>a empresa contratada não seria a única capacitada a atender à demanda do MPF e essa necessidade de comunicação interna não seria tão fora do comum que exigisse um prestador de serviço com notória especialização técnica</w:t>
      </w:r>
      <w:r w:rsidR="00D43C0B" w:rsidRPr="00E6554C">
        <w:rPr>
          <w:sz w:val="22"/>
          <w:szCs w:val="22"/>
        </w:rPr>
        <w:t xml:space="preserve">”. </w:t>
      </w:r>
      <w:r w:rsidR="002941E3" w:rsidRPr="00E6554C">
        <w:rPr>
          <w:sz w:val="22"/>
          <w:szCs w:val="22"/>
        </w:rPr>
        <w:t>Em sua anális</w:t>
      </w:r>
      <w:r w:rsidR="00B77B61">
        <w:rPr>
          <w:sz w:val="22"/>
          <w:szCs w:val="22"/>
        </w:rPr>
        <w:t>e, a unidade técnica considerou</w:t>
      </w:r>
      <w:r w:rsidR="002941E3" w:rsidRPr="00E6554C">
        <w:rPr>
          <w:sz w:val="22"/>
          <w:szCs w:val="22"/>
        </w:rPr>
        <w:t xml:space="preserve"> que “</w:t>
      </w:r>
      <w:r w:rsidR="002941E3" w:rsidRPr="00E6554C">
        <w:rPr>
          <w:rFonts w:eastAsia="Times New Roman"/>
          <w:bCs/>
          <w:i/>
          <w:sz w:val="22"/>
          <w:szCs w:val="22"/>
          <w:lang w:eastAsia="pt-BR"/>
        </w:rPr>
        <w:t xml:space="preserve">o conceito de singularidade de que trata o art. 25, inciso II, da Lei 8.666/1993 não estaria vinculado à ideia de unicidade, mas de complexidade e especificidade. Dessa forma, a natureza singular não deveria ser compreendida como ausência de pluralidade de sujeitos em condições de executar o objeto, mas sim como uma situação diferenciada e sofisticada a exigir acentuado nível de </w:t>
      </w:r>
      <w:r w:rsidR="002941E3" w:rsidRPr="00E6554C">
        <w:rPr>
          <w:rFonts w:eastAsia="Times New Roman"/>
          <w:bCs/>
          <w:i/>
          <w:sz w:val="22"/>
          <w:szCs w:val="22"/>
          <w:lang w:eastAsia="pt-BR"/>
        </w:rPr>
        <w:lastRenderedPageBreak/>
        <w:t>segurança e cuidado</w:t>
      </w:r>
      <w:r w:rsidR="002941E3" w:rsidRPr="00E6554C">
        <w:rPr>
          <w:bCs/>
          <w:sz w:val="22"/>
          <w:szCs w:val="22"/>
        </w:rPr>
        <w:t>”</w:t>
      </w:r>
      <w:r w:rsidR="002941E3" w:rsidRPr="00E6554C">
        <w:rPr>
          <w:rFonts w:eastAsia="Times New Roman"/>
          <w:bCs/>
          <w:sz w:val="22"/>
          <w:szCs w:val="22"/>
          <w:lang w:eastAsia="pt-BR"/>
        </w:rPr>
        <w:t xml:space="preserve">. </w:t>
      </w:r>
      <w:r w:rsidR="00B77B61">
        <w:rPr>
          <w:bCs/>
          <w:sz w:val="22"/>
          <w:szCs w:val="22"/>
        </w:rPr>
        <w:t>Nesse sentido, concluiu</w:t>
      </w:r>
      <w:r w:rsidR="0052778E" w:rsidRPr="00E6554C">
        <w:rPr>
          <w:bCs/>
          <w:sz w:val="22"/>
          <w:szCs w:val="22"/>
        </w:rPr>
        <w:t xml:space="preserve"> que a empresa contratada </w:t>
      </w:r>
      <w:r w:rsidR="0052778E" w:rsidRPr="00E6554C">
        <w:rPr>
          <w:bCs/>
          <w:i/>
          <w:sz w:val="22"/>
          <w:szCs w:val="22"/>
        </w:rPr>
        <w:t>“possuiria a notória especialização, tanto pelo currículo dos profissionais que a compõem quanto pela experiência anterior em trabalhos realizados em outras entidades públicas</w:t>
      </w:r>
      <w:r w:rsidR="00D42335" w:rsidRPr="00E6554C">
        <w:rPr>
          <w:bCs/>
          <w:i/>
          <w:sz w:val="22"/>
          <w:szCs w:val="22"/>
        </w:rPr>
        <w:t xml:space="preserve"> e por ter realizado diagnóstico na área de comunicação do próprio MPF</w:t>
      </w:r>
      <w:r w:rsidR="0052778E" w:rsidRPr="00E6554C">
        <w:rPr>
          <w:bCs/>
          <w:sz w:val="22"/>
          <w:szCs w:val="22"/>
        </w:rPr>
        <w:t xml:space="preserve">”. Contudo, </w:t>
      </w:r>
      <w:r w:rsidR="00D42335" w:rsidRPr="00E6554C">
        <w:rPr>
          <w:bCs/>
          <w:sz w:val="22"/>
          <w:szCs w:val="22"/>
        </w:rPr>
        <w:t>ponderou que não restara caracterizad</w:t>
      </w:r>
      <w:r w:rsidR="00595EC0">
        <w:rPr>
          <w:bCs/>
          <w:sz w:val="22"/>
          <w:szCs w:val="22"/>
        </w:rPr>
        <w:t>a a singularidade do objeto “</w:t>
      </w:r>
      <w:r w:rsidR="002941E3" w:rsidRPr="00E6554C">
        <w:rPr>
          <w:rFonts w:eastAsia="Times New Roman"/>
          <w:bCs/>
          <w:i/>
          <w:sz w:val="22"/>
          <w:szCs w:val="22"/>
          <w:lang w:eastAsia="pt-BR"/>
        </w:rPr>
        <w:t>pois seria de se esperar que o relatório do diagnóstico realizado pudesse servir de base para o trabalho de qualquer outra empresa competente, que poderia simplesmente utilizá-lo</w:t>
      </w:r>
      <w:r w:rsidR="00D42335" w:rsidRPr="00E6554C">
        <w:rPr>
          <w:bCs/>
          <w:sz w:val="22"/>
          <w:szCs w:val="22"/>
        </w:rPr>
        <w:t>”, sendo possível a definição e o detalhamento dos produtos a serem contratados, “</w:t>
      </w:r>
      <w:r w:rsidR="002941E3" w:rsidRPr="00E6554C">
        <w:rPr>
          <w:rFonts w:eastAsia="Times New Roman"/>
          <w:bCs/>
          <w:i/>
          <w:sz w:val="22"/>
          <w:szCs w:val="22"/>
          <w:lang w:eastAsia="pt-BR"/>
        </w:rPr>
        <w:t>de modo a permitir a comparação objetiva entre propostas a serem submetidas em eventual certame licitatório</w:t>
      </w:r>
      <w:r w:rsidR="00D42335" w:rsidRPr="00E6554C">
        <w:rPr>
          <w:bCs/>
          <w:sz w:val="22"/>
          <w:szCs w:val="22"/>
        </w:rPr>
        <w:t>”</w:t>
      </w:r>
      <w:r w:rsidR="002941E3" w:rsidRPr="00E6554C">
        <w:rPr>
          <w:rFonts w:eastAsia="Times New Roman"/>
          <w:bCs/>
          <w:sz w:val="22"/>
          <w:szCs w:val="22"/>
          <w:lang w:eastAsia="pt-BR"/>
        </w:rPr>
        <w:t>.</w:t>
      </w:r>
      <w:r w:rsidR="00D42335" w:rsidRPr="00E6554C">
        <w:rPr>
          <w:bCs/>
          <w:sz w:val="22"/>
          <w:szCs w:val="22"/>
        </w:rPr>
        <w:t xml:space="preserve"> </w:t>
      </w:r>
      <w:r w:rsidR="00B704C5" w:rsidRPr="00E6554C">
        <w:rPr>
          <w:bCs/>
          <w:sz w:val="22"/>
          <w:szCs w:val="22"/>
        </w:rPr>
        <w:t xml:space="preserve">Ao analisar o ponto, o relator </w:t>
      </w:r>
      <w:r w:rsidR="00C36DEE" w:rsidRPr="00E6554C">
        <w:rPr>
          <w:bCs/>
          <w:sz w:val="22"/>
          <w:szCs w:val="22"/>
        </w:rPr>
        <w:t>anotou que “</w:t>
      </w:r>
      <w:r w:rsidR="00C36DEE" w:rsidRPr="00E6554C">
        <w:rPr>
          <w:bCs/>
          <w:i/>
          <w:sz w:val="22"/>
          <w:szCs w:val="22"/>
        </w:rPr>
        <w:t>a contratação direta por inexigibilidade, com base no art. 25, inciso II, da Lei 8.666/1993, exige simultaneamente a demonstração dos seguintes requisitos: que o objeto se inclua entre os serviços técnicos especializados do artigo 13 da Lei de Licitações; que tenha natureza singular e que o contratado detenha notória especialização</w:t>
      </w:r>
      <w:r w:rsidR="00595EC0">
        <w:rPr>
          <w:bCs/>
          <w:sz w:val="22"/>
          <w:szCs w:val="22"/>
        </w:rPr>
        <w:t>”. Assim</w:t>
      </w:r>
      <w:r w:rsidR="00C36DEE" w:rsidRPr="00E6554C">
        <w:rPr>
          <w:bCs/>
          <w:sz w:val="22"/>
          <w:szCs w:val="22"/>
        </w:rPr>
        <w:t xml:space="preserve">, em linha com a análise da unidade técnica, </w:t>
      </w:r>
      <w:r w:rsidR="007F3575" w:rsidRPr="00E6554C">
        <w:rPr>
          <w:bCs/>
          <w:sz w:val="22"/>
          <w:szCs w:val="22"/>
        </w:rPr>
        <w:t xml:space="preserve">o relator </w:t>
      </w:r>
      <w:r w:rsidR="00C36DEE" w:rsidRPr="00E6554C">
        <w:rPr>
          <w:bCs/>
          <w:sz w:val="22"/>
          <w:szCs w:val="22"/>
        </w:rPr>
        <w:t xml:space="preserve">considerou </w:t>
      </w:r>
      <w:r w:rsidR="007F3575" w:rsidRPr="00E6554C">
        <w:rPr>
          <w:bCs/>
          <w:sz w:val="22"/>
          <w:szCs w:val="22"/>
        </w:rPr>
        <w:t>que o objeto da contratação teria “</w:t>
      </w:r>
      <w:r w:rsidR="007F3575" w:rsidRPr="00E6554C">
        <w:rPr>
          <w:bCs/>
          <w:i/>
          <w:sz w:val="22"/>
          <w:szCs w:val="22"/>
        </w:rPr>
        <w:t>todas as características inerentes a uma contratação de consultoria, espécie enumerada no art. 13, inciso III, da Lei de Licitações e Contratos</w:t>
      </w:r>
      <w:r w:rsidR="007F3575" w:rsidRPr="00E6554C">
        <w:rPr>
          <w:bCs/>
          <w:sz w:val="22"/>
          <w:szCs w:val="22"/>
        </w:rPr>
        <w:t>”, sendo possível “</w:t>
      </w:r>
      <w:r w:rsidR="007F3575" w:rsidRPr="00E6554C">
        <w:rPr>
          <w:bCs/>
          <w:i/>
          <w:sz w:val="22"/>
          <w:szCs w:val="22"/>
        </w:rPr>
        <w:t>o enquadramento da contratação no inciso II do art. 25 da mesma Lei</w:t>
      </w:r>
      <w:r w:rsidR="007F3575" w:rsidRPr="00E6554C">
        <w:rPr>
          <w:bCs/>
          <w:sz w:val="22"/>
          <w:szCs w:val="22"/>
        </w:rPr>
        <w:t>”, além de “</w:t>
      </w:r>
      <w:r w:rsidR="007F3575" w:rsidRPr="00E6554C">
        <w:rPr>
          <w:bCs/>
          <w:i/>
          <w:sz w:val="22"/>
          <w:szCs w:val="22"/>
        </w:rPr>
        <w:t xml:space="preserve">estar </w:t>
      </w:r>
      <w:r w:rsidR="00C36DEE" w:rsidRPr="00E6554C">
        <w:rPr>
          <w:bCs/>
          <w:i/>
          <w:sz w:val="22"/>
          <w:szCs w:val="22"/>
        </w:rPr>
        <w:t>bem caracterizada a notória especialização</w:t>
      </w:r>
      <w:r w:rsidR="007F3575" w:rsidRPr="00E6554C">
        <w:rPr>
          <w:bCs/>
          <w:sz w:val="22"/>
          <w:szCs w:val="22"/>
        </w:rPr>
        <w:t xml:space="preserve">”. Contudo, </w:t>
      </w:r>
      <w:r w:rsidR="00C36DEE" w:rsidRPr="00E6554C">
        <w:rPr>
          <w:bCs/>
          <w:sz w:val="22"/>
          <w:szCs w:val="22"/>
        </w:rPr>
        <w:t>divergiu pontualmente do exame realizado pela unidade instrutiva</w:t>
      </w:r>
      <w:r w:rsidR="007F3575" w:rsidRPr="00E6554C">
        <w:rPr>
          <w:bCs/>
          <w:sz w:val="22"/>
          <w:szCs w:val="22"/>
        </w:rPr>
        <w:t xml:space="preserve"> em relação à </w:t>
      </w:r>
      <w:r w:rsidR="00C36DEE" w:rsidRPr="00E6554C">
        <w:rPr>
          <w:bCs/>
          <w:sz w:val="22"/>
          <w:szCs w:val="22"/>
        </w:rPr>
        <w:t>singularidade do objeto</w:t>
      </w:r>
      <w:r w:rsidR="007F3575" w:rsidRPr="00E6554C">
        <w:rPr>
          <w:bCs/>
          <w:sz w:val="22"/>
          <w:szCs w:val="22"/>
        </w:rPr>
        <w:t>. Sobre o ponto, enfatizou que “</w:t>
      </w:r>
      <w:r w:rsidR="007F3575" w:rsidRPr="00E6554C">
        <w:rPr>
          <w:bCs/>
          <w:i/>
          <w:sz w:val="22"/>
          <w:szCs w:val="22"/>
        </w:rPr>
        <w:t xml:space="preserve">tal conceito não pode ser confundido com unicidade, exclusividade, ineditismo ou mesmo raridade. Se fosse único ou inédito, seria caso de inexigibilidade por inviabilidade de competição, </w:t>
      </w:r>
      <w:proofErr w:type="spellStart"/>
      <w:r w:rsidR="007F3575" w:rsidRPr="00E6554C">
        <w:rPr>
          <w:bCs/>
          <w:i/>
          <w:sz w:val="22"/>
          <w:szCs w:val="22"/>
        </w:rPr>
        <w:t>fulcrada</w:t>
      </w:r>
      <w:proofErr w:type="spellEnd"/>
      <w:r w:rsidR="007F3575" w:rsidRPr="00E6554C">
        <w:rPr>
          <w:bCs/>
          <w:i/>
          <w:sz w:val="22"/>
          <w:szCs w:val="22"/>
        </w:rPr>
        <w:t xml:space="preserve"> no caput do art. 25, e não pela natureza singular do serviço. O fato de o objeto poder ser executado por outros profissionais ou empresas não impede que exista a contratação amparada no art. 25, inciso II, da Lei 8.666/1993</w:t>
      </w:r>
      <w:r w:rsidR="007F3575" w:rsidRPr="00E6554C">
        <w:rPr>
          <w:bCs/>
          <w:sz w:val="22"/>
          <w:szCs w:val="22"/>
        </w:rPr>
        <w:t>”. Divergiu ainda da correlação realizada pela unidade técnica “</w:t>
      </w:r>
      <w:r w:rsidR="007F3575" w:rsidRPr="00E6554C">
        <w:rPr>
          <w:bCs/>
          <w:i/>
          <w:sz w:val="22"/>
          <w:szCs w:val="22"/>
        </w:rPr>
        <w:t>no sentido de que não existe singularidade do objeto quando é possível a especificação tanto de qualificação técnica da empresa a ser contratada quanto dos serviços e produtos a serem produzidos, detalhando a metodologia a ser utilizada e os conteúdos dos produtos a serem entregues. Isso porque em alguns tipos de contratação deve ser observada a relação que existe entre a singularidade do objeto e a notória especialização. Embora tal fato não possa ser tomado como uma regra geral, a singularidade do objeto muitas vezes decorre da própria notória especialização de seu executor</w:t>
      </w:r>
      <w:r w:rsidR="007F3575" w:rsidRPr="00E6554C">
        <w:rPr>
          <w:bCs/>
          <w:sz w:val="22"/>
          <w:szCs w:val="22"/>
        </w:rPr>
        <w:t xml:space="preserve">”. </w:t>
      </w:r>
      <w:r w:rsidR="00A12428" w:rsidRPr="00E6554C">
        <w:rPr>
          <w:bCs/>
          <w:sz w:val="22"/>
          <w:szCs w:val="22"/>
        </w:rPr>
        <w:t>Assim, para o relator, “</w:t>
      </w:r>
      <w:r w:rsidR="00A12428" w:rsidRPr="00E6554C">
        <w:rPr>
          <w:bCs/>
          <w:i/>
          <w:sz w:val="22"/>
          <w:szCs w:val="22"/>
        </w:rPr>
        <w:t>nesse tipo de objeto 'consultoria ' a inexigibilidade de licitação é possível para contratação de objetos mais complexos, em particular quando a metodologia empregada e os produtos entregues são interdependentes da atuação do prestador de serviço, assim como de suas experiências pretéritas, publicações, equipe técnica, aparelhamento e atividades anteriormente desenvolvidas para o próprio órgão</w:t>
      </w:r>
      <w:r w:rsidR="00595EC0">
        <w:rPr>
          <w:bCs/>
          <w:i/>
          <w:sz w:val="22"/>
          <w:szCs w:val="22"/>
        </w:rPr>
        <w:t xml:space="preserve">. </w:t>
      </w:r>
      <w:r w:rsidR="00595EC0" w:rsidRPr="00595EC0">
        <w:rPr>
          <w:i/>
          <w:sz w:val="22"/>
          <w:szCs w:val="20"/>
        </w:rPr>
        <w:t>A própria escolha do contratado acaba dependendo de uma análise subjetiva, e não poderia ser diferente, pois, se a escolha pudesse ser calcada em elementos objetivos, a licitação não seria inviável. Ela é impossível justamente porque há dificuldade de comparação objetiva entre as propostas, que estão atreladas aos profissionais que executarão os trabalhos. Portanto, nesse tipo de objeto, resta caracterizada a discricionar</w:t>
      </w:r>
      <w:r w:rsidR="00595EC0">
        <w:rPr>
          <w:i/>
          <w:sz w:val="22"/>
          <w:szCs w:val="20"/>
        </w:rPr>
        <w:t xml:space="preserve">iedade na escolha do contratado (...) </w:t>
      </w:r>
      <w:r w:rsidR="00595EC0" w:rsidRPr="00595EC0">
        <w:rPr>
          <w:i/>
          <w:sz w:val="22"/>
          <w:szCs w:val="20"/>
        </w:rPr>
        <w:t>Essa é a melhor interpretação da Súmula 264 do TCU, de que a contratação de serviços por notória especialização somente é cabível quando se tratar de serviço de natureza singular, capaz de exigir, na seleção do executor de confiança, grau de subjetividade insuscetível de ser medido pelos critérios objetivos de qualificação ine</w:t>
      </w:r>
      <w:r w:rsidR="000B1709">
        <w:rPr>
          <w:i/>
          <w:sz w:val="22"/>
          <w:szCs w:val="20"/>
        </w:rPr>
        <w:t>rentes ao processo de licitação</w:t>
      </w:r>
      <w:r w:rsidR="00A12428" w:rsidRPr="00E6554C">
        <w:rPr>
          <w:bCs/>
          <w:i/>
          <w:sz w:val="22"/>
          <w:szCs w:val="22"/>
        </w:rPr>
        <w:t>”</w:t>
      </w:r>
      <w:r w:rsidR="00A12428" w:rsidRPr="00E6554C">
        <w:rPr>
          <w:bCs/>
          <w:sz w:val="22"/>
          <w:szCs w:val="22"/>
        </w:rPr>
        <w:t>. Sobre o caso em exame, observou que a empresa contratada “</w:t>
      </w:r>
      <w:r w:rsidR="00A12428" w:rsidRPr="00E6554C">
        <w:rPr>
          <w:bCs/>
          <w:i/>
          <w:sz w:val="22"/>
          <w:szCs w:val="22"/>
        </w:rPr>
        <w:t>prestou serviços de diagnóstico de governança da comunicação interna no âmbito do MPF, o que demonstra que possuía melhor conhecimento da estrutura interna do órgão, dos seus fluxos de trabalho, dos seus pontos positivos e dos problemas de comunicação interna. Embora isso não necessariamente torne a empresa fornecedora exclusiva, não se pode olvidar que justifique sua contratação, caso presentes os requisitos exigidos para o enquadramento da contratação no inciso II do art. 25 da Lei 8.666/1993</w:t>
      </w:r>
      <w:r w:rsidR="00FC74EA" w:rsidRPr="00E6554C">
        <w:rPr>
          <w:bCs/>
          <w:sz w:val="22"/>
          <w:szCs w:val="22"/>
        </w:rPr>
        <w:t xml:space="preserve">”. </w:t>
      </w:r>
      <w:r w:rsidR="00A12428" w:rsidRPr="00E6554C">
        <w:rPr>
          <w:bCs/>
          <w:sz w:val="22"/>
          <w:szCs w:val="22"/>
        </w:rPr>
        <w:t>Saliento</w:t>
      </w:r>
      <w:r w:rsidR="00FC74EA" w:rsidRPr="00E6554C">
        <w:rPr>
          <w:bCs/>
          <w:sz w:val="22"/>
          <w:szCs w:val="22"/>
        </w:rPr>
        <w:t xml:space="preserve">u por fim o relator </w:t>
      </w:r>
      <w:r w:rsidR="00A12428" w:rsidRPr="00E6554C">
        <w:rPr>
          <w:bCs/>
          <w:sz w:val="22"/>
          <w:szCs w:val="22"/>
        </w:rPr>
        <w:t xml:space="preserve">que </w:t>
      </w:r>
      <w:r w:rsidR="00FC74EA" w:rsidRPr="00E6554C">
        <w:rPr>
          <w:bCs/>
          <w:sz w:val="22"/>
          <w:szCs w:val="22"/>
        </w:rPr>
        <w:t>“</w:t>
      </w:r>
      <w:r w:rsidR="00A12428" w:rsidRPr="00E6554C">
        <w:rPr>
          <w:bCs/>
          <w:i/>
          <w:sz w:val="22"/>
          <w:szCs w:val="22"/>
        </w:rPr>
        <w:t>o fato da impossibilidade de se fixar critérios objetivos de julgamento, aliada à discricionariedade do gestor na escolha do profissional a ser contratado, não autoriza a Administração a efetuar escolhas arbitrárias ou inadequadas à satisfação do interesse público. A seleção deverá observar os critérios de notoriedade e especialização, sendo devidamente fundamentada no processo de contratação</w:t>
      </w:r>
      <w:r w:rsidR="00FC74EA" w:rsidRPr="00E6554C">
        <w:rPr>
          <w:bCs/>
          <w:i/>
          <w:sz w:val="22"/>
          <w:szCs w:val="22"/>
        </w:rPr>
        <w:t>”</w:t>
      </w:r>
      <w:r w:rsidR="00A12428" w:rsidRPr="00E6554C">
        <w:rPr>
          <w:bCs/>
          <w:sz w:val="22"/>
          <w:szCs w:val="22"/>
        </w:rPr>
        <w:t>.</w:t>
      </w:r>
      <w:r w:rsidR="00FC74EA" w:rsidRPr="00E6554C">
        <w:rPr>
          <w:bCs/>
          <w:sz w:val="22"/>
          <w:szCs w:val="22"/>
        </w:rPr>
        <w:t xml:space="preserve"> Caracterizada a singularidade do objeto e </w:t>
      </w:r>
      <w:r w:rsidR="00FF67A4" w:rsidRPr="00E6554C">
        <w:rPr>
          <w:bCs/>
          <w:sz w:val="22"/>
          <w:szCs w:val="22"/>
        </w:rPr>
        <w:t>justificada</w:t>
      </w:r>
      <w:r w:rsidR="00FC74EA" w:rsidRPr="00E6554C">
        <w:rPr>
          <w:bCs/>
          <w:sz w:val="22"/>
          <w:szCs w:val="22"/>
        </w:rPr>
        <w:t xml:space="preserve"> a escolha do contratado, o Plenário do Tribunal, </w:t>
      </w:r>
      <w:r w:rsidR="00FF67A4" w:rsidRPr="00E6554C">
        <w:rPr>
          <w:bCs/>
          <w:sz w:val="22"/>
          <w:szCs w:val="22"/>
        </w:rPr>
        <w:t xml:space="preserve">considerando a ausência de outras irregularidades na contratação, </w:t>
      </w:r>
      <w:r w:rsidR="00FC74EA" w:rsidRPr="00E6554C">
        <w:rPr>
          <w:bCs/>
          <w:sz w:val="22"/>
          <w:szCs w:val="22"/>
        </w:rPr>
        <w:t>decidiu</w:t>
      </w:r>
      <w:r w:rsidR="00595EC0">
        <w:rPr>
          <w:bCs/>
          <w:sz w:val="22"/>
          <w:szCs w:val="22"/>
        </w:rPr>
        <w:t xml:space="preserve">, </w:t>
      </w:r>
      <w:r w:rsidR="00FF67A4" w:rsidRPr="00E6554C">
        <w:rPr>
          <w:bCs/>
          <w:sz w:val="22"/>
          <w:szCs w:val="22"/>
        </w:rPr>
        <w:t>entre outras medidas, considerar a solicitação integralment</w:t>
      </w:r>
      <w:r w:rsidR="00595EC0">
        <w:rPr>
          <w:bCs/>
          <w:sz w:val="22"/>
          <w:szCs w:val="22"/>
        </w:rPr>
        <w:t>e atendida e arquivar o</w:t>
      </w:r>
      <w:r w:rsidR="00FF67A4" w:rsidRPr="00E6554C">
        <w:rPr>
          <w:bCs/>
          <w:sz w:val="22"/>
          <w:szCs w:val="22"/>
        </w:rPr>
        <w:t xml:space="preserve"> processo</w:t>
      </w:r>
      <w:r w:rsidR="00722B30">
        <w:rPr>
          <w:bCs/>
          <w:sz w:val="22"/>
          <w:szCs w:val="22"/>
        </w:rPr>
        <w:t xml:space="preserve">. </w:t>
      </w:r>
      <w:hyperlink r:id="rId9" w:history="1">
        <w:r w:rsidR="00264EF4">
          <w:rPr>
            <w:rStyle w:val="Hyperlink"/>
            <w:b/>
            <w:i/>
            <w:sz w:val="22"/>
            <w:szCs w:val="23"/>
            <w:shd w:val="clear" w:color="auto" w:fill="FFFFFF"/>
          </w:rPr>
          <w:t>Acórdão 2616/2015-</w:t>
        </w:r>
        <w:r w:rsidR="00D76E1C" w:rsidRPr="00D76E1C">
          <w:rPr>
            <w:rStyle w:val="Hyperlink"/>
            <w:b/>
            <w:i/>
            <w:sz w:val="22"/>
            <w:szCs w:val="23"/>
            <w:shd w:val="clear" w:color="auto" w:fill="FFFFFF"/>
          </w:rPr>
          <w:t>Plenário</w:t>
        </w:r>
      </w:hyperlink>
      <w:r w:rsidR="00FF67A4" w:rsidRPr="00E6554C">
        <w:rPr>
          <w:rFonts w:eastAsia="Times New Roman"/>
          <w:b/>
          <w:i/>
          <w:color w:val="000000"/>
          <w:sz w:val="22"/>
          <w:szCs w:val="22"/>
          <w:lang w:eastAsia="pt-BR"/>
        </w:rPr>
        <w:t>, TC 017.110/2015-</w:t>
      </w:r>
      <w:r w:rsidR="00FF67A4" w:rsidRPr="00E6554C">
        <w:rPr>
          <w:b/>
          <w:i/>
          <w:color w:val="000000"/>
          <w:sz w:val="22"/>
          <w:szCs w:val="22"/>
          <w:lang w:eastAsia="pt-BR"/>
        </w:rPr>
        <w:t>7</w:t>
      </w:r>
      <w:r w:rsidR="00FF67A4" w:rsidRPr="00E6554C">
        <w:rPr>
          <w:rFonts w:eastAsia="Times New Roman"/>
          <w:b/>
          <w:i/>
          <w:color w:val="000000"/>
          <w:sz w:val="22"/>
          <w:szCs w:val="22"/>
          <w:lang w:eastAsia="pt-BR"/>
        </w:rPr>
        <w:t xml:space="preserve">, relator Ministro </w:t>
      </w:r>
      <w:r w:rsidR="00FF67A4" w:rsidRPr="00E6554C">
        <w:rPr>
          <w:b/>
          <w:i/>
          <w:color w:val="000000"/>
          <w:sz w:val="22"/>
          <w:szCs w:val="22"/>
          <w:lang w:eastAsia="pt-BR"/>
        </w:rPr>
        <w:t xml:space="preserve">Benjamin </w:t>
      </w:r>
      <w:proofErr w:type="spellStart"/>
      <w:r w:rsidR="00FF67A4" w:rsidRPr="00E6554C">
        <w:rPr>
          <w:b/>
          <w:i/>
          <w:color w:val="000000"/>
          <w:sz w:val="22"/>
          <w:szCs w:val="22"/>
          <w:lang w:eastAsia="pt-BR"/>
        </w:rPr>
        <w:t>Zymler</w:t>
      </w:r>
      <w:proofErr w:type="spellEnd"/>
      <w:r w:rsidR="00FF67A4" w:rsidRPr="00E6554C">
        <w:rPr>
          <w:rFonts w:eastAsia="Times New Roman"/>
          <w:b/>
          <w:i/>
          <w:color w:val="000000"/>
          <w:sz w:val="22"/>
          <w:szCs w:val="22"/>
          <w:lang w:eastAsia="pt-BR"/>
        </w:rPr>
        <w:t xml:space="preserve">, </w:t>
      </w:r>
      <w:r w:rsidR="00FF67A4" w:rsidRPr="00E6554C">
        <w:rPr>
          <w:b/>
          <w:i/>
          <w:color w:val="000000"/>
          <w:sz w:val="22"/>
          <w:szCs w:val="22"/>
          <w:lang w:eastAsia="pt-BR"/>
        </w:rPr>
        <w:t>21</w:t>
      </w:r>
      <w:r w:rsidR="00FF67A4" w:rsidRPr="00E6554C">
        <w:rPr>
          <w:rFonts w:eastAsia="Times New Roman"/>
          <w:b/>
          <w:i/>
          <w:color w:val="000000"/>
          <w:sz w:val="22"/>
          <w:szCs w:val="22"/>
          <w:lang w:eastAsia="pt-BR"/>
        </w:rPr>
        <w:t>.</w:t>
      </w:r>
      <w:r w:rsidR="00FF67A4" w:rsidRPr="00E6554C">
        <w:rPr>
          <w:b/>
          <w:i/>
          <w:color w:val="000000"/>
          <w:sz w:val="22"/>
          <w:szCs w:val="22"/>
          <w:lang w:eastAsia="pt-BR"/>
        </w:rPr>
        <w:t>10</w:t>
      </w:r>
      <w:r w:rsidR="00FF67A4" w:rsidRPr="00E6554C">
        <w:rPr>
          <w:rFonts w:eastAsia="Times New Roman"/>
          <w:b/>
          <w:i/>
          <w:color w:val="000000"/>
          <w:sz w:val="22"/>
          <w:szCs w:val="22"/>
          <w:lang w:eastAsia="pt-BR"/>
        </w:rPr>
        <w:t>.2015.</w:t>
      </w:r>
    </w:p>
    <w:p w:rsidR="00A12428" w:rsidRPr="00E6554C" w:rsidRDefault="00A12428" w:rsidP="00A12428">
      <w:pPr>
        <w:pStyle w:val="TCU-Epgrafe"/>
        <w:tabs>
          <w:tab w:val="left" w:pos="1134"/>
        </w:tabs>
        <w:ind w:left="0"/>
        <w:rPr>
          <w:bCs/>
          <w:sz w:val="22"/>
          <w:szCs w:val="22"/>
        </w:rPr>
      </w:pPr>
    </w:p>
    <w:p w:rsidR="00EB600C" w:rsidRPr="00EB600C" w:rsidRDefault="00EB600C" w:rsidP="00EB600C">
      <w:pPr>
        <w:pStyle w:val="enter-3pt"/>
        <w:tabs>
          <w:tab w:val="left" w:pos="2590"/>
        </w:tabs>
        <w:spacing w:line="240" w:lineRule="auto"/>
        <w:rPr>
          <w:b/>
          <w:color w:val="000000"/>
          <w:sz w:val="22"/>
          <w:szCs w:val="22"/>
        </w:rPr>
      </w:pPr>
      <w:r>
        <w:rPr>
          <w:b/>
          <w:sz w:val="22"/>
          <w:szCs w:val="22"/>
        </w:rPr>
        <w:t>2</w:t>
      </w:r>
      <w:r w:rsidRPr="00E6554C">
        <w:rPr>
          <w:b/>
          <w:sz w:val="22"/>
          <w:szCs w:val="22"/>
        </w:rPr>
        <w:t xml:space="preserve">. </w:t>
      </w:r>
      <w:r w:rsidRPr="00EB600C">
        <w:rPr>
          <w:b/>
          <w:color w:val="000000"/>
          <w:sz w:val="22"/>
          <w:szCs w:val="22"/>
        </w:rPr>
        <w:t xml:space="preserve">O Método de Limitação dos Preços Unitários Ajustado (MLPUA) deve ser utilizado para a quantificação de </w:t>
      </w:r>
      <w:proofErr w:type="spellStart"/>
      <w:r w:rsidRPr="00EB600C">
        <w:rPr>
          <w:b/>
          <w:color w:val="000000"/>
          <w:sz w:val="22"/>
          <w:szCs w:val="22"/>
        </w:rPr>
        <w:t>sobrepreço</w:t>
      </w:r>
      <w:proofErr w:type="spellEnd"/>
      <w:r w:rsidRPr="00EB600C">
        <w:rPr>
          <w:b/>
          <w:color w:val="000000"/>
          <w:sz w:val="22"/>
          <w:szCs w:val="22"/>
        </w:rPr>
        <w:t xml:space="preserve"> na fase licitatória, tendo em vista que os preços unitários só devem superar os referenciais de mercado em condições especiais, devidamente justificadas em relatório técnico circunstanciado aprovado pela autoridade competente.</w:t>
      </w:r>
    </w:p>
    <w:p w:rsidR="00EB600C" w:rsidRPr="00D76E1C" w:rsidRDefault="00EB600C" w:rsidP="00EB600C">
      <w:pPr>
        <w:shd w:val="clear" w:color="auto" w:fill="FFFFFF"/>
        <w:spacing w:after="0"/>
        <w:ind w:left="0"/>
        <w:rPr>
          <w:sz w:val="22"/>
          <w:szCs w:val="22"/>
        </w:rPr>
      </w:pPr>
      <w:r w:rsidRPr="00E6554C">
        <w:rPr>
          <w:sz w:val="22"/>
          <w:szCs w:val="22"/>
        </w:rPr>
        <w:t xml:space="preserve">Auditoria realizada nas obras de implantação do corredor de ônibus M'Boi Mirim - trecho M’Boi Mirim-Cachoeirinha, no município de São Paulo/SP, apontara, dentre outras irregularidades, possível </w:t>
      </w:r>
      <w:proofErr w:type="spellStart"/>
      <w:r w:rsidRPr="00E6554C">
        <w:rPr>
          <w:sz w:val="22"/>
          <w:szCs w:val="22"/>
        </w:rPr>
        <w:t>sobrepreço</w:t>
      </w:r>
      <w:proofErr w:type="spellEnd"/>
      <w:r w:rsidRPr="00E6554C">
        <w:rPr>
          <w:sz w:val="22"/>
          <w:szCs w:val="22"/>
        </w:rPr>
        <w:t xml:space="preserve"> nas </w:t>
      </w:r>
      <w:r w:rsidRPr="00E6554C">
        <w:rPr>
          <w:sz w:val="22"/>
          <w:szCs w:val="22"/>
        </w:rPr>
        <w:lastRenderedPageBreak/>
        <w:t>planilhas do orçamento do projeto básico. O empreendimento, ainda na fase interna de licitação, conduzida pela Secretaria Municipal de Infraestrutura Urbana e Obras de São Paulo/SP (</w:t>
      </w:r>
      <w:proofErr w:type="spellStart"/>
      <w:r w:rsidRPr="00E6554C">
        <w:rPr>
          <w:sz w:val="22"/>
          <w:szCs w:val="22"/>
        </w:rPr>
        <w:t>Siurb</w:t>
      </w:r>
      <w:proofErr w:type="spellEnd"/>
      <w:r w:rsidRPr="00E6554C">
        <w:rPr>
          <w:sz w:val="22"/>
          <w:szCs w:val="22"/>
        </w:rPr>
        <w:t xml:space="preserve">/SP), será executado com recursos do Ministério das Cidades, com acompanhamento da Caixa Econômica Federal. No que respeita ao </w:t>
      </w:r>
      <w:proofErr w:type="spellStart"/>
      <w:r w:rsidRPr="00E6554C">
        <w:rPr>
          <w:sz w:val="22"/>
          <w:szCs w:val="22"/>
        </w:rPr>
        <w:t>sobrepreço</w:t>
      </w:r>
      <w:proofErr w:type="spellEnd"/>
      <w:r w:rsidRPr="00E6554C">
        <w:rPr>
          <w:sz w:val="22"/>
          <w:szCs w:val="22"/>
        </w:rPr>
        <w:t xml:space="preserve"> apurado, anotou o relator que a análise, baseada em metodologia tradicional adotada pelo TCU em auditorias de obras públicas, efetuou, de forma conservadora, </w:t>
      </w:r>
      <w:r w:rsidRPr="00E6554C">
        <w:rPr>
          <w:i/>
          <w:sz w:val="22"/>
          <w:szCs w:val="22"/>
        </w:rPr>
        <w:t>“o cotejo entre orçamento auditado e preços paradigmas estipulados com base em sistemas de referência, promovidas as devidas adequações às especificidades da obra, conforme preconiza a boa técnica de engenharia de custos e a legislação (em especial, o Decreto 7.983/</w:t>
      </w:r>
      <w:proofErr w:type="gramStart"/>
      <w:r w:rsidRPr="00E6554C">
        <w:rPr>
          <w:i/>
          <w:sz w:val="22"/>
          <w:szCs w:val="22"/>
        </w:rPr>
        <w:t>2013)”</w:t>
      </w:r>
      <w:proofErr w:type="gramEnd"/>
      <w:r w:rsidRPr="00E6554C">
        <w:rPr>
          <w:sz w:val="22"/>
          <w:szCs w:val="22"/>
        </w:rPr>
        <w:t xml:space="preserve">. Ainda quanto à metodologia de análise, destacou o relator que </w:t>
      </w:r>
      <w:r w:rsidRPr="00E6554C">
        <w:rPr>
          <w:i/>
          <w:sz w:val="22"/>
          <w:szCs w:val="22"/>
        </w:rPr>
        <w:t>“o orçamento foi avaliado segundo o método da limitação dos preços unitários ajustados (</w:t>
      </w:r>
      <w:proofErr w:type="gramStart"/>
      <w:r w:rsidRPr="00E6554C">
        <w:rPr>
          <w:i/>
          <w:sz w:val="22"/>
          <w:szCs w:val="22"/>
        </w:rPr>
        <w:t>MLPUA)”</w:t>
      </w:r>
      <w:proofErr w:type="gramEnd"/>
      <w:r w:rsidRPr="00E6554C">
        <w:rPr>
          <w:sz w:val="22"/>
          <w:szCs w:val="22"/>
        </w:rPr>
        <w:t xml:space="preserve">. Nessa métrica, prosseguiu, </w:t>
      </w:r>
      <w:r w:rsidRPr="00E6554C">
        <w:rPr>
          <w:i/>
          <w:sz w:val="22"/>
          <w:szCs w:val="22"/>
        </w:rPr>
        <w:t xml:space="preserve">“o </w:t>
      </w:r>
      <w:proofErr w:type="spellStart"/>
      <w:r w:rsidRPr="00E6554C">
        <w:rPr>
          <w:i/>
          <w:sz w:val="22"/>
          <w:szCs w:val="22"/>
        </w:rPr>
        <w:t>sobrepreço</w:t>
      </w:r>
      <w:proofErr w:type="spellEnd"/>
      <w:r w:rsidRPr="00E6554C">
        <w:rPr>
          <w:i/>
          <w:sz w:val="22"/>
          <w:szCs w:val="22"/>
        </w:rPr>
        <w:t xml:space="preserve"> calculado decorreu da simples soma dos valores unitários que ultrapassaram os preços referenciais, sem que tenha havido qualquer tipo de compensação com eventuais itens subavaliados”</w:t>
      </w:r>
      <w:r w:rsidRPr="00E6554C">
        <w:rPr>
          <w:sz w:val="22"/>
          <w:szCs w:val="22"/>
        </w:rPr>
        <w:t xml:space="preserve">. Ou seja, </w:t>
      </w:r>
      <w:r w:rsidRPr="00E6554C">
        <w:rPr>
          <w:i/>
          <w:sz w:val="22"/>
          <w:szCs w:val="22"/>
        </w:rPr>
        <w:t>“a ênfase recai sobre cada serviço isoladamente, a partir da premissa de que o preço unitário de nenhum item da planilha pode ser injustificadamente superior ao paradigma de mercado”</w:t>
      </w:r>
      <w:r w:rsidRPr="00E6554C">
        <w:rPr>
          <w:sz w:val="22"/>
          <w:szCs w:val="22"/>
        </w:rPr>
        <w:t xml:space="preserve">. Sobretudo porque, como bem anotou a unidade instrutiva, </w:t>
      </w:r>
      <w:r w:rsidRPr="00E6554C">
        <w:rPr>
          <w:i/>
          <w:sz w:val="22"/>
          <w:szCs w:val="22"/>
        </w:rPr>
        <w:t>“o orçamento analisado se refere a um projeto básico e não a um contrato de obra pública já celebrado, o que indica a possibilidade de correção das irregularidades ainda na fase de projeto básico sem afetar direitos de terceiros”</w:t>
      </w:r>
      <w:r w:rsidRPr="00E6554C">
        <w:rPr>
          <w:sz w:val="22"/>
          <w:szCs w:val="22"/>
        </w:rPr>
        <w:t>. Nesse passo, em consonância com a jurisprudência do Tribunal, endossou o relator a adoção do método da limitaçã</w:t>
      </w:r>
      <w:r w:rsidR="00B77B61">
        <w:rPr>
          <w:sz w:val="22"/>
          <w:szCs w:val="22"/>
        </w:rPr>
        <w:t>o dos preços unitários ajustado</w:t>
      </w:r>
      <w:r w:rsidRPr="00E6554C">
        <w:rPr>
          <w:i/>
          <w:sz w:val="22"/>
          <w:szCs w:val="22"/>
        </w:rPr>
        <w:t xml:space="preserve"> “</w:t>
      </w:r>
      <w:r w:rsidRPr="00B77B61">
        <w:rPr>
          <w:i/>
          <w:sz w:val="22"/>
          <w:szCs w:val="22"/>
        </w:rPr>
        <w:t>para a análise de editais</w:t>
      </w:r>
      <w:r w:rsidRPr="00E6554C">
        <w:rPr>
          <w:i/>
          <w:sz w:val="22"/>
          <w:szCs w:val="22"/>
        </w:rPr>
        <w:t xml:space="preserve">, visto que os preços unitários só devem superar os referenciais em condições especiais, devidamente justificadas em relatório técnico circunstanciado aprovado pela autoridade competente (Decreto 7.983/2013, art. 8º, parágrafo </w:t>
      </w:r>
      <w:proofErr w:type="gramStart"/>
      <w:r w:rsidRPr="00E6554C">
        <w:rPr>
          <w:i/>
          <w:sz w:val="22"/>
          <w:szCs w:val="22"/>
        </w:rPr>
        <w:t>único)”</w:t>
      </w:r>
      <w:proofErr w:type="gramEnd"/>
      <w:r w:rsidRPr="00E6554C">
        <w:rPr>
          <w:sz w:val="22"/>
          <w:szCs w:val="22"/>
        </w:rPr>
        <w:t>. Assim, face à necessidade de correção das irregularidades mediante a revisão dos valores estimados no projeto básico, acolheu o Plenário a proposta do relator, cientificando a</w:t>
      </w:r>
      <w:r w:rsidR="00B77B61">
        <w:rPr>
          <w:sz w:val="22"/>
          <w:szCs w:val="22"/>
        </w:rPr>
        <w:t xml:space="preserve"> </w:t>
      </w:r>
      <w:proofErr w:type="spellStart"/>
      <w:r w:rsidR="00B77B61">
        <w:rPr>
          <w:sz w:val="22"/>
          <w:szCs w:val="22"/>
        </w:rPr>
        <w:t>Siurb</w:t>
      </w:r>
      <w:proofErr w:type="spellEnd"/>
      <w:r w:rsidR="00B77B61">
        <w:rPr>
          <w:sz w:val="22"/>
          <w:szCs w:val="22"/>
        </w:rPr>
        <w:t>/SP</w:t>
      </w:r>
      <w:r w:rsidRPr="00E6554C">
        <w:rPr>
          <w:sz w:val="22"/>
          <w:szCs w:val="22"/>
        </w:rPr>
        <w:t xml:space="preserve"> acerca dos indícios de irregularidade verificados, de modo a induzir melhorias nos projetos ainda antes do lançamento do edital. </w:t>
      </w:r>
      <w:hyperlink r:id="rId10" w:history="1">
        <w:r w:rsidR="00264EF4">
          <w:rPr>
            <w:rStyle w:val="Hyperlink"/>
            <w:b/>
            <w:i/>
            <w:sz w:val="22"/>
            <w:szCs w:val="23"/>
            <w:shd w:val="clear" w:color="auto" w:fill="FFFFFF"/>
          </w:rPr>
          <w:t>Acórdão 2636/2015-</w:t>
        </w:r>
        <w:r w:rsidR="00D76E1C" w:rsidRPr="00D76E1C">
          <w:rPr>
            <w:rStyle w:val="Hyperlink"/>
            <w:b/>
            <w:i/>
            <w:sz w:val="22"/>
            <w:szCs w:val="23"/>
            <w:shd w:val="clear" w:color="auto" w:fill="FFFFFF"/>
          </w:rPr>
          <w:t>Plenário</w:t>
        </w:r>
      </w:hyperlink>
      <w:r>
        <w:rPr>
          <w:rFonts w:eastAsia="Times New Roman"/>
          <w:b/>
          <w:i/>
          <w:sz w:val="22"/>
          <w:szCs w:val="22"/>
        </w:rPr>
        <w:t>, TC 011.533/2015-3</w:t>
      </w:r>
      <w:r w:rsidRPr="00E6554C">
        <w:rPr>
          <w:rFonts w:eastAsia="Times New Roman"/>
          <w:b/>
          <w:i/>
          <w:sz w:val="22"/>
          <w:szCs w:val="22"/>
        </w:rPr>
        <w:t xml:space="preserve">, </w:t>
      </w:r>
      <w:r>
        <w:rPr>
          <w:rFonts w:eastAsia="Times New Roman"/>
          <w:b/>
          <w:i/>
          <w:sz w:val="22"/>
          <w:szCs w:val="22"/>
        </w:rPr>
        <w:t>relator Ministro Bruno Dantas, 21</w:t>
      </w:r>
      <w:r w:rsidRPr="00E6554C">
        <w:rPr>
          <w:rFonts w:eastAsia="Times New Roman"/>
          <w:b/>
          <w:i/>
          <w:sz w:val="22"/>
          <w:szCs w:val="22"/>
        </w:rPr>
        <w:t>.10.2015.</w:t>
      </w:r>
    </w:p>
    <w:p w:rsidR="00EB600C" w:rsidRDefault="00EB600C" w:rsidP="006B4E7C">
      <w:pPr>
        <w:shd w:val="clear" w:color="auto" w:fill="FFFFFF"/>
        <w:spacing w:after="0"/>
        <w:ind w:left="0"/>
        <w:rPr>
          <w:rFonts w:eastAsia="Times New Roman"/>
          <w:b/>
          <w:bCs/>
          <w:sz w:val="22"/>
          <w:szCs w:val="22"/>
          <w:lang w:eastAsia="pt-BR"/>
        </w:rPr>
      </w:pPr>
    </w:p>
    <w:p w:rsidR="0004252B" w:rsidRPr="00E6554C" w:rsidRDefault="004A475A" w:rsidP="006B4E7C">
      <w:pPr>
        <w:shd w:val="clear" w:color="auto" w:fill="FFFFFF"/>
        <w:spacing w:after="0"/>
        <w:ind w:left="0"/>
        <w:rPr>
          <w:rFonts w:eastAsia="Times New Roman"/>
          <w:b/>
          <w:bCs/>
          <w:sz w:val="22"/>
          <w:szCs w:val="22"/>
          <w:lang w:eastAsia="pt-BR"/>
        </w:rPr>
      </w:pPr>
      <w:r w:rsidRPr="00E6554C">
        <w:rPr>
          <w:rFonts w:eastAsia="Times New Roman"/>
          <w:b/>
          <w:bCs/>
          <w:sz w:val="22"/>
          <w:szCs w:val="22"/>
          <w:lang w:eastAsia="pt-BR"/>
        </w:rPr>
        <w:t>3</w:t>
      </w:r>
      <w:r w:rsidR="00522B7C" w:rsidRPr="00E6554C">
        <w:rPr>
          <w:rFonts w:eastAsia="Times New Roman"/>
          <w:b/>
          <w:bCs/>
          <w:sz w:val="22"/>
          <w:szCs w:val="22"/>
          <w:lang w:eastAsia="pt-BR"/>
        </w:rPr>
        <w:t xml:space="preserve">. </w:t>
      </w:r>
      <w:r w:rsidR="0004252B" w:rsidRPr="00E6554C">
        <w:rPr>
          <w:rFonts w:eastAsia="Times New Roman"/>
          <w:b/>
          <w:bCs/>
          <w:sz w:val="22"/>
          <w:szCs w:val="22"/>
          <w:lang w:eastAsia="pt-BR"/>
        </w:rPr>
        <w:t>As estimativas de preços prévias às licitações devem estar baseadas em cesta de preços aceitáveis, tais como os oriundos de pesquisas diretas com fornecedores ou em seus catálogos, valores adjudicados em licitações de órgãos públicos, sistemas de compras (</w:t>
      </w:r>
      <w:proofErr w:type="spellStart"/>
      <w:r w:rsidR="0004252B" w:rsidRPr="00E6554C">
        <w:rPr>
          <w:rFonts w:eastAsia="Times New Roman"/>
          <w:b/>
          <w:bCs/>
          <w:sz w:val="22"/>
          <w:szCs w:val="22"/>
          <w:lang w:eastAsia="pt-BR"/>
        </w:rPr>
        <w:t>Comprasnet</w:t>
      </w:r>
      <w:proofErr w:type="spellEnd"/>
      <w:r w:rsidR="0004252B" w:rsidRPr="00E6554C">
        <w:rPr>
          <w:rFonts w:eastAsia="Times New Roman"/>
          <w:b/>
          <w:bCs/>
          <w:sz w:val="22"/>
          <w:szCs w:val="22"/>
          <w:lang w:eastAsia="pt-BR"/>
        </w:rPr>
        <w:t xml:space="preserve">), valores registrados em atas de SRP, avaliação de contratos recentes ou vigentes, compras e contratações realizadas por corporações privadas em condições idênticas ou semelhantes. </w:t>
      </w:r>
    </w:p>
    <w:p w:rsidR="00921705" w:rsidRPr="00264EF4" w:rsidRDefault="006E703C" w:rsidP="006B4E7C">
      <w:pPr>
        <w:shd w:val="clear" w:color="auto" w:fill="FFFFFF"/>
        <w:spacing w:after="0"/>
        <w:ind w:left="0"/>
        <w:rPr>
          <w:i/>
          <w:sz w:val="22"/>
          <w:szCs w:val="22"/>
        </w:rPr>
      </w:pPr>
      <w:r w:rsidRPr="00E6554C">
        <w:rPr>
          <w:color w:val="000000"/>
          <w:sz w:val="22"/>
          <w:szCs w:val="22"/>
          <w:lang w:eastAsia="pt-BR"/>
        </w:rPr>
        <w:t xml:space="preserve">Em </w:t>
      </w:r>
      <w:r w:rsidR="000B1D28" w:rsidRPr="00E6554C">
        <w:rPr>
          <w:rFonts w:eastAsia="Times New Roman"/>
          <w:color w:val="000000"/>
          <w:sz w:val="22"/>
          <w:szCs w:val="22"/>
          <w:lang w:eastAsia="pt-BR"/>
        </w:rPr>
        <w:t xml:space="preserve">Representação formulada por sociedade empresária </w:t>
      </w:r>
      <w:r w:rsidRPr="00E6554C">
        <w:rPr>
          <w:color w:val="000000"/>
          <w:sz w:val="22"/>
          <w:szCs w:val="22"/>
          <w:lang w:eastAsia="pt-BR"/>
        </w:rPr>
        <w:t xml:space="preserve">acerca de </w:t>
      </w:r>
      <w:r w:rsidR="00832FED" w:rsidRPr="00E6554C">
        <w:rPr>
          <w:rFonts w:eastAsia="Times New Roman"/>
          <w:color w:val="000000"/>
          <w:sz w:val="22"/>
          <w:szCs w:val="22"/>
          <w:lang w:eastAsia="pt-BR"/>
        </w:rPr>
        <w:t xml:space="preserve">pregão eletrônico </w:t>
      </w:r>
      <w:r w:rsidR="00A20727" w:rsidRPr="00E6554C">
        <w:rPr>
          <w:rFonts w:eastAsia="Times New Roman"/>
          <w:color w:val="000000"/>
          <w:sz w:val="22"/>
          <w:szCs w:val="22"/>
          <w:lang w:eastAsia="pt-BR"/>
        </w:rPr>
        <w:t xml:space="preserve">promovido pela </w:t>
      </w:r>
      <w:r w:rsidR="00832FED" w:rsidRPr="00E6554C">
        <w:rPr>
          <w:sz w:val="22"/>
          <w:szCs w:val="22"/>
        </w:rPr>
        <w:t>Fundação Nacional de Saúde (Funasa)</w:t>
      </w:r>
      <w:r w:rsidR="00A20727" w:rsidRPr="00E6554C">
        <w:rPr>
          <w:rFonts w:eastAsia="Times New Roman"/>
          <w:color w:val="000000"/>
          <w:sz w:val="22"/>
          <w:szCs w:val="22"/>
          <w:lang w:eastAsia="pt-BR"/>
        </w:rPr>
        <w:t xml:space="preserve">, destinado </w:t>
      </w:r>
      <w:r w:rsidR="00832FED" w:rsidRPr="00E6554C">
        <w:rPr>
          <w:color w:val="000000"/>
          <w:sz w:val="22"/>
          <w:szCs w:val="22"/>
          <w:lang w:eastAsia="pt-BR"/>
        </w:rPr>
        <w:t xml:space="preserve">à </w:t>
      </w:r>
      <w:r w:rsidR="00832FED" w:rsidRPr="00E6554C">
        <w:rPr>
          <w:rFonts w:eastAsia="Times New Roman"/>
          <w:sz w:val="22"/>
          <w:szCs w:val="22"/>
        </w:rPr>
        <w:t>contratação de central de serviços (</w:t>
      </w:r>
      <w:proofErr w:type="spellStart"/>
      <w:r w:rsidR="00832FED" w:rsidRPr="00E6554C">
        <w:rPr>
          <w:rFonts w:eastAsia="Times New Roman"/>
          <w:i/>
          <w:sz w:val="22"/>
          <w:szCs w:val="22"/>
        </w:rPr>
        <w:t>service</w:t>
      </w:r>
      <w:proofErr w:type="spellEnd"/>
      <w:r w:rsidR="00832FED" w:rsidRPr="00E6554C">
        <w:rPr>
          <w:rFonts w:eastAsia="Times New Roman"/>
          <w:i/>
          <w:sz w:val="22"/>
          <w:szCs w:val="22"/>
        </w:rPr>
        <w:t xml:space="preserve"> </w:t>
      </w:r>
      <w:proofErr w:type="spellStart"/>
      <w:r w:rsidR="00832FED" w:rsidRPr="00E6554C">
        <w:rPr>
          <w:rFonts w:eastAsia="Times New Roman"/>
          <w:i/>
          <w:sz w:val="22"/>
          <w:szCs w:val="22"/>
        </w:rPr>
        <w:t>desk</w:t>
      </w:r>
      <w:proofErr w:type="spellEnd"/>
      <w:r w:rsidR="00832FED" w:rsidRPr="00E6554C">
        <w:rPr>
          <w:rFonts w:eastAsia="Times New Roman"/>
          <w:sz w:val="22"/>
          <w:szCs w:val="22"/>
        </w:rPr>
        <w:t xml:space="preserve">) para a manutenção de equipamentos, atendimento e suporte técnico remoto e presencial </w:t>
      </w:r>
      <w:r w:rsidRPr="00E6554C">
        <w:rPr>
          <w:sz w:val="22"/>
          <w:szCs w:val="22"/>
        </w:rPr>
        <w:t xml:space="preserve">aos usuários dos ativos </w:t>
      </w:r>
      <w:r w:rsidR="00832FED" w:rsidRPr="00E6554C">
        <w:rPr>
          <w:rFonts w:eastAsia="Times New Roman"/>
          <w:sz w:val="22"/>
          <w:szCs w:val="22"/>
        </w:rPr>
        <w:t>de tecnologia da informação</w:t>
      </w:r>
      <w:r w:rsidR="0029604A">
        <w:rPr>
          <w:sz w:val="22"/>
          <w:szCs w:val="22"/>
        </w:rPr>
        <w:t>, a unidade técnica apontou</w:t>
      </w:r>
      <w:r w:rsidRPr="00E6554C">
        <w:rPr>
          <w:sz w:val="22"/>
          <w:szCs w:val="22"/>
        </w:rPr>
        <w:t xml:space="preserve"> falhas na realização das pesquisas de preços para</w:t>
      </w:r>
      <w:r w:rsidR="00AB3EB9" w:rsidRPr="00E6554C">
        <w:rPr>
          <w:sz w:val="22"/>
          <w:szCs w:val="22"/>
        </w:rPr>
        <w:t xml:space="preserve"> a </w:t>
      </w:r>
      <w:r w:rsidR="0072109A" w:rsidRPr="00E6554C">
        <w:rPr>
          <w:sz w:val="22"/>
          <w:szCs w:val="22"/>
        </w:rPr>
        <w:t xml:space="preserve">elaboração da </w:t>
      </w:r>
      <w:r w:rsidR="00AB3EB9" w:rsidRPr="00E6554C">
        <w:rPr>
          <w:sz w:val="22"/>
          <w:szCs w:val="22"/>
        </w:rPr>
        <w:t>estimativa do valor da contratação</w:t>
      </w:r>
      <w:r w:rsidR="00832FED" w:rsidRPr="00E6554C">
        <w:rPr>
          <w:rFonts w:eastAsia="Times New Roman"/>
          <w:sz w:val="22"/>
          <w:szCs w:val="22"/>
        </w:rPr>
        <w:t>.</w:t>
      </w:r>
      <w:r w:rsidR="00A20727" w:rsidRPr="00E6554C">
        <w:rPr>
          <w:rFonts w:eastAsia="Times New Roman"/>
          <w:color w:val="000000"/>
          <w:sz w:val="22"/>
          <w:szCs w:val="22"/>
          <w:lang w:eastAsia="pt-BR"/>
        </w:rPr>
        <w:t xml:space="preserve"> </w:t>
      </w:r>
      <w:r w:rsidR="00725EC1" w:rsidRPr="00E6554C">
        <w:rPr>
          <w:rFonts w:eastAsia="Times New Roman"/>
          <w:color w:val="000000"/>
          <w:sz w:val="22"/>
          <w:szCs w:val="22"/>
          <w:lang w:eastAsia="pt-BR"/>
        </w:rPr>
        <w:t xml:space="preserve">Em síntese, </w:t>
      </w:r>
      <w:r w:rsidR="0029604A">
        <w:rPr>
          <w:color w:val="000000"/>
          <w:sz w:val="22"/>
          <w:szCs w:val="22"/>
          <w:lang w:eastAsia="pt-BR"/>
        </w:rPr>
        <w:t>destacou</w:t>
      </w:r>
      <w:r w:rsidR="00B305BE" w:rsidRPr="00E6554C">
        <w:rPr>
          <w:color w:val="000000"/>
          <w:sz w:val="22"/>
          <w:szCs w:val="22"/>
          <w:lang w:eastAsia="pt-BR"/>
        </w:rPr>
        <w:t xml:space="preserve"> </w:t>
      </w:r>
      <w:r w:rsidR="00AB3EB9" w:rsidRPr="00E6554C">
        <w:rPr>
          <w:color w:val="000000"/>
          <w:sz w:val="22"/>
          <w:szCs w:val="22"/>
          <w:lang w:eastAsia="pt-BR"/>
        </w:rPr>
        <w:t>a unidade técnica</w:t>
      </w:r>
      <w:r w:rsidR="00B305BE" w:rsidRPr="00E6554C">
        <w:rPr>
          <w:color w:val="000000"/>
          <w:sz w:val="22"/>
          <w:szCs w:val="22"/>
          <w:lang w:eastAsia="pt-BR"/>
        </w:rPr>
        <w:t xml:space="preserve"> </w:t>
      </w:r>
      <w:r w:rsidR="00AB3EB9" w:rsidRPr="00E6554C">
        <w:rPr>
          <w:color w:val="000000"/>
          <w:sz w:val="22"/>
          <w:szCs w:val="22"/>
          <w:lang w:eastAsia="pt-BR"/>
        </w:rPr>
        <w:t xml:space="preserve">que a pesquisa de preços </w:t>
      </w:r>
      <w:r w:rsidR="009B7230">
        <w:rPr>
          <w:color w:val="000000"/>
          <w:sz w:val="22"/>
          <w:szCs w:val="22"/>
          <w:lang w:eastAsia="pt-BR"/>
        </w:rPr>
        <w:t xml:space="preserve">se </w:t>
      </w:r>
      <w:r w:rsidR="00AB3EB9" w:rsidRPr="00E6554C">
        <w:rPr>
          <w:color w:val="000000"/>
          <w:sz w:val="22"/>
          <w:szCs w:val="22"/>
          <w:lang w:eastAsia="pt-BR"/>
        </w:rPr>
        <w:t>base</w:t>
      </w:r>
      <w:r w:rsidR="009B7230">
        <w:rPr>
          <w:color w:val="000000"/>
          <w:sz w:val="22"/>
          <w:szCs w:val="22"/>
          <w:lang w:eastAsia="pt-BR"/>
        </w:rPr>
        <w:t>ara</w:t>
      </w:r>
      <w:r w:rsidR="00AB3EB9" w:rsidRPr="00E6554C">
        <w:rPr>
          <w:color w:val="000000"/>
          <w:sz w:val="22"/>
          <w:szCs w:val="22"/>
          <w:lang w:eastAsia="pt-BR"/>
        </w:rPr>
        <w:t xml:space="preserve"> em orçamento superior </w:t>
      </w:r>
      <w:r w:rsidR="00871DAA" w:rsidRPr="00E6554C">
        <w:rPr>
          <w:color w:val="000000"/>
          <w:sz w:val="22"/>
          <w:szCs w:val="22"/>
          <w:lang w:eastAsia="pt-BR"/>
        </w:rPr>
        <w:t xml:space="preserve">à média de </w:t>
      </w:r>
      <w:r w:rsidR="00AB3EB9" w:rsidRPr="00E6554C">
        <w:rPr>
          <w:color w:val="000000"/>
          <w:sz w:val="22"/>
          <w:szCs w:val="22"/>
          <w:lang w:eastAsia="pt-BR"/>
        </w:rPr>
        <w:t xml:space="preserve">mercado, </w:t>
      </w:r>
      <w:r w:rsidR="0087442E" w:rsidRPr="00E6554C">
        <w:rPr>
          <w:color w:val="000000"/>
          <w:sz w:val="22"/>
          <w:szCs w:val="22"/>
          <w:lang w:eastAsia="pt-BR"/>
        </w:rPr>
        <w:t>uma vez que</w:t>
      </w:r>
      <w:r w:rsidR="00AB3EB9" w:rsidRPr="00E6554C">
        <w:rPr>
          <w:color w:val="000000"/>
          <w:sz w:val="22"/>
          <w:szCs w:val="22"/>
          <w:lang w:eastAsia="pt-BR"/>
        </w:rPr>
        <w:t xml:space="preserve"> </w:t>
      </w:r>
      <w:r w:rsidR="0087442E" w:rsidRPr="00E6554C">
        <w:rPr>
          <w:color w:val="000000"/>
          <w:sz w:val="22"/>
          <w:szCs w:val="22"/>
          <w:lang w:eastAsia="pt-BR"/>
        </w:rPr>
        <w:t>a Funasa não exclu</w:t>
      </w:r>
      <w:r w:rsidR="0072109A" w:rsidRPr="00E6554C">
        <w:rPr>
          <w:color w:val="000000"/>
          <w:sz w:val="22"/>
          <w:szCs w:val="22"/>
          <w:lang w:eastAsia="pt-BR"/>
        </w:rPr>
        <w:t>íra</w:t>
      </w:r>
      <w:r w:rsidR="0087442E" w:rsidRPr="00E6554C">
        <w:rPr>
          <w:color w:val="000000"/>
          <w:sz w:val="22"/>
          <w:szCs w:val="22"/>
          <w:lang w:eastAsia="pt-BR"/>
        </w:rPr>
        <w:t xml:space="preserve"> as cotações manifestamente fora de mercado, </w:t>
      </w:r>
      <w:r w:rsidR="0072109A" w:rsidRPr="00E6554C">
        <w:rPr>
          <w:color w:val="000000"/>
          <w:sz w:val="22"/>
          <w:szCs w:val="22"/>
          <w:lang w:eastAsia="pt-BR"/>
        </w:rPr>
        <w:t>“</w:t>
      </w:r>
      <w:r w:rsidR="0087442E" w:rsidRPr="00E6554C">
        <w:rPr>
          <w:i/>
          <w:color w:val="000000"/>
          <w:sz w:val="22"/>
          <w:szCs w:val="22"/>
          <w:lang w:eastAsia="pt-BR"/>
        </w:rPr>
        <w:t>de modo a evitar distorções no custo médio apurado e, consequentemente, no valor máximo a ser aceito para cada item licitado</w:t>
      </w:r>
      <w:r w:rsidR="0072109A" w:rsidRPr="00E6554C">
        <w:rPr>
          <w:color w:val="000000"/>
          <w:sz w:val="22"/>
          <w:szCs w:val="22"/>
          <w:lang w:eastAsia="pt-BR"/>
        </w:rPr>
        <w:t>”</w:t>
      </w:r>
      <w:r w:rsidR="0087442E" w:rsidRPr="00E6554C">
        <w:rPr>
          <w:color w:val="000000"/>
          <w:sz w:val="22"/>
          <w:szCs w:val="22"/>
          <w:lang w:eastAsia="pt-BR"/>
        </w:rPr>
        <w:t xml:space="preserve">. </w:t>
      </w:r>
      <w:r w:rsidR="00B427EF">
        <w:rPr>
          <w:color w:val="000000"/>
          <w:sz w:val="22"/>
          <w:szCs w:val="22"/>
          <w:lang w:eastAsia="pt-BR"/>
        </w:rPr>
        <w:t>Apontou</w:t>
      </w:r>
      <w:r w:rsidR="00871DAA" w:rsidRPr="00E6554C">
        <w:rPr>
          <w:color w:val="000000"/>
          <w:sz w:val="22"/>
          <w:szCs w:val="22"/>
          <w:lang w:eastAsia="pt-BR"/>
        </w:rPr>
        <w:t xml:space="preserve"> </w:t>
      </w:r>
      <w:r w:rsidR="00213DE4" w:rsidRPr="00E6554C">
        <w:rPr>
          <w:color w:val="000000"/>
          <w:sz w:val="22"/>
          <w:szCs w:val="22"/>
          <w:lang w:eastAsia="pt-BR"/>
        </w:rPr>
        <w:t xml:space="preserve">ainda </w:t>
      </w:r>
      <w:r w:rsidR="00871DAA" w:rsidRPr="00E6554C">
        <w:rPr>
          <w:color w:val="000000"/>
          <w:sz w:val="22"/>
          <w:szCs w:val="22"/>
          <w:lang w:eastAsia="pt-BR"/>
        </w:rPr>
        <w:t xml:space="preserve">que a pesquisa </w:t>
      </w:r>
      <w:r w:rsidR="00426F7A" w:rsidRPr="00E6554C">
        <w:rPr>
          <w:color w:val="000000"/>
          <w:sz w:val="22"/>
          <w:szCs w:val="22"/>
          <w:lang w:eastAsia="pt-BR"/>
        </w:rPr>
        <w:t>de preços teria sido restrita, considerando o amplo mercado fornecedor do serviço licitado</w:t>
      </w:r>
      <w:r w:rsidR="0066309F" w:rsidRPr="00E6554C">
        <w:rPr>
          <w:sz w:val="22"/>
          <w:szCs w:val="22"/>
        </w:rPr>
        <w:t>,</w:t>
      </w:r>
      <w:r w:rsidR="00213DE4" w:rsidRPr="00E6554C">
        <w:rPr>
          <w:sz w:val="22"/>
          <w:szCs w:val="22"/>
        </w:rPr>
        <w:t xml:space="preserve"> além da </w:t>
      </w:r>
      <w:r w:rsidR="0066309F" w:rsidRPr="00E6554C">
        <w:rPr>
          <w:sz w:val="22"/>
          <w:szCs w:val="22"/>
        </w:rPr>
        <w:t>não comprovação de consultas a outros órgãos e entidades da Administração, ao sistema Compras Governamentais e demais sítios especializados, o que pode ter comprometido a qualidade e a confiabilidade da estimativa de preços construída.</w:t>
      </w:r>
      <w:r w:rsidR="00213DE4" w:rsidRPr="00E6554C">
        <w:rPr>
          <w:sz w:val="22"/>
          <w:szCs w:val="22"/>
        </w:rPr>
        <w:t xml:space="preserve"> </w:t>
      </w:r>
      <w:r w:rsidR="00461DC6" w:rsidRPr="00E6554C">
        <w:rPr>
          <w:color w:val="000000"/>
          <w:sz w:val="22"/>
          <w:szCs w:val="22"/>
          <w:lang w:eastAsia="pt-BR"/>
        </w:rPr>
        <w:t>Ao analisar o ponto, o relator</w:t>
      </w:r>
      <w:r w:rsidR="00C15799" w:rsidRPr="00E6554C">
        <w:rPr>
          <w:color w:val="000000"/>
          <w:sz w:val="22"/>
          <w:szCs w:val="22"/>
          <w:lang w:eastAsia="pt-BR"/>
        </w:rPr>
        <w:t xml:space="preserve">, endossando a análise da unidade instrutiva, </w:t>
      </w:r>
      <w:r w:rsidR="009927D5" w:rsidRPr="00E6554C">
        <w:rPr>
          <w:color w:val="000000"/>
          <w:sz w:val="22"/>
          <w:szCs w:val="22"/>
          <w:lang w:eastAsia="pt-BR"/>
        </w:rPr>
        <w:t>discorreu sobre a jurisprudência do TCU acerca da matéria: “</w:t>
      </w:r>
      <w:r w:rsidR="009927D5" w:rsidRPr="00E6554C">
        <w:rPr>
          <w:i/>
          <w:color w:val="000000"/>
          <w:sz w:val="22"/>
          <w:szCs w:val="22"/>
          <w:lang w:eastAsia="pt-BR"/>
        </w:rPr>
        <w:t>H</w:t>
      </w:r>
      <w:r w:rsidR="009927D5" w:rsidRPr="00E6554C">
        <w:rPr>
          <w:i/>
          <w:sz w:val="22"/>
          <w:szCs w:val="22"/>
        </w:rPr>
        <w:t xml:space="preserve">istoricamente, o TCU sempre defendeu que as estimativas de preços prévias às licitações devem estar baseadas em uma ‘cesta de preços aceitáveis’. Nessa linha, os </w:t>
      </w:r>
      <w:hyperlink r:id="rId11" w:history="1">
        <w:r w:rsidR="00264EF4" w:rsidRPr="00264EF4">
          <w:rPr>
            <w:rStyle w:val="Hyperlink"/>
            <w:i/>
            <w:sz w:val="22"/>
            <w:szCs w:val="23"/>
            <w:shd w:val="clear" w:color="auto" w:fill="FFFFFF"/>
          </w:rPr>
          <w:t>Acórdãos 2.170/2007</w:t>
        </w:r>
      </w:hyperlink>
      <w:r w:rsidR="00264EF4">
        <w:rPr>
          <w:i/>
          <w:color w:val="1F497D"/>
          <w:sz w:val="22"/>
          <w:szCs w:val="23"/>
          <w:shd w:val="clear" w:color="auto" w:fill="FFFFFF"/>
        </w:rPr>
        <w:t xml:space="preserve"> e </w:t>
      </w:r>
      <w:hyperlink r:id="rId12" w:history="1">
        <w:r w:rsidR="00264EF4" w:rsidRPr="00264EF4">
          <w:rPr>
            <w:rStyle w:val="Hyperlink"/>
            <w:i/>
            <w:sz w:val="22"/>
            <w:szCs w:val="23"/>
            <w:shd w:val="clear" w:color="auto" w:fill="FFFFFF"/>
          </w:rPr>
          <w:t>819/2009</w:t>
        </w:r>
      </w:hyperlink>
      <w:r w:rsidR="009927D5" w:rsidRPr="00E6554C">
        <w:rPr>
          <w:i/>
          <w:sz w:val="22"/>
          <w:szCs w:val="22"/>
        </w:rPr>
        <w:t xml:space="preserve">, ambos do Plenário. Tais precedentes levaram ao Guia de Boas Práticas em Contratações de Soluções de TI do TCU, de 2012, que lista uma série de fontes de informação que podem ser utilizadas para analisar o mercado com vistas à obtenção de dados sobre preços. Em reforço, </w:t>
      </w:r>
      <w:r w:rsidR="00264EF4">
        <w:rPr>
          <w:i/>
          <w:sz w:val="22"/>
          <w:szCs w:val="22"/>
        </w:rPr>
        <w:t xml:space="preserve">o </w:t>
      </w:r>
      <w:hyperlink r:id="rId13" w:history="1">
        <w:r w:rsidR="00264EF4" w:rsidRPr="00264EF4">
          <w:rPr>
            <w:rStyle w:val="Hyperlink"/>
            <w:i/>
            <w:sz w:val="22"/>
            <w:szCs w:val="23"/>
            <w:shd w:val="clear" w:color="auto" w:fill="FFFFFF"/>
          </w:rPr>
          <w:t>Acórdão 2.943/2013-Plenário</w:t>
        </w:r>
      </w:hyperlink>
      <w:r w:rsidR="009927D5" w:rsidRPr="00E6554C">
        <w:rPr>
          <w:i/>
          <w:sz w:val="22"/>
          <w:szCs w:val="22"/>
        </w:rPr>
        <w:t xml:space="preserve"> consolidou que não se deve considerar, para fins de elaboração do mapa de cotações, as informações relativas a empresas cujos preços revelem-se evidentemente fora da média de mercado, de modo a evitar distorções no custo médio apurado e, consequentemente, no valor máximo a ser aceito para cada item licitado. Todo esse esforço do TCU culminou na edição da IN-SLTI/MPOG 5/2014, que dispõe sobre os procedimentos administrativos básicos para a realização de pesquisa de preços para a aquisição de bens e contratação de serviços em geral</w:t>
      </w:r>
      <w:r w:rsidR="009927D5" w:rsidRPr="00E6554C">
        <w:rPr>
          <w:sz w:val="22"/>
          <w:szCs w:val="22"/>
        </w:rPr>
        <w:t xml:space="preserve">”. Nesse sentido, asseverou que </w:t>
      </w:r>
      <w:r w:rsidR="00BF7859" w:rsidRPr="00E6554C">
        <w:rPr>
          <w:sz w:val="22"/>
          <w:szCs w:val="22"/>
        </w:rPr>
        <w:t>“</w:t>
      </w:r>
      <w:r w:rsidR="00BF7859" w:rsidRPr="00E6554C">
        <w:rPr>
          <w:i/>
          <w:sz w:val="22"/>
          <w:szCs w:val="22"/>
        </w:rPr>
        <w:t>o argumento de que o valor do melhor lance estaria abaixo do orçamento estimativo e que, portanto, estaria atendido o princípio da seleção da proposta mais vantajosa para a Administração somente merece guarida quando evidenciado que a pesquisa de preços da licitação foi feita de acordo com a melhor técnica possível para cada caso, a exemplo dos parâmetros definidos na IN-SLTI/MPOG 5/2014, o que não restou demonstrado neste processo</w:t>
      </w:r>
      <w:r w:rsidR="00BF7859" w:rsidRPr="00E6554C">
        <w:rPr>
          <w:sz w:val="22"/>
          <w:szCs w:val="22"/>
        </w:rPr>
        <w:t xml:space="preserve">”. </w:t>
      </w:r>
      <w:r w:rsidR="00C15799" w:rsidRPr="00E6554C">
        <w:rPr>
          <w:rFonts w:eastAsia="Times New Roman"/>
          <w:color w:val="000000"/>
          <w:sz w:val="22"/>
          <w:szCs w:val="22"/>
          <w:lang w:eastAsia="pt-BR"/>
        </w:rPr>
        <w:t>Considerando que os valores obtidos no pregão encontra</w:t>
      </w:r>
      <w:r w:rsidR="006B4E7C" w:rsidRPr="00E6554C">
        <w:rPr>
          <w:rFonts w:eastAsia="Times New Roman"/>
          <w:color w:val="000000"/>
          <w:sz w:val="22"/>
          <w:szCs w:val="22"/>
          <w:lang w:eastAsia="pt-BR"/>
        </w:rPr>
        <w:t>va</w:t>
      </w:r>
      <w:r w:rsidR="00C15799" w:rsidRPr="00E6554C">
        <w:rPr>
          <w:rFonts w:eastAsia="Times New Roman"/>
          <w:color w:val="000000"/>
          <w:sz w:val="22"/>
          <w:szCs w:val="22"/>
          <w:lang w:eastAsia="pt-BR"/>
        </w:rPr>
        <w:t>m-se dentro da média de preços praticados por outros órgãos da Administração Pública</w:t>
      </w:r>
      <w:r w:rsidR="00C15799" w:rsidRPr="00E6554C">
        <w:rPr>
          <w:color w:val="000000"/>
          <w:sz w:val="22"/>
          <w:szCs w:val="22"/>
          <w:lang w:eastAsia="pt-BR"/>
        </w:rPr>
        <w:t>, o</w:t>
      </w:r>
      <w:r w:rsidR="00D5729B" w:rsidRPr="00E6554C">
        <w:rPr>
          <w:rFonts w:eastAsia="Times New Roman"/>
          <w:color w:val="000000"/>
          <w:sz w:val="22"/>
          <w:szCs w:val="22"/>
          <w:lang w:eastAsia="pt-BR"/>
        </w:rPr>
        <w:t xml:space="preserve"> Plenário do Tribunal</w:t>
      </w:r>
      <w:r w:rsidR="00D5729B" w:rsidRPr="00E6554C">
        <w:rPr>
          <w:sz w:val="22"/>
          <w:szCs w:val="22"/>
        </w:rPr>
        <w:t xml:space="preserve">, pelos motivos expostos pelo relator, decidiu, no ponto, </w:t>
      </w:r>
      <w:r w:rsidR="00C15799" w:rsidRPr="00E6554C">
        <w:rPr>
          <w:sz w:val="22"/>
          <w:szCs w:val="22"/>
        </w:rPr>
        <w:t xml:space="preserve">apenas </w:t>
      </w:r>
      <w:r w:rsidR="00D5729B" w:rsidRPr="00E6554C">
        <w:rPr>
          <w:sz w:val="22"/>
          <w:szCs w:val="22"/>
        </w:rPr>
        <w:t xml:space="preserve">dar ciência à Funasa acerca da </w:t>
      </w:r>
      <w:r w:rsidR="00D5729B" w:rsidRPr="00E6554C">
        <w:rPr>
          <w:rFonts w:eastAsia="Times New Roman"/>
          <w:color w:val="000000"/>
          <w:sz w:val="22"/>
          <w:szCs w:val="22"/>
          <w:lang w:eastAsia="pt-BR"/>
        </w:rPr>
        <w:lastRenderedPageBreak/>
        <w:t>impropriedade</w:t>
      </w:r>
      <w:r w:rsidR="00D5729B" w:rsidRPr="00E6554C">
        <w:rPr>
          <w:sz w:val="22"/>
          <w:szCs w:val="22"/>
        </w:rPr>
        <w:t xml:space="preserve"> relativa à “</w:t>
      </w:r>
      <w:r w:rsidR="00213DE4" w:rsidRPr="00E6554C">
        <w:rPr>
          <w:rFonts w:eastAsia="Times New Roman"/>
          <w:i/>
          <w:sz w:val="22"/>
          <w:szCs w:val="22"/>
        </w:rPr>
        <w:t>realização de pesquisa de preços com amplitude insuficiente</w:t>
      </w:r>
      <w:r w:rsidR="00B427EF">
        <w:rPr>
          <w:i/>
          <w:sz w:val="22"/>
          <w:szCs w:val="22"/>
        </w:rPr>
        <w:t xml:space="preserve"> (...)</w:t>
      </w:r>
      <w:r w:rsidR="00213DE4" w:rsidRPr="00E6554C">
        <w:rPr>
          <w:i/>
          <w:sz w:val="22"/>
          <w:szCs w:val="22"/>
        </w:rPr>
        <w:t xml:space="preserve"> </w:t>
      </w:r>
      <w:r w:rsidR="00213DE4" w:rsidRPr="00E6554C">
        <w:rPr>
          <w:rFonts w:eastAsia="Times New Roman"/>
          <w:i/>
          <w:sz w:val="22"/>
          <w:szCs w:val="22"/>
        </w:rPr>
        <w:t xml:space="preserve">tendo-se obtido apenas três orçamentos, não obstante o mercado fornecedor do serviço ser vasto; e, ainda, que não se considerou a utilização de preços de contratações similares na Administração Pública e a informações de outras fontes, tais como o </w:t>
      </w:r>
      <w:proofErr w:type="spellStart"/>
      <w:r w:rsidR="00213DE4" w:rsidRPr="00E6554C">
        <w:rPr>
          <w:rFonts w:eastAsia="Times New Roman"/>
          <w:i/>
          <w:sz w:val="22"/>
          <w:szCs w:val="22"/>
        </w:rPr>
        <w:t>ComprasNet</w:t>
      </w:r>
      <w:proofErr w:type="spellEnd"/>
      <w:r w:rsidR="00213DE4" w:rsidRPr="00E6554C">
        <w:rPr>
          <w:rFonts w:eastAsia="Times New Roman"/>
          <w:i/>
          <w:sz w:val="22"/>
          <w:szCs w:val="22"/>
        </w:rPr>
        <w:t xml:space="preserve"> e outros sites especializados, afrontando o art. 26, parágrafo único, incisos II e III, e o art. 43, inciso IV, da Lei 8.666/1993, conforme entendimento do TCU, a exemplo dos Acórdãos 2.170/2007 e 819/2009, ambos do Plenário</w:t>
      </w:r>
      <w:r w:rsidR="00707B7F" w:rsidRPr="00E6554C">
        <w:rPr>
          <w:sz w:val="22"/>
          <w:szCs w:val="22"/>
        </w:rPr>
        <w:t xml:space="preserve">”. </w:t>
      </w:r>
      <w:hyperlink r:id="rId14" w:history="1">
        <w:r w:rsidR="00264EF4" w:rsidRPr="00264EF4">
          <w:rPr>
            <w:rStyle w:val="Hyperlink"/>
            <w:b/>
            <w:i/>
            <w:sz w:val="22"/>
            <w:szCs w:val="23"/>
            <w:shd w:val="clear" w:color="auto" w:fill="FFFFFF"/>
          </w:rPr>
          <w:t>Acórdão 2637/2015-Plenário</w:t>
        </w:r>
      </w:hyperlink>
      <w:r w:rsidR="009D5AE6" w:rsidRPr="00E6554C">
        <w:rPr>
          <w:rFonts w:eastAsia="Times New Roman"/>
          <w:b/>
          <w:i/>
          <w:color w:val="000000"/>
          <w:sz w:val="22"/>
          <w:szCs w:val="22"/>
          <w:lang w:eastAsia="pt-BR"/>
        </w:rPr>
        <w:t>, TC 0</w:t>
      </w:r>
      <w:r w:rsidR="00842719" w:rsidRPr="00E6554C">
        <w:rPr>
          <w:rFonts w:eastAsia="Times New Roman"/>
          <w:b/>
          <w:i/>
          <w:color w:val="000000"/>
          <w:sz w:val="22"/>
          <w:szCs w:val="22"/>
          <w:lang w:eastAsia="pt-BR"/>
        </w:rPr>
        <w:t>1</w:t>
      </w:r>
      <w:r w:rsidR="00707B7F" w:rsidRPr="00E6554C">
        <w:rPr>
          <w:b/>
          <w:i/>
          <w:color w:val="000000"/>
          <w:sz w:val="22"/>
          <w:szCs w:val="22"/>
          <w:lang w:eastAsia="pt-BR"/>
        </w:rPr>
        <w:t>3</w:t>
      </w:r>
      <w:r w:rsidR="009D5AE6" w:rsidRPr="00E6554C">
        <w:rPr>
          <w:rFonts w:eastAsia="Times New Roman"/>
          <w:b/>
          <w:i/>
          <w:color w:val="000000"/>
          <w:sz w:val="22"/>
          <w:szCs w:val="22"/>
          <w:lang w:eastAsia="pt-BR"/>
        </w:rPr>
        <w:t>.</w:t>
      </w:r>
      <w:r w:rsidR="00707B7F" w:rsidRPr="00E6554C">
        <w:rPr>
          <w:b/>
          <w:i/>
          <w:color w:val="000000"/>
          <w:sz w:val="22"/>
          <w:szCs w:val="22"/>
          <w:lang w:eastAsia="pt-BR"/>
        </w:rPr>
        <w:t>754</w:t>
      </w:r>
      <w:r w:rsidR="009D5AE6" w:rsidRPr="00E6554C">
        <w:rPr>
          <w:rFonts w:eastAsia="Times New Roman"/>
          <w:b/>
          <w:i/>
          <w:color w:val="000000"/>
          <w:sz w:val="22"/>
          <w:szCs w:val="22"/>
          <w:lang w:eastAsia="pt-BR"/>
        </w:rPr>
        <w:t>/201</w:t>
      </w:r>
      <w:r w:rsidR="00842719" w:rsidRPr="00E6554C">
        <w:rPr>
          <w:rFonts w:eastAsia="Times New Roman"/>
          <w:b/>
          <w:i/>
          <w:color w:val="000000"/>
          <w:sz w:val="22"/>
          <w:szCs w:val="22"/>
          <w:lang w:eastAsia="pt-BR"/>
        </w:rPr>
        <w:t>5</w:t>
      </w:r>
      <w:r w:rsidR="009D5AE6" w:rsidRPr="00E6554C">
        <w:rPr>
          <w:rFonts w:eastAsia="Times New Roman"/>
          <w:b/>
          <w:i/>
          <w:color w:val="000000"/>
          <w:sz w:val="22"/>
          <w:szCs w:val="22"/>
          <w:lang w:eastAsia="pt-BR"/>
        </w:rPr>
        <w:t>-</w:t>
      </w:r>
      <w:r w:rsidR="00707B7F" w:rsidRPr="00E6554C">
        <w:rPr>
          <w:b/>
          <w:i/>
          <w:color w:val="000000"/>
          <w:sz w:val="22"/>
          <w:szCs w:val="22"/>
          <w:lang w:eastAsia="pt-BR"/>
        </w:rPr>
        <w:t>7</w:t>
      </w:r>
      <w:r w:rsidR="009D5AE6" w:rsidRPr="00E6554C">
        <w:rPr>
          <w:rFonts w:eastAsia="Times New Roman"/>
          <w:b/>
          <w:i/>
          <w:color w:val="000000"/>
          <w:sz w:val="22"/>
          <w:szCs w:val="22"/>
          <w:lang w:eastAsia="pt-BR"/>
        </w:rPr>
        <w:t xml:space="preserve">, relator Ministro </w:t>
      </w:r>
      <w:r w:rsidR="00707B7F" w:rsidRPr="00E6554C">
        <w:rPr>
          <w:b/>
          <w:i/>
          <w:color w:val="000000"/>
          <w:sz w:val="22"/>
          <w:szCs w:val="22"/>
          <w:lang w:eastAsia="pt-BR"/>
        </w:rPr>
        <w:t>Bruno Dantas</w:t>
      </w:r>
      <w:r w:rsidR="009D5AE6" w:rsidRPr="00E6554C">
        <w:rPr>
          <w:rFonts w:eastAsia="Times New Roman"/>
          <w:b/>
          <w:i/>
          <w:color w:val="000000"/>
          <w:sz w:val="22"/>
          <w:szCs w:val="22"/>
          <w:lang w:eastAsia="pt-BR"/>
        </w:rPr>
        <w:t xml:space="preserve">, </w:t>
      </w:r>
      <w:r w:rsidR="00707B7F" w:rsidRPr="00E6554C">
        <w:rPr>
          <w:b/>
          <w:i/>
          <w:color w:val="000000"/>
          <w:sz w:val="22"/>
          <w:szCs w:val="22"/>
          <w:lang w:eastAsia="pt-BR"/>
        </w:rPr>
        <w:t>21</w:t>
      </w:r>
      <w:r w:rsidR="00884D7E" w:rsidRPr="00E6554C">
        <w:rPr>
          <w:rFonts w:eastAsia="Times New Roman"/>
          <w:b/>
          <w:i/>
          <w:color w:val="000000"/>
          <w:sz w:val="22"/>
          <w:szCs w:val="22"/>
          <w:lang w:eastAsia="pt-BR"/>
        </w:rPr>
        <w:t>.</w:t>
      </w:r>
      <w:r w:rsidR="00707B7F" w:rsidRPr="00E6554C">
        <w:rPr>
          <w:b/>
          <w:i/>
          <w:color w:val="000000"/>
          <w:sz w:val="22"/>
          <w:szCs w:val="22"/>
          <w:lang w:eastAsia="pt-BR"/>
        </w:rPr>
        <w:t>10</w:t>
      </w:r>
      <w:r w:rsidR="00884D7E" w:rsidRPr="00E6554C">
        <w:rPr>
          <w:rFonts w:eastAsia="Times New Roman"/>
          <w:b/>
          <w:i/>
          <w:color w:val="000000"/>
          <w:sz w:val="22"/>
          <w:szCs w:val="22"/>
          <w:lang w:eastAsia="pt-BR"/>
        </w:rPr>
        <w:t>.2015.</w:t>
      </w:r>
    </w:p>
    <w:p w:rsidR="00B917F0" w:rsidRPr="00E6554C" w:rsidRDefault="00B917F0" w:rsidP="006B4E7C">
      <w:pPr>
        <w:shd w:val="clear" w:color="auto" w:fill="FFFFFF"/>
        <w:spacing w:after="0"/>
        <w:ind w:left="0"/>
        <w:rPr>
          <w:rFonts w:eastAsia="Times New Roman"/>
          <w:b/>
          <w:i/>
          <w:color w:val="000000"/>
          <w:sz w:val="22"/>
          <w:szCs w:val="22"/>
          <w:lang w:eastAsia="pt-BR"/>
        </w:rPr>
      </w:pPr>
    </w:p>
    <w:p w:rsidR="00B917F0" w:rsidRPr="00E6554C" w:rsidRDefault="004A475A" w:rsidP="006B4E7C">
      <w:pPr>
        <w:shd w:val="clear" w:color="auto" w:fill="FFFFFF"/>
        <w:spacing w:after="0"/>
        <w:ind w:left="0"/>
        <w:rPr>
          <w:rFonts w:eastAsia="Times New Roman"/>
          <w:b/>
          <w:color w:val="000000"/>
          <w:sz w:val="22"/>
          <w:szCs w:val="22"/>
          <w:lang w:eastAsia="pt-BR"/>
        </w:rPr>
      </w:pPr>
      <w:r w:rsidRPr="00E6554C">
        <w:rPr>
          <w:rFonts w:eastAsia="Times New Roman"/>
          <w:b/>
          <w:color w:val="000000"/>
          <w:sz w:val="22"/>
          <w:szCs w:val="22"/>
          <w:lang w:eastAsia="pt-BR"/>
        </w:rPr>
        <w:t>4</w:t>
      </w:r>
      <w:r w:rsidR="00B917F0" w:rsidRPr="00E6554C">
        <w:rPr>
          <w:rFonts w:eastAsia="Times New Roman"/>
          <w:b/>
          <w:color w:val="000000"/>
          <w:sz w:val="22"/>
          <w:szCs w:val="22"/>
          <w:lang w:eastAsia="pt-BR"/>
        </w:rPr>
        <w:t>. Nas licitações realizadas mediante pregão, constitui poder-dever da Administração a tentativa de negociação para reduzir o preço final do contrato, tendo em vista a maximização do interesse público em obter-se a proposta mais vantajosa, mesmo que eventualmente o valor da oferta tenha sido inferior à estimativa d</w:t>
      </w:r>
      <w:r w:rsidR="00EA2849">
        <w:rPr>
          <w:rFonts w:eastAsia="Times New Roman"/>
          <w:b/>
          <w:color w:val="000000"/>
          <w:sz w:val="22"/>
          <w:szCs w:val="22"/>
          <w:lang w:eastAsia="pt-BR"/>
        </w:rPr>
        <w:t>a licitação (art. 24, §§ 8º e 9º, do Decreto 5.450/</w:t>
      </w:r>
      <w:r w:rsidR="00B917F0" w:rsidRPr="00E6554C">
        <w:rPr>
          <w:rFonts w:eastAsia="Times New Roman"/>
          <w:b/>
          <w:color w:val="000000"/>
          <w:sz w:val="22"/>
          <w:szCs w:val="22"/>
          <w:lang w:eastAsia="pt-BR"/>
        </w:rPr>
        <w:t>05).</w:t>
      </w:r>
    </w:p>
    <w:p w:rsidR="00B66FAD" w:rsidRPr="00264EF4" w:rsidRDefault="00B917F0" w:rsidP="00B66FAD">
      <w:pPr>
        <w:pStyle w:val="TCU-Ac-item9-"/>
        <w:ind w:firstLine="0"/>
        <w:rPr>
          <w:rFonts w:ascii="Segoe UI WPC" w:hAnsi="Segoe UI WPC"/>
          <w:i/>
          <w:color w:val="282828"/>
          <w:sz w:val="21"/>
          <w:szCs w:val="23"/>
        </w:rPr>
      </w:pPr>
      <w:r w:rsidRPr="00E6554C">
        <w:rPr>
          <w:rFonts w:eastAsia="Calibri"/>
          <w:color w:val="000000"/>
          <w:sz w:val="22"/>
          <w:lang w:eastAsia="pt-BR"/>
        </w:rPr>
        <w:t>Ainda na Representação formulada por sociedade empresária acerca de pregão eletrônico promovido p</w:t>
      </w:r>
      <w:r w:rsidR="00887412">
        <w:rPr>
          <w:rFonts w:eastAsia="Calibri"/>
          <w:color w:val="000000"/>
          <w:sz w:val="22"/>
          <w:lang w:eastAsia="pt-BR"/>
        </w:rPr>
        <w:t>ela Funasa</w:t>
      </w:r>
      <w:r w:rsidRPr="00E6554C">
        <w:rPr>
          <w:rFonts w:eastAsia="Calibri"/>
          <w:color w:val="000000"/>
          <w:sz w:val="22"/>
          <w:lang w:eastAsia="pt-BR"/>
        </w:rPr>
        <w:t>, destinado à contratação de central de serviços (</w:t>
      </w:r>
      <w:proofErr w:type="spellStart"/>
      <w:r w:rsidRPr="00887412">
        <w:rPr>
          <w:rFonts w:eastAsia="Calibri"/>
          <w:i/>
          <w:color w:val="000000"/>
          <w:sz w:val="22"/>
          <w:lang w:eastAsia="pt-BR"/>
        </w:rPr>
        <w:t>service</w:t>
      </w:r>
      <w:proofErr w:type="spellEnd"/>
      <w:r w:rsidRPr="00887412">
        <w:rPr>
          <w:rFonts w:eastAsia="Calibri"/>
          <w:i/>
          <w:color w:val="000000"/>
          <w:sz w:val="22"/>
          <w:lang w:eastAsia="pt-BR"/>
        </w:rPr>
        <w:t xml:space="preserve"> </w:t>
      </w:r>
      <w:proofErr w:type="spellStart"/>
      <w:r w:rsidRPr="00887412">
        <w:rPr>
          <w:rFonts w:eastAsia="Calibri"/>
          <w:i/>
          <w:color w:val="000000"/>
          <w:sz w:val="22"/>
          <w:lang w:eastAsia="pt-BR"/>
        </w:rPr>
        <w:t>desk</w:t>
      </w:r>
      <w:proofErr w:type="spellEnd"/>
      <w:r w:rsidRPr="00E6554C">
        <w:rPr>
          <w:rFonts w:eastAsia="Calibri"/>
          <w:color w:val="000000"/>
          <w:sz w:val="22"/>
          <w:lang w:eastAsia="pt-BR"/>
        </w:rPr>
        <w:t>) para a manutenção de equipamentos, atendimento e suporte técnico remoto e presencial aos usuários dos ativos de tecnologia da informa</w:t>
      </w:r>
      <w:r w:rsidR="00887412">
        <w:rPr>
          <w:rFonts w:eastAsia="Calibri"/>
          <w:color w:val="000000"/>
          <w:sz w:val="22"/>
          <w:lang w:eastAsia="pt-BR"/>
        </w:rPr>
        <w:t xml:space="preserve">ção, a representante apontara, </w:t>
      </w:r>
      <w:r w:rsidRPr="00E6554C">
        <w:rPr>
          <w:rFonts w:eastAsia="Calibri"/>
          <w:color w:val="000000"/>
          <w:sz w:val="22"/>
          <w:lang w:eastAsia="pt-BR"/>
        </w:rPr>
        <w:t xml:space="preserve">entre outras irregularidades, a ausência de negociação com a licitante vencedora. </w:t>
      </w:r>
      <w:r w:rsidR="00B22DBE" w:rsidRPr="00E6554C">
        <w:rPr>
          <w:rFonts w:eastAsia="Calibri"/>
          <w:color w:val="000000"/>
          <w:sz w:val="22"/>
          <w:lang w:eastAsia="pt-BR"/>
        </w:rPr>
        <w:t>Questionada sobre a realização, por meio do sistema, de negociação com a licitante vencedora a fim de obter melhor propos</w:t>
      </w:r>
      <w:r w:rsidR="00887412">
        <w:rPr>
          <w:rFonts w:eastAsia="Calibri"/>
          <w:color w:val="000000"/>
          <w:sz w:val="22"/>
          <w:lang w:eastAsia="pt-BR"/>
        </w:rPr>
        <w:t>ta, nos termos do art. 24, §§ 8º e 9º, do Decreto 5.450/</w:t>
      </w:r>
      <w:r w:rsidR="00B22DBE" w:rsidRPr="00E6554C">
        <w:rPr>
          <w:rFonts w:eastAsia="Calibri"/>
          <w:color w:val="000000"/>
          <w:sz w:val="22"/>
          <w:lang w:eastAsia="pt-BR"/>
        </w:rPr>
        <w:t>05, a Funasa respondera não ter procedido à</w:t>
      </w:r>
      <w:r w:rsidR="00B22DBE" w:rsidRPr="00E6554C">
        <w:rPr>
          <w:sz w:val="22"/>
        </w:rPr>
        <w:t xml:space="preserve"> negociação, alegando em sua defesa que, “</w:t>
      </w:r>
      <w:r w:rsidR="00B22DBE" w:rsidRPr="00E6554C">
        <w:rPr>
          <w:i/>
          <w:sz w:val="22"/>
        </w:rPr>
        <w:t>de acordo com os dispositivos legais mencionados, não existe obrigatoriedade de que a pregoeira realize negociação com a licitante que ofereceu menor preço, desde que esse preço esteja abaixo do valor estimado para a contratação</w:t>
      </w:r>
      <w:r w:rsidR="00B22DBE" w:rsidRPr="00E6554C">
        <w:rPr>
          <w:sz w:val="22"/>
        </w:rPr>
        <w:t>”.</w:t>
      </w:r>
      <w:r w:rsidR="00B22DBE" w:rsidRPr="00E6554C">
        <w:rPr>
          <w:rFonts w:ascii="MS Mincho" w:hAnsi="MS Mincho" w:cs="MS Mincho"/>
          <w:sz w:val="22"/>
        </w:rPr>
        <w:t xml:space="preserve"> </w:t>
      </w:r>
      <w:r w:rsidR="00B22DBE" w:rsidRPr="00E6554C">
        <w:rPr>
          <w:sz w:val="22"/>
        </w:rPr>
        <w:t xml:space="preserve">Ao analisar o ponto, o relator rebateu essa tese, ressaltando que </w:t>
      </w:r>
      <w:r w:rsidR="00887412">
        <w:rPr>
          <w:i/>
          <w:sz w:val="22"/>
        </w:rPr>
        <w:t>“</w:t>
      </w:r>
      <w:r w:rsidR="00B22DBE" w:rsidRPr="00E6554C">
        <w:rPr>
          <w:i/>
          <w:sz w:val="22"/>
        </w:rPr>
        <w:t xml:space="preserve">no pregão, constitui poder-dever da Administração a tentativa de negociação para reduzir o preço final, tendo em vista a maximização do interesse público em obter-se a proposta mais vantajosa, mesmo que eventualmente o valor da oferta tenha sido inferior à estimativa da licitação. Nesse sentido, </w:t>
      </w:r>
      <w:r w:rsidR="00264EF4">
        <w:rPr>
          <w:i/>
          <w:sz w:val="22"/>
        </w:rPr>
        <w:t xml:space="preserve">os </w:t>
      </w:r>
      <w:hyperlink r:id="rId15" w:history="1">
        <w:r w:rsidR="00264EF4" w:rsidRPr="00264EF4">
          <w:rPr>
            <w:rStyle w:val="Hyperlink"/>
            <w:i/>
            <w:sz w:val="22"/>
            <w:szCs w:val="23"/>
            <w:shd w:val="clear" w:color="auto" w:fill="FFFFFF"/>
          </w:rPr>
          <w:t>Acórdãos 3.037/2009</w:t>
        </w:r>
      </w:hyperlink>
      <w:r w:rsidR="00264EF4">
        <w:rPr>
          <w:i/>
          <w:color w:val="1F497D"/>
          <w:sz w:val="22"/>
          <w:szCs w:val="23"/>
          <w:shd w:val="clear" w:color="auto" w:fill="FFFFFF"/>
        </w:rPr>
        <w:t xml:space="preserve"> e </w:t>
      </w:r>
      <w:hyperlink r:id="rId16" w:history="1">
        <w:r w:rsidR="00264EF4" w:rsidRPr="00264EF4">
          <w:rPr>
            <w:rStyle w:val="Hyperlink"/>
            <w:i/>
            <w:sz w:val="22"/>
            <w:szCs w:val="23"/>
            <w:shd w:val="clear" w:color="auto" w:fill="FFFFFF"/>
          </w:rPr>
          <w:t>694/2014</w:t>
        </w:r>
      </w:hyperlink>
      <w:r w:rsidR="00B22DBE" w:rsidRPr="00E6554C">
        <w:rPr>
          <w:i/>
          <w:sz w:val="22"/>
        </w:rPr>
        <w:t>, ambos do Plenário</w:t>
      </w:r>
      <w:r w:rsidR="00B22DBE" w:rsidRPr="00E6554C">
        <w:rPr>
          <w:sz w:val="22"/>
        </w:rPr>
        <w:t xml:space="preserve">”. </w:t>
      </w:r>
      <w:r w:rsidR="006928A7" w:rsidRPr="00E6554C">
        <w:rPr>
          <w:sz w:val="22"/>
        </w:rPr>
        <w:t xml:space="preserve"> Confirmada a falha, o Tribunal, alinhado ao voto do relator, decidiu dar ciência à Funa</w:t>
      </w:r>
      <w:r w:rsidR="00A057D4" w:rsidRPr="00E6554C">
        <w:rPr>
          <w:sz w:val="22"/>
        </w:rPr>
        <w:t xml:space="preserve">sa </w:t>
      </w:r>
      <w:r w:rsidR="006928A7" w:rsidRPr="00E6554C">
        <w:rPr>
          <w:sz w:val="22"/>
        </w:rPr>
        <w:t xml:space="preserve">da irregularidade relativa </w:t>
      </w:r>
      <w:r w:rsidR="00A057D4" w:rsidRPr="00E6554C">
        <w:rPr>
          <w:sz w:val="22"/>
        </w:rPr>
        <w:t>à “</w:t>
      </w:r>
      <w:r w:rsidR="00A057D4" w:rsidRPr="00E6554C">
        <w:rPr>
          <w:i/>
          <w:sz w:val="22"/>
        </w:rPr>
        <w:t xml:space="preserve">não realização, por meio do sistema, de negociação com a licitante vencedora a fim de obter melhor proposta, em afronta </w:t>
      </w:r>
      <w:r w:rsidR="00A057D4" w:rsidRPr="00264EF4">
        <w:rPr>
          <w:i/>
          <w:sz w:val="22"/>
        </w:rPr>
        <w:t xml:space="preserve">ao art. 24, §§ 8º e 9º, do Decreto </w:t>
      </w:r>
      <w:r w:rsidR="00A057D4" w:rsidRPr="00E6554C">
        <w:rPr>
          <w:i/>
          <w:sz w:val="22"/>
        </w:rPr>
        <w:t>5.450/2005, e à jurisprudência do TCU, conforme Acórdãos 3.037/2009 e 694/2014, ambos do Plenário</w:t>
      </w:r>
      <w:r w:rsidR="00A057D4" w:rsidRPr="00E6554C">
        <w:rPr>
          <w:sz w:val="22"/>
        </w:rPr>
        <w:t>”.</w:t>
      </w:r>
      <w:r w:rsidR="00264EF4">
        <w:rPr>
          <w:sz w:val="22"/>
        </w:rPr>
        <w:t xml:space="preserve"> </w:t>
      </w:r>
      <w:hyperlink r:id="rId17" w:history="1">
        <w:r w:rsidR="00264EF4" w:rsidRPr="00264EF4">
          <w:rPr>
            <w:rStyle w:val="Hyperlink"/>
            <w:b/>
            <w:i/>
            <w:sz w:val="22"/>
            <w:szCs w:val="23"/>
            <w:shd w:val="clear" w:color="auto" w:fill="FFFFFF"/>
          </w:rPr>
          <w:t>Acórdão 2637/2015-Plenário</w:t>
        </w:r>
      </w:hyperlink>
      <w:r w:rsidR="00B66FAD" w:rsidRPr="00E6554C">
        <w:rPr>
          <w:b/>
          <w:i/>
          <w:sz w:val="22"/>
        </w:rPr>
        <w:t>, TC 013.754/2015-7, relator Ministro Bruno Dantas, 21.10.2015.</w:t>
      </w:r>
    </w:p>
    <w:p w:rsidR="00E55527" w:rsidRDefault="00E55527" w:rsidP="00B66FAD">
      <w:pPr>
        <w:pStyle w:val="TCU-Ac-item9-"/>
        <w:ind w:firstLine="0"/>
        <w:rPr>
          <w:b/>
          <w:i/>
          <w:sz w:val="22"/>
        </w:rPr>
      </w:pPr>
    </w:p>
    <w:p w:rsidR="00E55527" w:rsidRPr="00B66FAD" w:rsidRDefault="00E55527" w:rsidP="00B66FAD">
      <w:pPr>
        <w:pStyle w:val="TCU-Ac-item9-"/>
        <w:ind w:firstLine="0"/>
        <w:rPr>
          <w:b/>
          <w:i/>
          <w:sz w:val="22"/>
        </w:rPr>
      </w:pPr>
    </w:p>
    <w:p w:rsidR="00404073" w:rsidRPr="00B22DBE" w:rsidRDefault="00404073" w:rsidP="00B84CBC">
      <w:pPr>
        <w:shd w:val="clear" w:color="auto" w:fill="FFFFFF"/>
        <w:spacing w:after="0"/>
        <w:ind w:left="0"/>
        <w:rPr>
          <w:rFonts w:eastAsia="Times New Roman"/>
          <w:szCs w:val="22"/>
        </w:rPr>
      </w:pPr>
    </w:p>
    <w:p w:rsidR="00637A5E" w:rsidRPr="00905B11" w:rsidRDefault="00637A5E" w:rsidP="00B84CBC">
      <w:pPr>
        <w:shd w:val="clear" w:color="auto" w:fill="FFFFFF"/>
        <w:spacing w:after="0"/>
        <w:ind w:left="0"/>
        <w:rPr>
          <w:rFonts w:eastAsia="Times New Roman"/>
          <w:b/>
          <w:i/>
          <w:color w:val="000000"/>
          <w:sz w:val="22"/>
          <w:szCs w:val="22"/>
          <w:lang w:eastAsia="pt-BR"/>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8" w:history="1">
              <w:r w:rsidR="00D46D7C" w:rsidRPr="00972133">
                <w:rPr>
                  <w:rStyle w:val="Hyperlink"/>
                  <w:b/>
                  <w:i/>
                  <w:sz w:val="18"/>
                  <w:szCs w:val="18"/>
                </w:rPr>
                <w:t>infojuris@tcu.gov.br</w:t>
              </w:r>
            </w:hyperlink>
          </w:p>
        </w:tc>
      </w:tr>
    </w:tbl>
    <w:p w:rsidR="004A3A81" w:rsidRDefault="004A3A81" w:rsidP="00C2329B">
      <w:pPr>
        <w:ind w:left="0"/>
        <w:rPr>
          <w:sz w:val="22"/>
          <w:szCs w:val="22"/>
        </w:rPr>
      </w:pPr>
    </w:p>
    <w:p w:rsidR="00650BC1" w:rsidRDefault="00650BC1" w:rsidP="00C2329B">
      <w:pPr>
        <w:ind w:left="0"/>
        <w:rPr>
          <w:sz w:val="22"/>
          <w:szCs w:val="22"/>
        </w:rPr>
      </w:pPr>
    </w:p>
    <w:sectPr w:rsidR="00650BC1" w:rsidSect="00616945">
      <w:footerReference w:type="default" r:id="rId19"/>
      <w:headerReference w:type="first" r:id="rId20"/>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0F" w:rsidRDefault="0050060F" w:rsidP="008B0547">
      <w:pPr>
        <w:spacing w:after="0"/>
      </w:pPr>
      <w:r>
        <w:separator/>
      </w:r>
    </w:p>
  </w:endnote>
  <w:endnote w:type="continuationSeparator" w:id="0">
    <w:p w:rsidR="0050060F" w:rsidRDefault="0050060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Segoe UI WPC">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7527CF">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0F" w:rsidRDefault="0050060F" w:rsidP="008B0547">
      <w:pPr>
        <w:spacing w:after="0"/>
      </w:pPr>
      <w:r>
        <w:separator/>
      </w:r>
    </w:p>
  </w:footnote>
  <w:footnote w:type="continuationSeparator" w:id="0">
    <w:p w:rsidR="0050060F" w:rsidRDefault="0050060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6A541CD"/>
    <w:multiLevelType w:val="hybridMultilevel"/>
    <w:tmpl w:val="73FC08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1"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3"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4"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5"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D26AD5"/>
    <w:multiLevelType w:val="hybridMultilevel"/>
    <w:tmpl w:val="1E7A73A0"/>
    <w:lvl w:ilvl="0" w:tplc="F4D08D2A">
      <w:start w:val="2"/>
      <w:numFmt w:val="decimal"/>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2"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21"/>
    <w:lvlOverride w:ilvl="0">
      <w:startOverride w:val="1"/>
    </w:lvlOverride>
  </w:num>
  <w:num w:numId="4">
    <w:abstractNumId w:val="13"/>
  </w:num>
  <w:num w:numId="5">
    <w:abstractNumId w:val="8"/>
  </w:num>
  <w:num w:numId="6">
    <w:abstractNumId w:val="7"/>
  </w:num>
  <w:num w:numId="7">
    <w:abstractNumId w:val="12"/>
  </w:num>
  <w:num w:numId="8">
    <w:abstractNumId w:val="14"/>
  </w:num>
  <w:num w:numId="9">
    <w:abstractNumId w:val="3"/>
  </w:num>
  <w:num w:numId="10">
    <w:abstractNumId w:val="5"/>
  </w:num>
  <w:num w:numId="11">
    <w:abstractNumId w:val="16"/>
  </w:num>
  <w:num w:numId="12">
    <w:abstractNumId w:val="17"/>
  </w:num>
  <w:num w:numId="13">
    <w:abstractNumId w:val="19"/>
  </w:num>
  <w:num w:numId="14">
    <w:abstractNumId w:val="18"/>
  </w:num>
  <w:num w:numId="15">
    <w:abstractNumId w:val="23"/>
  </w:num>
  <w:num w:numId="16">
    <w:abstractNumId w:val="0"/>
  </w:num>
  <w:num w:numId="17">
    <w:abstractNumId w:val="6"/>
  </w:num>
  <w:num w:numId="18">
    <w:abstractNumId w:val="4"/>
  </w:num>
  <w:num w:numId="19">
    <w:abstractNumId w:val="15"/>
  </w:num>
  <w:num w:numId="20">
    <w:abstractNumId w:val="1"/>
  </w:num>
  <w:num w:numId="21">
    <w:abstractNumId w:val="22"/>
  </w:num>
  <w:num w:numId="22">
    <w:abstractNumId w:val="11"/>
  </w:num>
  <w:num w:numId="23">
    <w:abstractNumId w:val="9"/>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59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17A"/>
    <w:rsid w:val="00007C63"/>
    <w:rsid w:val="00007FA6"/>
    <w:rsid w:val="0001037C"/>
    <w:rsid w:val="000103D9"/>
    <w:rsid w:val="00010A77"/>
    <w:rsid w:val="00010F62"/>
    <w:rsid w:val="00011074"/>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DCE"/>
    <w:rsid w:val="00012EEB"/>
    <w:rsid w:val="000131B6"/>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2A42"/>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B2E"/>
    <w:rsid w:val="00027C86"/>
    <w:rsid w:val="00027EFC"/>
    <w:rsid w:val="000300A2"/>
    <w:rsid w:val="000304BD"/>
    <w:rsid w:val="00030996"/>
    <w:rsid w:val="00030C19"/>
    <w:rsid w:val="00030C68"/>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63E"/>
    <w:rsid w:val="00035A82"/>
    <w:rsid w:val="00035D4C"/>
    <w:rsid w:val="00035FBF"/>
    <w:rsid w:val="000360F1"/>
    <w:rsid w:val="00036249"/>
    <w:rsid w:val="00036449"/>
    <w:rsid w:val="00036818"/>
    <w:rsid w:val="00036F23"/>
    <w:rsid w:val="000371C1"/>
    <w:rsid w:val="0003724C"/>
    <w:rsid w:val="00037A0A"/>
    <w:rsid w:val="00037B23"/>
    <w:rsid w:val="00037DCE"/>
    <w:rsid w:val="00037E4B"/>
    <w:rsid w:val="000408F5"/>
    <w:rsid w:val="00040938"/>
    <w:rsid w:val="00041337"/>
    <w:rsid w:val="00041450"/>
    <w:rsid w:val="000415DA"/>
    <w:rsid w:val="00041E6A"/>
    <w:rsid w:val="00042220"/>
    <w:rsid w:val="00042393"/>
    <w:rsid w:val="0004252B"/>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14A"/>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A08"/>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CD8"/>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09A"/>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030"/>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9"/>
    <w:rsid w:val="0008343E"/>
    <w:rsid w:val="00083514"/>
    <w:rsid w:val="000835D8"/>
    <w:rsid w:val="00083761"/>
    <w:rsid w:val="0008397F"/>
    <w:rsid w:val="00083B97"/>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A7F"/>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79F"/>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5EF"/>
    <w:rsid w:val="000A77BB"/>
    <w:rsid w:val="000A78E5"/>
    <w:rsid w:val="000A79DB"/>
    <w:rsid w:val="000A7DA2"/>
    <w:rsid w:val="000B00CC"/>
    <w:rsid w:val="000B0631"/>
    <w:rsid w:val="000B0765"/>
    <w:rsid w:val="000B0ECB"/>
    <w:rsid w:val="000B0F42"/>
    <w:rsid w:val="000B0FEA"/>
    <w:rsid w:val="000B1052"/>
    <w:rsid w:val="000B1627"/>
    <w:rsid w:val="000B1709"/>
    <w:rsid w:val="000B1A59"/>
    <w:rsid w:val="000B1B9E"/>
    <w:rsid w:val="000B1D28"/>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CED"/>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890"/>
    <w:rsid w:val="000C5D70"/>
    <w:rsid w:val="000C5FDE"/>
    <w:rsid w:val="000C61FA"/>
    <w:rsid w:val="000C6279"/>
    <w:rsid w:val="000C69B3"/>
    <w:rsid w:val="000C6D64"/>
    <w:rsid w:val="000C6F6F"/>
    <w:rsid w:val="000C7281"/>
    <w:rsid w:val="000C743C"/>
    <w:rsid w:val="000C7D11"/>
    <w:rsid w:val="000D073F"/>
    <w:rsid w:val="000D0AE8"/>
    <w:rsid w:val="000D0D17"/>
    <w:rsid w:val="000D0D66"/>
    <w:rsid w:val="000D0D9A"/>
    <w:rsid w:val="000D0E39"/>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9A2"/>
    <w:rsid w:val="000D2CBD"/>
    <w:rsid w:val="000D359B"/>
    <w:rsid w:val="000D3759"/>
    <w:rsid w:val="000D37B0"/>
    <w:rsid w:val="000D3B5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9B9"/>
    <w:rsid w:val="000F2D05"/>
    <w:rsid w:val="000F2D48"/>
    <w:rsid w:val="000F2F92"/>
    <w:rsid w:val="000F2FD9"/>
    <w:rsid w:val="000F3258"/>
    <w:rsid w:val="000F3282"/>
    <w:rsid w:val="000F33B5"/>
    <w:rsid w:val="000F33FD"/>
    <w:rsid w:val="000F3520"/>
    <w:rsid w:val="000F3D2B"/>
    <w:rsid w:val="000F3E8F"/>
    <w:rsid w:val="000F3EFB"/>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5B3"/>
    <w:rsid w:val="00105F75"/>
    <w:rsid w:val="00106075"/>
    <w:rsid w:val="00106101"/>
    <w:rsid w:val="001064E1"/>
    <w:rsid w:val="00106500"/>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66"/>
    <w:rsid w:val="00112F9E"/>
    <w:rsid w:val="00113168"/>
    <w:rsid w:val="0011373A"/>
    <w:rsid w:val="00113A1F"/>
    <w:rsid w:val="00113B55"/>
    <w:rsid w:val="00113CA5"/>
    <w:rsid w:val="00114137"/>
    <w:rsid w:val="0011429C"/>
    <w:rsid w:val="001142A2"/>
    <w:rsid w:val="00114511"/>
    <w:rsid w:val="00114ABD"/>
    <w:rsid w:val="00115305"/>
    <w:rsid w:val="0011552F"/>
    <w:rsid w:val="001156BA"/>
    <w:rsid w:val="0011582E"/>
    <w:rsid w:val="00115911"/>
    <w:rsid w:val="00116039"/>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188"/>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560"/>
    <w:rsid w:val="001378A3"/>
    <w:rsid w:val="00137908"/>
    <w:rsid w:val="00137A34"/>
    <w:rsid w:val="00137B22"/>
    <w:rsid w:val="00137D7E"/>
    <w:rsid w:val="00137FE3"/>
    <w:rsid w:val="00140100"/>
    <w:rsid w:val="00140820"/>
    <w:rsid w:val="001408D8"/>
    <w:rsid w:val="00140984"/>
    <w:rsid w:val="00140C58"/>
    <w:rsid w:val="00140CA5"/>
    <w:rsid w:val="00140DD7"/>
    <w:rsid w:val="00140FED"/>
    <w:rsid w:val="0014137E"/>
    <w:rsid w:val="00141D7A"/>
    <w:rsid w:val="00141DE9"/>
    <w:rsid w:val="001420D1"/>
    <w:rsid w:val="001420FE"/>
    <w:rsid w:val="00142212"/>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C11"/>
    <w:rsid w:val="00164DAA"/>
    <w:rsid w:val="00164F82"/>
    <w:rsid w:val="0016510E"/>
    <w:rsid w:val="00165590"/>
    <w:rsid w:val="0016572F"/>
    <w:rsid w:val="001658D6"/>
    <w:rsid w:val="001665B9"/>
    <w:rsid w:val="001667C0"/>
    <w:rsid w:val="00166B40"/>
    <w:rsid w:val="00166C60"/>
    <w:rsid w:val="00167271"/>
    <w:rsid w:val="00167274"/>
    <w:rsid w:val="001672BC"/>
    <w:rsid w:val="00167ECD"/>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1EF1"/>
    <w:rsid w:val="0018200B"/>
    <w:rsid w:val="00182450"/>
    <w:rsid w:val="0018254A"/>
    <w:rsid w:val="001829A6"/>
    <w:rsid w:val="00182A21"/>
    <w:rsid w:val="00183A7D"/>
    <w:rsid w:val="00183DA4"/>
    <w:rsid w:val="00183EA0"/>
    <w:rsid w:val="00183F58"/>
    <w:rsid w:val="001841C2"/>
    <w:rsid w:val="00184202"/>
    <w:rsid w:val="00184259"/>
    <w:rsid w:val="001843DB"/>
    <w:rsid w:val="0018476F"/>
    <w:rsid w:val="001847D6"/>
    <w:rsid w:val="0018495A"/>
    <w:rsid w:val="00184DD0"/>
    <w:rsid w:val="00184E93"/>
    <w:rsid w:val="001855E1"/>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8C9"/>
    <w:rsid w:val="00192929"/>
    <w:rsid w:val="00192DC1"/>
    <w:rsid w:val="00194053"/>
    <w:rsid w:val="001943EB"/>
    <w:rsid w:val="00194949"/>
    <w:rsid w:val="00194BE9"/>
    <w:rsid w:val="00194C5E"/>
    <w:rsid w:val="00194CA4"/>
    <w:rsid w:val="00194E35"/>
    <w:rsid w:val="00194EDA"/>
    <w:rsid w:val="00194F03"/>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99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4A6"/>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512"/>
    <w:rsid w:val="001C6A2C"/>
    <w:rsid w:val="001C6B8C"/>
    <w:rsid w:val="001C6D43"/>
    <w:rsid w:val="001C6E55"/>
    <w:rsid w:val="001C71E3"/>
    <w:rsid w:val="001C729A"/>
    <w:rsid w:val="001C72D6"/>
    <w:rsid w:val="001C7349"/>
    <w:rsid w:val="001C7892"/>
    <w:rsid w:val="001C7AEE"/>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BFB"/>
    <w:rsid w:val="001D2D43"/>
    <w:rsid w:val="001D2E56"/>
    <w:rsid w:val="001D2F09"/>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9B9"/>
    <w:rsid w:val="001E1E28"/>
    <w:rsid w:val="001E1E6E"/>
    <w:rsid w:val="001E2620"/>
    <w:rsid w:val="001E27E7"/>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0B0"/>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D4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0C4"/>
    <w:rsid w:val="001F473A"/>
    <w:rsid w:val="001F4DA1"/>
    <w:rsid w:val="001F5138"/>
    <w:rsid w:val="001F5268"/>
    <w:rsid w:val="001F553C"/>
    <w:rsid w:val="001F5A5A"/>
    <w:rsid w:val="001F5E50"/>
    <w:rsid w:val="001F5EB4"/>
    <w:rsid w:val="001F5FBA"/>
    <w:rsid w:val="001F642E"/>
    <w:rsid w:val="001F6448"/>
    <w:rsid w:val="001F64D1"/>
    <w:rsid w:val="001F690D"/>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2AF"/>
    <w:rsid w:val="0021340B"/>
    <w:rsid w:val="00213901"/>
    <w:rsid w:val="00213987"/>
    <w:rsid w:val="002139A2"/>
    <w:rsid w:val="00213B3D"/>
    <w:rsid w:val="00213DE4"/>
    <w:rsid w:val="00213FBB"/>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940"/>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4EE"/>
    <w:rsid w:val="002249FE"/>
    <w:rsid w:val="00224AF9"/>
    <w:rsid w:val="00224EA9"/>
    <w:rsid w:val="00224F04"/>
    <w:rsid w:val="00225155"/>
    <w:rsid w:val="00225423"/>
    <w:rsid w:val="0022552E"/>
    <w:rsid w:val="002255BA"/>
    <w:rsid w:val="00225D42"/>
    <w:rsid w:val="00225EA1"/>
    <w:rsid w:val="00226AEF"/>
    <w:rsid w:val="00226BFB"/>
    <w:rsid w:val="00226D9D"/>
    <w:rsid w:val="00227776"/>
    <w:rsid w:val="00227936"/>
    <w:rsid w:val="00230096"/>
    <w:rsid w:val="002301D3"/>
    <w:rsid w:val="002304EE"/>
    <w:rsid w:val="002308C7"/>
    <w:rsid w:val="00230CAD"/>
    <w:rsid w:val="002317C9"/>
    <w:rsid w:val="002317EE"/>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0E4C"/>
    <w:rsid w:val="00241240"/>
    <w:rsid w:val="002415A6"/>
    <w:rsid w:val="00242061"/>
    <w:rsid w:val="002421B1"/>
    <w:rsid w:val="00242BCF"/>
    <w:rsid w:val="00242E6D"/>
    <w:rsid w:val="00243011"/>
    <w:rsid w:val="00243511"/>
    <w:rsid w:val="0024353D"/>
    <w:rsid w:val="002435FC"/>
    <w:rsid w:val="00243768"/>
    <w:rsid w:val="00243797"/>
    <w:rsid w:val="00243859"/>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6F94"/>
    <w:rsid w:val="0024701E"/>
    <w:rsid w:val="00247218"/>
    <w:rsid w:val="002472D3"/>
    <w:rsid w:val="002476B6"/>
    <w:rsid w:val="00247E76"/>
    <w:rsid w:val="00247E8F"/>
    <w:rsid w:val="00250146"/>
    <w:rsid w:val="00250777"/>
    <w:rsid w:val="00250AD6"/>
    <w:rsid w:val="00250C0E"/>
    <w:rsid w:val="00250F5B"/>
    <w:rsid w:val="002510D5"/>
    <w:rsid w:val="00251572"/>
    <w:rsid w:val="0025173D"/>
    <w:rsid w:val="0025202D"/>
    <w:rsid w:val="002523CF"/>
    <w:rsid w:val="002527A3"/>
    <w:rsid w:val="0025280C"/>
    <w:rsid w:val="002528AB"/>
    <w:rsid w:val="00252907"/>
    <w:rsid w:val="002529E0"/>
    <w:rsid w:val="00252BB0"/>
    <w:rsid w:val="00252BB3"/>
    <w:rsid w:val="00253242"/>
    <w:rsid w:val="002537C5"/>
    <w:rsid w:val="0025383B"/>
    <w:rsid w:val="00253A05"/>
    <w:rsid w:val="00253D3A"/>
    <w:rsid w:val="00253DA1"/>
    <w:rsid w:val="002540E8"/>
    <w:rsid w:val="00254467"/>
    <w:rsid w:val="00254590"/>
    <w:rsid w:val="002549FC"/>
    <w:rsid w:val="00254B75"/>
    <w:rsid w:val="00254B8C"/>
    <w:rsid w:val="00254E6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82D"/>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EF4"/>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1F9A"/>
    <w:rsid w:val="00282593"/>
    <w:rsid w:val="00282A37"/>
    <w:rsid w:val="00282D63"/>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1E3"/>
    <w:rsid w:val="0029423E"/>
    <w:rsid w:val="0029450E"/>
    <w:rsid w:val="00294B1A"/>
    <w:rsid w:val="00294C0F"/>
    <w:rsid w:val="00294F77"/>
    <w:rsid w:val="0029551E"/>
    <w:rsid w:val="0029574D"/>
    <w:rsid w:val="00295922"/>
    <w:rsid w:val="00295C85"/>
    <w:rsid w:val="0029604A"/>
    <w:rsid w:val="002962CB"/>
    <w:rsid w:val="002962D4"/>
    <w:rsid w:val="0029691D"/>
    <w:rsid w:val="00297206"/>
    <w:rsid w:val="00297465"/>
    <w:rsid w:val="002975D4"/>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1C1"/>
    <w:rsid w:val="002A538D"/>
    <w:rsid w:val="002A5A02"/>
    <w:rsid w:val="002A5A51"/>
    <w:rsid w:val="002A5A64"/>
    <w:rsid w:val="002A5CF5"/>
    <w:rsid w:val="002A5D74"/>
    <w:rsid w:val="002A5F01"/>
    <w:rsid w:val="002A5F5D"/>
    <w:rsid w:val="002A5FBE"/>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790"/>
    <w:rsid w:val="002B295F"/>
    <w:rsid w:val="002B2B16"/>
    <w:rsid w:val="002B3035"/>
    <w:rsid w:val="002B32CA"/>
    <w:rsid w:val="002B32DD"/>
    <w:rsid w:val="002B3968"/>
    <w:rsid w:val="002B4001"/>
    <w:rsid w:val="002B409B"/>
    <w:rsid w:val="002B40EA"/>
    <w:rsid w:val="002B4392"/>
    <w:rsid w:val="002B4528"/>
    <w:rsid w:val="002B49D7"/>
    <w:rsid w:val="002B4A50"/>
    <w:rsid w:val="002B4B05"/>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42D"/>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1D4F"/>
    <w:rsid w:val="002D25B7"/>
    <w:rsid w:val="002D264F"/>
    <w:rsid w:val="002D26EC"/>
    <w:rsid w:val="002D2884"/>
    <w:rsid w:val="002D2A87"/>
    <w:rsid w:val="002D2BF5"/>
    <w:rsid w:val="002D2D0E"/>
    <w:rsid w:val="002D2D9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29"/>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DDB"/>
    <w:rsid w:val="002F4DF3"/>
    <w:rsid w:val="002F4EC1"/>
    <w:rsid w:val="002F5497"/>
    <w:rsid w:val="002F556F"/>
    <w:rsid w:val="002F5678"/>
    <w:rsid w:val="002F581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1390"/>
    <w:rsid w:val="00302044"/>
    <w:rsid w:val="003020F4"/>
    <w:rsid w:val="003023A1"/>
    <w:rsid w:val="003025C7"/>
    <w:rsid w:val="0030360F"/>
    <w:rsid w:val="00303790"/>
    <w:rsid w:val="00303984"/>
    <w:rsid w:val="00303E57"/>
    <w:rsid w:val="00303FAF"/>
    <w:rsid w:val="00304072"/>
    <w:rsid w:val="00304161"/>
    <w:rsid w:val="00304201"/>
    <w:rsid w:val="003043A7"/>
    <w:rsid w:val="003043C9"/>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651"/>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7A6"/>
    <w:rsid w:val="0031089E"/>
    <w:rsid w:val="00310B1D"/>
    <w:rsid w:val="00310BD7"/>
    <w:rsid w:val="00310CE6"/>
    <w:rsid w:val="00310D69"/>
    <w:rsid w:val="00310E45"/>
    <w:rsid w:val="00310EA6"/>
    <w:rsid w:val="00311329"/>
    <w:rsid w:val="00311663"/>
    <w:rsid w:val="00311668"/>
    <w:rsid w:val="003116D4"/>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1F0F"/>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54"/>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0A0"/>
    <w:rsid w:val="00330144"/>
    <w:rsid w:val="003302D8"/>
    <w:rsid w:val="0033032C"/>
    <w:rsid w:val="003304A1"/>
    <w:rsid w:val="0033052A"/>
    <w:rsid w:val="00330999"/>
    <w:rsid w:val="0033103C"/>
    <w:rsid w:val="00331316"/>
    <w:rsid w:val="0033133C"/>
    <w:rsid w:val="0033161D"/>
    <w:rsid w:val="00331864"/>
    <w:rsid w:val="003319A1"/>
    <w:rsid w:val="00331FF5"/>
    <w:rsid w:val="0033244F"/>
    <w:rsid w:val="0033283F"/>
    <w:rsid w:val="00332BF1"/>
    <w:rsid w:val="00332C1D"/>
    <w:rsid w:val="00332EF9"/>
    <w:rsid w:val="00332F67"/>
    <w:rsid w:val="00333005"/>
    <w:rsid w:val="00333597"/>
    <w:rsid w:val="00333611"/>
    <w:rsid w:val="003340BD"/>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6EB7"/>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6F1"/>
    <w:rsid w:val="00343FC9"/>
    <w:rsid w:val="003444BC"/>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48C6"/>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A1"/>
    <w:rsid w:val="003576DA"/>
    <w:rsid w:val="003577EB"/>
    <w:rsid w:val="00357B6E"/>
    <w:rsid w:val="00357CBE"/>
    <w:rsid w:val="00357D66"/>
    <w:rsid w:val="00357E75"/>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18E"/>
    <w:rsid w:val="00363230"/>
    <w:rsid w:val="0036407C"/>
    <w:rsid w:val="003644B2"/>
    <w:rsid w:val="00364897"/>
    <w:rsid w:val="00364B80"/>
    <w:rsid w:val="00364D53"/>
    <w:rsid w:val="00364D74"/>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946"/>
    <w:rsid w:val="00372E83"/>
    <w:rsid w:val="003730E2"/>
    <w:rsid w:val="0037314C"/>
    <w:rsid w:val="003731C2"/>
    <w:rsid w:val="003733F4"/>
    <w:rsid w:val="00373747"/>
    <w:rsid w:val="00373860"/>
    <w:rsid w:val="00373DBC"/>
    <w:rsid w:val="00373DDB"/>
    <w:rsid w:val="00373F9C"/>
    <w:rsid w:val="00374076"/>
    <w:rsid w:val="00374220"/>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536"/>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08"/>
    <w:rsid w:val="003A2A37"/>
    <w:rsid w:val="003A2AE0"/>
    <w:rsid w:val="003A3262"/>
    <w:rsid w:val="003A39F5"/>
    <w:rsid w:val="003A3D8B"/>
    <w:rsid w:val="003A434B"/>
    <w:rsid w:val="003A4371"/>
    <w:rsid w:val="003A46A8"/>
    <w:rsid w:val="003A4869"/>
    <w:rsid w:val="003A4970"/>
    <w:rsid w:val="003A49E2"/>
    <w:rsid w:val="003A4CC6"/>
    <w:rsid w:val="003A4D01"/>
    <w:rsid w:val="003A4F18"/>
    <w:rsid w:val="003A5479"/>
    <w:rsid w:val="003A54DE"/>
    <w:rsid w:val="003A57F9"/>
    <w:rsid w:val="003A5C1B"/>
    <w:rsid w:val="003A5DC7"/>
    <w:rsid w:val="003A5F8F"/>
    <w:rsid w:val="003A60B9"/>
    <w:rsid w:val="003A6665"/>
    <w:rsid w:val="003A6B36"/>
    <w:rsid w:val="003A6CF4"/>
    <w:rsid w:val="003A6E79"/>
    <w:rsid w:val="003A7971"/>
    <w:rsid w:val="003A7C7F"/>
    <w:rsid w:val="003A7D17"/>
    <w:rsid w:val="003A7F48"/>
    <w:rsid w:val="003A7FDB"/>
    <w:rsid w:val="003B0162"/>
    <w:rsid w:val="003B023B"/>
    <w:rsid w:val="003B0304"/>
    <w:rsid w:val="003B043F"/>
    <w:rsid w:val="003B09C9"/>
    <w:rsid w:val="003B0ACC"/>
    <w:rsid w:val="003B0C0A"/>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C03"/>
    <w:rsid w:val="003B4F8A"/>
    <w:rsid w:val="003B551C"/>
    <w:rsid w:val="003B56D7"/>
    <w:rsid w:val="003B5847"/>
    <w:rsid w:val="003B5882"/>
    <w:rsid w:val="003B5A7E"/>
    <w:rsid w:val="003B5D24"/>
    <w:rsid w:val="003B5EAE"/>
    <w:rsid w:val="003B62EA"/>
    <w:rsid w:val="003B6508"/>
    <w:rsid w:val="003B6B11"/>
    <w:rsid w:val="003B6CDF"/>
    <w:rsid w:val="003B78D5"/>
    <w:rsid w:val="003B79D6"/>
    <w:rsid w:val="003B7CC1"/>
    <w:rsid w:val="003B7F1E"/>
    <w:rsid w:val="003C00C3"/>
    <w:rsid w:val="003C0117"/>
    <w:rsid w:val="003C0338"/>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1E80"/>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1EDE"/>
    <w:rsid w:val="003D201E"/>
    <w:rsid w:val="003D2665"/>
    <w:rsid w:val="003D314A"/>
    <w:rsid w:val="003D331D"/>
    <w:rsid w:val="003D3574"/>
    <w:rsid w:val="003D3857"/>
    <w:rsid w:val="003D3A0C"/>
    <w:rsid w:val="003D3A71"/>
    <w:rsid w:val="003D3D78"/>
    <w:rsid w:val="003D4149"/>
    <w:rsid w:val="003D419F"/>
    <w:rsid w:val="003D44C8"/>
    <w:rsid w:val="003D47FD"/>
    <w:rsid w:val="003D4AA0"/>
    <w:rsid w:val="003D4B8C"/>
    <w:rsid w:val="003D5468"/>
    <w:rsid w:val="003D5526"/>
    <w:rsid w:val="003D5B17"/>
    <w:rsid w:val="003D5B32"/>
    <w:rsid w:val="003D660C"/>
    <w:rsid w:val="003D6961"/>
    <w:rsid w:val="003D709E"/>
    <w:rsid w:val="003D73BD"/>
    <w:rsid w:val="003D79C7"/>
    <w:rsid w:val="003D7AF7"/>
    <w:rsid w:val="003D7B70"/>
    <w:rsid w:val="003D7CCE"/>
    <w:rsid w:val="003D7F6D"/>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ED6"/>
    <w:rsid w:val="003E5242"/>
    <w:rsid w:val="003E5587"/>
    <w:rsid w:val="003E57A2"/>
    <w:rsid w:val="003E5824"/>
    <w:rsid w:val="003E588C"/>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3437"/>
    <w:rsid w:val="0040363C"/>
    <w:rsid w:val="004036AF"/>
    <w:rsid w:val="0040371E"/>
    <w:rsid w:val="00403A08"/>
    <w:rsid w:val="00403A0F"/>
    <w:rsid w:val="00403BE7"/>
    <w:rsid w:val="00403F51"/>
    <w:rsid w:val="00403F52"/>
    <w:rsid w:val="00404054"/>
    <w:rsid w:val="00404073"/>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6FA"/>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17F88"/>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5E"/>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6F7A"/>
    <w:rsid w:val="0042706F"/>
    <w:rsid w:val="00427202"/>
    <w:rsid w:val="004274A1"/>
    <w:rsid w:val="004275C7"/>
    <w:rsid w:val="004276B7"/>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6A05"/>
    <w:rsid w:val="00437337"/>
    <w:rsid w:val="0043734E"/>
    <w:rsid w:val="0043735F"/>
    <w:rsid w:val="004373B8"/>
    <w:rsid w:val="00437550"/>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21"/>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B8C"/>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8B3"/>
    <w:rsid w:val="00454D9A"/>
    <w:rsid w:val="0045576D"/>
    <w:rsid w:val="00456230"/>
    <w:rsid w:val="0045665B"/>
    <w:rsid w:val="00456819"/>
    <w:rsid w:val="00456A56"/>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DC6"/>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4F50"/>
    <w:rsid w:val="004650F5"/>
    <w:rsid w:val="00465422"/>
    <w:rsid w:val="00465562"/>
    <w:rsid w:val="00465C8E"/>
    <w:rsid w:val="00465CB6"/>
    <w:rsid w:val="00465DFD"/>
    <w:rsid w:val="0046630F"/>
    <w:rsid w:val="004663C3"/>
    <w:rsid w:val="004666C7"/>
    <w:rsid w:val="0046686F"/>
    <w:rsid w:val="00466E73"/>
    <w:rsid w:val="00466F69"/>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5E7"/>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9A7"/>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17AC"/>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53F"/>
    <w:rsid w:val="00485673"/>
    <w:rsid w:val="00485B71"/>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80"/>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CE2"/>
    <w:rsid w:val="00497F5E"/>
    <w:rsid w:val="004A00B0"/>
    <w:rsid w:val="004A10F9"/>
    <w:rsid w:val="004A16BB"/>
    <w:rsid w:val="004A171B"/>
    <w:rsid w:val="004A1A36"/>
    <w:rsid w:val="004A1C9C"/>
    <w:rsid w:val="004A1D91"/>
    <w:rsid w:val="004A207E"/>
    <w:rsid w:val="004A2148"/>
    <w:rsid w:val="004A2151"/>
    <w:rsid w:val="004A2358"/>
    <w:rsid w:val="004A2385"/>
    <w:rsid w:val="004A27CE"/>
    <w:rsid w:val="004A2818"/>
    <w:rsid w:val="004A28A0"/>
    <w:rsid w:val="004A2C49"/>
    <w:rsid w:val="004A2D91"/>
    <w:rsid w:val="004A2E08"/>
    <w:rsid w:val="004A3A81"/>
    <w:rsid w:val="004A3A8F"/>
    <w:rsid w:val="004A3B95"/>
    <w:rsid w:val="004A3C91"/>
    <w:rsid w:val="004A3DEE"/>
    <w:rsid w:val="004A4457"/>
    <w:rsid w:val="004A44E6"/>
    <w:rsid w:val="004A4692"/>
    <w:rsid w:val="004A475A"/>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DB4"/>
    <w:rsid w:val="004B3FAE"/>
    <w:rsid w:val="004B40A8"/>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6F99"/>
    <w:rsid w:val="004B7414"/>
    <w:rsid w:val="004B74AD"/>
    <w:rsid w:val="004B781D"/>
    <w:rsid w:val="004B7997"/>
    <w:rsid w:val="004B7AB6"/>
    <w:rsid w:val="004B7E45"/>
    <w:rsid w:val="004B7FE2"/>
    <w:rsid w:val="004C01A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340"/>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69B"/>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2CA"/>
    <w:rsid w:val="004E357A"/>
    <w:rsid w:val="004E35EE"/>
    <w:rsid w:val="004E3800"/>
    <w:rsid w:val="004E3861"/>
    <w:rsid w:val="004E390B"/>
    <w:rsid w:val="004E434A"/>
    <w:rsid w:val="004E4A0B"/>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90"/>
    <w:rsid w:val="004F60A6"/>
    <w:rsid w:val="004F68C9"/>
    <w:rsid w:val="004F6E0C"/>
    <w:rsid w:val="004F70F0"/>
    <w:rsid w:val="004F712C"/>
    <w:rsid w:val="004F7174"/>
    <w:rsid w:val="004F7AF1"/>
    <w:rsid w:val="004F7C43"/>
    <w:rsid w:val="004F7D96"/>
    <w:rsid w:val="004F7E98"/>
    <w:rsid w:val="00500320"/>
    <w:rsid w:val="005005C8"/>
    <w:rsid w:val="0050060F"/>
    <w:rsid w:val="00500DD0"/>
    <w:rsid w:val="00500EDC"/>
    <w:rsid w:val="00500F4E"/>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BB7"/>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750"/>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A60"/>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066"/>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2B7C"/>
    <w:rsid w:val="00523273"/>
    <w:rsid w:val="005234D4"/>
    <w:rsid w:val="0052382F"/>
    <w:rsid w:val="005239DD"/>
    <w:rsid w:val="00523BB0"/>
    <w:rsid w:val="00523BD9"/>
    <w:rsid w:val="00523CA1"/>
    <w:rsid w:val="00523D06"/>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736B"/>
    <w:rsid w:val="0052778E"/>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174"/>
    <w:rsid w:val="005373DF"/>
    <w:rsid w:val="00537433"/>
    <w:rsid w:val="005376F2"/>
    <w:rsid w:val="00537A19"/>
    <w:rsid w:val="00537A4C"/>
    <w:rsid w:val="00540308"/>
    <w:rsid w:val="00540322"/>
    <w:rsid w:val="00540BDC"/>
    <w:rsid w:val="00540D81"/>
    <w:rsid w:val="00541519"/>
    <w:rsid w:val="00541BF0"/>
    <w:rsid w:val="00541C34"/>
    <w:rsid w:val="00542330"/>
    <w:rsid w:val="00542821"/>
    <w:rsid w:val="00542B06"/>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4E"/>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47BDB"/>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5D77"/>
    <w:rsid w:val="00555EE0"/>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3FC8"/>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67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1459"/>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EC0"/>
    <w:rsid w:val="00595F5A"/>
    <w:rsid w:val="005963CE"/>
    <w:rsid w:val="00596842"/>
    <w:rsid w:val="00596853"/>
    <w:rsid w:val="00596AC6"/>
    <w:rsid w:val="00596C07"/>
    <w:rsid w:val="00596CA8"/>
    <w:rsid w:val="00596DB6"/>
    <w:rsid w:val="00597074"/>
    <w:rsid w:val="005976DB"/>
    <w:rsid w:val="00597AA7"/>
    <w:rsid w:val="00597B2F"/>
    <w:rsid w:val="00597CA1"/>
    <w:rsid w:val="005A0273"/>
    <w:rsid w:val="005A0956"/>
    <w:rsid w:val="005A0A13"/>
    <w:rsid w:val="005A115D"/>
    <w:rsid w:val="005A16DC"/>
    <w:rsid w:val="005A17D7"/>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A7ED9"/>
    <w:rsid w:val="005B0096"/>
    <w:rsid w:val="005B02C2"/>
    <w:rsid w:val="005B0341"/>
    <w:rsid w:val="005B0399"/>
    <w:rsid w:val="005B0855"/>
    <w:rsid w:val="005B09C2"/>
    <w:rsid w:val="005B0A4B"/>
    <w:rsid w:val="005B0CA7"/>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5EC6"/>
    <w:rsid w:val="005C6276"/>
    <w:rsid w:val="005C62AD"/>
    <w:rsid w:val="005C63B5"/>
    <w:rsid w:val="005C674B"/>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4E8"/>
    <w:rsid w:val="006046CA"/>
    <w:rsid w:val="006047D4"/>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78B"/>
    <w:rsid w:val="00616910"/>
    <w:rsid w:val="00616945"/>
    <w:rsid w:val="006169EE"/>
    <w:rsid w:val="00616FF4"/>
    <w:rsid w:val="00617050"/>
    <w:rsid w:val="006171E8"/>
    <w:rsid w:val="006171E9"/>
    <w:rsid w:val="00617982"/>
    <w:rsid w:val="00617BE1"/>
    <w:rsid w:val="00617C13"/>
    <w:rsid w:val="00617F7C"/>
    <w:rsid w:val="00620E86"/>
    <w:rsid w:val="006210E1"/>
    <w:rsid w:val="00621286"/>
    <w:rsid w:val="0062155F"/>
    <w:rsid w:val="006217BD"/>
    <w:rsid w:val="006219DD"/>
    <w:rsid w:val="00621AD4"/>
    <w:rsid w:val="00621D63"/>
    <w:rsid w:val="00621E48"/>
    <w:rsid w:val="00622172"/>
    <w:rsid w:val="00622A16"/>
    <w:rsid w:val="00622DBA"/>
    <w:rsid w:val="00622EA7"/>
    <w:rsid w:val="00623472"/>
    <w:rsid w:val="0062372F"/>
    <w:rsid w:val="00623940"/>
    <w:rsid w:val="00623DAF"/>
    <w:rsid w:val="006242BF"/>
    <w:rsid w:val="00624678"/>
    <w:rsid w:val="006246FE"/>
    <w:rsid w:val="00624717"/>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2AFD"/>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5E"/>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26D"/>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55F"/>
    <w:rsid w:val="006507FC"/>
    <w:rsid w:val="006507FD"/>
    <w:rsid w:val="0065082F"/>
    <w:rsid w:val="006509F9"/>
    <w:rsid w:val="00650BC1"/>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09F"/>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DA2"/>
    <w:rsid w:val="0066601A"/>
    <w:rsid w:val="006660F5"/>
    <w:rsid w:val="00666238"/>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DCB"/>
    <w:rsid w:val="00670FEA"/>
    <w:rsid w:val="00671162"/>
    <w:rsid w:val="00671267"/>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8A7"/>
    <w:rsid w:val="0069297F"/>
    <w:rsid w:val="00692D30"/>
    <w:rsid w:val="00692E71"/>
    <w:rsid w:val="00692F53"/>
    <w:rsid w:val="00692F6A"/>
    <w:rsid w:val="006933C5"/>
    <w:rsid w:val="006934C4"/>
    <w:rsid w:val="00693F12"/>
    <w:rsid w:val="00694124"/>
    <w:rsid w:val="006941DC"/>
    <w:rsid w:val="00694416"/>
    <w:rsid w:val="00694C5F"/>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4"/>
    <w:rsid w:val="006A294D"/>
    <w:rsid w:val="006A302B"/>
    <w:rsid w:val="006A30E6"/>
    <w:rsid w:val="006A3CBB"/>
    <w:rsid w:val="006A3D41"/>
    <w:rsid w:val="006A4022"/>
    <w:rsid w:val="006A4C19"/>
    <w:rsid w:val="006A511D"/>
    <w:rsid w:val="006A53F3"/>
    <w:rsid w:val="006A54B5"/>
    <w:rsid w:val="006A55B9"/>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4E7C"/>
    <w:rsid w:val="006B5474"/>
    <w:rsid w:val="006B55A0"/>
    <w:rsid w:val="006B62A0"/>
    <w:rsid w:val="006B62B4"/>
    <w:rsid w:val="006B650F"/>
    <w:rsid w:val="006B6584"/>
    <w:rsid w:val="006B659C"/>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1B2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81C"/>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2F36"/>
    <w:rsid w:val="006E346A"/>
    <w:rsid w:val="006E3749"/>
    <w:rsid w:val="006E3C8A"/>
    <w:rsid w:val="006E3E0D"/>
    <w:rsid w:val="006E3EA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03C"/>
    <w:rsid w:val="006E71B3"/>
    <w:rsid w:val="006E73DA"/>
    <w:rsid w:val="006E7745"/>
    <w:rsid w:val="006E77B3"/>
    <w:rsid w:val="006E783D"/>
    <w:rsid w:val="006E799D"/>
    <w:rsid w:val="006E79FB"/>
    <w:rsid w:val="006E7BA7"/>
    <w:rsid w:val="006E7E32"/>
    <w:rsid w:val="006E7FA2"/>
    <w:rsid w:val="006F0036"/>
    <w:rsid w:val="006F024E"/>
    <w:rsid w:val="006F0453"/>
    <w:rsid w:val="006F0D97"/>
    <w:rsid w:val="006F10D4"/>
    <w:rsid w:val="006F1233"/>
    <w:rsid w:val="006F1244"/>
    <w:rsid w:val="006F1593"/>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B2"/>
    <w:rsid w:val="006F515A"/>
    <w:rsid w:val="006F5BCB"/>
    <w:rsid w:val="006F5BF3"/>
    <w:rsid w:val="006F5C1C"/>
    <w:rsid w:val="006F5C90"/>
    <w:rsid w:val="006F5DB5"/>
    <w:rsid w:val="006F5E2D"/>
    <w:rsid w:val="006F62C5"/>
    <w:rsid w:val="006F6483"/>
    <w:rsid w:val="006F6C04"/>
    <w:rsid w:val="006F6EEB"/>
    <w:rsid w:val="006F7316"/>
    <w:rsid w:val="006F7332"/>
    <w:rsid w:val="006F76A0"/>
    <w:rsid w:val="006F7AF3"/>
    <w:rsid w:val="006F7BB6"/>
    <w:rsid w:val="006F7C90"/>
    <w:rsid w:val="006F7D7B"/>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3F97"/>
    <w:rsid w:val="0070407E"/>
    <w:rsid w:val="0070449C"/>
    <w:rsid w:val="00704530"/>
    <w:rsid w:val="007046DD"/>
    <w:rsid w:val="0070494F"/>
    <w:rsid w:val="00704969"/>
    <w:rsid w:val="00704BB0"/>
    <w:rsid w:val="00704E6D"/>
    <w:rsid w:val="00704EDF"/>
    <w:rsid w:val="00705423"/>
    <w:rsid w:val="00705758"/>
    <w:rsid w:val="00705840"/>
    <w:rsid w:val="00705E4A"/>
    <w:rsid w:val="00705F42"/>
    <w:rsid w:val="00706774"/>
    <w:rsid w:val="0070688B"/>
    <w:rsid w:val="00706997"/>
    <w:rsid w:val="00706E43"/>
    <w:rsid w:val="00706F0F"/>
    <w:rsid w:val="0070707A"/>
    <w:rsid w:val="0070710A"/>
    <w:rsid w:val="0070717A"/>
    <w:rsid w:val="00707244"/>
    <w:rsid w:val="00707265"/>
    <w:rsid w:val="00707B7F"/>
    <w:rsid w:val="00707D82"/>
    <w:rsid w:val="00710AE5"/>
    <w:rsid w:val="00710EA7"/>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9A"/>
    <w:rsid w:val="007210AE"/>
    <w:rsid w:val="007210B3"/>
    <w:rsid w:val="007213A5"/>
    <w:rsid w:val="007213BD"/>
    <w:rsid w:val="00721682"/>
    <w:rsid w:val="0072168A"/>
    <w:rsid w:val="00721B60"/>
    <w:rsid w:val="00721E12"/>
    <w:rsid w:val="00722271"/>
    <w:rsid w:val="007223C5"/>
    <w:rsid w:val="007224C2"/>
    <w:rsid w:val="007227AC"/>
    <w:rsid w:val="00722B30"/>
    <w:rsid w:val="00722C19"/>
    <w:rsid w:val="00722D1E"/>
    <w:rsid w:val="00722DD1"/>
    <w:rsid w:val="00722F1C"/>
    <w:rsid w:val="0072327F"/>
    <w:rsid w:val="007233E9"/>
    <w:rsid w:val="007235B1"/>
    <w:rsid w:val="00723840"/>
    <w:rsid w:val="007238C4"/>
    <w:rsid w:val="007238EE"/>
    <w:rsid w:val="00723B3D"/>
    <w:rsid w:val="00724A39"/>
    <w:rsid w:val="0072537E"/>
    <w:rsid w:val="00725EC1"/>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27EEC"/>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2C"/>
    <w:rsid w:val="00734CE1"/>
    <w:rsid w:val="00734E65"/>
    <w:rsid w:val="00734E9B"/>
    <w:rsid w:val="00735107"/>
    <w:rsid w:val="00735687"/>
    <w:rsid w:val="007356BF"/>
    <w:rsid w:val="00735972"/>
    <w:rsid w:val="00735B0B"/>
    <w:rsid w:val="00736247"/>
    <w:rsid w:val="00736376"/>
    <w:rsid w:val="007366B4"/>
    <w:rsid w:val="00736F40"/>
    <w:rsid w:val="00736FD3"/>
    <w:rsid w:val="00737424"/>
    <w:rsid w:val="007378AD"/>
    <w:rsid w:val="007378C0"/>
    <w:rsid w:val="00737C23"/>
    <w:rsid w:val="00737FEC"/>
    <w:rsid w:val="007400E2"/>
    <w:rsid w:val="00740292"/>
    <w:rsid w:val="007403DD"/>
    <w:rsid w:val="00740D16"/>
    <w:rsid w:val="00740DA2"/>
    <w:rsid w:val="00740FB1"/>
    <w:rsid w:val="0074127A"/>
    <w:rsid w:val="007415CD"/>
    <w:rsid w:val="00741705"/>
    <w:rsid w:val="00742422"/>
    <w:rsid w:val="007424E5"/>
    <w:rsid w:val="0074262A"/>
    <w:rsid w:val="0074269A"/>
    <w:rsid w:val="0074293F"/>
    <w:rsid w:val="007429FC"/>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E7E"/>
    <w:rsid w:val="00751650"/>
    <w:rsid w:val="00751961"/>
    <w:rsid w:val="00751AAF"/>
    <w:rsid w:val="00752285"/>
    <w:rsid w:val="00752721"/>
    <w:rsid w:val="007527CF"/>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01"/>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BAD"/>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992"/>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885"/>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B7A"/>
    <w:rsid w:val="007B6DFA"/>
    <w:rsid w:val="007B6E2E"/>
    <w:rsid w:val="007B7287"/>
    <w:rsid w:val="007B741D"/>
    <w:rsid w:val="007B74C3"/>
    <w:rsid w:val="007B753A"/>
    <w:rsid w:val="007B7637"/>
    <w:rsid w:val="007B7677"/>
    <w:rsid w:val="007B7821"/>
    <w:rsid w:val="007B782B"/>
    <w:rsid w:val="007B7980"/>
    <w:rsid w:val="007B7A70"/>
    <w:rsid w:val="007C0033"/>
    <w:rsid w:val="007C06A5"/>
    <w:rsid w:val="007C08AB"/>
    <w:rsid w:val="007C161D"/>
    <w:rsid w:val="007C17CF"/>
    <w:rsid w:val="007C2042"/>
    <w:rsid w:val="007C2208"/>
    <w:rsid w:val="007C24B9"/>
    <w:rsid w:val="007C2CBC"/>
    <w:rsid w:val="007C2EA3"/>
    <w:rsid w:val="007C33E6"/>
    <w:rsid w:val="007C3515"/>
    <w:rsid w:val="007C38F7"/>
    <w:rsid w:val="007C3908"/>
    <w:rsid w:val="007C3AA6"/>
    <w:rsid w:val="007C3E74"/>
    <w:rsid w:val="007C40E5"/>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B90"/>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3A8"/>
    <w:rsid w:val="007D743A"/>
    <w:rsid w:val="007D7606"/>
    <w:rsid w:val="007D77EB"/>
    <w:rsid w:val="007E018B"/>
    <w:rsid w:val="007E0637"/>
    <w:rsid w:val="007E0721"/>
    <w:rsid w:val="007E08FE"/>
    <w:rsid w:val="007E0B69"/>
    <w:rsid w:val="007E0C58"/>
    <w:rsid w:val="007E0C77"/>
    <w:rsid w:val="007E0CC7"/>
    <w:rsid w:val="007E0CF4"/>
    <w:rsid w:val="007E0D6F"/>
    <w:rsid w:val="007E0E05"/>
    <w:rsid w:val="007E0E11"/>
    <w:rsid w:val="007E133A"/>
    <w:rsid w:val="007E165D"/>
    <w:rsid w:val="007E1DAC"/>
    <w:rsid w:val="007E1DD3"/>
    <w:rsid w:val="007E209F"/>
    <w:rsid w:val="007E23C8"/>
    <w:rsid w:val="007E23FE"/>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575"/>
    <w:rsid w:val="007F367E"/>
    <w:rsid w:val="007F3ACC"/>
    <w:rsid w:val="007F3B8F"/>
    <w:rsid w:val="007F3D93"/>
    <w:rsid w:val="007F413A"/>
    <w:rsid w:val="007F421D"/>
    <w:rsid w:val="007F45B9"/>
    <w:rsid w:val="007F497E"/>
    <w:rsid w:val="007F4E05"/>
    <w:rsid w:val="007F521A"/>
    <w:rsid w:val="007F5240"/>
    <w:rsid w:val="007F532E"/>
    <w:rsid w:val="007F5495"/>
    <w:rsid w:val="007F54D2"/>
    <w:rsid w:val="007F5688"/>
    <w:rsid w:val="007F588F"/>
    <w:rsid w:val="007F5E63"/>
    <w:rsid w:val="007F603C"/>
    <w:rsid w:val="007F6049"/>
    <w:rsid w:val="007F617F"/>
    <w:rsid w:val="007F633E"/>
    <w:rsid w:val="007F66A5"/>
    <w:rsid w:val="007F6947"/>
    <w:rsid w:val="007F7247"/>
    <w:rsid w:val="007F72E0"/>
    <w:rsid w:val="007F74A9"/>
    <w:rsid w:val="007F767F"/>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3FD7"/>
    <w:rsid w:val="008043A4"/>
    <w:rsid w:val="00804983"/>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6C3"/>
    <w:rsid w:val="00810A71"/>
    <w:rsid w:val="00810B66"/>
    <w:rsid w:val="00810B76"/>
    <w:rsid w:val="00810CC2"/>
    <w:rsid w:val="00811465"/>
    <w:rsid w:val="008119E6"/>
    <w:rsid w:val="00811B4D"/>
    <w:rsid w:val="00811DA1"/>
    <w:rsid w:val="008124CB"/>
    <w:rsid w:val="00812C2A"/>
    <w:rsid w:val="00812FCB"/>
    <w:rsid w:val="00813052"/>
    <w:rsid w:val="008130EC"/>
    <w:rsid w:val="0081324B"/>
    <w:rsid w:val="008134C6"/>
    <w:rsid w:val="00813B80"/>
    <w:rsid w:val="00813DF0"/>
    <w:rsid w:val="00814167"/>
    <w:rsid w:val="0081423E"/>
    <w:rsid w:val="008142C1"/>
    <w:rsid w:val="00814307"/>
    <w:rsid w:val="0081440E"/>
    <w:rsid w:val="00814B69"/>
    <w:rsid w:val="00814D09"/>
    <w:rsid w:val="00814F4D"/>
    <w:rsid w:val="008152B9"/>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0E62"/>
    <w:rsid w:val="0082117C"/>
    <w:rsid w:val="0082124A"/>
    <w:rsid w:val="00821702"/>
    <w:rsid w:val="008218ED"/>
    <w:rsid w:val="00822563"/>
    <w:rsid w:val="008231C5"/>
    <w:rsid w:val="00823230"/>
    <w:rsid w:val="00823472"/>
    <w:rsid w:val="008234BD"/>
    <w:rsid w:val="00823663"/>
    <w:rsid w:val="0082372E"/>
    <w:rsid w:val="00823997"/>
    <w:rsid w:val="00823A7E"/>
    <w:rsid w:val="00823D0F"/>
    <w:rsid w:val="0082437A"/>
    <w:rsid w:val="00824A8C"/>
    <w:rsid w:val="008250A5"/>
    <w:rsid w:val="00825155"/>
    <w:rsid w:val="0082545C"/>
    <w:rsid w:val="00825523"/>
    <w:rsid w:val="008258FE"/>
    <w:rsid w:val="00825A7C"/>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AE4"/>
    <w:rsid w:val="00831B7E"/>
    <w:rsid w:val="0083235E"/>
    <w:rsid w:val="00832496"/>
    <w:rsid w:val="00832E0D"/>
    <w:rsid w:val="00832FED"/>
    <w:rsid w:val="0083324B"/>
    <w:rsid w:val="008333A6"/>
    <w:rsid w:val="00833867"/>
    <w:rsid w:val="00833A8F"/>
    <w:rsid w:val="00833C13"/>
    <w:rsid w:val="00833D53"/>
    <w:rsid w:val="00834123"/>
    <w:rsid w:val="008341F8"/>
    <w:rsid w:val="00834892"/>
    <w:rsid w:val="00834CB0"/>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A7"/>
    <w:rsid w:val="008425EB"/>
    <w:rsid w:val="00842719"/>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6CA"/>
    <w:rsid w:val="00845856"/>
    <w:rsid w:val="008458D3"/>
    <w:rsid w:val="00845944"/>
    <w:rsid w:val="008459A7"/>
    <w:rsid w:val="00845DFB"/>
    <w:rsid w:val="00845E6A"/>
    <w:rsid w:val="00846833"/>
    <w:rsid w:val="00846BB1"/>
    <w:rsid w:val="00846CE5"/>
    <w:rsid w:val="00846D10"/>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6A6"/>
    <w:rsid w:val="008608AB"/>
    <w:rsid w:val="00860B38"/>
    <w:rsid w:val="0086124E"/>
    <w:rsid w:val="00861A5F"/>
    <w:rsid w:val="00861AF9"/>
    <w:rsid w:val="00861B74"/>
    <w:rsid w:val="00861D98"/>
    <w:rsid w:val="00861DF4"/>
    <w:rsid w:val="00861E30"/>
    <w:rsid w:val="008623A9"/>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DAA"/>
    <w:rsid w:val="00871EC0"/>
    <w:rsid w:val="008720A6"/>
    <w:rsid w:val="008726DA"/>
    <w:rsid w:val="008727F6"/>
    <w:rsid w:val="00872942"/>
    <w:rsid w:val="00872D51"/>
    <w:rsid w:val="00872EAF"/>
    <w:rsid w:val="0087338E"/>
    <w:rsid w:val="0087354F"/>
    <w:rsid w:val="0087356A"/>
    <w:rsid w:val="0087361A"/>
    <w:rsid w:val="00873B76"/>
    <w:rsid w:val="0087442E"/>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535"/>
    <w:rsid w:val="00876E5B"/>
    <w:rsid w:val="00876F26"/>
    <w:rsid w:val="008770A8"/>
    <w:rsid w:val="008771B6"/>
    <w:rsid w:val="0087739E"/>
    <w:rsid w:val="008774D0"/>
    <w:rsid w:val="00877865"/>
    <w:rsid w:val="008778A8"/>
    <w:rsid w:val="00877D1E"/>
    <w:rsid w:val="00877D54"/>
    <w:rsid w:val="00877E86"/>
    <w:rsid w:val="00877FDD"/>
    <w:rsid w:val="00880032"/>
    <w:rsid w:val="008800B7"/>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4D7E"/>
    <w:rsid w:val="00885067"/>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412"/>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44"/>
    <w:rsid w:val="008928A8"/>
    <w:rsid w:val="008928EB"/>
    <w:rsid w:val="00892ABE"/>
    <w:rsid w:val="00892BB8"/>
    <w:rsid w:val="00892BFA"/>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E41"/>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65D"/>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911"/>
    <w:rsid w:val="008B5DA7"/>
    <w:rsid w:val="008B607E"/>
    <w:rsid w:val="008B6640"/>
    <w:rsid w:val="008B6A37"/>
    <w:rsid w:val="008B6A56"/>
    <w:rsid w:val="008B6F08"/>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05"/>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5B11"/>
    <w:rsid w:val="00906150"/>
    <w:rsid w:val="00906B15"/>
    <w:rsid w:val="00907430"/>
    <w:rsid w:val="00907498"/>
    <w:rsid w:val="00907968"/>
    <w:rsid w:val="00907A72"/>
    <w:rsid w:val="00907F0D"/>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0FEC"/>
    <w:rsid w:val="009211CF"/>
    <w:rsid w:val="009211F2"/>
    <w:rsid w:val="00921705"/>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DD8"/>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4C2"/>
    <w:rsid w:val="009346EA"/>
    <w:rsid w:val="009347FC"/>
    <w:rsid w:val="00934AD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DD8"/>
    <w:rsid w:val="0094104B"/>
    <w:rsid w:val="0094141F"/>
    <w:rsid w:val="00941655"/>
    <w:rsid w:val="00941C5B"/>
    <w:rsid w:val="00941FF5"/>
    <w:rsid w:val="00942022"/>
    <w:rsid w:val="0094237D"/>
    <w:rsid w:val="009425D0"/>
    <w:rsid w:val="00942814"/>
    <w:rsid w:val="009429B8"/>
    <w:rsid w:val="00942FB7"/>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EE9"/>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50D"/>
    <w:rsid w:val="00956BA7"/>
    <w:rsid w:val="00956EB1"/>
    <w:rsid w:val="00956F04"/>
    <w:rsid w:val="00956FD8"/>
    <w:rsid w:val="009575F7"/>
    <w:rsid w:val="009577D1"/>
    <w:rsid w:val="00957A98"/>
    <w:rsid w:val="00957B9A"/>
    <w:rsid w:val="00957E11"/>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7014D"/>
    <w:rsid w:val="009702E6"/>
    <w:rsid w:val="009703A7"/>
    <w:rsid w:val="009705AB"/>
    <w:rsid w:val="00970664"/>
    <w:rsid w:val="009707B6"/>
    <w:rsid w:val="00970974"/>
    <w:rsid w:val="009709EC"/>
    <w:rsid w:val="00970E8A"/>
    <w:rsid w:val="00971139"/>
    <w:rsid w:val="0097128D"/>
    <w:rsid w:val="009712B4"/>
    <w:rsid w:val="009715E5"/>
    <w:rsid w:val="00971F21"/>
    <w:rsid w:val="00971F5D"/>
    <w:rsid w:val="00972288"/>
    <w:rsid w:val="00972B10"/>
    <w:rsid w:val="00972DED"/>
    <w:rsid w:val="00973554"/>
    <w:rsid w:val="0097358B"/>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F32"/>
    <w:rsid w:val="0097752F"/>
    <w:rsid w:val="00977648"/>
    <w:rsid w:val="009778B7"/>
    <w:rsid w:val="00977D85"/>
    <w:rsid w:val="0098057D"/>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29B"/>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7D5"/>
    <w:rsid w:val="00992830"/>
    <w:rsid w:val="009928B3"/>
    <w:rsid w:val="00992968"/>
    <w:rsid w:val="00992A4A"/>
    <w:rsid w:val="00992B6B"/>
    <w:rsid w:val="00992C00"/>
    <w:rsid w:val="00992C88"/>
    <w:rsid w:val="00992F2E"/>
    <w:rsid w:val="00993431"/>
    <w:rsid w:val="00993495"/>
    <w:rsid w:val="009939EB"/>
    <w:rsid w:val="00993B9D"/>
    <w:rsid w:val="00993C2E"/>
    <w:rsid w:val="00993CEC"/>
    <w:rsid w:val="00993D33"/>
    <w:rsid w:val="009943ED"/>
    <w:rsid w:val="0099454E"/>
    <w:rsid w:val="0099456D"/>
    <w:rsid w:val="00994618"/>
    <w:rsid w:val="00994920"/>
    <w:rsid w:val="00994948"/>
    <w:rsid w:val="00994E8A"/>
    <w:rsid w:val="00994F60"/>
    <w:rsid w:val="00995151"/>
    <w:rsid w:val="0099545F"/>
    <w:rsid w:val="00995B19"/>
    <w:rsid w:val="00995BF1"/>
    <w:rsid w:val="00995CC4"/>
    <w:rsid w:val="00995DF2"/>
    <w:rsid w:val="0099769B"/>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34A"/>
    <w:rsid w:val="009A26E9"/>
    <w:rsid w:val="009A2C26"/>
    <w:rsid w:val="009A2CCC"/>
    <w:rsid w:val="009A2F68"/>
    <w:rsid w:val="009A3006"/>
    <w:rsid w:val="009A309F"/>
    <w:rsid w:val="009A337B"/>
    <w:rsid w:val="009A34C8"/>
    <w:rsid w:val="009A3994"/>
    <w:rsid w:val="009A3BB3"/>
    <w:rsid w:val="009A4241"/>
    <w:rsid w:val="009A42F6"/>
    <w:rsid w:val="009A445A"/>
    <w:rsid w:val="009A4498"/>
    <w:rsid w:val="009A45C8"/>
    <w:rsid w:val="009A48A3"/>
    <w:rsid w:val="009A4EAD"/>
    <w:rsid w:val="009A50CD"/>
    <w:rsid w:val="009A52F3"/>
    <w:rsid w:val="009A532D"/>
    <w:rsid w:val="009A59FF"/>
    <w:rsid w:val="009A65F4"/>
    <w:rsid w:val="009A681D"/>
    <w:rsid w:val="009A77A6"/>
    <w:rsid w:val="009A78A3"/>
    <w:rsid w:val="009A7961"/>
    <w:rsid w:val="009A7B5C"/>
    <w:rsid w:val="009B03A1"/>
    <w:rsid w:val="009B03E8"/>
    <w:rsid w:val="009B06A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80B"/>
    <w:rsid w:val="009B4C24"/>
    <w:rsid w:val="009B4E58"/>
    <w:rsid w:val="009B522F"/>
    <w:rsid w:val="009B56E4"/>
    <w:rsid w:val="009B57F6"/>
    <w:rsid w:val="009B5B02"/>
    <w:rsid w:val="009B5B0F"/>
    <w:rsid w:val="009B5BD6"/>
    <w:rsid w:val="009B5D6F"/>
    <w:rsid w:val="009B5F9A"/>
    <w:rsid w:val="009B62AF"/>
    <w:rsid w:val="009B63AE"/>
    <w:rsid w:val="009B6745"/>
    <w:rsid w:val="009B68AF"/>
    <w:rsid w:val="009B6ED3"/>
    <w:rsid w:val="009B6FAB"/>
    <w:rsid w:val="009B7230"/>
    <w:rsid w:val="009B7286"/>
    <w:rsid w:val="009B73AE"/>
    <w:rsid w:val="009B74EA"/>
    <w:rsid w:val="009B7549"/>
    <w:rsid w:val="009B7AB7"/>
    <w:rsid w:val="009B7AB9"/>
    <w:rsid w:val="009C01D2"/>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B82"/>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4F6"/>
    <w:rsid w:val="009D45C8"/>
    <w:rsid w:val="009D4D44"/>
    <w:rsid w:val="009D4DF9"/>
    <w:rsid w:val="009D4FF7"/>
    <w:rsid w:val="009D51E2"/>
    <w:rsid w:val="009D5393"/>
    <w:rsid w:val="009D5445"/>
    <w:rsid w:val="009D5604"/>
    <w:rsid w:val="009D565F"/>
    <w:rsid w:val="009D56C8"/>
    <w:rsid w:val="009D5820"/>
    <w:rsid w:val="009D5AE6"/>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2E7B"/>
    <w:rsid w:val="009E370E"/>
    <w:rsid w:val="009E3AD9"/>
    <w:rsid w:val="009E3B5A"/>
    <w:rsid w:val="009E3E85"/>
    <w:rsid w:val="009E4226"/>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E3C"/>
    <w:rsid w:val="009E7F7E"/>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CF1"/>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7D4"/>
    <w:rsid w:val="00A0582E"/>
    <w:rsid w:val="00A05840"/>
    <w:rsid w:val="00A05843"/>
    <w:rsid w:val="00A05FF4"/>
    <w:rsid w:val="00A06137"/>
    <w:rsid w:val="00A06344"/>
    <w:rsid w:val="00A063FE"/>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428"/>
    <w:rsid w:val="00A12D25"/>
    <w:rsid w:val="00A131A1"/>
    <w:rsid w:val="00A131E0"/>
    <w:rsid w:val="00A1329C"/>
    <w:rsid w:val="00A13744"/>
    <w:rsid w:val="00A13831"/>
    <w:rsid w:val="00A138CF"/>
    <w:rsid w:val="00A13A8C"/>
    <w:rsid w:val="00A13DEE"/>
    <w:rsid w:val="00A13E26"/>
    <w:rsid w:val="00A141DC"/>
    <w:rsid w:val="00A144F9"/>
    <w:rsid w:val="00A14503"/>
    <w:rsid w:val="00A14879"/>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27"/>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71E"/>
    <w:rsid w:val="00A35A7A"/>
    <w:rsid w:val="00A35AAC"/>
    <w:rsid w:val="00A36427"/>
    <w:rsid w:val="00A36845"/>
    <w:rsid w:val="00A36BDF"/>
    <w:rsid w:val="00A374CD"/>
    <w:rsid w:val="00A378A2"/>
    <w:rsid w:val="00A37B1D"/>
    <w:rsid w:val="00A37CAC"/>
    <w:rsid w:val="00A40175"/>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5D3D"/>
    <w:rsid w:val="00A460A1"/>
    <w:rsid w:val="00A464E3"/>
    <w:rsid w:val="00A46500"/>
    <w:rsid w:val="00A4679A"/>
    <w:rsid w:val="00A46E28"/>
    <w:rsid w:val="00A473D7"/>
    <w:rsid w:val="00A4772C"/>
    <w:rsid w:val="00A477C6"/>
    <w:rsid w:val="00A478FA"/>
    <w:rsid w:val="00A4799F"/>
    <w:rsid w:val="00A47A9A"/>
    <w:rsid w:val="00A47D31"/>
    <w:rsid w:val="00A501F6"/>
    <w:rsid w:val="00A509F2"/>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2"/>
    <w:rsid w:val="00A5499C"/>
    <w:rsid w:val="00A54CCB"/>
    <w:rsid w:val="00A54E77"/>
    <w:rsid w:val="00A55424"/>
    <w:rsid w:val="00A55682"/>
    <w:rsid w:val="00A55911"/>
    <w:rsid w:val="00A55B71"/>
    <w:rsid w:val="00A55C52"/>
    <w:rsid w:val="00A55FFA"/>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89"/>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64"/>
    <w:rsid w:val="00A82F78"/>
    <w:rsid w:val="00A82FFE"/>
    <w:rsid w:val="00A8307D"/>
    <w:rsid w:val="00A831CF"/>
    <w:rsid w:val="00A831FB"/>
    <w:rsid w:val="00A8322E"/>
    <w:rsid w:val="00A83310"/>
    <w:rsid w:val="00A833BB"/>
    <w:rsid w:val="00A8358F"/>
    <w:rsid w:val="00A837FA"/>
    <w:rsid w:val="00A83B95"/>
    <w:rsid w:val="00A83BC5"/>
    <w:rsid w:val="00A83EB5"/>
    <w:rsid w:val="00A84186"/>
    <w:rsid w:val="00A84424"/>
    <w:rsid w:val="00A846F1"/>
    <w:rsid w:val="00A84937"/>
    <w:rsid w:val="00A84A34"/>
    <w:rsid w:val="00A84EAF"/>
    <w:rsid w:val="00A85468"/>
    <w:rsid w:val="00A85469"/>
    <w:rsid w:val="00A857B4"/>
    <w:rsid w:val="00A85B14"/>
    <w:rsid w:val="00A85B90"/>
    <w:rsid w:val="00A8674E"/>
    <w:rsid w:val="00A86F91"/>
    <w:rsid w:val="00A86FB6"/>
    <w:rsid w:val="00A875C0"/>
    <w:rsid w:val="00A87654"/>
    <w:rsid w:val="00A8766D"/>
    <w:rsid w:val="00A87C15"/>
    <w:rsid w:val="00A9014D"/>
    <w:rsid w:val="00A90925"/>
    <w:rsid w:val="00A90DDB"/>
    <w:rsid w:val="00A918DC"/>
    <w:rsid w:val="00A91AE4"/>
    <w:rsid w:val="00A925D7"/>
    <w:rsid w:val="00A92706"/>
    <w:rsid w:val="00A9280B"/>
    <w:rsid w:val="00A9281E"/>
    <w:rsid w:val="00A92939"/>
    <w:rsid w:val="00A92B42"/>
    <w:rsid w:val="00A92CF1"/>
    <w:rsid w:val="00A93190"/>
    <w:rsid w:val="00A93819"/>
    <w:rsid w:val="00A93CB3"/>
    <w:rsid w:val="00A93D34"/>
    <w:rsid w:val="00A93DAF"/>
    <w:rsid w:val="00A93E6F"/>
    <w:rsid w:val="00A93FD1"/>
    <w:rsid w:val="00A9413F"/>
    <w:rsid w:val="00A9439C"/>
    <w:rsid w:val="00A943F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30"/>
    <w:rsid w:val="00AA2167"/>
    <w:rsid w:val="00AA2493"/>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3EB9"/>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B55"/>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920"/>
    <w:rsid w:val="00AD3D9F"/>
    <w:rsid w:val="00AD4431"/>
    <w:rsid w:val="00AD465C"/>
    <w:rsid w:val="00AD4D66"/>
    <w:rsid w:val="00AD516C"/>
    <w:rsid w:val="00AD51CC"/>
    <w:rsid w:val="00AD5922"/>
    <w:rsid w:val="00AD5B84"/>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2AAE"/>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008"/>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15BB"/>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2B0"/>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3CD"/>
    <w:rsid w:val="00B1394E"/>
    <w:rsid w:val="00B13DA6"/>
    <w:rsid w:val="00B141BB"/>
    <w:rsid w:val="00B1466C"/>
    <w:rsid w:val="00B149B2"/>
    <w:rsid w:val="00B14BA4"/>
    <w:rsid w:val="00B14F7F"/>
    <w:rsid w:val="00B15074"/>
    <w:rsid w:val="00B152F4"/>
    <w:rsid w:val="00B154B3"/>
    <w:rsid w:val="00B154B5"/>
    <w:rsid w:val="00B157BA"/>
    <w:rsid w:val="00B15DAA"/>
    <w:rsid w:val="00B15E6C"/>
    <w:rsid w:val="00B1664E"/>
    <w:rsid w:val="00B169ED"/>
    <w:rsid w:val="00B16F85"/>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68C"/>
    <w:rsid w:val="00B21776"/>
    <w:rsid w:val="00B219AA"/>
    <w:rsid w:val="00B21A5B"/>
    <w:rsid w:val="00B21D99"/>
    <w:rsid w:val="00B221C7"/>
    <w:rsid w:val="00B22260"/>
    <w:rsid w:val="00B22402"/>
    <w:rsid w:val="00B22549"/>
    <w:rsid w:val="00B2279B"/>
    <w:rsid w:val="00B2284C"/>
    <w:rsid w:val="00B22898"/>
    <w:rsid w:val="00B22BFA"/>
    <w:rsid w:val="00B22D6E"/>
    <w:rsid w:val="00B22DB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3B8"/>
    <w:rsid w:val="00B266FA"/>
    <w:rsid w:val="00B26902"/>
    <w:rsid w:val="00B269DB"/>
    <w:rsid w:val="00B26A9C"/>
    <w:rsid w:val="00B26C40"/>
    <w:rsid w:val="00B26D82"/>
    <w:rsid w:val="00B26E8C"/>
    <w:rsid w:val="00B27359"/>
    <w:rsid w:val="00B27739"/>
    <w:rsid w:val="00B27C42"/>
    <w:rsid w:val="00B305BE"/>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C55"/>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3BE"/>
    <w:rsid w:val="00B4140A"/>
    <w:rsid w:val="00B41418"/>
    <w:rsid w:val="00B414C9"/>
    <w:rsid w:val="00B415E5"/>
    <w:rsid w:val="00B4167C"/>
    <w:rsid w:val="00B4180F"/>
    <w:rsid w:val="00B418F1"/>
    <w:rsid w:val="00B41962"/>
    <w:rsid w:val="00B41A7E"/>
    <w:rsid w:val="00B41BC0"/>
    <w:rsid w:val="00B41D9D"/>
    <w:rsid w:val="00B4220C"/>
    <w:rsid w:val="00B42372"/>
    <w:rsid w:val="00B427EF"/>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0EF"/>
    <w:rsid w:val="00B63284"/>
    <w:rsid w:val="00B63709"/>
    <w:rsid w:val="00B6373D"/>
    <w:rsid w:val="00B63964"/>
    <w:rsid w:val="00B63E30"/>
    <w:rsid w:val="00B6445E"/>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6FAD"/>
    <w:rsid w:val="00B67013"/>
    <w:rsid w:val="00B6704A"/>
    <w:rsid w:val="00B67260"/>
    <w:rsid w:val="00B67AB1"/>
    <w:rsid w:val="00B67B4F"/>
    <w:rsid w:val="00B67E6B"/>
    <w:rsid w:val="00B67F6E"/>
    <w:rsid w:val="00B702CD"/>
    <w:rsid w:val="00B7041C"/>
    <w:rsid w:val="00B704C5"/>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49E"/>
    <w:rsid w:val="00B76876"/>
    <w:rsid w:val="00B76FB2"/>
    <w:rsid w:val="00B76FCB"/>
    <w:rsid w:val="00B77236"/>
    <w:rsid w:val="00B7749A"/>
    <w:rsid w:val="00B77582"/>
    <w:rsid w:val="00B779BB"/>
    <w:rsid w:val="00B77A5A"/>
    <w:rsid w:val="00B77B07"/>
    <w:rsid w:val="00B77B61"/>
    <w:rsid w:val="00B77BB8"/>
    <w:rsid w:val="00B77E78"/>
    <w:rsid w:val="00B77FDF"/>
    <w:rsid w:val="00B800EC"/>
    <w:rsid w:val="00B80249"/>
    <w:rsid w:val="00B80561"/>
    <w:rsid w:val="00B806D2"/>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4CBC"/>
    <w:rsid w:val="00B8518B"/>
    <w:rsid w:val="00B8556E"/>
    <w:rsid w:val="00B85845"/>
    <w:rsid w:val="00B8586E"/>
    <w:rsid w:val="00B858B1"/>
    <w:rsid w:val="00B85A97"/>
    <w:rsid w:val="00B85C3D"/>
    <w:rsid w:val="00B8600B"/>
    <w:rsid w:val="00B860A2"/>
    <w:rsid w:val="00B86278"/>
    <w:rsid w:val="00B86AF6"/>
    <w:rsid w:val="00B86CAF"/>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0E5D"/>
    <w:rsid w:val="00B9121D"/>
    <w:rsid w:val="00B915C5"/>
    <w:rsid w:val="00B917F0"/>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C3B"/>
    <w:rsid w:val="00B93E85"/>
    <w:rsid w:val="00B9422B"/>
    <w:rsid w:val="00B946A8"/>
    <w:rsid w:val="00B9473C"/>
    <w:rsid w:val="00B947AD"/>
    <w:rsid w:val="00B948A0"/>
    <w:rsid w:val="00B94A6A"/>
    <w:rsid w:val="00B94B02"/>
    <w:rsid w:val="00B94B27"/>
    <w:rsid w:val="00B94D24"/>
    <w:rsid w:val="00B94D4C"/>
    <w:rsid w:val="00B94DFE"/>
    <w:rsid w:val="00B94EB5"/>
    <w:rsid w:val="00B95110"/>
    <w:rsid w:val="00B9589C"/>
    <w:rsid w:val="00B95A01"/>
    <w:rsid w:val="00B95F6F"/>
    <w:rsid w:val="00B95FC8"/>
    <w:rsid w:val="00B9610A"/>
    <w:rsid w:val="00B965DC"/>
    <w:rsid w:val="00B966FB"/>
    <w:rsid w:val="00B96A8E"/>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8E8"/>
    <w:rsid w:val="00BA6936"/>
    <w:rsid w:val="00BA6C22"/>
    <w:rsid w:val="00BA6DBD"/>
    <w:rsid w:val="00BA7276"/>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1FB"/>
    <w:rsid w:val="00BB2265"/>
    <w:rsid w:val="00BB28BF"/>
    <w:rsid w:val="00BB2B25"/>
    <w:rsid w:val="00BB2ED7"/>
    <w:rsid w:val="00BB30EA"/>
    <w:rsid w:val="00BB3239"/>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C6F"/>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C14"/>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7F"/>
    <w:rsid w:val="00BD4493"/>
    <w:rsid w:val="00BD47E6"/>
    <w:rsid w:val="00BD4D97"/>
    <w:rsid w:val="00BD5031"/>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B75"/>
    <w:rsid w:val="00BF2C9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5E5"/>
    <w:rsid w:val="00BF7615"/>
    <w:rsid w:val="00BF7859"/>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BFB"/>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799"/>
    <w:rsid w:val="00C15A27"/>
    <w:rsid w:val="00C15D0C"/>
    <w:rsid w:val="00C15FEF"/>
    <w:rsid w:val="00C16215"/>
    <w:rsid w:val="00C165A1"/>
    <w:rsid w:val="00C165DA"/>
    <w:rsid w:val="00C16765"/>
    <w:rsid w:val="00C16A2F"/>
    <w:rsid w:val="00C16AD7"/>
    <w:rsid w:val="00C16DAE"/>
    <w:rsid w:val="00C16F1F"/>
    <w:rsid w:val="00C1750F"/>
    <w:rsid w:val="00C176A9"/>
    <w:rsid w:val="00C1776A"/>
    <w:rsid w:val="00C17CB0"/>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8F6"/>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4BB1"/>
    <w:rsid w:val="00C351DF"/>
    <w:rsid w:val="00C353CF"/>
    <w:rsid w:val="00C353DC"/>
    <w:rsid w:val="00C358A5"/>
    <w:rsid w:val="00C35A9A"/>
    <w:rsid w:val="00C35B62"/>
    <w:rsid w:val="00C35F0A"/>
    <w:rsid w:val="00C35F43"/>
    <w:rsid w:val="00C360CA"/>
    <w:rsid w:val="00C36387"/>
    <w:rsid w:val="00C363A9"/>
    <w:rsid w:val="00C364A5"/>
    <w:rsid w:val="00C36603"/>
    <w:rsid w:val="00C369A4"/>
    <w:rsid w:val="00C36C55"/>
    <w:rsid w:val="00C36DEE"/>
    <w:rsid w:val="00C36EA5"/>
    <w:rsid w:val="00C37088"/>
    <w:rsid w:val="00C3715E"/>
    <w:rsid w:val="00C3772A"/>
    <w:rsid w:val="00C379F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EC"/>
    <w:rsid w:val="00C43629"/>
    <w:rsid w:val="00C43801"/>
    <w:rsid w:val="00C4383F"/>
    <w:rsid w:val="00C438BB"/>
    <w:rsid w:val="00C43A90"/>
    <w:rsid w:val="00C43AD9"/>
    <w:rsid w:val="00C4406B"/>
    <w:rsid w:val="00C440B0"/>
    <w:rsid w:val="00C44372"/>
    <w:rsid w:val="00C4467E"/>
    <w:rsid w:val="00C447A0"/>
    <w:rsid w:val="00C4497D"/>
    <w:rsid w:val="00C44A07"/>
    <w:rsid w:val="00C44B8C"/>
    <w:rsid w:val="00C44BDC"/>
    <w:rsid w:val="00C44E3E"/>
    <w:rsid w:val="00C450A5"/>
    <w:rsid w:val="00C45163"/>
    <w:rsid w:val="00C4570A"/>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29"/>
    <w:rsid w:val="00C50FF9"/>
    <w:rsid w:val="00C5116D"/>
    <w:rsid w:val="00C511CC"/>
    <w:rsid w:val="00C51353"/>
    <w:rsid w:val="00C51A6A"/>
    <w:rsid w:val="00C51D33"/>
    <w:rsid w:val="00C520A5"/>
    <w:rsid w:val="00C521F4"/>
    <w:rsid w:val="00C52889"/>
    <w:rsid w:val="00C528D2"/>
    <w:rsid w:val="00C52D5A"/>
    <w:rsid w:val="00C52D70"/>
    <w:rsid w:val="00C52E8B"/>
    <w:rsid w:val="00C53CA1"/>
    <w:rsid w:val="00C53CFC"/>
    <w:rsid w:val="00C53DE5"/>
    <w:rsid w:val="00C53FEF"/>
    <w:rsid w:val="00C54518"/>
    <w:rsid w:val="00C548B9"/>
    <w:rsid w:val="00C54B14"/>
    <w:rsid w:val="00C55455"/>
    <w:rsid w:val="00C55E15"/>
    <w:rsid w:val="00C55F0F"/>
    <w:rsid w:val="00C569EE"/>
    <w:rsid w:val="00C56C58"/>
    <w:rsid w:val="00C56CCC"/>
    <w:rsid w:val="00C56CE4"/>
    <w:rsid w:val="00C56F6D"/>
    <w:rsid w:val="00C574AE"/>
    <w:rsid w:val="00C57B3F"/>
    <w:rsid w:val="00C60320"/>
    <w:rsid w:val="00C60477"/>
    <w:rsid w:val="00C606A9"/>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1EA7"/>
    <w:rsid w:val="00C72178"/>
    <w:rsid w:val="00C72816"/>
    <w:rsid w:val="00C729C9"/>
    <w:rsid w:val="00C72B1D"/>
    <w:rsid w:val="00C730CB"/>
    <w:rsid w:val="00C731FC"/>
    <w:rsid w:val="00C7329F"/>
    <w:rsid w:val="00C73314"/>
    <w:rsid w:val="00C73586"/>
    <w:rsid w:val="00C73627"/>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9A4"/>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2C"/>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5DB"/>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9C"/>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ADF"/>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160"/>
    <w:rsid w:val="00CC42D4"/>
    <w:rsid w:val="00CC4364"/>
    <w:rsid w:val="00CC472C"/>
    <w:rsid w:val="00CC4A40"/>
    <w:rsid w:val="00CC4E16"/>
    <w:rsid w:val="00CC4FC4"/>
    <w:rsid w:val="00CC5628"/>
    <w:rsid w:val="00CC5ABF"/>
    <w:rsid w:val="00CC64E3"/>
    <w:rsid w:val="00CC6A0B"/>
    <w:rsid w:val="00CC6B93"/>
    <w:rsid w:val="00CC6D93"/>
    <w:rsid w:val="00CC6FD5"/>
    <w:rsid w:val="00CC7258"/>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441"/>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767"/>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1BB"/>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AF1"/>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892"/>
    <w:rsid w:val="00D30BF9"/>
    <w:rsid w:val="00D314BD"/>
    <w:rsid w:val="00D318B4"/>
    <w:rsid w:val="00D31910"/>
    <w:rsid w:val="00D31FFD"/>
    <w:rsid w:val="00D32074"/>
    <w:rsid w:val="00D3210D"/>
    <w:rsid w:val="00D3217F"/>
    <w:rsid w:val="00D32376"/>
    <w:rsid w:val="00D323B1"/>
    <w:rsid w:val="00D326DD"/>
    <w:rsid w:val="00D3277A"/>
    <w:rsid w:val="00D329D1"/>
    <w:rsid w:val="00D32DD5"/>
    <w:rsid w:val="00D32E91"/>
    <w:rsid w:val="00D3307E"/>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5"/>
    <w:rsid w:val="00D4233A"/>
    <w:rsid w:val="00D423E8"/>
    <w:rsid w:val="00D42573"/>
    <w:rsid w:val="00D42A1E"/>
    <w:rsid w:val="00D43015"/>
    <w:rsid w:val="00D432C9"/>
    <w:rsid w:val="00D43897"/>
    <w:rsid w:val="00D438C4"/>
    <w:rsid w:val="00D43B76"/>
    <w:rsid w:val="00D43C0B"/>
    <w:rsid w:val="00D43DDA"/>
    <w:rsid w:val="00D43E3F"/>
    <w:rsid w:val="00D442CC"/>
    <w:rsid w:val="00D442F0"/>
    <w:rsid w:val="00D4446B"/>
    <w:rsid w:val="00D44B3D"/>
    <w:rsid w:val="00D44DF3"/>
    <w:rsid w:val="00D44E49"/>
    <w:rsid w:val="00D45047"/>
    <w:rsid w:val="00D45108"/>
    <w:rsid w:val="00D453A0"/>
    <w:rsid w:val="00D4540A"/>
    <w:rsid w:val="00D4541B"/>
    <w:rsid w:val="00D456A7"/>
    <w:rsid w:val="00D45872"/>
    <w:rsid w:val="00D45A0C"/>
    <w:rsid w:val="00D462F6"/>
    <w:rsid w:val="00D464D7"/>
    <w:rsid w:val="00D46569"/>
    <w:rsid w:val="00D46787"/>
    <w:rsid w:val="00D4691A"/>
    <w:rsid w:val="00D46C4C"/>
    <w:rsid w:val="00D46D7C"/>
    <w:rsid w:val="00D47C4A"/>
    <w:rsid w:val="00D47C9F"/>
    <w:rsid w:val="00D47D2E"/>
    <w:rsid w:val="00D47EA9"/>
    <w:rsid w:val="00D508B4"/>
    <w:rsid w:val="00D50A9A"/>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CDD"/>
    <w:rsid w:val="00D55D86"/>
    <w:rsid w:val="00D56232"/>
    <w:rsid w:val="00D564BB"/>
    <w:rsid w:val="00D565FA"/>
    <w:rsid w:val="00D5674B"/>
    <w:rsid w:val="00D568ED"/>
    <w:rsid w:val="00D56B58"/>
    <w:rsid w:val="00D56BF9"/>
    <w:rsid w:val="00D56E3F"/>
    <w:rsid w:val="00D571B4"/>
    <w:rsid w:val="00D5729B"/>
    <w:rsid w:val="00D5749B"/>
    <w:rsid w:val="00D57AED"/>
    <w:rsid w:val="00D57BD3"/>
    <w:rsid w:val="00D57BD9"/>
    <w:rsid w:val="00D57E16"/>
    <w:rsid w:val="00D57FAE"/>
    <w:rsid w:val="00D6014E"/>
    <w:rsid w:val="00D60210"/>
    <w:rsid w:val="00D60255"/>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618"/>
    <w:rsid w:val="00D64C56"/>
    <w:rsid w:val="00D65108"/>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A9E"/>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C8E"/>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6E1C"/>
    <w:rsid w:val="00D770BC"/>
    <w:rsid w:val="00D771E9"/>
    <w:rsid w:val="00D7771F"/>
    <w:rsid w:val="00D77726"/>
    <w:rsid w:val="00D77800"/>
    <w:rsid w:val="00D77DB1"/>
    <w:rsid w:val="00D807EA"/>
    <w:rsid w:val="00D8081F"/>
    <w:rsid w:val="00D80898"/>
    <w:rsid w:val="00D80B6A"/>
    <w:rsid w:val="00D80C8B"/>
    <w:rsid w:val="00D80DF6"/>
    <w:rsid w:val="00D8114A"/>
    <w:rsid w:val="00D81316"/>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1DF"/>
    <w:rsid w:val="00D9038D"/>
    <w:rsid w:val="00D90898"/>
    <w:rsid w:val="00D90998"/>
    <w:rsid w:val="00D909BB"/>
    <w:rsid w:val="00D90CE0"/>
    <w:rsid w:val="00D90DA0"/>
    <w:rsid w:val="00D90EB1"/>
    <w:rsid w:val="00D9111B"/>
    <w:rsid w:val="00D9127E"/>
    <w:rsid w:val="00D9174D"/>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C41"/>
    <w:rsid w:val="00D96F24"/>
    <w:rsid w:val="00D97340"/>
    <w:rsid w:val="00D973C9"/>
    <w:rsid w:val="00D9756F"/>
    <w:rsid w:val="00D9781A"/>
    <w:rsid w:val="00D97883"/>
    <w:rsid w:val="00D979C9"/>
    <w:rsid w:val="00D97FFA"/>
    <w:rsid w:val="00DA0067"/>
    <w:rsid w:val="00DA041C"/>
    <w:rsid w:val="00DA04BF"/>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84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D7D"/>
    <w:rsid w:val="00DB7087"/>
    <w:rsid w:val="00DB7178"/>
    <w:rsid w:val="00DB7320"/>
    <w:rsid w:val="00DB734F"/>
    <w:rsid w:val="00DB75E7"/>
    <w:rsid w:val="00DB76A4"/>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0C66"/>
    <w:rsid w:val="00DD0E04"/>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89E"/>
    <w:rsid w:val="00DE490A"/>
    <w:rsid w:val="00DE4958"/>
    <w:rsid w:val="00DE4978"/>
    <w:rsid w:val="00DE4A0A"/>
    <w:rsid w:val="00DE4A94"/>
    <w:rsid w:val="00DE4AA0"/>
    <w:rsid w:val="00DE4AAF"/>
    <w:rsid w:val="00DE4C9A"/>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7B"/>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B3F"/>
    <w:rsid w:val="00DF5CAC"/>
    <w:rsid w:val="00DF5CF7"/>
    <w:rsid w:val="00DF5DC3"/>
    <w:rsid w:val="00DF6022"/>
    <w:rsid w:val="00DF6141"/>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0D7"/>
    <w:rsid w:val="00E0133D"/>
    <w:rsid w:val="00E01721"/>
    <w:rsid w:val="00E0199E"/>
    <w:rsid w:val="00E019ED"/>
    <w:rsid w:val="00E01B31"/>
    <w:rsid w:val="00E01E09"/>
    <w:rsid w:val="00E0231C"/>
    <w:rsid w:val="00E02392"/>
    <w:rsid w:val="00E025BF"/>
    <w:rsid w:val="00E02967"/>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39E"/>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1EE1"/>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6F0"/>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539"/>
    <w:rsid w:val="00E20D19"/>
    <w:rsid w:val="00E20D6C"/>
    <w:rsid w:val="00E20FA3"/>
    <w:rsid w:val="00E210C4"/>
    <w:rsid w:val="00E211F7"/>
    <w:rsid w:val="00E21488"/>
    <w:rsid w:val="00E217A2"/>
    <w:rsid w:val="00E217B2"/>
    <w:rsid w:val="00E21B26"/>
    <w:rsid w:val="00E2207F"/>
    <w:rsid w:val="00E220B0"/>
    <w:rsid w:val="00E22126"/>
    <w:rsid w:val="00E22963"/>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9CB"/>
    <w:rsid w:val="00E51AB5"/>
    <w:rsid w:val="00E51C9F"/>
    <w:rsid w:val="00E51DDF"/>
    <w:rsid w:val="00E51DFD"/>
    <w:rsid w:val="00E52345"/>
    <w:rsid w:val="00E52626"/>
    <w:rsid w:val="00E52763"/>
    <w:rsid w:val="00E53075"/>
    <w:rsid w:val="00E531E2"/>
    <w:rsid w:val="00E5323D"/>
    <w:rsid w:val="00E53948"/>
    <w:rsid w:val="00E53A12"/>
    <w:rsid w:val="00E53AB2"/>
    <w:rsid w:val="00E53C11"/>
    <w:rsid w:val="00E53C31"/>
    <w:rsid w:val="00E53DED"/>
    <w:rsid w:val="00E5411A"/>
    <w:rsid w:val="00E54129"/>
    <w:rsid w:val="00E543D7"/>
    <w:rsid w:val="00E546E0"/>
    <w:rsid w:val="00E547B6"/>
    <w:rsid w:val="00E553BC"/>
    <w:rsid w:val="00E55509"/>
    <w:rsid w:val="00E55527"/>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DB1"/>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54C"/>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CFD"/>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592"/>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945"/>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7DC"/>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33BD"/>
    <w:rsid w:val="00E93620"/>
    <w:rsid w:val="00E93ACF"/>
    <w:rsid w:val="00E93E4F"/>
    <w:rsid w:val="00E941E0"/>
    <w:rsid w:val="00E944F8"/>
    <w:rsid w:val="00E94B95"/>
    <w:rsid w:val="00E951D5"/>
    <w:rsid w:val="00E95418"/>
    <w:rsid w:val="00E95517"/>
    <w:rsid w:val="00E9567F"/>
    <w:rsid w:val="00E95761"/>
    <w:rsid w:val="00E959A0"/>
    <w:rsid w:val="00E95A69"/>
    <w:rsid w:val="00E95A73"/>
    <w:rsid w:val="00E95E8F"/>
    <w:rsid w:val="00E95EC4"/>
    <w:rsid w:val="00E9652A"/>
    <w:rsid w:val="00E965C3"/>
    <w:rsid w:val="00E96897"/>
    <w:rsid w:val="00E96918"/>
    <w:rsid w:val="00E969FC"/>
    <w:rsid w:val="00E96BCD"/>
    <w:rsid w:val="00E96C47"/>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849"/>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573"/>
    <w:rsid w:val="00EA67AD"/>
    <w:rsid w:val="00EA6CF3"/>
    <w:rsid w:val="00EA72D8"/>
    <w:rsid w:val="00EA72FC"/>
    <w:rsid w:val="00EA7303"/>
    <w:rsid w:val="00EA7ACC"/>
    <w:rsid w:val="00EA7E45"/>
    <w:rsid w:val="00EB04DA"/>
    <w:rsid w:val="00EB09B9"/>
    <w:rsid w:val="00EB09DE"/>
    <w:rsid w:val="00EB0C2C"/>
    <w:rsid w:val="00EB0C7C"/>
    <w:rsid w:val="00EB0E75"/>
    <w:rsid w:val="00EB0F35"/>
    <w:rsid w:val="00EB1714"/>
    <w:rsid w:val="00EB19FB"/>
    <w:rsid w:val="00EB2310"/>
    <w:rsid w:val="00EB2721"/>
    <w:rsid w:val="00EB29E8"/>
    <w:rsid w:val="00EB2B78"/>
    <w:rsid w:val="00EB2EDA"/>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0C"/>
    <w:rsid w:val="00EB60F7"/>
    <w:rsid w:val="00EB6530"/>
    <w:rsid w:val="00EB659F"/>
    <w:rsid w:val="00EB65AE"/>
    <w:rsid w:val="00EB70AD"/>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092"/>
    <w:rsid w:val="00EC7E97"/>
    <w:rsid w:val="00ED0557"/>
    <w:rsid w:val="00ED0CF0"/>
    <w:rsid w:val="00ED0D6E"/>
    <w:rsid w:val="00ED0DA8"/>
    <w:rsid w:val="00ED10FA"/>
    <w:rsid w:val="00ED1407"/>
    <w:rsid w:val="00ED17CE"/>
    <w:rsid w:val="00ED1A74"/>
    <w:rsid w:val="00ED1E07"/>
    <w:rsid w:val="00ED21EF"/>
    <w:rsid w:val="00ED2A29"/>
    <w:rsid w:val="00ED2AB3"/>
    <w:rsid w:val="00ED2B62"/>
    <w:rsid w:val="00ED311F"/>
    <w:rsid w:val="00ED34D4"/>
    <w:rsid w:val="00ED3ADF"/>
    <w:rsid w:val="00ED3D84"/>
    <w:rsid w:val="00ED3D87"/>
    <w:rsid w:val="00ED3E53"/>
    <w:rsid w:val="00ED41DC"/>
    <w:rsid w:val="00ED42FF"/>
    <w:rsid w:val="00ED4A07"/>
    <w:rsid w:val="00ED4B38"/>
    <w:rsid w:val="00ED58B3"/>
    <w:rsid w:val="00ED59A5"/>
    <w:rsid w:val="00ED5BDC"/>
    <w:rsid w:val="00ED5CAB"/>
    <w:rsid w:val="00ED5E6C"/>
    <w:rsid w:val="00ED5E80"/>
    <w:rsid w:val="00ED6315"/>
    <w:rsid w:val="00ED6342"/>
    <w:rsid w:val="00ED6A10"/>
    <w:rsid w:val="00ED6C28"/>
    <w:rsid w:val="00ED6E12"/>
    <w:rsid w:val="00ED720B"/>
    <w:rsid w:val="00ED747F"/>
    <w:rsid w:val="00ED74FB"/>
    <w:rsid w:val="00ED766C"/>
    <w:rsid w:val="00ED76FB"/>
    <w:rsid w:val="00ED7895"/>
    <w:rsid w:val="00ED78A3"/>
    <w:rsid w:val="00ED7C00"/>
    <w:rsid w:val="00ED7E1E"/>
    <w:rsid w:val="00ED7F2B"/>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AC2"/>
    <w:rsid w:val="00EE3C6D"/>
    <w:rsid w:val="00EE3DE2"/>
    <w:rsid w:val="00EE4028"/>
    <w:rsid w:val="00EE4551"/>
    <w:rsid w:val="00EE4999"/>
    <w:rsid w:val="00EE4C6E"/>
    <w:rsid w:val="00EE4E97"/>
    <w:rsid w:val="00EE4F89"/>
    <w:rsid w:val="00EE5135"/>
    <w:rsid w:val="00EE53A9"/>
    <w:rsid w:val="00EE558C"/>
    <w:rsid w:val="00EE56F2"/>
    <w:rsid w:val="00EE5754"/>
    <w:rsid w:val="00EE5783"/>
    <w:rsid w:val="00EE6019"/>
    <w:rsid w:val="00EE61BE"/>
    <w:rsid w:val="00EE626A"/>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6AA"/>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A9"/>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84A"/>
    <w:rsid w:val="00F07C50"/>
    <w:rsid w:val="00F07E96"/>
    <w:rsid w:val="00F10546"/>
    <w:rsid w:val="00F10B0A"/>
    <w:rsid w:val="00F113CF"/>
    <w:rsid w:val="00F11537"/>
    <w:rsid w:val="00F11B1A"/>
    <w:rsid w:val="00F120D9"/>
    <w:rsid w:val="00F124BE"/>
    <w:rsid w:val="00F125DE"/>
    <w:rsid w:val="00F12638"/>
    <w:rsid w:val="00F126FB"/>
    <w:rsid w:val="00F12863"/>
    <w:rsid w:val="00F12A36"/>
    <w:rsid w:val="00F12A9F"/>
    <w:rsid w:val="00F1308B"/>
    <w:rsid w:val="00F13137"/>
    <w:rsid w:val="00F1339B"/>
    <w:rsid w:val="00F1372F"/>
    <w:rsid w:val="00F13A2F"/>
    <w:rsid w:val="00F13F88"/>
    <w:rsid w:val="00F14577"/>
    <w:rsid w:val="00F14C13"/>
    <w:rsid w:val="00F14CE8"/>
    <w:rsid w:val="00F15471"/>
    <w:rsid w:val="00F155DE"/>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B8E"/>
    <w:rsid w:val="00F22C15"/>
    <w:rsid w:val="00F22DC5"/>
    <w:rsid w:val="00F22EDB"/>
    <w:rsid w:val="00F2303B"/>
    <w:rsid w:val="00F2304F"/>
    <w:rsid w:val="00F23124"/>
    <w:rsid w:val="00F23423"/>
    <w:rsid w:val="00F2349D"/>
    <w:rsid w:val="00F23570"/>
    <w:rsid w:val="00F23B96"/>
    <w:rsid w:val="00F23F06"/>
    <w:rsid w:val="00F23F7D"/>
    <w:rsid w:val="00F23FC5"/>
    <w:rsid w:val="00F23FF4"/>
    <w:rsid w:val="00F2421D"/>
    <w:rsid w:val="00F24232"/>
    <w:rsid w:val="00F2486E"/>
    <w:rsid w:val="00F24C5A"/>
    <w:rsid w:val="00F24D30"/>
    <w:rsid w:val="00F24DF1"/>
    <w:rsid w:val="00F24E8D"/>
    <w:rsid w:val="00F25177"/>
    <w:rsid w:val="00F2526C"/>
    <w:rsid w:val="00F2538F"/>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878"/>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3E6"/>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BF"/>
    <w:rsid w:val="00F432C6"/>
    <w:rsid w:val="00F4338D"/>
    <w:rsid w:val="00F43470"/>
    <w:rsid w:val="00F4352E"/>
    <w:rsid w:val="00F437B6"/>
    <w:rsid w:val="00F438A7"/>
    <w:rsid w:val="00F43911"/>
    <w:rsid w:val="00F43960"/>
    <w:rsid w:val="00F43C3C"/>
    <w:rsid w:val="00F446D1"/>
    <w:rsid w:val="00F4470C"/>
    <w:rsid w:val="00F44B59"/>
    <w:rsid w:val="00F44BB8"/>
    <w:rsid w:val="00F4537F"/>
    <w:rsid w:val="00F45617"/>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BE"/>
    <w:rsid w:val="00F515CA"/>
    <w:rsid w:val="00F516C2"/>
    <w:rsid w:val="00F51D20"/>
    <w:rsid w:val="00F51EDD"/>
    <w:rsid w:val="00F52BF1"/>
    <w:rsid w:val="00F52DAC"/>
    <w:rsid w:val="00F530D0"/>
    <w:rsid w:val="00F53166"/>
    <w:rsid w:val="00F5335D"/>
    <w:rsid w:val="00F53808"/>
    <w:rsid w:val="00F53A12"/>
    <w:rsid w:val="00F53C60"/>
    <w:rsid w:val="00F53F51"/>
    <w:rsid w:val="00F54158"/>
    <w:rsid w:val="00F54856"/>
    <w:rsid w:val="00F54FE1"/>
    <w:rsid w:val="00F551EB"/>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67F"/>
    <w:rsid w:val="00F5789B"/>
    <w:rsid w:val="00F579FC"/>
    <w:rsid w:val="00F57FD9"/>
    <w:rsid w:val="00F601CA"/>
    <w:rsid w:val="00F60277"/>
    <w:rsid w:val="00F6065E"/>
    <w:rsid w:val="00F60860"/>
    <w:rsid w:val="00F6089D"/>
    <w:rsid w:val="00F60C74"/>
    <w:rsid w:val="00F60DEE"/>
    <w:rsid w:val="00F61342"/>
    <w:rsid w:val="00F61602"/>
    <w:rsid w:val="00F6161C"/>
    <w:rsid w:val="00F61841"/>
    <w:rsid w:val="00F61A57"/>
    <w:rsid w:val="00F61DE6"/>
    <w:rsid w:val="00F61E93"/>
    <w:rsid w:val="00F623EC"/>
    <w:rsid w:val="00F62773"/>
    <w:rsid w:val="00F62975"/>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1AD6"/>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684"/>
    <w:rsid w:val="00F759AD"/>
    <w:rsid w:val="00F75B58"/>
    <w:rsid w:val="00F75BDF"/>
    <w:rsid w:val="00F761D1"/>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C67"/>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633"/>
    <w:rsid w:val="00FA0942"/>
    <w:rsid w:val="00FA0AC9"/>
    <w:rsid w:val="00FA12CC"/>
    <w:rsid w:val="00FA188C"/>
    <w:rsid w:val="00FA1CD2"/>
    <w:rsid w:val="00FA1FF2"/>
    <w:rsid w:val="00FA2910"/>
    <w:rsid w:val="00FA2948"/>
    <w:rsid w:val="00FA29F4"/>
    <w:rsid w:val="00FA2B04"/>
    <w:rsid w:val="00FA2CAA"/>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17B"/>
    <w:rsid w:val="00FB4260"/>
    <w:rsid w:val="00FB4411"/>
    <w:rsid w:val="00FB4413"/>
    <w:rsid w:val="00FB4635"/>
    <w:rsid w:val="00FB4D65"/>
    <w:rsid w:val="00FB5001"/>
    <w:rsid w:val="00FB56CA"/>
    <w:rsid w:val="00FB5954"/>
    <w:rsid w:val="00FB5B4B"/>
    <w:rsid w:val="00FB5B5B"/>
    <w:rsid w:val="00FB5BD1"/>
    <w:rsid w:val="00FB5EDF"/>
    <w:rsid w:val="00FB60A1"/>
    <w:rsid w:val="00FB6695"/>
    <w:rsid w:val="00FB689B"/>
    <w:rsid w:val="00FB6963"/>
    <w:rsid w:val="00FB7222"/>
    <w:rsid w:val="00FB7397"/>
    <w:rsid w:val="00FB798A"/>
    <w:rsid w:val="00FB7B35"/>
    <w:rsid w:val="00FC012F"/>
    <w:rsid w:val="00FC0253"/>
    <w:rsid w:val="00FC05FC"/>
    <w:rsid w:val="00FC060B"/>
    <w:rsid w:val="00FC085C"/>
    <w:rsid w:val="00FC0CDF"/>
    <w:rsid w:val="00FC0D3E"/>
    <w:rsid w:val="00FC0D7C"/>
    <w:rsid w:val="00FC1208"/>
    <w:rsid w:val="00FC1337"/>
    <w:rsid w:val="00FC1411"/>
    <w:rsid w:val="00FC163A"/>
    <w:rsid w:val="00FC16FB"/>
    <w:rsid w:val="00FC17D5"/>
    <w:rsid w:val="00FC183A"/>
    <w:rsid w:val="00FC19F5"/>
    <w:rsid w:val="00FC237D"/>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53"/>
    <w:rsid w:val="00FC5F90"/>
    <w:rsid w:val="00FC6104"/>
    <w:rsid w:val="00FC6135"/>
    <w:rsid w:val="00FC64F3"/>
    <w:rsid w:val="00FC6527"/>
    <w:rsid w:val="00FC66AD"/>
    <w:rsid w:val="00FC6AE5"/>
    <w:rsid w:val="00FC72E0"/>
    <w:rsid w:val="00FC74EA"/>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7F"/>
    <w:rsid w:val="00FF40CC"/>
    <w:rsid w:val="00FF465F"/>
    <w:rsid w:val="00FF4BC9"/>
    <w:rsid w:val="00FF4EB5"/>
    <w:rsid w:val="00FF5893"/>
    <w:rsid w:val="00FF5F7D"/>
    <w:rsid w:val="00FF6062"/>
    <w:rsid w:val="00FF6076"/>
    <w:rsid w:val="00FF636B"/>
    <w:rsid w:val="00FF6518"/>
    <w:rsid w:val="00FF6684"/>
    <w:rsid w:val="00FF66BB"/>
    <w:rsid w:val="00FF675D"/>
    <w:rsid w:val="00FF6779"/>
    <w:rsid w:val="00FF67A4"/>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A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19997634">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763621">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3&amp;numero=2943&amp;colegiado=P" TargetMode="External"/><Relationship Id="rId18" Type="http://schemas.openxmlformats.org/officeDocument/2006/relationships/hyperlink" Target="mailto:infojuris@tcu.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s.tcu.gov.br/juris/SvlProxyHighlight?base=ACORDAO&amp;ano=2009&amp;numero=819&amp;colegiado=P" TargetMode="External"/><Relationship Id="rId17" Type="http://schemas.openxmlformats.org/officeDocument/2006/relationships/hyperlink" Target="https://contas.tcu.gov.br/juris/SvlProxyHighlight?base=ACORDAO&amp;ano=2015&amp;numero=2637&amp;colegiado=P" TargetMode="External"/><Relationship Id="rId2" Type="http://schemas.openxmlformats.org/officeDocument/2006/relationships/numbering" Target="numbering.xml"/><Relationship Id="rId16" Type="http://schemas.openxmlformats.org/officeDocument/2006/relationships/hyperlink" Target="https://contas.tcu.gov.br/juris/SvlProxyHighlight?base=ACORDAO&amp;ano=2014&amp;numero=694&amp;colegiado=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07&amp;numero=2170&amp;colegiado=P" TargetMode="External"/><Relationship Id="rId5" Type="http://schemas.openxmlformats.org/officeDocument/2006/relationships/webSettings" Target="webSettings.xml"/><Relationship Id="rId15" Type="http://schemas.openxmlformats.org/officeDocument/2006/relationships/hyperlink" Target="https://contas.tcu.gov.br/juris/SvlProxyHighlight?base=ACORDAO&amp;ano=2009&amp;numero=3037&amp;colegiado=P" TargetMode="External"/><Relationship Id="rId10" Type="http://schemas.openxmlformats.org/officeDocument/2006/relationships/hyperlink" Target="https://contas.tcu.gov.br/juris/SvlProxyHighlight?base=ACORDAO&amp;ano=2015&amp;numero=2636&amp;colegiado=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2616&amp;colegiado=P" TargetMode="External"/><Relationship Id="rId14" Type="http://schemas.openxmlformats.org/officeDocument/2006/relationships/hyperlink" Target="https://contas.tcu.gov.br/juris/SvlProxyHighlight?base=ACORDAO&amp;ano=2015&amp;numero=2637&amp;colegiado=P"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3B12D-A074-442D-BA22-080F3980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3118</Words>
  <Characters>16839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19918</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Sergio Ricardo de Mendonca Salustiano</cp:lastModifiedBy>
  <cp:revision>15</cp:revision>
  <cp:lastPrinted>2015-05-05T13:18:00Z</cp:lastPrinted>
  <dcterms:created xsi:type="dcterms:W3CDTF">2015-11-04T16:18:00Z</dcterms:created>
  <dcterms:modified xsi:type="dcterms:W3CDTF">2015-11-04T17:31:00Z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