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E3" w:rsidRDefault="005D5677" w:rsidP="004D2696">
      <w:pPr>
        <w:pStyle w:val="Tabela-Normal"/>
      </w:pPr>
      <w:r w:rsidRPr="005D5677">
        <w:rPr>
          <w:rFonts w:eastAsia="Calibri"/>
          <w:noProof/>
          <w:lang w:eastAsia="pt-BR"/>
        </w:rPr>
        <w:drawing>
          <wp:inline distT="0" distB="0" distL="0" distR="0" wp14:anchorId="6EEA97ED" wp14:editId="38D3411B">
            <wp:extent cx="6108700" cy="781050"/>
            <wp:effectExtent l="0" t="0" r="6350" b="0"/>
            <wp:docPr id="3" name="Imagem 3" descr="Banner-info-lic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anner-info-lici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CD" w:rsidRPr="002143CD" w:rsidRDefault="002143CD" w:rsidP="002143CD">
      <w:pPr>
        <w:pStyle w:val="Ttulo8"/>
        <w:tabs>
          <w:tab w:val="right" w:pos="4423"/>
        </w:tabs>
        <w:spacing w:before="0"/>
        <w:ind w:left="0"/>
        <w:jc w:val="center"/>
      </w:pPr>
    </w:p>
    <w:p w:rsidR="00D60327" w:rsidRDefault="002F3875" w:rsidP="0055771A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b/>
          <w:i w:val="0"/>
          <w:sz w:val="22"/>
          <w:szCs w:val="22"/>
        </w:rPr>
        <w:t>Número 2</w:t>
      </w:r>
      <w:r w:rsidR="00AB0D26">
        <w:rPr>
          <w:rFonts w:ascii="Times New Roman" w:hAnsi="Times New Roman"/>
          <w:b/>
          <w:i w:val="0"/>
          <w:sz w:val="22"/>
          <w:szCs w:val="22"/>
          <w:lang w:val="pt-BR"/>
        </w:rPr>
        <w:t>67</w:t>
      </w:r>
    </w:p>
    <w:p w:rsidR="00C61626" w:rsidRPr="003A0B0D" w:rsidRDefault="00681D68" w:rsidP="0055771A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b/>
          <w:i w:val="0"/>
          <w:sz w:val="22"/>
          <w:szCs w:val="22"/>
          <w:lang w:val="pt-BR"/>
        </w:rPr>
        <w:t>Sessões</w:t>
      </w:r>
      <w:r w:rsidR="0008246E" w:rsidRPr="003A0B0D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3A0B0D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AB0D26">
        <w:rPr>
          <w:rFonts w:ascii="Times New Roman" w:hAnsi="Times New Roman"/>
          <w:b/>
          <w:i w:val="0"/>
          <w:sz w:val="22"/>
          <w:szCs w:val="22"/>
          <w:lang w:val="pt-BR"/>
        </w:rPr>
        <w:t>10</w:t>
      </w:r>
      <w:r w:rsidR="004301EC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</w:t>
      </w:r>
      <w:r w:rsidR="00340266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e </w:t>
      </w:r>
      <w:r w:rsidR="00AB0D26">
        <w:rPr>
          <w:rFonts w:ascii="Times New Roman" w:hAnsi="Times New Roman"/>
          <w:b/>
          <w:i w:val="0"/>
          <w:sz w:val="22"/>
          <w:szCs w:val="22"/>
          <w:lang w:val="pt-BR"/>
        </w:rPr>
        <w:t>11</w:t>
      </w:r>
      <w:r w:rsidR="00340266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</w:t>
      </w:r>
      <w:r w:rsidR="00005A0B" w:rsidRPr="003A0B0D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de </w:t>
      </w:r>
      <w:r w:rsidR="00E425C5">
        <w:rPr>
          <w:rFonts w:ascii="Times New Roman" w:hAnsi="Times New Roman"/>
          <w:b/>
          <w:i w:val="0"/>
          <w:sz w:val="22"/>
          <w:szCs w:val="22"/>
          <w:lang w:val="pt-BR"/>
        </w:rPr>
        <w:t>novem</w:t>
      </w:r>
      <w:r w:rsidR="00027A8F">
        <w:rPr>
          <w:rFonts w:ascii="Times New Roman" w:hAnsi="Times New Roman"/>
          <w:b/>
          <w:i w:val="0"/>
          <w:sz w:val="22"/>
          <w:szCs w:val="22"/>
          <w:lang w:val="pt-BR"/>
        </w:rPr>
        <w:t>b</w:t>
      </w:r>
      <w:r w:rsidR="00771BAD">
        <w:rPr>
          <w:rFonts w:ascii="Times New Roman" w:hAnsi="Times New Roman"/>
          <w:b/>
          <w:i w:val="0"/>
          <w:sz w:val="22"/>
          <w:szCs w:val="22"/>
          <w:lang w:val="pt-BR"/>
        </w:rPr>
        <w:t>r</w:t>
      </w:r>
      <w:r w:rsidR="00975EA5">
        <w:rPr>
          <w:rFonts w:ascii="Times New Roman" w:hAnsi="Times New Roman"/>
          <w:b/>
          <w:i w:val="0"/>
          <w:sz w:val="22"/>
          <w:szCs w:val="22"/>
          <w:lang w:val="pt-BR"/>
        </w:rPr>
        <w:t>o</w:t>
      </w:r>
      <w:r w:rsidR="00E15D59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</w:t>
      </w:r>
      <w:r w:rsidR="00340266">
        <w:rPr>
          <w:rFonts w:ascii="Times New Roman" w:hAnsi="Times New Roman"/>
          <w:b/>
          <w:i w:val="0"/>
          <w:sz w:val="22"/>
          <w:szCs w:val="22"/>
          <w:lang w:val="pt-BR"/>
        </w:rPr>
        <w:t>d</w:t>
      </w:r>
      <w:r w:rsidR="00E15D59">
        <w:rPr>
          <w:rFonts w:ascii="Times New Roman" w:hAnsi="Times New Roman"/>
          <w:b/>
          <w:i w:val="0"/>
          <w:sz w:val="22"/>
          <w:szCs w:val="22"/>
          <w:lang w:val="pt-BR"/>
        </w:rPr>
        <w:t>e</w:t>
      </w:r>
      <w:r w:rsidR="000C5536" w:rsidRPr="003A0B0D">
        <w:rPr>
          <w:rFonts w:ascii="Times New Roman" w:hAnsi="Times New Roman"/>
          <w:b/>
          <w:i w:val="0"/>
          <w:sz w:val="22"/>
          <w:szCs w:val="22"/>
        </w:rPr>
        <w:t xml:space="preserve"> 201</w:t>
      </w:r>
      <w:r w:rsidR="00460BA7">
        <w:rPr>
          <w:rFonts w:ascii="Times New Roman" w:hAnsi="Times New Roman"/>
          <w:b/>
          <w:i w:val="0"/>
          <w:sz w:val="22"/>
          <w:szCs w:val="22"/>
          <w:lang w:val="pt-BR"/>
        </w:rPr>
        <w:t>5</w:t>
      </w:r>
    </w:p>
    <w:p w:rsidR="005D6E13" w:rsidRPr="005D6E13" w:rsidRDefault="005D6E13" w:rsidP="0055771A">
      <w:pPr>
        <w:pStyle w:val="Corpodetexto2"/>
        <w:spacing w:after="60" w:line="240" w:lineRule="auto"/>
        <w:ind w:left="0"/>
        <w:rPr>
          <w:sz w:val="22"/>
          <w:szCs w:val="22"/>
          <w:lang w:val="pt-BR"/>
        </w:rPr>
      </w:pPr>
      <w:r w:rsidRPr="005D6E13">
        <w:rPr>
          <w:sz w:val="22"/>
          <w:szCs w:val="22"/>
          <w:lang w:val="pt-BR"/>
        </w:rPr>
        <w:t xml:space="preserve">Este Informativo contém informações sintéticas de decisões proferidas pelos Colegiados do TCU, relativas à área de Licitação e Contratos, que receberam indicação de relevância sob o prisma jurisprudencial no período acima indicado. O objetivo é facilitar ao interessado o acompanhamento dos acórdãos mais importantes do Tribunal na área. Para aprofundamento, o leitor pode acessar o inteiro teor das deliberações por meio dos </w:t>
      </w:r>
      <w:r w:rsidRPr="005D6E13">
        <w:rPr>
          <w:i/>
          <w:iCs/>
          <w:sz w:val="22"/>
          <w:szCs w:val="22"/>
          <w:lang w:val="pt-BR"/>
        </w:rPr>
        <w:t xml:space="preserve">links </w:t>
      </w:r>
      <w:r w:rsidRPr="005D6E13">
        <w:rPr>
          <w:sz w:val="22"/>
          <w:szCs w:val="22"/>
          <w:lang w:val="pt-BR"/>
        </w:rPr>
        <w:t xml:space="preserve">disponíveis. As informações aqui apresentadas não são </w:t>
      </w:r>
      <w:proofErr w:type="gramStart"/>
      <w:r w:rsidRPr="005D6E13">
        <w:rPr>
          <w:sz w:val="22"/>
          <w:szCs w:val="22"/>
          <w:lang w:val="pt-BR"/>
        </w:rPr>
        <w:t>repositórios</w:t>
      </w:r>
      <w:proofErr w:type="gramEnd"/>
      <w:r w:rsidRPr="005D6E13">
        <w:rPr>
          <w:sz w:val="22"/>
          <w:szCs w:val="22"/>
          <w:lang w:val="pt-BR"/>
        </w:rPr>
        <w:t xml:space="preserve"> oficiais de jurisprudência.</w:t>
      </w:r>
    </w:p>
    <w:p w:rsidR="0008246E" w:rsidRDefault="0008246E" w:rsidP="0063634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3A0B0D">
        <w:rPr>
          <w:b/>
          <w:bCs/>
          <w:smallCaps/>
          <w:sz w:val="22"/>
          <w:szCs w:val="22"/>
        </w:rPr>
        <w:t>SUMÁRIO</w:t>
      </w:r>
    </w:p>
    <w:p w:rsidR="00960F5E" w:rsidRDefault="00960F5E" w:rsidP="001048BD">
      <w:pPr>
        <w:pStyle w:val="Default"/>
        <w:spacing w:after="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Plenário </w:t>
      </w:r>
    </w:p>
    <w:p w:rsidR="00960F5E" w:rsidRDefault="00960F5E" w:rsidP="001048BD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>
        <w:rPr>
          <w:sz w:val="22"/>
          <w:szCs w:val="22"/>
        </w:rPr>
        <w:t xml:space="preserve">1. </w:t>
      </w:r>
      <w:r w:rsidR="00E7527D" w:rsidRPr="00E7527D">
        <w:rPr>
          <w:sz w:val="22"/>
          <w:szCs w:val="22"/>
        </w:rPr>
        <w:t>Nas licitações para concessão de prestação de serviço público, caso se adote a inversão da ordem das fases de habilitação e julgamento (art. 18-A da Lei 8.987/95), admite-se a utilização dos prazos previstos no art. 45, inciso I, da Lei 12.462/11, para integrar a lacuna quanto ao prazo de impugnação do edital.</w:t>
      </w:r>
    </w:p>
    <w:p w:rsidR="00BC5C14" w:rsidRDefault="00152DBC" w:rsidP="001048BD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>Segunda Câmara</w:t>
      </w:r>
    </w:p>
    <w:p w:rsidR="007D2E8B" w:rsidRDefault="00960F5E" w:rsidP="001048BD">
      <w:pPr>
        <w:shd w:val="clear" w:color="auto" w:fill="FFFFFF"/>
        <w:spacing w:after="60"/>
        <w:ind w:left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</w:t>
      </w:r>
      <w:r w:rsidR="008602D0">
        <w:rPr>
          <w:rFonts w:eastAsia="Times New Roman"/>
          <w:sz w:val="22"/>
          <w:szCs w:val="22"/>
        </w:rPr>
        <w:t xml:space="preserve">. </w:t>
      </w:r>
      <w:r w:rsidR="00E7527D" w:rsidRPr="00E7527D">
        <w:rPr>
          <w:rFonts w:eastAsia="Times New Roman"/>
          <w:sz w:val="22"/>
          <w:szCs w:val="22"/>
        </w:rPr>
        <w:t>É obrigatória a divulgação do preço de referência em editais de licitação, na modalidade pregão, quando for utilizado como critério de aceitabilidade das propostas.</w:t>
      </w:r>
    </w:p>
    <w:p w:rsidR="003D13D2" w:rsidRPr="003D13D2" w:rsidRDefault="00960F5E" w:rsidP="001048BD">
      <w:pPr>
        <w:shd w:val="clear" w:color="auto" w:fill="FFFFFF"/>
        <w:spacing w:after="60"/>
        <w:ind w:left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</w:t>
      </w:r>
      <w:r w:rsidR="00152DBC">
        <w:rPr>
          <w:rFonts w:eastAsia="Times New Roman"/>
          <w:sz w:val="22"/>
          <w:szCs w:val="22"/>
        </w:rPr>
        <w:t xml:space="preserve">. </w:t>
      </w:r>
      <w:r w:rsidR="00D31D33" w:rsidRPr="00D31D33">
        <w:rPr>
          <w:rFonts w:eastAsia="Times New Roman"/>
          <w:sz w:val="22"/>
          <w:szCs w:val="22"/>
        </w:rPr>
        <w:t>A publicação do preço de referência por meio do resumo da Intenção de Registro de Preço</w:t>
      </w:r>
      <w:r w:rsidR="00763C69">
        <w:rPr>
          <w:rFonts w:eastAsia="Times New Roman"/>
          <w:sz w:val="22"/>
          <w:szCs w:val="22"/>
        </w:rPr>
        <w:t>s</w:t>
      </w:r>
      <w:r w:rsidR="00D31D33" w:rsidRPr="00D31D33">
        <w:rPr>
          <w:rFonts w:eastAsia="Times New Roman"/>
          <w:sz w:val="22"/>
          <w:szCs w:val="22"/>
        </w:rPr>
        <w:t xml:space="preserve"> no portal Comprasnet não supre a não inclusão no edital, pois a divulgação do preço referencial no instrumento convocatório garante ao licitante o direito à impugnação, notadamente quanto às regras de aceitabilidade da proposta.</w:t>
      </w:r>
      <w:r w:rsidR="003D13D2" w:rsidRPr="003D13D2">
        <w:rPr>
          <w:rFonts w:eastAsia="Times New Roman"/>
          <w:sz w:val="22"/>
          <w:szCs w:val="22"/>
        </w:rPr>
        <w:t xml:space="preserve">      </w:t>
      </w:r>
    </w:p>
    <w:p w:rsidR="00C80EE4" w:rsidRPr="00CB7ADF" w:rsidRDefault="00C80EE4" w:rsidP="001048BD">
      <w:pPr>
        <w:spacing w:after="60"/>
        <w:ind w:left="0"/>
        <w:rPr>
          <w:rFonts w:eastAsia="Times New Roman"/>
          <w:b/>
          <w:color w:val="000000"/>
          <w:sz w:val="22"/>
          <w:szCs w:val="22"/>
          <w:lang w:eastAsia="pt-BR"/>
        </w:rPr>
      </w:pPr>
      <w:r w:rsidRPr="00CB7ADF">
        <w:rPr>
          <w:rFonts w:eastAsia="Times New Roman"/>
          <w:b/>
          <w:color w:val="000000"/>
          <w:sz w:val="22"/>
          <w:szCs w:val="22"/>
          <w:lang w:eastAsia="pt-BR"/>
        </w:rPr>
        <w:t>Inovação Legislativa</w:t>
      </w:r>
    </w:p>
    <w:p w:rsidR="00D50CE9" w:rsidRPr="001048BD" w:rsidRDefault="001048BD" w:rsidP="001048BD">
      <w:pPr>
        <w:spacing w:after="60"/>
        <w:ind w:left="0"/>
        <w:rPr>
          <w:rFonts w:eastAsia="Times New Roman"/>
          <w:color w:val="000000"/>
          <w:sz w:val="22"/>
          <w:szCs w:val="22"/>
          <w:lang w:eastAsia="pt-BR"/>
        </w:rPr>
      </w:pPr>
      <w:r>
        <w:rPr>
          <w:rFonts w:eastAsia="Times New Roman"/>
          <w:color w:val="000000"/>
          <w:sz w:val="22"/>
          <w:szCs w:val="22"/>
          <w:lang w:eastAsia="pt-BR"/>
        </w:rPr>
        <w:t>Lei 13.190, de 19/11</w:t>
      </w:r>
      <w:r w:rsidR="00C80EE4">
        <w:rPr>
          <w:rFonts w:eastAsia="Times New Roman"/>
          <w:color w:val="000000"/>
          <w:sz w:val="22"/>
          <w:szCs w:val="22"/>
          <w:lang w:eastAsia="pt-BR"/>
        </w:rPr>
        <w:t>/15.</w:t>
      </w:r>
    </w:p>
    <w:p w:rsidR="00846D10" w:rsidRDefault="00B31187" w:rsidP="00492AF9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PLENÁRIO</w:t>
      </w:r>
    </w:p>
    <w:p w:rsidR="00921705" w:rsidRPr="003436F1" w:rsidRDefault="00921705" w:rsidP="00B84CBC">
      <w:pPr>
        <w:shd w:val="clear" w:color="auto" w:fill="FFFFFF"/>
        <w:spacing w:after="0"/>
        <w:ind w:left="0"/>
        <w:rPr>
          <w:rFonts w:eastAsia="Times New Roman"/>
          <w:b/>
          <w:i/>
          <w:color w:val="000000"/>
          <w:sz w:val="22"/>
          <w:szCs w:val="22"/>
          <w:lang w:eastAsia="pt-BR"/>
        </w:rPr>
      </w:pPr>
    </w:p>
    <w:p w:rsidR="008602D0" w:rsidRPr="00AE7519" w:rsidRDefault="008602D0" w:rsidP="006F44C9">
      <w:pPr>
        <w:shd w:val="clear" w:color="auto" w:fill="FFFFFF"/>
        <w:spacing w:after="0"/>
        <w:ind w:left="0"/>
        <w:rPr>
          <w:rFonts w:eastAsia="Times New Roman"/>
          <w:b/>
          <w:i/>
          <w:sz w:val="22"/>
          <w:szCs w:val="22"/>
        </w:rPr>
      </w:pPr>
      <w:r w:rsidRPr="00AE7519">
        <w:rPr>
          <w:rFonts w:eastAsia="Times New Roman"/>
          <w:b/>
          <w:sz w:val="22"/>
          <w:szCs w:val="22"/>
        </w:rPr>
        <w:t xml:space="preserve">1. </w:t>
      </w:r>
      <w:r w:rsidR="00E7527D" w:rsidRPr="00AE7519">
        <w:rPr>
          <w:rFonts w:eastAsia="Times New Roman"/>
          <w:b/>
          <w:sz w:val="22"/>
          <w:szCs w:val="22"/>
        </w:rPr>
        <w:t>Nas licitações para concessão de prestação de serviço público, caso se adote a inversão da ordem das fases de habilitação e julgamento (art. 18-A da Lei 8.987/95), admite-se a utilização dos prazos previstos no art. 45, inciso I, da Lei 12.462/11, para integrar a lacuna quanto ao prazo de impugnação do edital.</w:t>
      </w:r>
    </w:p>
    <w:p w:rsidR="00DD263E" w:rsidRPr="00AE7519" w:rsidRDefault="0011599F" w:rsidP="00672955">
      <w:pPr>
        <w:spacing w:after="0"/>
        <w:ind w:left="0"/>
        <w:rPr>
          <w:sz w:val="22"/>
          <w:szCs w:val="22"/>
        </w:rPr>
      </w:pPr>
      <w:r w:rsidRPr="00AE7519">
        <w:rPr>
          <w:rFonts w:eastAsia="Times New Roman"/>
          <w:sz w:val="22"/>
          <w:szCs w:val="22"/>
        </w:rPr>
        <w:t>N</w:t>
      </w:r>
      <w:r w:rsidR="00F57AD6" w:rsidRPr="00AE7519">
        <w:rPr>
          <w:rFonts w:eastAsia="Times New Roman"/>
          <w:sz w:val="22"/>
          <w:szCs w:val="22"/>
        </w:rPr>
        <w:t xml:space="preserve">o âmbito do segundo estágio de fiscalização do processo de desestatização </w:t>
      </w:r>
      <w:r w:rsidR="00D345AF" w:rsidRPr="00AE7519">
        <w:rPr>
          <w:rFonts w:eastAsia="Times New Roman"/>
          <w:sz w:val="22"/>
          <w:szCs w:val="22"/>
        </w:rPr>
        <w:t xml:space="preserve">referente à outorga da concessão da operação da Usina Hidrelétrica (UHE) Três Irmãos, </w:t>
      </w:r>
      <w:r w:rsidR="00635F1B" w:rsidRPr="00AE7519">
        <w:rPr>
          <w:rFonts w:eastAsia="Times New Roman"/>
          <w:sz w:val="22"/>
          <w:szCs w:val="22"/>
        </w:rPr>
        <w:t>a</w:t>
      </w:r>
      <w:r w:rsidR="0076786E" w:rsidRPr="00AE7519">
        <w:rPr>
          <w:rFonts w:eastAsia="Times New Roman"/>
          <w:sz w:val="22"/>
          <w:szCs w:val="22"/>
        </w:rPr>
        <w:t xml:space="preserve"> unidade técni</w:t>
      </w:r>
      <w:r w:rsidR="003C71B1" w:rsidRPr="00AE7519">
        <w:rPr>
          <w:rFonts w:eastAsia="Times New Roman"/>
          <w:sz w:val="22"/>
          <w:szCs w:val="22"/>
        </w:rPr>
        <w:t>ca identificou</w:t>
      </w:r>
      <w:r w:rsidR="0076786E" w:rsidRPr="00AE7519">
        <w:rPr>
          <w:rFonts w:eastAsia="Times New Roman"/>
          <w:sz w:val="22"/>
          <w:szCs w:val="22"/>
        </w:rPr>
        <w:t xml:space="preserve"> que </w:t>
      </w:r>
      <w:r w:rsidR="00635F1B" w:rsidRPr="00AE7519">
        <w:rPr>
          <w:rFonts w:eastAsia="Times New Roman"/>
          <w:sz w:val="22"/>
          <w:szCs w:val="22"/>
        </w:rPr>
        <w:t>dispositivos do</w:t>
      </w:r>
      <w:r w:rsidRPr="00AE7519">
        <w:rPr>
          <w:rFonts w:eastAsia="Times New Roman"/>
          <w:sz w:val="22"/>
          <w:szCs w:val="22"/>
        </w:rPr>
        <w:t xml:space="preserve"> edital do Leilão 2/2014, conduzido pela Agência Nacional de Energia Elétrica (Aneel), </w:t>
      </w:r>
      <w:r w:rsidR="0076786E" w:rsidRPr="00AE7519">
        <w:rPr>
          <w:rFonts w:eastAsia="Times New Roman"/>
          <w:sz w:val="22"/>
          <w:szCs w:val="22"/>
        </w:rPr>
        <w:t>estabelec</w:t>
      </w:r>
      <w:r w:rsidR="00635F1B" w:rsidRPr="00AE7519">
        <w:rPr>
          <w:rFonts w:eastAsia="Times New Roman"/>
          <w:sz w:val="22"/>
          <w:szCs w:val="22"/>
        </w:rPr>
        <w:t xml:space="preserve">iam </w:t>
      </w:r>
      <w:r w:rsidR="0076786E" w:rsidRPr="00AE7519">
        <w:rPr>
          <w:rFonts w:eastAsia="Times New Roman"/>
          <w:sz w:val="22"/>
          <w:szCs w:val="22"/>
        </w:rPr>
        <w:t xml:space="preserve">prazo </w:t>
      </w:r>
      <w:r w:rsidR="003F49EE" w:rsidRPr="00AE7519">
        <w:rPr>
          <w:rFonts w:eastAsia="Times New Roman"/>
          <w:sz w:val="22"/>
          <w:szCs w:val="22"/>
        </w:rPr>
        <w:t xml:space="preserve">para pedidos de esclarecimentos e impugnação </w:t>
      </w:r>
      <w:r w:rsidRPr="00AE7519">
        <w:rPr>
          <w:rFonts w:eastAsia="Times New Roman"/>
          <w:sz w:val="22"/>
          <w:szCs w:val="22"/>
        </w:rPr>
        <w:t xml:space="preserve">do edital </w:t>
      </w:r>
      <w:r w:rsidR="0076786E" w:rsidRPr="00AE7519">
        <w:rPr>
          <w:rFonts w:eastAsia="Times New Roman"/>
          <w:sz w:val="22"/>
          <w:szCs w:val="22"/>
        </w:rPr>
        <w:t xml:space="preserve">de até </w:t>
      </w:r>
      <w:r w:rsidR="00580983" w:rsidRPr="00AE7519">
        <w:rPr>
          <w:rFonts w:eastAsia="Times New Roman"/>
          <w:sz w:val="22"/>
          <w:szCs w:val="22"/>
        </w:rPr>
        <w:t>dez</w:t>
      </w:r>
      <w:r w:rsidR="0076786E" w:rsidRPr="00AE7519">
        <w:rPr>
          <w:rFonts w:eastAsia="Times New Roman"/>
          <w:sz w:val="22"/>
          <w:szCs w:val="22"/>
        </w:rPr>
        <w:t xml:space="preserve"> dias úteis antes da data de realização da sessão pública do certame</w:t>
      </w:r>
      <w:r w:rsidR="00842B8E" w:rsidRPr="00AE7519">
        <w:rPr>
          <w:rFonts w:eastAsia="Times New Roman"/>
          <w:sz w:val="22"/>
          <w:szCs w:val="22"/>
        </w:rPr>
        <w:t>.</w:t>
      </w:r>
      <w:r w:rsidR="0076786E" w:rsidRPr="00AE7519">
        <w:rPr>
          <w:rFonts w:eastAsia="Times New Roman"/>
          <w:sz w:val="22"/>
          <w:szCs w:val="22"/>
        </w:rPr>
        <w:t xml:space="preserve"> </w:t>
      </w:r>
      <w:r w:rsidR="00635F1B" w:rsidRPr="00AE7519">
        <w:rPr>
          <w:rFonts w:eastAsia="Times New Roman"/>
          <w:sz w:val="22"/>
          <w:szCs w:val="22"/>
        </w:rPr>
        <w:t>Tais dispositivos</w:t>
      </w:r>
      <w:r w:rsidR="003C71B1" w:rsidRPr="00AE7519">
        <w:rPr>
          <w:rFonts w:eastAsia="Times New Roman"/>
          <w:sz w:val="22"/>
          <w:szCs w:val="22"/>
        </w:rPr>
        <w:t>,</w:t>
      </w:r>
      <w:r w:rsidR="0076786E" w:rsidRPr="00AE7519">
        <w:rPr>
          <w:rFonts w:eastAsia="Times New Roman"/>
          <w:sz w:val="22"/>
          <w:szCs w:val="22"/>
        </w:rPr>
        <w:t xml:space="preserve"> em </w:t>
      </w:r>
      <w:r w:rsidR="00842B8E" w:rsidRPr="00AE7519">
        <w:rPr>
          <w:rFonts w:eastAsia="Times New Roman"/>
          <w:sz w:val="22"/>
          <w:szCs w:val="22"/>
        </w:rPr>
        <w:t>princípio</w:t>
      </w:r>
      <w:r w:rsidR="003C71B1" w:rsidRPr="00AE7519">
        <w:rPr>
          <w:rFonts w:eastAsia="Times New Roman"/>
          <w:sz w:val="22"/>
          <w:szCs w:val="22"/>
        </w:rPr>
        <w:t>,</w:t>
      </w:r>
      <w:r w:rsidR="0076786E" w:rsidRPr="00AE7519">
        <w:rPr>
          <w:rFonts w:eastAsia="Times New Roman"/>
          <w:sz w:val="22"/>
          <w:szCs w:val="22"/>
        </w:rPr>
        <w:t xml:space="preserve"> conflitaria</w:t>
      </w:r>
      <w:r w:rsidR="00635F1B" w:rsidRPr="00AE7519">
        <w:rPr>
          <w:rFonts w:eastAsia="Times New Roman"/>
          <w:sz w:val="22"/>
          <w:szCs w:val="22"/>
        </w:rPr>
        <w:t>m</w:t>
      </w:r>
      <w:r w:rsidR="0076786E" w:rsidRPr="00AE7519">
        <w:rPr>
          <w:rFonts w:eastAsia="Times New Roman"/>
          <w:sz w:val="22"/>
          <w:szCs w:val="22"/>
        </w:rPr>
        <w:t xml:space="preserve"> com </w:t>
      </w:r>
      <w:r w:rsidR="00A33319" w:rsidRPr="00AE7519">
        <w:rPr>
          <w:rFonts w:eastAsia="Times New Roman"/>
          <w:sz w:val="22"/>
          <w:szCs w:val="22"/>
        </w:rPr>
        <w:t>os prazos mais exíguos</w:t>
      </w:r>
      <w:r w:rsidR="00A64D2F" w:rsidRPr="00AE7519">
        <w:rPr>
          <w:rFonts w:eastAsia="Times New Roman"/>
          <w:sz w:val="22"/>
          <w:szCs w:val="22"/>
        </w:rPr>
        <w:t xml:space="preserve"> </w:t>
      </w:r>
      <w:r w:rsidR="00A33319" w:rsidRPr="00AE7519">
        <w:rPr>
          <w:rFonts w:eastAsia="Times New Roman"/>
          <w:sz w:val="22"/>
          <w:szCs w:val="22"/>
        </w:rPr>
        <w:t>previstos</w:t>
      </w:r>
      <w:r w:rsidR="00A64D2F" w:rsidRPr="00AE7519">
        <w:rPr>
          <w:rFonts w:eastAsia="Times New Roman"/>
          <w:sz w:val="22"/>
          <w:szCs w:val="22"/>
        </w:rPr>
        <w:t xml:space="preserve"> no</w:t>
      </w:r>
      <w:r w:rsidR="00A33319" w:rsidRPr="00AE7519">
        <w:rPr>
          <w:rFonts w:eastAsia="Times New Roman"/>
          <w:sz w:val="22"/>
          <w:szCs w:val="22"/>
        </w:rPr>
        <w:t>s</w:t>
      </w:r>
      <w:r w:rsidR="00A64D2F" w:rsidRPr="00AE7519">
        <w:rPr>
          <w:rFonts w:eastAsia="Times New Roman"/>
          <w:sz w:val="22"/>
          <w:szCs w:val="22"/>
        </w:rPr>
        <w:t xml:space="preserve"> §§</w:t>
      </w:r>
      <w:r w:rsidR="003C71B1" w:rsidRPr="00AE7519">
        <w:rPr>
          <w:rFonts w:eastAsia="Times New Roman"/>
          <w:sz w:val="22"/>
          <w:szCs w:val="22"/>
        </w:rPr>
        <w:t xml:space="preserve"> </w:t>
      </w:r>
      <w:r w:rsidR="00A64D2F" w:rsidRPr="00AE7519">
        <w:rPr>
          <w:rFonts w:eastAsia="Times New Roman"/>
          <w:sz w:val="22"/>
          <w:szCs w:val="22"/>
        </w:rPr>
        <w:t>1º e 2º do</w:t>
      </w:r>
      <w:r w:rsidR="00F57AD6" w:rsidRPr="00AE7519">
        <w:rPr>
          <w:rFonts w:eastAsia="Times New Roman"/>
          <w:sz w:val="22"/>
          <w:szCs w:val="22"/>
        </w:rPr>
        <w:t xml:space="preserve"> art. 41 da Lei 8.666/93, </w:t>
      </w:r>
      <w:r w:rsidR="00A33319" w:rsidRPr="00AE7519">
        <w:rPr>
          <w:rFonts w:eastAsia="Times New Roman"/>
          <w:sz w:val="22"/>
          <w:szCs w:val="22"/>
        </w:rPr>
        <w:t>os quais tomam</w:t>
      </w:r>
      <w:r w:rsidR="00842B8E" w:rsidRPr="00AE7519">
        <w:rPr>
          <w:rFonts w:eastAsia="Times New Roman"/>
          <w:sz w:val="22"/>
          <w:szCs w:val="22"/>
        </w:rPr>
        <w:t xml:space="preserve"> como referência a sessão de abertura dos envelopes de habilitação.</w:t>
      </w:r>
      <w:r w:rsidR="00F57AD6" w:rsidRPr="00AE7519">
        <w:rPr>
          <w:rFonts w:eastAsia="Times New Roman"/>
          <w:sz w:val="22"/>
          <w:szCs w:val="22"/>
        </w:rPr>
        <w:t xml:space="preserve"> </w:t>
      </w:r>
      <w:r w:rsidR="00A33319" w:rsidRPr="00AE7519">
        <w:rPr>
          <w:rFonts w:eastAsia="Times New Roman"/>
          <w:sz w:val="22"/>
          <w:szCs w:val="22"/>
        </w:rPr>
        <w:t>Por outro lado</w:t>
      </w:r>
      <w:r w:rsidR="00E7307D" w:rsidRPr="00AE7519">
        <w:rPr>
          <w:rFonts w:eastAsia="Times New Roman"/>
          <w:sz w:val="22"/>
          <w:szCs w:val="22"/>
        </w:rPr>
        <w:t xml:space="preserve">, </w:t>
      </w:r>
      <w:r w:rsidR="001C402C" w:rsidRPr="00AE7519">
        <w:rPr>
          <w:rFonts w:eastAsia="Times New Roman"/>
          <w:sz w:val="22"/>
          <w:szCs w:val="22"/>
        </w:rPr>
        <w:t xml:space="preserve">a unidade técnica </w:t>
      </w:r>
      <w:r w:rsidR="003C71B1" w:rsidRPr="00AE7519">
        <w:rPr>
          <w:rFonts w:eastAsia="Times New Roman"/>
          <w:sz w:val="22"/>
          <w:szCs w:val="22"/>
        </w:rPr>
        <w:t>observou</w:t>
      </w:r>
      <w:r w:rsidR="00E7307D" w:rsidRPr="00AE7519">
        <w:rPr>
          <w:rFonts w:eastAsia="Times New Roman"/>
          <w:sz w:val="22"/>
          <w:szCs w:val="22"/>
        </w:rPr>
        <w:t xml:space="preserve"> que </w:t>
      </w:r>
      <w:r w:rsidR="00C57E8C" w:rsidRPr="00AE7519">
        <w:rPr>
          <w:rFonts w:eastAsia="Times New Roman"/>
          <w:sz w:val="22"/>
          <w:szCs w:val="22"/>
        </w:rPr>
        <w:t>n</w:t>
      </w:r>
      <w:r w:rsidR="00E7307D" w:rsidRPr="00AE7519">
        <w:rPr>
          <w:rFonts w:eastAsia="Times New Roman"/>
          <w:sz w:val="22"/>
          <w:szCs w:val="22"/>
        </w:rPr>
        <w:t xml:space="preserve">o leilão </w:t>
      </w:r>
      <w:r w:rsidR="00C57E8C" w:rsidRPr="00AE7519">
        <w:rPr>
          <w:rFonts w:eastAsia="Times New Roman"/>
          <w:sz w:val="22"/>
          <w:szCs w:val="22"/>
        </w:rPr>
        <w:t>sob exame</w:t>
      </w:r>
      <w:r w:rsidR="003C71B1" w:rsidRPr="00AE7519">
        <w:rPr>
          <w:rFonts w:eastAsia="Times New Roman"/>
          <w:sz w:val="22"/>
          <w:szCs w:val="22"/>
        </w:rPr>
        <w:t xml:space="preserve"> invertera</w:t>
      </w:r>
      <w:r w:rsidR="00C57E8C" w:rsidRPr="00AE7519">
        <w:rPr>
          <w:rFonts w:eastAsia="Times New Roman"/>
          <w:sz w:val="22"/>
          <w:szCs w:val="22"/>
        </w:rPr>
        <w:t>-se</w:t>
      </w:r>
      <w:r w:rsidR="00E7307D" w:rsidRPr="00AE7519">
        <w:rPr>
          <w:rFonts w:eastAsia="Times New Roman"/>
          <w:sz w:val="22"/>
          <w:szCs w:val="22"/>
        </w:rPr>
        <w:t xml:space="preserve"> a ordem de ocorrência das fases de habilitação e de julgamento</w:t>
      </w:r>
      <w:r w:rsidR="00635F1B" w:rsidRPr="00AE7519">
        <w:rPr>
          <w:rFonts w:eastAsia="Times New Roman"/>
          <w:sz w:val="22"/>
          <w:szCs w:val="22"/>
        </w:rPr>
        <w:t xml:space="preserve">, </w:t>
      </w:r>
      <w:r w:rsidR="00A33319" w:rsidRPr="00AE7519">
        <w:rPr>
          <w:rFonts w:eastAsia="Times New Roman"/>
          <w:sz w:val="22"/>
          <w:szCs w:val="22"/>
        </w:rPr>
        <w:t xml:space="preserve">com fundamento no art. 18-A da Lei 8.987/95, </w:t>
      </w:r>
      <w:r w:rsidR="00635F1B" w:rsidRPr="00AE7519">
        <w:rPr>
          <w:rFonts w:eastAsia="Times New Roman"/>
          <w:sz w:val="22"/>
          <w:szCs w:val="22"/>
        </w:rPr>
        <w:t>de</w:t>
      </w:r>
      <w:r w:rsidR="00E7307D" w:rsidRPr="00AE7519">
        <w:rPr>
          <w:rFonts w:eastAsia="Times New Roman"/>
          <w:sz w:val="22"/>
          <w:szCs w:val="22"/>
        </w:rPr>
        <w:t xml:space="preserve"> </w:t>
      </w:r>
      <w:r w:rsidR="00635F1B" w:rsidRPr="00AE7519">
        <w:rPr>
          <w:rFonts w:eastAsia="Times New Roman"/>
          <w:sz w:val="22"/>
          <w:szCs w:val="22"/>
        </w:rPr>
        <w:t>modo que</w:t>
      </w:r>
      <w:r w:rsidR="00E7307D" w:rsidRPr="00AE7519">
        <w:rPr>
          <w:rFonts w:eastAsia="Times New Roman"/>
          <w:sz w:val="22"/>
          <w:szCs w:val="22"/>
        </w:rPr>
        <w:t xml:space="preserve"> a habilitação ocorr</w:t>
      </w:r>
      <w:r w:rsidR="00635F1B" w:rsidRPr="00AE7519">
        <w:rPr>
          <w:rFonts w:eastAsia="Times New Roman"/>
          <w:sz w:val="22"/>
          <w:szCs w:val="22"/>
        </w:rPr>
        <w:t>eria</w:t>
      </w:r>
      <w:r w:rsidR="00E7307D" w:rsidRPr="00AE7519">
        <w:rPr>
          <w:rFonts w:eastAsia="Times New Roman"/>
          <w:sz w:val="22"/>
          <w:szCs w:val="22"/>
        </w:rPr>
        <w:t xml:space="preserve"> apenas após a sessão pública do leilão. Tal situação afastaria a aplicação, ao caso concreto, dos prazos previ</w:t>
      </w:r>
      <w:r w:rsidR="00B80124" w:rsidRPr="00AE7519">
        <w:rPr>
          <w:rFonts w:eastAsia="Times New Roman"/>
          <w:sz w:val="22"/>
          <w:szCs w:val="22"/>
        </w:rPr>
        <w:t>stos nos §§</w:t>
      </w:r>
      <w:r w:rsidR="003C71B1" w:rsidRPr="00AE7519">
        <w:rPr>
          <w:rFonts w:eastAsia="Times New Roman"/>
          <w:sz w:val="22"/>
          <w:szCs w:val="22"/>
        </w:rPr>
        <w:t xml:space="preserve"> </w:t>
      </w:r>
      <w:r w:rsidR="00E7307D" w:rsidRPr="00AE7519">
        <w:rPr>
          <w:rFonts w:eastAsia="Times New Roman"/>
          <w:sz w:val="22"/>
          <w:szCs w:val="22"/>
        </w:rPr>
        <w:t xml:space="preserve">1º e 2º, </w:t>
      </w:r>
      <w:r w:rsidR="003F49EE" w:rsidRPr="00AE7519">
        <w:rPr>
          <w:rFonts w:eastAsia="Times New Roman"/>
          <w:sz w:val="22"/>
          <w:szCs w:val="22"/>
        </w:rPr>
        <w:t>do art. 41 da Lei 8.666/</w:t>
      </w:r>
      <w:r w:rsidR="00DB28A2" w:rsidRPr="00AE7519">
        <w:rPr>
          <w:rFonts w:eastAsia="Times New Roman"/>
          <w:sz w:val="22"/>
          <w:szCs w:val="22"/>
        </w:rPr>
        <w:t>93</w:t>
      </w:r>
      <w:r w:rsidR="00E7307D" w:rsidRPr="00AE7519">
        <w:rPr>
          <w:rFonts w:eastAsia="Times New Roman"/>
          <w:sz w:val="22"/>
          <w:szCs w:val="22"/>
        </w:rPr>
        <w:t>.</w:t>
      </w:r>
      <w:r w:rsidR="003F49EE" w:rsidRPr="00AE7519">
        <w:rPr>
          <w:rFonts w:eastAsia="Times New Roman"/>
          <w:sz w:val="22"/>
          <w:szCs w:val="22"/>
        </w:rPr>
        <w:t xml:space="preserve"> </w:t>
      </w:r>
      <w:r w:rsidR="001C402C" w:rsidRPr="00AE7519">
        <w:rPr>
          <w:rFonts w:eastAsia="Times New Roman"/>
          <w:sz w:val="22"/>
          <w:szCs w:val="22"/>
        </w:rPr>
        <w:t xml:space="preserve">Concluiu </w:t>
      </w:r>
      <w:r w:rsidR="003F49EE" w:rsidRPr="00AE7519">
        <w:rPr>
          <w:rFonts w:eastAsia="Times New Roman"/>
          <w:sz w:val="22"/>
          <w:szCs w:val="22"/>
        </w:rPr>
        <w:t>que, sendo a Lei 8.987/95 silente a respeito, restaria aplicar por analogia os prazos do art</w:t>
      </w:r>
      <w:r w:rsidR="003C71B1" w:rsidRPr="00AE7519">
        <w:rPr>
          <w:rFonts w:eastAsia="Times New Roman"/>
          <w:sz w:val="22"/>
          <w:szCs w:val="22"/>
        </w:rPr>
        <w:t>. 45, inciso I, da Lei 12.462/11 (l</w:t>
      </w:r>
      <w:r w:rsidR="003F49EE" w:rsidRPr="00AE7519">
        <w:rPr>
          <w:rFonts w:eastAsia="Times New Roman"/>
          <w:sz w:val="22"/>
          <w:szCs w:val="22"/>
        </w:rPr>
        <w:t xml:space="preserve">ei </w:t>
      </w:r>
      <w:r w:rsidR="00BD1386" w:rsidRPr="00AE7519">
        <w:rPr>
          <w:rFonts w:eastAsia="Times New Roman"/>
          <w:sz w:val="22"/>
          <w:szCs w:val="22"/>
        </w:rPr>
        <w:t>que instituiu o</w:t>
      </w:r>
      <w:r w:rsidR="003F49EE" w:rsidRPr="00AE7519">
        <w:rPr>
          <w:rFonts w:eastAsia="Times New Roman"/>
          <w:sz w:val="22"/>
          <w:szCs w:val="22"/>
        </w:rPr>
        <w:t xml:space="preserve"> Regime Diferenciado de Contratações – RDC).</w:t>
      </w:r>
      <w:r w:rsidR="00635F1B" w:rsidRPr="00AE7519">
        <w:rPr>
          <w:rFonts w:eastAsia="Times New Roman"/>
          <w:sz w:val="22"/>
          <w:szCs w:val="22"/>
        </w:rPr>
        <w:t xml:space="preserve"> </w:t>
      </w:r>
      <w:r w:rsidR="00C57E8C" w:rsidRPr="00AE7519">
        <w:rPr>
          <w:rFonts w:eastAsia="Times New Roman"/>
          <w:sz w:val="22"/>
          <w:szCs w:val="22"/>
        </w:rPr>
        <w:t>Concordando com</w:t>
      </w:r>
      <w:r w:rsidR="00B80124" w:rsidRPr="00AE7519">
        <w:rPr>
          <w:rFonts w:eastAsia="Times New Roman"/>
          <w:sz w:val="22"/>
          <w:szCs w:val="22"/>
        </w:rPr>
        <w:t xml:space="preserve"> a unidade técnica, o relator</w:t>
      </w:r>
      <w:r w:rsidR="00580983" w:rsidRPr="00AE7519">
        <w:rPr>
          <w:rFonts w:eastAsia="Times New Roman"/>
          <w:sz w:val="22"/>
          <w:szCs w:val="22"/>
        </w:rPr>
        <w:t xml:space="preserve"> consignou </w:t>
      </w:r>
      <w:r w:rsidR="00580983" w:rsidRPr="00AE7519">
        <w:rPr>
          <w:sz w:val="22"/>
          <w:szCs w:val="22"/>
        </w:rPr>
        <w:t>não vislumbrar “</w:t>
      </w:r>
      <w:r w:rsidR="00580983" w:rsidRPr="00AE7519">
        <w:rPr>
          <w:i/>
          <w:sz w:val="22"/>
          <w:szCs w:val="22"/>
        </w:rPr>
        <w:t>qualquer impedimento para que se proceda à utilização dos prazos previstos no art. 45, inciso I, da Lei 12.462/2011, para integrar a lacuna existente na Lei 8.987/1995, quanto ao prazo para impugnação de edital</w:t>
      </w:r>
      <w:r w:rsidR="003C71B1" w:rsidRPr="00AE7519">
        <w:rPr>
          <w:sz w:val="22"/>
          <w:szCs w:val="22"/>
        </w:rPr>
        <w:t>”. Enfatizou que a Lei 12.462/</w:t>
      </w:r>
      <w:r w:rsidR="00580983" w:rsidRPr="00AE7519">
        <w:rPr>
          <w:sz w:val="22"/>
          <w:szCs w:val="22"/>
        </w:rPr>
        <w:t xml:space="preserve">11 também prevê a possibilidade de inversão das fases de habilitação e julgamento, e que tal diploma fixou prazos para pedidos de esclarecimentos e impugnação do edital de até dois ou cinco dias úteis antes da data de abertura das propostas, conforme se trate de aquisição ou alienação de bens, ou </w:t>
      </w:r>
      <w:r w:rsidRPr="00AE7519">
        <w:rPr>
          <w:sz w:val="22"/>
          <w:szCs w:val="22"/>
        </w:rPr>
        <w:t xml:space="preserve">de </w:t>
      </w:r>
      <w:r w:rsidR="00580983" w:rsidRPr="00AE7519">
        <w:rPr>
          <w:sz w:val="22"/>
          <w:szCs w:val="22"/>
        </w:rPr>
        <w:t>contratação de obras ou serviços, respectivament</w:t>
      </w:r>
      <w:r w:rsidR="00DB28A2" w:rsidRPr="00AE7519">
        <w:rPr>
          <w:sz w:val="22"/>
          <w:szCs w:val="22"/>
        </w:rPr>
        <w:t>e. Prosseguiu ressaltando que</w:t>
      </w:r>
      <w:r w:rsidR="00580983" w:rsidRPr="00AE7519">
        <w:rPr>
          <w:sz w:val="22"/>
          <w:szCs w:val="22"/>
        </w:rPr>
        <w:t xml:space="preserve"> prazos mais curtos do que os dez dias previstos </w:t>
      </w:r>
      <w:r w:rsidRPr="00AE7519">
        <w:rPr>
          <w:sz w:val="22"/>
          <w:szCs w:val="22"/>
        </w:rPr>
        <w:t>no edital</w:t>
      </w:r>
      <w:r w:rsidR="00475B71" w:rsidRPr="00AE7519">
        <w:rPr>
          <w:sz w:val="22"/>
          <w:szCs w:val="22"/>
        </w:rPr>
        <w:t xml:space="preserve"> em análise mostram-se “</w:t>
      </w:r>
      <w:r w:rsidR="00475B71" w:rsidRPr="00AE7519">
        <w:rPr>
          <w:i/>
          <w:sz w:val="22"/>
          <w:szCs w:val="22"/>
        </w:rPr>
        <w:t>como medida acertada para a defesa dos interesses da União, em consonância com os princípios gerais da isonomia e da seleção da proposta mais vantajosa para o erário</w:t>
      </w:r>
      <w:r w:rsidR="00475B71" w:rsidRPr="00AE7519">
        <w:rPr>
          <w:sz w:val="22"/>
          <w:szCs w:val="22"/>
        </w:rPr>
        <w:t>”.</w:t>
      </w:r>
      <w:r w:rsidR="009C02B7" w:rsidRPr="00AE7519">
        <w:rPr>
          <w:sz w:val="22"/>
          <w:szCs w:val="22"/>
        </w:rPr>
        <w:t xml:space="preserve"> Nesse sentido, observou que o TCU, ao apreciar caso idêntico</w:t>
      </w:r>
      <w:r w:rsidR="00E20F03" w:rsidRPr="00AE7519">
        <w:rPr>
          <w:sz w:val="22"/>
          <w:szCs w:val="22"/>
        </w:rPr>
        <w:t>,</w:t>
      </w:r>
      <w:r w:rsidR="009C02B7" w:rsidRPr="00AE7519">
        <w:rPr>
          <w:sz w:val="22"/>
          <w:szCs w:val="22"/>
        </w:rPr>
        <w:t xml:space="preserve"> </w:t>
      </w:r>
      <w:r w:rsidR="003C71B1" w:rsidRPr="00AE7519">
        <w:rPr>
          <w:sz w:val="22"/>
          <w:szCs w:val="22"/>
        </w:rPr>
        <w:t>recomendara</w:t>
      </w:r>
      <w:r w:rsidR="00E11392" w:rsidRPr="00AE7519">
        <w:rPr>
          <w:sz w:val="22"/>
          <w:szCs w:val="22"/>
        </w:rPr>
        <w:t xml:space="preserve"> à própria Aneel</w:t>
      </w:r>
      <w:r w:rsidR="00672955" w:rsidRPr="00AE7519">
        <w:rPr>
          <w:sz w:val="22"/>
          <w:szCs w:val="22"/>
        </w:rPr>
        <w:t xml:space="preserve">, por meio do item 9.4 do </w:t>
      </w:r>
      <w:hyperlink r:id="rId9" w:history="1">
        <w:r w:rsidR="00672955" w:rsidRPr="00AE7519">
          <w:rPr>
            <w:rStyle w:val="Hyperlink"/>
            <w:sz w:val="22"/>
            <w:szCs w:val="22"/>
          </w:rPr>
          <w:t>Acórdão 44/201</w:t>
        </w:r>
        <w:r w:rsidR="001C402C" w:rsidRPr="00AE7519">
          <w:rPr>
            <w:rStyle w:val="Hyperlink"/>
            <w:sz w:val="22"/>
            <w:szCs w:val="22"/>
          </w:rPr>
          <w:t>5</w:t>
        </w:r>
        <w:r w:rsidR="00672955" w:rsidRPr="00AE7519">
          <w:rPr>
            <w:rStyle w:val="Hyperlink"/>
            <w:sz w:val="22"/>
            <w:szCs w:val="22"/>
          </w:rPr>
          <w:t>-Plenário</w:t>
        </w:r>
      </w:hyperlink>
      <w:r w:rsidR="003C71B1" w:rsidRPr="00AE7519">
        <w:rPr>
          <w:rStyle w:val="Hyperlink"/>
          <w:sz w:val="22"/>
          <w:szCs w:val="22"/>
        </w:rPr>
        <w:t>,</w:t>
      </w:r>
      <w:r w:rsidR="00672955" w:rsidRPr="00AE7519">
        <w:rPr>
          <w:sz w:val="22"/>
          <w:szCs w:val="22"/>
        </w:rPr>
        <w:t xml:space="preserve"> </w:t>
      </w:r>
      <w:r w:rsidR="00E11392" w:rsidRPr="00AE7519">
        <w:rPr>
          <w:sz w:val="22"/>
          <w:szCs w:val="22"/>
        </w:rPr>
        <w:t>que “</w:t>
      </w:r>
      <w:r w:rsidR="00E11392" w:rsidRPr="00AE7519">
        <w:rPr>
          <w:i/>
          <w:sz w:val="22"/>
          <w:szCs w:val="22"/>
        </w:rPr>
        <w:t xml:space="preserve">nos próximos editais de licitação de concessão </w:t>
      </w:r>
      <w:r w:rsidR="00E11392" w:rsidRPr="00AE7519">
        <w:rPr>
          <w:i/>
          <w:sz w:val="22"/>
          <w:szCs w:val="22"/>
        </w:rPr>
        <w:lastRenderedPageBreak/>
        <w:t>de prestação de serviço público a seu cargo em que a fase de julgamento das propostas anteceda a fase de habilitação, estabeleça os prazos mínimo</w:t>
      </w:r>
      <w:r w:rsidR="003C71B1" w:rsidRPr="00AE7519">
        <w:rPr>
          <w:i/>
          <w:sz w:val="22"/>
          <w:szCs w:val="22"/>
        </w:rPr>
        <w:t xml:space="preserve">s do art. 45, inciso I, alínea ‘b’ </w:t>
      </w:r>
      <w:r w:rsidR="00E11392" w:rsidRPr="00AE7519">
        <w:rPr>
          <w:i/>
          <w:sz w:val="22"/>
          <w:szCs w:val="22"/>
        </w:rPr>
        <w:t>da Lei 12.462/2011 para pedidos de impugnações e esclarecimentos do instrumento convocatório, ou justifique o não estabelecimento dos referidos prazos</w:t>
      </w:r>
      <w:r w:rsidR="00E11392" w:rsidRPr="00AE7519">
        <w:rPr>
          <w:sz w:val="22"/>
          <w:szCs w:val="22"/>
        </w:rPr>
        <w:t>”.</w:t>
      </w:r>
      <w:r w:rsidR="00270462" w:rsidRPr="00AE7519">
        <w:rPr>
          <w:sz w:val="22"/>
          <w:szCs w:val="22"/>
        </w:rPr>
        <w:t xml:space="preserve"> Assim, </w:t>
      </w:r>
      <w:r w:rsidRPr="00AE7519">
        <w:rPr>
          <w:sz w:val="22"/>
          <w:szCs w:val="22"/>
        </w:rPr>
        <w:t>em conclusão que foi acolhida pelo Plenário do TCU, considerou</w:t>
      </w:r>
      <w:r w:rsidR="003C71B1" w:rsidRPr="00AE7519">
        <w:rPr>
          <w:sz w:val="22"/>
          <w:szCs w:val="22"/>
        </w:rPr>
        <w:t xml:space="preserve"> pertinente dar ciência à</w:t>
      </w:r>
      <w:r w:rsidR="00270462" w:rsidRPr="00AE7519">
        <w:rPr>
          <w:sz w:val="22"/>
          <w:szCs w:val="22"/>
        </w:rPr>
        <w:t xml:space="preserve"> Aneel para, nos próximos editais de licitação de concessão de prestação de serviço público a seu cargo, atentar para a</w:t>
      </w:r>
      <w:r w:rsidR="00672955" w:rsidRPr="00AE7519">
        <w:rPr>
          <w:sz w:val="22"/>
          <w:szCs w:val="22"/>
        </w:rPr>
        <w:t xml:space="preserve"> citada</w:t>
      </w:r>
      <w:r w:rsidR="00270462" w:rsidRPr="00AE7519">
        <w:rPr>
          <w:sz w:val="22"/>
          <w:szCs w:val="22"/>
        </w:rPr>
        <w:t xml:space="preserve"> recomendação.</w:t>
      </w:r>
      <w:r w:rsidR="0094075C" w:rsidRPr="00AE7519">
        <w:rPr>
          <w:sz w:val="22"/>
          <w:szCs w:val="22"/>
        </w:rPr>
        <w:t xml:space="preserve"> </w:t>
      </w:r>
      <w:hyperlink r:id="rId10" w:history="1">
        <w:r w:rsidR="00DD263E" w:rsidRPr="00AE7519">
          <w:rPr>
            <w:rStyle w:val="Hyperlink"/>
            <w:rFonts w:eastAsia="Times New Roman"/>
            <w:b/>
            <w:i/>
            <w:sz w:val="22"/>
            <w:szCs w:val="22"/>
          </w:rPr>
          <w:t xml:space="preserve">Acórdão </w:t>
        </w:r>
        <w:r w:rsidR="00672955" w:rsidRPr="00AE7519">
          <w:rPr>
            <w:rStyle w:val="Hyperlink"/>
            <w:rFonts w:eastAsia="Times New Roman"/>
            <w:b/>
            <w:i/>
            <w:sz w:val="22"/>
            <w:szCs w:val="22"/>
          </w:rPr>
          <w:t>2899</w:t>
        </w:r>
        <w:r w:rsidR="00DD263E" w:rsidRPr="00AE7519">
          <w:rPr>
            <w:rStyle w:val="Hyperlink"/>
            <w:rFonts w:eastAsia="Times New Roman"/>
            <w:b/>
            <w:i/>
            <w:sz w:val="22"/>
            <w:szCs w:val="22"/>
          </w:rPr>
          <w:t>/2015-</w:t>
        </w:r>
        <w:r w:rsidR="00672955" w:rsidRPr="00AE7519">
          <w:rPr>
            <w:rStyle w:val="Hyperlink"/>
            <w:rFonts w:eastAsia="Times New Roman"/>
            <w:b/>
            <w:i/>
            <w:sz w:val="22"/>
            <w:szCs w:val="22"/>
          </w:rPr>
          <w:t>Plenário</w:t>
        </w:r>
      </w:hyperlink>
      <w:r w:rsidR="00DD263E" w:rsidRPr="00AE7519">
        <w:rPr>
          <w:rFonts w:eastAsia="Times New Roman"/>
          <w:b/>
          <w:i/>
          <w:sz w:val="22"/>
          <w:szCs w:val="22"/>
        </w:rPr>
        <w:t xml:space="preserve">, TC </w:t>
      </w:r>
      <w:r w:rsidR="00672955" w:rsidRPr="00AE7519">
        <w:rPr>
          <w:rFonts w:eastAsia="Times New Roman"/>
          <w:b/>
          <w:i/>
          <w:sz w:val="22"/>
          <w:szCs w:val="22"/>
        </w:rPr>
        <w:t>001.618/2014-8</w:t>
      </w:r>
      <w:r w:rsidR="00DD263E" w:rsidRPr="00AE7519">
        <w:rPr>
          <w:rFonts w:eastAsia="Times New Roman"/>
          <w:b/>
          <w:i/>
          <w:sz w:val="22"/>
          <w:szCs w:val="22"/>
        </w:rPr>
        <w:t xml:space="preserve">, relator </w:t>
      </w:r>
      <w:r w:rsidR="00527436" w:rsidRPr="00AE7519">
        <w:rPr>
          <w:rFonts w:eastAsia="Times New Roman"/>
          <w:b/>
          <w:i/>
          <w:sz w:val="22"/>
          <w:szCs w:val="22"/>
        </w:rPr>
        <w:t xml:space="preserve">Ministro </w:t>
      </w:r>
      <w:r w:rsidR="00672955" w:rsidRPr="00AE7519">
        <w:rPr>
          <w:rFonts w:eastAsia="Times New Roman"/>
          <w:b/>
          <w:i/>
          <w:sz w:val="22"/>
          <w:szCs w:val="22"/>
        </w:rPr>
        <w:t>Vital do Rêgo</w:t>
      </w:r>
      <w:r w:rsidR="00DD263E" w:rsidRPr="00AE7519">
        <w:rPr>
          <w:rFonts w:eastAsia="Times New Roman"/>
          <w:b/>
          <w:i/>
          <w:sz w:val="22"/>
          <w:szCs w:val="22"/>
        </w:rPr>
        <w:t xml:space="preserve">, </w:t>
      </w:r>
      <w:r w:rsidR="00672955" w:rsidRPr="00AE7519">
        <w:rPr>
          <w:rFonts w:eastAsia="Times New Roman"/>
          <w:b/>
          <w:i/>
          <w:sz w:val="22"/>
          <w:szCs w:val="22"/>
        </w:rPr>
        <w:t>11</w:t>
      </w:r>
      <w:r w:rsidR="00DD263E" w:rsidRPr="00AE7519">
        <w:rPr>
          <w:rFonts w:eastAsia="Times New Roman"/>
          <w:b/>
          <w:i/>
          <w:sz w:val="22"/>
          <w:szCs w:val="22"/>
        </w:rPr>
        <w:t>.1</w:t>
      </w:r>
      <w:r w:rsidR="00C5303A" w:rsidRPr="00AE7519">
        <w:rPr>
          <w:rFonts w:eastAsia="Times New Roman"/>
          <w:b/>
          <w:i/>
          <w:sz w:val="22"/>
          <w:szCs w:val="22"/>
        </w:rPr>
        <w:t>1</w:t>
      </w:r>
      <w:r w:rsidR="00DD263E" w:rsidRPr="00AE7519">
        <w:rPr>
          <w:rFonts w:eastAsia="Times New Roman"/>
          <w:b/>
          <w:i/>
          <w:sz w:val="22"/>
          <w:szCs w:val="22"/>
        </w:rPr>
        <w:t>.2015.</w:t>
      </w:r>
    </w:p>
    <w:p w:rsidR="007443CD" w:rsidRDefault="007443CD" w:rsidP="008051D9">
      <w:pPr>
        <w:spacing w:after="0"/>
        <w:ind w:left="0"/>
        <w:rPr>
          <w:sz w:val="22"/>
          <w:szCs w:val="22"/>
        </w:rPr>
      </w:pPr>
    </w:p>
    <w:p w:rsidR="00B31187" w:rsidRDefault="00B31187" w:rsidP="00AE7519">
      <w:pPr>
        <w:pBdr>
          <w:top w:val="threeDEmboss" w:sz="24" w:space="6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SEGUNDA CÂMARA</w:t>
      </w:r>
    </w:p>
    <w:p w:rsidR="00B31187" w:rsidRPr="003436F1" w:rsidRDefault="00B31187" w:rsidP="00B31187">
      <w:pPr>
        <w:shd w:val="clear" w:color="auto" w:fill="FFFFFF"/>
        <w:spacing w:after="0"/>
        <w:ind w:left="0"/>
        <w:rPr>
          <w:rFonts w:eastAsia="Times New Roman"/>
          <w:b/>
          <w:i/>
          <w:color w:val="000000"/>
          <w:sz w:val="22"/>
          <w:szCs w:val="22"/>
          <w:lang w:eastAsia="pt-BR"/>
        </w:rPr>
      </w:pPr>
    </w:p>
    <w:p w:rsidR="00B31187" w:rsidRPr="00AE7519" w:rsidRDefault="0094075C" w:rsidP="00B31187">
      <w:pPr>
        <w:shd w:val="clear" w:color="auto" w:fill="FFFFFF"/>
        <w:spacing w:after="0"/>
        <w:ind w:left="0"/>
        <w:rPr>
          <w:rFonts w:eastAsia="Times New Roman"/>
          <w:b/>
          <w:i/>
          <w:sz w:val="22"/>
          <w:szCs w:val="22"/>
        </w:rPr>
      </w:pPr>
      <w:r w:rsidRPr="00AE7519">
        <w:rPr>
          <w:rFonts w:eastAsia="Times New Roman"/>
          <w:b/>
          <w:sz w:val="22"/>
          <w:szCs w:val="22"/>
        </w:rPr>
        <w:t>2</w:t>
      </w:r>
      <w:r w:rsidR="00B31187" w:rsidRPr="00AE7519">
        <w:rPr>
          <w:rFonts w:eastAsia="Times New Roman"/>
          <w:b/>
          <w:sz w:val="22"/>
          <w:szCs w:val="22"/>
        </w:rPr>
        <w:t xml:space="preserve">. </w:t>
      </w:r>
      <w:r w:rsidRPr="00AE7519">
        <w:rPr>
          <w:rFonts w:eastAsia="Times New Roman"/>
          <w:b/>
          <w:sz w:val="22"/>
          <w:szCs w:val="22"/>
        </w:rPr>
        <w:t>É obrigatória a divulgação do preço de referência em editais de licitação, na modalidade pregão, quando for utilizado como critério de aceitabilidade das propostas.</w:t>
      </w:r>
    </w:p>
    <w:p w:rsidR="00B31187" w:rsidRPr="00AE7519" w:rsidRDefault="00B31187" w:rsidP="00B31187">
      <w:pPr>
        <w:spacing w:after="0"/>
        <w:ind w:left="0"/>
        <w:rPr>
          <w:sz w:val="22"/>
          <w:szCs w:val="22"/>
        </w:rPr>
      </w:pPr>
      <w:r w:rsidRPr="00AE7519">
        <w:rPr>
          <w:rFonts w:eastAsia="Times New Roman"/>
          <w:sz w:val="22"/>
          <w:szCs w:val="22"/>
        </w:rPr>
        <w:t>Representação formulada por sociedade empresária apontara possíveis irregularidades em pregão eletrônico realizado pelo Comando Logístico do Exército (</w:t>
      </w:r>
      <w:proofErr w:type="spellStart"/>
      <w:r w:rsidRPr="00AE7519">
        <w:rPr>
          <w:rFonts w:eastAsia="Times New Roman"/>
          <w:sz w:val="22"/>
          <w:szCs w:val="22"/>
        </w:rPr>
        <w:t>Colog</w:t>
      </w:r>
      <w:proofErr w:type="spellEnd"/>
      <w:r w:rsidRPr="00AE7519">
        <w:rPr>
          <w:rFonts w:eastAsia="Times New Roman"/>
          <w:sz w:val="22"/>
          <w:szCs w:val="22"/>
        </w:rPr>
        <w:t xml:space="preserve">), tendo por objeto o registro de preços para a aquisição de materiais de intendência (fardamento, coturno, gorro, espora e cobertor). Em síntese, alegara a representante ter sido irregularmente desclassificada para o item 3 do certame (coturno), após a fase de lances, </w:t>
      </w:r>
      <w:r w:rsidRPr="00AE7519">
        <w:rPr>
          <w:rFonts w:eastAsia="Times New Roman"/>
          <w:i/>
          <w:sz w:val="22"/>
          <w:szCs w:val="22"/>
        </w:rPr>
        <w:t>“mesmo tendo ofertado o menor preço, em razão de a sua proposta ter se mostrado superior ao valor estimado para a contratação”</w:t>
      </w:r>
      <w:r w:rsidR="00AE7519">
        <w:rPr>
          <w:rFonts w:eastAsia="Times New Roman"/>
          <w:sz w:val="22"/>
          <w:szCs w:val="22"/>
        </w:rPr>
        <w:t>. Ademais, destacara</w:t>
      </w:r>
      <w:r w:rsidRPr="00AE7519">
        <w:rPr>
          <w:rFonts w:eastAsia="Times New Roman"/>
          <w:sz w:val="22"/>
          <w:szCs w:val="22"/>
        </w:rPr>
        <w:t xml:space="preserve"> que </w:t>
      </w:r>
      <w:r w:rsidRPr="00AE7519">
        <w:rPr>
          <w:rFonts w:eastAsia="Times New Roman"/>
          <w:i/>
          <w:sz w:val="22"/>
          <w:szCs w:val="22"/>
        </w:rPr>
        <w:t>“teria solicitado ao pregoeiro a informação quanto ao preço de referência, mas que ela lhe foi negada sob o argumento de que a publicidade do preço de referência consistiria em mera faculdade da administração”</w:t>
      </w:r>
      <w:r w:rsidRPr="00AE7519">
        <w:rPr>
          <w:rFonts w:eastAsia="Times New Roman"/>
          <w:sz w:val="22"/>
          <w:szCs w:val="22"/>
        </w:rPr>
        <w:t xml:space="preserve">. O relator, após a realização das oitivas regimentais, anotou que a controvérsia derivava de </w:t>
      </w:r>
      <w:r w:rsidRPr="00AE7519">
        <w:rPr>
          <w:rFonts w:eastAsia="Times New Roman"/>
          <w:i/>
          <w:sz w:val="22"/>
          <w:szCs w:val="22"/>
        </w:rPr>
        <w:t xml:space="preserve">“intelecções distintas sobre o alcance do </w:t>
      </w:r>
      <w:hyperlink r:id="rId11" w:history="1">
        <w:r w:rsidRPr="00AE7519">
          <w:rPr>
            <w:rStyle w:val="Hyperlink"/>
            <w:rFonts w:eastAsia="Times New Roman"/>
            <w:i/>
            <w:sz w:val="22"/>
            <w:szCs w:val="22"/>
          </w:rPr>
          <w:t>Acórdão 392/2011-TCU-Plenário</w:t>
        </w:r>
      </w:hyperlink>
      <w:r w:rsidRPr="00AE7519">
        <w:rPr>
          <w:rFonts w:eastAsia="Times New Roman"/>
          <w:i/>
          <w:sz w:val="22"/>
          <w:szCs w:val="22"/>
        </w:rPr>
        <w:t>, que pugnara pela obrigatoriedade da divulgação do preço de referência em editais de licitação, na modalidade pregão, quando esse preço for utilizado como critério de aceitabilidade de preços”</w:t>
      </w:r>
      <w:r w:rsidRPr="00AE7519">
        <w:rPr>
          <w:rFonts w:eastAsia="Times New Roman"/>
          <w:sz w:val="22"/>
          <w:szCs w:val="22"/>
        </w:rPr>
        <w:t>. A propósito, transcreveu excerto do voto condutor do aludido julgado, no qual se lê: “</w:t>
      </w:r>
      <w:r w:rsidRPr="00AE7519">
        <w:rPr>
          <w:rFonts w:eastAsia="Times New Roman"/>
          <w:i/>
          <w:sz w:val="22"/>
          <w:szCs w:val="22"/>
        </w:rPr>
        <w:t xml:space="preserve">É claro que, </w:t>
      </w:r>
      <w:r w:rsidRPr="00CB38D4">
        <w:rPr>
          <w:rFonts w:eastAsia="Times New Roman"/>
          <w:i/>
          <w:sz w:val="22"/>
          <w:szCs w:val="22"/>
        </w:rPr>
        <w:t>na hipótese de o preço de referência ser utilizado como critério de aceitabilidade de preços, a divulgação no edital é obrigatória</w:t>
      </w:r>
      <w:r w:rsidRPr="00AE7519">
        <w:rPr>
          <w:rFonts w:eastAsia="Times New Roman"/>
          <w:i/>
          <w:sz w:val="22"/>
          <w:szCs w:val="22"/>
        </w:rPr>
        <w:t>. E não poderia ser de outra maneira. É que qualquer regra, critério ou hipótese de desclassificação de licitante deve estar, por óbvio, explicitada no edital, nos termos do a</w:t>
      </w:r>
      <w:r w:rsidR="00CB38D4">
        <w:rPr>
          <w:rFonts w:eastAsia="Times New Roman"/>
          <w:i/>
          <w:sz w:val="22"/>
          <w:szCs w:val="22"/>
        </w:rPr>
        <w:t>rt. 40, X, da Lei nº 8.666/1993</w:t>
      </w:r>
      <w:r w:rsidRPr="00AE7519">
        <w:rPr>
          <w:rFonts w:eastAsia="Times New Roman"/>
          <w:sz w:val="22"/>
          <w:szCs w:val="22"/>
        </w:rPr>
        <w:t xml:space="preserve">”. Considerou, assim, procedente a irresignação da representante, já que </w:t>
      </w:r>
      <w:r w:rsidRPr="00AE7519">
        <w:rPr>
          <w:rFonts w:eastAsia="Times New Roman"/>
          <w:i/>
          <w:sz w:val="22"/>
          <w:szCs w:val="22"/>
        </w:rPr>
        <w:t xml:space="preserve">“quando erigido a critério de aceitabilidade, o preço de referência deve ter divulgação prévia e obrigatória, na forma da lei e como corolário, mesmo, do princípio do julgamento objetivo (v. g.: </w:t>
      </w:r>
      <w:hyperlink r:id="rId12" w:history="1">
        <w:r w:rsidRPr="00AE7519">
          <w:rPr>
            <w:rStyle w:val="Hyperlink"/>
            <w:rFonts w:eastAsia="Times New Roman"/>
            <w:i/>
            <w:sz w:val="22"/>
            <w:szCs w:val="22"/>
          </w:rPr>
          <w:t>Acórdão 392/2011-Plenário</w:t>
        </w:r>
      </w:hyperlink>
      <w:r w:rsidRPr="00AE7519">
        <w:rPr>
          <w:rFonts w:eastAsia="Times New Roman"/>
          <w:i/>
          <w:sz w:val="22"/>
          <w:szCs w:val="22"/>
        </w:rPr>
        <w:t xml:space="preserve">), de sorte que haveria de constar, do edital do Pregão Eletrônico nº 39/2014, o preço referencial adotado pelo </w:t>
      </w:r>
      <w:proofErr w:type="spellStart"/>
      <w:r w:rsidRPr="00AE7519">
        <w:rPr>
          <w:rFonts w:eastAsia="Times New Roman"/>
          <w:i/>
          <w:sz w:val="22"/>
          <w:szCs w:val="22"/>
        </w:rPr>
        <w:t>Colog</w:t>
      </w:r>
      <w:proofErr w:type="spellEnd"/>
      <w:r w:rsidRPr="00AE7519">
        <w:rPr>
          <w:rFonts w:eastAsia="Times New Roman"/>
          <w:i/>
          <w:sz w:val="22"/>
          <w:szCs w:val="22"/>
        </w:rPr>
        <w:t>, vez que se tratava, no presente caso, de critério de aceitabilidade de preços”</w:t>
      </w:r>
      <w:r w:rsidRPr="00AE7519">
        <w:rPr>
          <w:rFonts w:eastAsia="Times New Roman"/>
          <w:sz w:val="22"/>
          <w:szCs w:val="22"/>
        </w:rPr>
        <w:t xml:space="preserve">. No caso concreto, aduziu, </w:t>
      </w:r>
      <w:r w:rsidRPr="00AE7519">
        <w:rPr>
          <w:rFonts w:eastAsia="Times New Roman"/>
          <w:i/>
          <w:sz w:val="22"/>
          <w:szCs w:val="22"/>
        </w:rPr>
        <w:t xml:space="preserve">“o pregoeiro do Comando Logístico do Exército, ao interpretar o </w:t>
      </w:r>
      <w:hyperlink r:id="rId13" w:history="1">
        <w:r w:rsidRPr="00AE7519">
          <w:rPr>
            <w:rStyle w:val="Hyperlink"/>
            <w:rFonts w:eastAsia="Times New Roman"/>
            <w:i/>
            <w:sz w:val="22"/>
            <w:szCs w:val="22"/>
          </w:rPr>
          <w:t>Acórdão 392/2011-Plenário</w:t>
        </w:r>
      </w:hyperlink>
      <w:r w:rsidRPr="00AE7519">
        <w:rPr>
          <w:rFonts w:eastAsia="Times New Roman"/>
          <w:i/>
          <w:sz w:val="22"/>
          <w:szCs w:val="22"/>
        </w:rPr>
        <w:t>, se ateve à condição geral contemplada no aresto do TCU, que faculta a divulgação do valor orçado e dos preços referenciais no edital do pregão, esquecendo que essa faculdade subsistiria apenas no caso de o preço referencial não funcionar como critério de aceitabilidade de preços”</w:t>
      </w:r>
      <w:r w:rsidRPr="00AE7519">
        <w:rPr>
          <w:rFonts w:eastAsia="Times New Roman"/>
          <w:sz w:val="22"/>
          <w:szCs w:val="22"/>
        </w:rPr>
        <w:t xml:space="preserve">. Nesse sentido, prosseguiu, </w:t>
      </w:r>
      <w:r w:rsidRPr="00AE7519">
        <w:rPr>
          <w:rFonts w:eastAsia="Times New Roman"/>
          <w:i/>
          <w:sz w:val="22"/>
          <w:szCs w:val="22"/>
        </w:rPr>
        <w:t>“houve, sim, prejuízo à licitante até então vencedora do certame e, também, ao interesse público, já que a fase de negociação das propostas foi conduzida sem a clara e prévia definição do preço usado como critério de aceitabilidade, a despeito de o pregoeiro até ter dado oportunidade às licitantes (cujas propostas ficaram acima do preço de referência) para que, respeitada a ordem classificatória, reduzissem os seus lances até um patamar inferior ao valor referencial, o qual, todavia, não estava clara e previamente declarado no certame”</w:t>
      </w:r>
      <w:r w:rsidRPr="00AE7519">
        <w:rPr>
          <w:rFonts w:eastAsia="Times New Roman"/>
          <w:sz w:val="22"/>
          <w:szCs w:val="22"/>
        </w:rPr>
        <w:t>. Assim, acolheu o colegiado a proposta da relat</w:t>
      </w:r>
      <w:r w:rsidR="00CB38D4">
        <w:rPr>
          <w:rFonts w:eastAsia="Times New Roman"/>
          <w:sz w:val="22"/>
          <w:szCs w:val="22"/>
        </w:rPr>
        <w:t>oria, para julgar procedente a R</w:t>
      </w:r>
      <w:r w:rsidRPr="00AE7519">
        <w:rPr>
          <w:rFonts w:eastAsia="Times New Roman"/>
          <w:sz w:val="22"/>
          <w:szCs w:val="22"/>
        </w:rPr>
        <w:t>epresentação, fixando prazo para a adoção de providências necessárias à anulação dos atos atinentes e consequentes ao item da li</w:t>
      </w:r>
      <w:r w:rsidR="00177C81">
        <w:rPr>
          <w:rFonts w:eastAsia="Times New Roman"/>
          <w:sz w:val="22"/>
          <w:szCs w:val="22"/>
        </w:rPr>
        <w:t>citação impugnado, e determinar</w:t>
      </w:r>
      <w:r w:rsidRPr="00AE7519">
        <w:rPr>
          <w:rFonts w:eastAsia="Times New Roman"/>
          <w:sz w:val="22"/>
          <w:szCs w:val="22"/>
        </w:rPr>
        <w:t xml:space="preserve"> ao Comando Logístico do Exército (</w:t>
      </w:r>
      <w:proofErr w:type="spellStart"/>
      <w:r w:rsidRPr="00AE7519">
        <w:rPr>
          <w:rFonts w:eastAsia="Times New Roman"/>
          <w:sz w:val="22"/>
          <w:szCs w:val="22"/>
        </w:rPr>
        <w:t>Colog</w:t>
      </w:r>
      <w:proofErr w:type="spellEnd"/>
      <w:r w:rsidRPr="00AE7519">
        <w:rPr>
          <w:rFonts w:eastAsia="Times New Roman"/>
          <w:sz w:val="22"/>
          <w:szCs w:val="22"/>
        </w:rPr>
        <w:t xml:space="preserve">) que </w:t>
      </w:r>
      <w:r w:rsidRPr="00AE7519">
        <w:rPr>
          <w:rFonts w:eastAsia="Times New Roman"/>
          <w:i/>
          <w:sz w:val="22"/>
          <w:szCs w:val="22"/>
        </w:rPr>
        <w:t xml:space="preserve">“se abstenha de incorrer nas falhas apontadas nestes autos, esclarecendo que há necessidade de divulgação do preço de referência no edital do pregão, quando o aludido preço for adotado como critério de aceitabilidade de preços, em consonância com a jurisprudência do TCU (e.g.: </w:t>
      </w:r>
      <w:hyperlink r:id="rId14" w:history="1">
        <w:r w:rsidRPr="00AE7519">
          <w:rPr>
            <w:rStyle w:val="Hyperlink"/>
            <w:rFonts w:eastAsia="Times New Roman"/>
            <w:i/>
            <w:sz w:val="22"/>
            <w:szCs w:val="22"/>
          </w:rPr>
          <w:t>Acórdão 392/2011-TCU-Plenário</w:t>
        </w:r>
      </w:hyperlink>
      <w:r w:rsidRPr="00AE7519">
        <w:rPr>
          <w:rFonts w:eastAsia="Times New Roman"/>
          <w:i/>
          <w:sz w:val="22"/>
          <w:szCs w:val="22"/>
        </w:rPr>
        <w:t>)”</w:t>
      </w:r>
      <w:r w:rsidRPr="00AE7519">
        <w:rPr>
          <w:rFonts w:eastAsia="Times New Roman"/>
          <w:sz w:val="22"/>
          <w:szCs w:val="22"/>
        </w:rPr>
        <w:t xml:space="preserve">. </w:t>
      </w:r>
      <w:hyperlink r:id="rId15" w:history="1">
        <w:r w:rsidR="00177C81">
          <w:rPr>
            <w:rStyle w:val="Hyperlink"/>
            <w:rFonts w:eastAsia="Times New Roman"/>
            <w:b/>
            <w:i/>
            <w:sz w:val="22"/>
            <w:szCs w:val="22"/>
          </w:rPr>
          <w:t>Acórdão 10051/2015-Segunda</w:t>
        </w:r>
        <w:r w:rsidRPr="00AE7519">
          <w:rPr>
            <w:rStyle w:val="Hyperlink"/>
            <w:rFonts w:eastAsia="Times New Roman"/>
            <w:b/>
            <w:i/>
            <w:sz w:val="22"/>
            <w:szCs w:val="22"/>
          </w:rPr>
          <w:t xml:space="preserve"> Câmara</w:t>
        </w:r>
      </w:hyperlink>
      <w:r w:rsidRPr="00AE7519">
        <w:rPr>
          <w:rFonts w:eastAsia="Times New Roman"/>
          <w:b/>
          <w:i/>
          <w:sz w:val="22"/>
          <w:szCs w:val="22"/>
        </w:rPr>
        <w:t xml:space="preserve">, TC 008.959/2015-3, relator Ministro-Substituto André Luís de Carvalho, </w:t>
      </w:r>
      <w:r w:rsidR="00C664A2" w:rsidRPr="00AE7519">
        <w:rPr>
          <w:rFonts w:eastAsia="Times New Roman"/>
          <w:b/>
          <w:i/>
          <w:sz w:val="22"/>
          <w:szCs w:val="22"/>
        </w:rPr>
        <w:t>10</w:t>
      </w:r>
      <w:r w:rsidRPr="00AE7519">
        <w:rPr>
          <w:rFonts w:eastAsia="Times New Roman"/>
          <w:b/>
          <w:i/>
          <w:sz w:val="22"/>
          <w:szCs w:val="22"/>
        </w:rPr>
        <w:t>.11.2015.</w:t>
      </w:r>
    </w:p>
    <w:p w:rsidR="00B31187" w:rsidRPr="00AE7519" w:rsidRDefault="00B31187" w:rsidP="00B31187">
      <w:pPr>
        <w:spacing w:after="0"/>
        <w:ind w:left="0"/>
        <w:rPr>
          <w:sz w:val="22"/>
          <w:szCs w:val="22"/>
        </w:rPr>
      </w:pPr>
    </w:p>
    <w:p w:rsidR="00B31187" w:rsidRPr="00AE7519" w:rsidRDefault="0094075C" w:rsidP="00B31187">
      <w:pPr>
        <w:shd w:val="clear" w:color="auto" w:fill="FFFFFF"/>
        <w:spacing w:after="0"/>
        <w:ind w:left="0"/>
        <w:rPr>
          <w:rFonts w:eastAsia="Times New Roman"/>
          <w:b/>
          <w:i/>
          <w:sz w:val="22"/>
          <w:szCs w:val="22"/>
        </w:rPr>
      </w:pPr>
      <w:r w:rsidRPr="00AE7519">
        <w:rPr>
          <w:rFonts w:eastAsia="Times New Roman"/>
          <w:b/>
          <w:sz w:val="22"/>
          <w:szCs w:val="22"/>
        </w:rPr>
        <w:t>3</w:t>
      </w:r>
      <w:r w:rsidR="00B31187" w:rsidRPr="00AE7519">
        <w:rPr>
          <w:rFonts w:eastAsia="Times New Roman"/>
          <w:b/>
          <w:sz w:val="22"/>
          <w:szCs w:val="22"/>
        </w:rPr>
        <w:t xml:space="preserve">. A publicação do preço de referência </w:t>
      </w:r>
      <w:r w:rsidR="00D31D33" w:rsidRPr="00AE7519">
        <w:rPr>
          <w:rFonts w:eastAsia="Times New Roman"/>
          <w:b/>
          <w:sz w:val="22"/>
          <w:szCs w:val="22"/>
        </w:rPr>
        <w:t>por meio do resumo da Intenção de Registro de Preço</w:t>
      </w:r>
      <w:r w:rsidR="00763C69" w:rsidRPr="00AE7519">
        <w:rPr>
          <w:rFonts w:eastAsia="Times New Roman"/>
          <w:b/>
          <w:sz w:val="22"/>
          <w:szCs w:val="22"/>
        </w:rPr>
        <w:t>s</w:t>
      </w:r>
      <w:r w:rsidR="00B31187" w:rsidRPr="00AE7519">
        <w:rPr>
          <w:rFonts w:eastAsia="Times New Roman"/>
          <w:b/>
          <w:sz w:val="22"/>
          <w:szCs w:val="22"/>
        </w:rPr>
        <w:t xml:space="preserve"> </w:t>
      </w:r>
      <w:r w:rsidR="00D31D33" w:rsidRPr="00AE7519">
        <w:rPr>
          <w:rFonts w:eastAsia="Times New Roman"/>
          <w:b/>
          <w:sz w:val="22"/>
          <w:szCs w:val="22"/>
        </w:rPr>
        <w:t>n</w:t>
      </w:r>
      <w:r w:rsidR="00B31187" w:rsidRPr="00AE7519">
        <w:rPr>
          <w:rFonts w:eastAsia="Times New Roman"/>
          <w:b/>
          <w:sz w:val="22"/>
          <w:szCs w:val="22"/>
        </w:rPr>
        <w:t>o portal Comprasnet não supre a não inclusão no edital, pois a divulgação do preço referencial no instrumento convocatório garante ao licitante o direito à impugnação, notadamente quanto às regras de aceitabilidade da proposta.</w:t>
      </w:r>
    </w:p>
    <w:p w:rsidR="00B31187" w:rsidRPr="00AE7519" w:rsidRDefault="00B31187" w:rsidP="00B31187">
      <w:pPr>
        <w:spacing w:after="0"/>
        <w:ind w:left="0"/>
        <w:rPr>
          <w:sz w:val="22"/>
          <w:szCs w:val="22"/>
        </w:rPr>
      </w:pPr>
      <w:r w:rsidRPr="00AE7519">
        <w:rPr>
          <w:rFonts w:eastAsia="Times New Roman"/>
          <w:sz w:val="22"/>
          <w:szCs w:val="22"/>
        </w:rPr>
        <w:t xml:space="preserve">Ainda na </w:t>
      </w:r>
      <w:r w:rsidR="0024318C">
        <w:rPr>
          <w:rFonts w:eastAsia="Times New Roman"/>
          <w:sz w:val="22"/>
          <w:szCs w:val="22"/>
        </w:rPr>
        <w:t>R</w:t>
      </w:r>
      <w:r w:rsidRPr="00AE7519">
        <w:rPr>
          <w:rFonts w:eastAsia="Times New Roman"/>
          <w:sz w:val="22"/>
          <w:szCs w:val="22"/>
        </w:rPr>
        <w:t>epresentação atinente ao pregão eletrônico conduzido pelo Comando Logístico do Exército (</w:t>
      </w:r>
      <w:proofErr w:type="spellStart"/>
      <w:r w:rsidRPr="00AE7519">
        <w:rPr>
          <w:rFonts w:eastAsia="Times New Roman"/>
          <w:sz w:val="22"/>
          <w:szCs w:val="22"/>
        </w:rPr>
        <w:t>Colog</w:t>
      </w:r>
      <w:proofErr w:type="spellEnd"/>
      <w:r w:rsidRPr="00AE7519">
        <w:rPr>
          <w:rFonts w:eastAsia="Times New Roman"/>
          <w:sz w:val="22"/>
          <w:szCs w:val="22"/>
        </w:rPr>
        <w:t>), para o registro de preços de materiais de intendência, o relator – após assentar a obrigatoriedade da divulgação do preço de referência no edital do pregão, quando adotado como critério de aceitabilidade de preços – afastou a</w:t>
      </w:r>
      <w:r w:rsidRPr="00AE7519">
        <w:rPr>
          <w:rFonts w:eastAsia="Times New Roman"/>
          <w:i/>
          <w:sz w:val="22"/>
          <w:szCs w:val="22"/>
        </w:rPr>
        <w:t xml:space="preserve"> </w:t>
      </w:r>
      <w:r w:rsidRPr="00AE7519">
        <w:rPr>
          <w:rFonts w:eastAsia="Times New Roman"/>
          <w:sz w:val="22"/>
          <w:szCs w:val="22"/>
        </w:rPr>
        <w:t>alegação da administração</w:t>
      </w:r>
      <w:r w:rsidRPr="00AE7519">
        <w:rPr>
          <w:rFonts w:eastAsia="Times New Roman"/>
          <w:i/>
          <w:sz w:val="22"/>
          <w:szCs w:val="22"/>
        </w:rPr>
        <w:t xml:space="preserve"> “no sentido de que a publicidade do preço de referência pelo sítio do Comprasnet, </w:t>
      </w:r>
      <w:r w:rsidRPr="00AE7519">
        <w:rPr>
          <w:rFonts w:eastAsia="Times New Roman"/>
          <w:i/>
          <w:sz w:val="22"/>
          <w:szCs w:val="22"/>
        </w:rPr>
        <w:lastRenderedPageBreak/>
        <w:t>por meio do resumo da Intenção do Registro de Preços (IRP), supriria a falta de divulgação no edital, vez que a divulgação do preço referencial no instrumento convocatório garante ao licitante o pleno direito à impugnação do edital, notadamente quanto às regras de aceitabilidade da proposta”</w:t>
      </w:r>
      <w:r w:rsidRPr="00AE7519">
        <w:rPr>
          <w:rFonts w:eastAsia="Times New Roman"/>
          <w:sz w:val="22"/>
          <w:szCs w:val="22"/>
        </w:rPr>
        <w:t>. Assim, acolhendo a proposta do relator</w:t>
      </w:r>
      <w:r w:rsidR="00C664A2" w:rsidRPr="00AE7519">
        <w:rPr>
          <w:rFonts w:eastAsia="Times New Roman"/>
          <w:sz w:val="22"/>
          <w:szCs w:val="22"/>
        </w:rPr>
        <w:t>,</w:t>
      </w:r>
      <w:r w:rsidRPr="00AE7519">
        <w:rPr>
          <w:rFonts w:eastAsia="Times New Roman"/>
          <w:sz w:val="22"/>
          <w:szCs w:val="22"/>
        </w:rPr>
        <w:t xml:space="preserve"> a Segunda Câmara </w:t>
      </w:r>
      <w:r w:rsidR="00C664A2" w:rsidRPr="00AE7519">
        <w:rPr>
          <w:rFonts w:eastAsia="Times New Roman"/>
          <w:sz w:val="22"/>
          <w:szCs w:val="22"/>
        </w:rPr>
        <w:t xml:space="preserve">julgou </w:t>
      </w:r>
      <w:r w:rsidR="0024318C">
        <w:rPr>
          <w:rFonts w:eastAsia="Times New Roman"/>
          <w:sz w:val="22"/>
          <w:szCs w:val="22"/>
        </w:rPr>
        <w:t>procedente a R</w:t>
      </w:r>
      <w:bookmarkStart w:id="0" w:name="_GoBack"/>
      <w:bookmarkEnd w:id="0"/>
      <w:r w:rsidRPr="00AE7519">
        <w:rPr>
          <w:rFonts w:eastAsia="Times New Roman"/>
          <w:sz w:val="22"/>
          <w:szCs w:val="22"/>
        </w:rPr>
        <w:t>epresentação, fixando prazo para a adoção de providências necessárias à anulação dos atos atinentes e consequentes ao item da licitação impugnado e determinando ao Comando Logístico do Exército (</w:t>
      </w:r>
      <w:proofErr w:type="spellStart"/>
      <w:r w:rsidRPr="00AE7519">
        <w:rPr>
          <w:rFonts w:eastAsia="Times New Roman"/>
          <w:sz w:val="22"/>
          <w:szCs w:val="22"/>
        </w:rPr>
        <w:t>Colog</w:t>
      </w:r>
      <w:proofErr w:type="spellEnd"/>
      <w:r w:rsidRPr="00AE7519">
        <w:rPr>
          <w:rFonts w:eastAsia="Times New Roman"/>
          <w:sz w:val="22"/>
          <w:szCs w:val="22"/>
        </w:rPr>
        <w:t xml:space="preserve">) que </w:t>
      </w:r>
      <w:r w:rsidRPr="00AE7519">
        <w:rPr>
          <w:rFonts w:eastAsia="Times New Roman"/>
          <w:i/>
          <w:sz w:val="22"/>
          <w:szCs w:val="22"/>
        </w:rPr>
        <w:t xml:space="preserve">“se abstenha de incorrer nas falhas apontadas nestes autos, esclarecendo que há necessidade de divulgação do preço de referência no edital do pregão, quando o aludido preço for adotado como critério de aceitabilidade de preços, em consonância com a jurisprudência do TCU (e.g.: </w:t>
      </w:r>
      <w:hyperlink r:id="rId16" w:history="1">
        <w:r w:rsidRPr="00AE7519">
          <w:rPr>
            <w:rStyle w:val="Hyperlink"/>
            <w:rFonts w:eastAsia="Times New Roman"/>
            <w:i/>
            <w:sz w:val="22"/>
            <w:szCs w:val="22"/>
          </w:rPr>
          <w:t>Acórdão 392/2011-TCU-Plenário</w:t>
        </w:r>
      </w:hyperlink>
      <w:r w:rsidRPr="00AE7519">
        <w:rPr>
          <w:rFonts w:eastAsia="Times New Roman"/>
          <w:i/>
          <w:sz w:val="22"/>
          <w:szCs w:val="22"/>
        </w:rPr>
        <w:t>)”.</w:t>
      </w:r>
      <w:r w:rsidRPr="00AE7519">
        <w:rPr>
          <w:rFonts w:eastAsia="Times New Roman"/>
          <w:sz w:val="22"/>
          <w:szCs w:val="22"/>
        </w:rPr>
        <w:t xml:space="preserve"> </w:t>
      </w:r>
      <w:hyperlink r:id="rId17" w:history="1">
        <w:r w:rsidR="00177C81">
          <w:rPr>
            <w:rStyle w:val="Hyperlink"/>
            <w:rFonts w:eastAsia="Times New Roman"/>
            <w:b/>
            <w:i/>
            <w:sz w:val="22"/>
            <w:szCs w:val="22"/>
          </w:rPr>
          <w:t>Acórdão 10051/2015-Segunda</w:t>
        </w:r>
        <w:r w:rsidRPr="00AE7519">
          <w:rPr>
            <w:rStyle w:val="Hyperlink"/>
            <w:rFonts w:eastAsia="Times New Roman"/>
            <w:b/>
            <w:i/>
            <w:sz w:val="22"/>
            <w:szCs w:val="22"/>
          </w:rPr>
          <w:t xml:space="preserve"> Câmara</w:t>
        </w:r>
      </w:hyperlink>
      <w:r w:rsidRPr="00AE7519">
        <w:rPr>
          <w:rFonts w:eastAsia="Times New Roman"/>
          <w:b/>
          <w:i/>
          <w:sz w:val="22"/>
          <w:szCs w:val="22"/>
        </w:rPr>
        <w:t xml:space="preserve">, TC 008.959/2015-3, relator Ministro-Substituto André Luís de Carvalho, </w:t>
      </w:r>
      <w:r w:rsidR="00C664A2" w:rsidRPr="00AE7519">
        <w:rPr>
          <w:rFonts w:eastAsia="Times New Roman"/>
          <w:b/>
          <w:i/>
          <w:sz w:val="22"/>
          <w:szCs w:val="22"/>
        </w:rPr>
        <w:t>10</w:t>
      </w:r>
      <w:r w:rsidRPr="00AE7519">
        <w:rPr>
          <w:rFonts w:eastAsia="Times New Roman"/>
          <w:b/>
          <w:i/>
          <w:sz w:val="22"/>
          <w:szCs w:val="22"/>
        </w:rPr>
        <w:t>.11.2015.</w:t>
      </w:r>
    </w:p>
    <w:p w:rsidR="00D50CE9" w:rsidRDefault="00D50CE9" w:rsidP="00E5231A">
      <w:pPr>
        <w:spacing w:after="0"/>
        <w:ind w:left="0"/>
        <w:rPr>
          <w:sz w:val="22"/>
          <w:szCs w:val="22"/>
        </w:rPr>
      </w:pPr>
    </w:p>
    <w:p w:rsidR="00C80EE4" w:rsidRPr="006D0643" w:rsidRDefault="00C80EE4" w:rsidP="006D0643">
      <w:pPr>
        <w:pBdr>
          <w:top w:val="threeDEmboss" w:sz="24" w:space="6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INOVAÇÃO LEGISLATIVA</w:t>
      </w:r>
    </w:p>
    <w:p w:rsidR="00C80EE4" w:rsidRDefault="00C80EE4" w:rsidP="00E5231A">
      <w:pPr>
        <w:spacing w:after="0"/>
        <w:ind w:left="0"/>
      </w:pPr>
    </w:p>
    <w:p w:rsidR="00D50CE9" w:rsidRPr="006D0643" w:rsidRDefault="00D50CE9" w:rsidP="00E5231A">
      <w:pPr>
        <w:spacing w:after="0"/>
        <w:ind w:left="0"/>
        <w:rPr>
          <w:szCs w:val="22"/>
        </w:rPr>
      </w:pPr>
      <w:hyperlink r:id="rId18" w:tgtFrame="_blank" w:history="1">
        <w:r w:rsidR="00EF0A1B" w:rsidRPr="00EF0A1B">
          <w:rPr>
            <w:b/>
            <w:color w:val="0000FF"/>
            <w:sz w:val="22"/>
            <w:szCs w:val="17"/>
          </w:rPr>
          <w:t>Lei 13.190, de 19/11/15</w:t>
        </w:r>
      </w:hyperlink>
      <w:r w:rsidR="00EF0A1B">
        <w:rPr>
          <w:b/>
          <w:sz w:val="22"/>
          <w:szCs w:val="17"/>
        </w:rPr>
        <w:t xml:space="preserve">: </w:t>
      </w:r>
      <w:r w:rsidR="006D0643" w:rsidRPr="006D0643">
        <w:rPr>
          <w:sz w:val="22"/>
          <w:szCs w:val="20"/>
        </w:rPr>
        <w:t>Altera as Leis 12.462/11</w:t>
      </w:r>
      <w:r w:rsidRPr="006D0643">
        <w:rPr>
          <w:sz w:val="22"/>
          <w:szCs w:val="20"/>
        </w:rPr>
        <w:t>, que institui o Regime Diferenciado de Con</w:t>
      </w:r>
      <w:r w:rsidR="006D0643">
        <w:rPr>
          <w:sz w:val="22"/>
          <w:szCs w:val="20"/>
        </w:rPr>
        <w:t>tratações Públicas - RDC, 7.210/84, 6.015/73, 8.935/</w:t>
      </w:r>
      <w:r w:rsidRPr="006D0643">
        <w:rPr>
          <w:sz w:val="22"/>
          <w:szCs w:val="20"/>
        </w:rPr>
        <w:t>94,</w:t>
      </w:r>
      <w:r w:rsidR="006D0643">
        <w:rPr>
          <w:sz w:val="22"/>
          <w:szCs w:val="20"/>
        </w:rPr>
        <w:t xml:space="preserve"> 11.196/05 e 12.305/</w:t>
      </w:r>
      <w:r w:rsidRPr="006D0643">
        <w:rPr>
          <w:sz w:val="22"/>
          <w:szCs w:val="20"/>
        </w:rPr>
        <w:t>10; e dá outras providências.</w:t>
      </w:r>
    </w:p>
    <w:sectPr w:rsidR="00D50CE9" w:rsidRPr="006D0643" w:rsidSect="00616945">
      <w:footerReference w:type="default" r:id="rId19"/>
      <w:headerReference w:type="first" r:id="rId20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847" w:rsidRDefault="00C23847" w:rsidP="008B0547">
      <w:pPr>
        <w:spacing w:after="0"/>
      </w:pPr>
      <w:r>
        <w:separator/>
      </w:r>
    </w:p>
  </w:endnote>
  <w:endnote w:type="continuationSeparator" w:id="0">
    <w:p w:rsidR="00C23847" w:rsidRDefault="00C23847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3B" w:rsidRPr="00C906CD" w:rsidRDefault="0062593B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24318C">
      <w:rPr>
        <w:noProof/>
        <w:sz w:val="20"/>
        <w:szCs w:val="20"/>
      </w:rPr>
      <w:t>3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847" w:rsidRDefault="00C23847" w:rsidP="008B0547">
      <w:pPr>
        <w:spacing w:after="0"/>
      </w:pPr>
      <w:r>
        <w:separator/>
      </w:r>
    </w:p>
  </w:footnote>
  <w:footnote w:type="continuationSeparator" w:id="0">
    <w:p w:rsidR="00C23847" w:rsidRDefault="00C23847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3B" w:rsidRDefault="0062593B" w:rsidP="009D05A4">
    <w:pPr>
      <w:pStyle w:val="Cabealh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04B7879"/>
    <w:multiLevelType w:val="hybridMultilevel"/>
    <w:tmpl w:val="18667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624E1C"/>
    <w:multiLevelType w:val="hybridMultilevel"/>
    <w:tmpl w:val="08061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6" w15:restartNumberingAfterBreak="0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30FEE"/>
    <w:multiLevelType w:val="hybridMultilevel"/>
    <w:tmpl w:val="5CC8D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6A541CD"/>
    <w:multiLevelType w:val="hybridMultilevel"/>
    <w:tmpl w:val="73FC08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742F5"/>
    <w:multiLevelType w:val="hybridMultilevel"/>
    <w:tmpl w:val="87042368"/>
    <w:lvl w:ilvl="0" w:tplc="2960D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3" w15:restartNumberingAfterBreak="0">
    <w:nsid w:val="44B063CC"/>
    <w:multiLevelType w:val="hybridMultilevel"/>
    <w:tmpl w:val="32ECE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15" w15:restartNumberingAfterBreak="0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56106303"/>
    <w:multiLevelType w:val="hybridMultilevel"/>
    <w:tmpl w:val="9D16D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805AD"/>
    <w:multiLevelType w:val="hybridMultilevel"/>
    <w:tmpl w:val="6B18FEB6"/>
    <w:lvl w:ilvl="0" w:tplc="ACEC7E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7DBA271C"/>
    <w:multiLevelType w:val="hybridMultilevel"/>
    <w:tmpl w:val="4AD437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3"/>
    <w:lvlOverride w:ilvl="0">
      <w:startOverride w:val="1"/>
    </w:lvlOverride>
  </w:num>
  <w:num w:numId="4">
    <w:abstractNumId w:val="15"/>
  </w:num>
  <w:num w:numId="5">
    <w:abstractNumId w:val="9"/>
  </w:num>
  <w:num w:numId="6">
    <w:abstractNumId w:val="8"/>
  </w:num>
  <w:num w:numId="7">
    <w:abstractNumId w:val="14"/>
  </w:num>
  <w:num w:numId="8">
    <w:abstractNumId w:val="16"/>
  </w:num>
  <w:num w:numId="9">
    <w:abstractNumId w:val="3"/>
  </w:num>
  <w:num w:numId="10">
    <w:abstractNumId w:val="5"/>
  </w:num>
  <w:num w:numId="11">
    <w:abstractNumId w:val="19"/>
  </w:num>
  <w:num w:numId="12">
    <w:abstractNumId w:val="20"/>
  </w:num>
  <w:num w:numId="13">
    <w:abstractNumId w:val="22"/>
  </w:num>
  <w:num w:numId="14">
    <w:abstractNumId w:val="21"/>
  </w:num>
  <w:num w:numId="15">
    <w:abstractNumId w:val="25"/>
  </w:num>
  <w:num w:numId="16">
    <w:abstractNumId w:val="0"/>
  </w:num>
  <w:num w:numId="17">
    <w:abstractNumId w:val="6"/>
  </w:num>
  <w:num w:numId="18">
    <w:abstractNumId w:val="4"/>
  </w:num>
  <w:num w:numId="19">
    <w:abstractNumId w:val="17"/>
  </w:num>
  <w:num w:numId="20">
    <w:abstractNumId w:val="1"/>
  </w:num>
  <w:num w:numId="21">
    <w:abstractNumId w:val="24"/>
  </w:num>
  <w:num w:numId="22">
    <w:abstractNumId w:val="13"/>
  </w:num>
  <w:num w:numId="23">
    <w:abstractNumId w:val="10"/>
  </w:num>
  <w:num w:numId="24">
    <w:abstractNumId w:val="11"/>
  </w:num>
  <w:num w:numId="25">
    <w:abstractNumId w:val="18"/>
  </w:num>
  <w:num w:numId="2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0B4"/>
    <w:rsid w:val="000004F5"/>
    <w:rsid w:val="00000595"/>
    <w:rsid w:val="00000605"/>
    <w:rsid w:val="000006E8"/>
    <w:rsid w:val="0000081A"/>
    <w:rsid w:val="0000092D"/>
    <w:rsid w:val="00000968"/>
    <w:rsid w:val="00000A8B"/>
    <w:rsid w:val="00000B10"/>
    <w:rsid w:val="00000B94"/>
    <w:rsid w:val="00000F2D"/>
    <w:rsid w:val="0000153E"/>
    <w:rsid w:val="00001878"/>
    <w:rsid w:val="00001B4A"/>
    <w:rsid w:val="00001B69"/>
    <w:rsid w:val="000021D2"/>
    <w:rsid w:val="000023EE"/>
    <w:rsid w:val="00002445"/>
    <w:rsid w:val="000028E3"/>
    <w:rsid w:val="00002BE7"/>
    <w:rsid w:val="00002F0C"/>
    <w:rsid w:val="0000378B"/>
    <w:rsid w:val="00003CEA"/>
    <w:rsid w:val="00003D44"/>
    <w:rsid w:val="00003DC6"/>
    <w:rsid w:val="000042F4"/>
    <w:rsid w:val="000042F7"/>
    <w:rsid w:val="00004614"/>
    <w:rsid w:val="0000485C"/>
    <w:rsid w:val="00004C3B"/>
    <w:rsid w:val="00004C47"/>
    <w:rsid w:val="00004D04"/>
    <w:rsid w:val="00005142"/>
    <w:rsid w:val="0000537C"/>
    <w:rsid w:val="00005435"/>
    <w:rsid w:val="0000560C"/>
    <w:rsid w:val="00005A0B"/>
    <w:rsid w:val="00005BA5"/>
    <w:rsid w:val="00005CA1"/>
    <w:rsid w:val="00005E1E"/>
    <w:rsid w:val="00005F57"/>
    <w:rsid w:val="00006310"/>
    <w:rsid w:val="0000636F"/>
    <w:rsid w:val="000069F3"/>
    <w:rsid w:val="00006B0C"/>
    <w:rsid w:val="0000717A"/>
    <w:rsid w:val="00007C63"/>
    <w:rsid w:val="00007FA6"/>
    <w:rsid w:val="0001037C"/>
    <w:rsid w:val="000103D9"/>
    <w:rsid w:val="00010A77"/>
    <w:rsid w:val="00010F62"/>
    <w:rsid w:val="00011074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64"/>
    <w:rsid w:val="00012287"/>
    <w:rsid w:val="00012468"/>
    <w:rsid w:val="00012469"/>
    <w:rsid w:val="00012656"/>
    <w:rsid w:val="00012898"/>
    <w:rsid w:val="00012DCE"/>
    <w:rsid w:val="00012EEB"/>
    <w:rsid w:val="0001324F"/>
    <w:rsid w:val="000132A1"/>
    <w:rsid w:val="00013851"/>
    <w:rsid w:val="00013941"/>
    <w:rsid w:val="00013A1F"/>
    <w:rsid w:val="00013BDC"/>
    <w:rsid w:val="00014136"/>
    <w:rsid w:val="0001422B"/>
    <w:rsid w:val="000145F8"/>
    <w:rsid w:val="00014B20"/>
    <w:rsid w:val="00014D88"/>
    <w:rsid w:val="00014E81"/>
    <w:rsid w:val="000153E5"/>
    <w:rsid w:val="000155CC"/>
    <w:rsid w:val="00015ACC"/>
    <w:rsid w:val="000161F7"/>
    <w:rsid w:val="0001636D"/>
    <w:rsid w:val="0001643A"/>
    <w:rsid w:val="0001657D"/>
    <w:rsid w:val="0001659A"/>
    <w:rsid w:val="00016730"/>
    <w:rsid w:val="00016A5D"/>
    <w:rsid w:val="00016B9F"/>
    <w:rsid w:val="00016BF5"/>
    <w:rsid w:val="00017207"/>
    <w:rsid w:val="0001776E"/>
    <w:rsid w:val="000179E2"/>
    <w:rsid w:val="00017E97"/>
    <w:rsid w:val="00017ED0"/>
    <w:rsid w:val="0002039E"/>
    <w:rsid w:val="00020941"/>
    <w:rsid w:val="00020C27"/>
    <w:rsid w:val="00020C75"/>
    <w:rsid w:val="00020E49"/>
    <w:rsid w:val="00020FC8"/>
    <w:rsid w:val="000212EB"/>
    <w:rsid w:val="000214F6"/>
    <w:rsid w:val="00021532"/>
    <w:rsid w:val="000215B1"/>
    <w:rsid w:val="0002193A"/>
    <w:rsid w:val="000221FD"/>
    <w:rsid w:val="0002237E"/>
    <w:rsid w:val="0002238E"/>
    <w:rsid w:val="000224CB"/>
    <w:rsid w:val="000227F4"/>
    <w:rsid w:val="0002327E"/>
    <w:rsid w:val="00023576"/>
    <w:rsid w:val="0002374E"/>
    <w:rsid w:val="00023828"/>
    <w:rsid w:val="000238CF"/>
    <w:rsid w:val="00023AFD"/>
    <w:rsid w:val="00023B5E"/>
    <w:rsid w:val="00023D72"/>
    <w:rsid w:val="00024363"/>
    <w:rsid w:val="00024C4F"/>
    <w:rsid w:val="00025103"/>
    <w:rsid w:val="000253D1"/>
    <w:rsid w:val="000253EE"/>
    <w:rsid w:val="00025450"/>
    <w:rsid w:val="00025753"/>
    <w:rsid w:val="00025846"/>
    <w:rsid w:val="00025A32"/>
    <w:rsid w:val="00025AA0"/>
    <w:rsid w:val="00025C63"/>
    <w:rsid w:val="000262E8"/>
    <w:rsid w:val="0002659E"/>
    <w:rsid w:val="0002662F"/>
    <w:rsid w:val="0002663F"/>
    <w:rsid w:val="00026CE8"/>
    <w:rsid w:val="00026F3D"/>
    <w:rsid w:val="000271FA"/>
    <w:rsid w:val="0002751C"/>
    <w:rsid w:val="000278BE"/>
    <w:rsid w:val="00027A8F"/>
    <w:rsid w:val="00027B2E"/>
    <w:rsid w:val="00027C86"/>
    <w:rsid w:val="00027EFC"/>
    <w:rsid w:val="000300A2"/>
    <w:rsid w:val="000304BD"/>
    <w:rsid w:val="00030996"/>
    <w:rsid w:val="00030C19"/>
    <w:rsid w:val="00030C68"/>
    <w:rsid w:val="00030EC2"/>
    <w:rsid w:val="0003113F"/>
    <w:rsid w:val="00031B07"/>
    <w:rsid w:val="00031B9D"/>
    <w:rsid w:val="00032198"/>
    <w:rsid w:val="00032353"/>
    <w:rsid w:val="0003282A"/>
    <w:rsid w:val="00032CA1"/>
    <w:rsid w:val="00032CE9"/>
    <w:rsid w:val="00032D47"/>
    <w:rsid w:val="000334D4"/>
    <w:rsid w:val="00033551"/>
    <w:rsid w:val="00033587"/>
    <w:rsid w:val="00033B34"/>
    <w:rsid w:val="00033B3E"/>
    <w:rsid w:val="00033EF2"/>
    <w:rsid w:val="0003422F"/>
    <w:rsid w:val="00034B1B"/>
    <w:rsid w:val="000354D0"/>
    <w:rsid w:val="00035593"/>
    <w:rsid w:val="0003563E"/>
    <w:rsid w:val="00035A82"/>
    <w:rsid w:val="00035D4C"/>
    <w:rsid w:val="00035FBF"/>
    <w:rsid w:val="000360F1"/>
    <w:rsid w:val="00036249"/>
    <w:rsid w:val="00036449"/>
    <w:rsid w:val="00036818"/>
    <w:rsid w:val="00036F23"/>
    <w:rsid w:val="000371C1"/>
    <w:rsid w:val="0003724C"/>
    <w:rsid w:val="00037A0A"/>
    <w:rsid w:val="00037B23"/>
    <w:rsid w:val="00037DCE"/>
    <w:rsid w:val="00037E4B"/>
    <w:rsid w:val="000408F5"/>
    <w:rsid w:val="00040938"/>
    <w:rsid w:val="00041337"/>
    <w:rsid w:val="00041450"/>
    <w:rsid w:val="000415DA"/>
    <w:rsid w:val="00041E6A"/>
    <w:rsid w:val="00042220"/>
    <w:rsid w:val="00042393"/>
    <w:rsid w:val="00042A13"/>
    <w:rsid w:val="000431BD"/>
    <w:rsid w:val="00043654"/>
    <w:rsid w:val="000436B0"/>
    <w:rsid w:val="000438BA"/>
    <w:rsid w:val="000438FC"/>
    <w:rsid w:val="00043C16"/>
    <w:rsid w:val="00044536"/>
    <w:rsid w:val="00044732"/>
    <w:rsid w:val="000447EE"/>
    <w:rsid w:val="00044B21"/>
    <w:rsid w:val="00044DD0"/>
    <w:rsid w:val="00044E41"/>
    <w:rsid w:val="00044F32"/>
    <w:rsid w:val="000455D4"/>
    <w:rsid w:val="00045A98"/>
    <w:rsid w:val="00045C61"/>
    <w:rsid w:val="00045FC1"/>
    <w:rsid w:val="000460E4"/>
    <w:rsid w:val="0004614A"/>
    <w:rsid w:val="00046313"/>
    <w:rsid w:val="0004632A"/>
    <w:rsid w:val="0004660A"/>
    <w:rsid w:val="000469E6"/>
    <w:rsid w:val="00046C88"/>
    <w:rsid w:val="00046CF7"/>
    <w:rsid w:val="00047011"/>
    <w:rsid w:val="00047201"/>
    <w:rsid w:val="000474E4"/>
    <w:rsid w:val="0004791A"/>
    <w:rsid w:val="00047C67"/>
    <w:rsid w:val="00047E71"/>
    <w:rsid w:val="00050483"/>
    <w:rsid w:val="000505FB"/>
    <w:rsid w:val="00050BA0"/>
    <w:rsid w:val="0005133B"/>
    <w:rsid w:val="000513D0"/>
    <w:rsid w:val="00051698"/>
    <w:rsid w:val="00051AAB"/>
    <w:rsid w:val="00051AD2"/>
    <w:rsid w:val="00051D57"/>
    <w:rsid w:val="00051F43"/>
    <w:rsid w:val="0005205F"/>
    <w:rsid w:val="000522EF"/>
    <w:rsid w:val="00052B15"/>
    <w:rsid w:val="00052BCA"/>
    <w:rsid w:val="00052E07"/>
    <w:rsid w:val="00052FC7"/>
    <w:rsid w:val="00052FDD"/>
    <w:rsid w:val="00053241"/>
    <w:rsid w:val="0005356E"/>
    <w:rsid w:val="000536ED"/>
    <w:rsid w:val="00053A08"/>
    <w:rsid w:val="00053BB0"/>
    <w:rsid w:val="000540DB"/>
    <w:rsid w:val="000540FC"/>
    <w:rsid w:val="0005412B"/>
    <w:rsid w:val="0005426B"/>
    <w:rsid w:val="00054432"/>
    <w:rsid w:val="000545B5"/>
    <w:rsid w:val="0005485B"/>
    <w:rsid w:val="00054A91"/>
    <w:rsid w:val="00054B12"/>
    <w:rsid w:val="00054C16"/>
    <w:rsid w:val="00054D93"/>
    <w:rsid w:val="00054FBE"/>
    <w:rsid w:val="00055143"/>
    <w:rsid w:val="00055264"/>
    <w:rsid w:val="0005548B"/>
    <w:rsid w:val="0005584C"/>
    <w:rsid w:val="00055A5C"/>
    <w:rsid w:val="00055B1D"/>
    <w:rsid w:val="00055CD8"/>
    <w:rsid w:val="00055D4F"/>
    <w:rsid w:val="00056182"/>
    <w:rsid w:val="000562CD"/>
    <w:rsid w:val="0005656B"/>
    <w:rsid w:val="00056A5A"/>
    <w:rsid w:val="00056A5F"/>
    <w:rsid w:val="00056D51"/>
    <w:rsid w:val="00056F35"/>
    <w:rsid w:val="0005724A"/>
    <w:rsid w:val="00057255"/>
    <w:rsid w:val="000572BB"/>
    <w:rsid w:val="0005737C"/>
    <w:rsid w:val="00057383"/>
    <w:rsid w:val="00057892"/>
    <w:rsid w:val="00057B48"/>
    <w:rsid w:val="00057D5A"/>
    <w:rsid w:val="0006028E"/>
    <w:rsid w:val="000603A9"/>
    <w:rsid w:val="000605A0"/>
    <w:rsid w:val="0006070E"/>
    <w:rsid w:val="00060728"/>
    <w:rsid w:val="00060856"/>
    <w:rsid w:val="00060CE3"/>
    <w:rsid w:val="00061A56"/>
    <w:rsid w:val="00061C2E"/>
    <w:rsid w:val="00061EF5"/>
    <w:rsid w:val="00062275"/>
    <w:rsid w:val="000622E0"/>
    <w:rsid w:val="0006245C"/>
    <w:rsid w:val="000624FA"/>
    <w:rsid w:val="00062A84"/>
    <w:rsid w:val="00062B46"/>
    <w:rsid w:val="00062D0E"/>
    <w:rsid w:val="00062E75"/>
    <w:rsid w:val="00062EC1"/>
    <w:rsid w:val="00063852"/>
    <w:rsid w:val="00063B83"/>
    <w:rsid w:val="00063C6E"/>
    <w:rsid w:val="0006433A"/>
    <w:rsid w:val="000647B1"/>
    <w:rsid w:val="0006509C"/>
    <w:rsid w:val="0006516A"/>
    <w:rsid w:val="00065849"/>
    <w:rsid w:val="0006592B"/>
    <w:rsid w:val="00065A49"/>
    <w:rsid w:val="00065A8B"/>
    <w:rsid w:val="00065B97"/>
    <w:rsid w:val="00065C38"/>
    <w:rsid w:val="00065E95"/>
    <w:rsid w:val="00066126"/>
    <w:rsid w:val="000664C8"/>
    <w:rsid w:val="00066658"/>
    <w:rsid w:val="00066ACA"/>
    <w:rsid w:val="00066E66"/>
    <w:rsid w:val="00066F26"/>
    <w:rsid w:val="0006707B"/>
    <w:rsid w:val="000675D5"/>
    <w:rsid w:val="00067987"/>
    <w:rsid w:val="00067E95"/>
    <w:rsid w:val="00067EB3"/>
    <w:rsid w:val="0007009A"/>
    <w:rsid w:val="00070280"/>
    <w:rsid w:val="0007073D"/>
    <w:rsid w:val="00070785"/>
    <w:rsid w:val="00070CFF"/>
    <w:rsid w:val="00070EE5"/>
    <w:rsid w:val="0007120E"/>
    <w:rsid w:val="00071380"/>
    <w:rsid w:val="00071457"/>
    <w:rsid w:val="000717D9"/>
    <w:rsid w:val="000717EC"/>
    <w:rsid w:val="0007190C"/>
    <w:rsid w:val="00071FB7"/>
    <w:rsid w:val="00072124"/>
    <w:rsid w:val="0007259B"/>
    <w:rsid w:val="0007275A"/>
    <w:rsid w:val="000727DB"/>
    <w:rsid w:val="000727F6"/>
    <w:rsid w:val="00072916"/>
    <w:rsid w:val="00072D55"/>
    <w:rsid w:val="00072F56"/>
    <w:rsid w:val="00073231"/>
    <w:rsid w:val="00073509"/>
    <w:rsid w:val="000735D1"/>
    <w:rsid w:val="0007405B"/>
    <w:rsid w:val="00074384"/>
    <w:rsid w:val="00074AC5"/>
    <w:rsid w:val="00075204"/>
    <w:rsid w:val="00075352"/>
    <w:rsid w:val="00075395"/>
    <w:rsid w:val="000756E7"/>
    <w:rsid w:val="00075CE6"/>
    <w:rsid w:val="00075D3C"/>
    <w:rsid w:val="00075DC2"/>
    <w:rsid w:val="00076030"/>
    <w:rsid w:val="000761CD"/>
    <w:rsid w:val="0007670D"/>
    <w:rsid w:val="000768BB"/>
    <w:rsid w:val="00076909"/>
    <w:rsid w:val="00076CF7"/>
    <w:rsid w:val="00076E1D"/>
    <w:rsid w:val="00077346"/>
    <w:rsid w:val="00077A56"/>
    <w:rsid w:val="00077BA4"/>
    <w:rsid w:val="0008010D"/>
    <w:rsid w:val="00080148"/>
    <w:rsid w:val="0008019A"/>
    <w:rsid w:val="00080237"/>
    <w:rsid w:val="00080245"/>
    <w:rsid w:val="000807D4"/>
    <w:rsid w:val="00080B82"/>
    <w:rsid w:val="00080CAA"/>
    <w:rsid w:val="00080D3E"/>
    <w:rsid w:val="00080D6E"/>
    <w:rsid w:val="0008154F"/>
    <w:rsid w:val="00081635"/>
    <w:rsid w:val="0008178A"/>
    <w:rsid w:val="00081A4D"/>
    <w:rsid w:val="00081C5B"/>
    <w:rsid w:val="00081DD6"/>
    <w:rsid w:val="00081DFB"/>
    <w:rsid w:val="0008246E"/>
    <w:rsid w:val="000824AF"/>
    <w:rsid w:val="00083289"/>
    <w:rsid w:val="0008343E"/>
    <w:rsid w:val="00083514"/>
    <w:rsid w:val="000835D8"/>
    <w:rsid w:val="00083761"/>
    <w:rsid w:val="0008397F"/>
    <w:rsid w:val="00083B97"/>
    <w:rsid w:val="00084282"/>
    <w:rsid w:val="00084727"/>
    <w:rsid w:val="000847F7"/>
    <w:rsid w:val="00084A99"/>
    <w:rsid w:val="00084B0E"/>
    <w:rsid w:val="00085206"/>
    <w:rsid w:val="000858BB"/>
    <w:rsid w:val="000858EF"/>
    <w:rsid w:val="00085F57"/>
    <w:rsid w:val="00086181"/>
    <w:rsid w:val="00086210"/>
    <w:rsid w:val="0008629E"/>
    <w:rsid w:val="000862A7"/>
    <w:rsid w:val="00086489"/>
    <w:rsid w:val="000867E7"/>
    <w:rsid w:val="00086836"/>
    <w:rsid w:val="000868A7"/>
    <w:rsid w:val="00086943"/>
    <w:rsid w:val="00086A39"/>
    <w:rsid w:val="00086BAA"/>
    <w:rsid w:val="00086D52"/>
    <w:rsid w:val="00086D92"/>
    <w:rsid w:val="00087006"/>
    <w:rsid w:val="00087007"/>
    <w:rsid w:val="00087431"/>
    <w:rsid w:val="000877A4"/>
    <w:rsid w:val="00087894"/>
    <w:rsid w:val="000879F1"/>
    <w:rsid w:val="00087A69"/>
    <w:rsid w:val="00087C6C"/>
    <w:rsid w:val="00090377"/>
    <w:rsid w:val="0009058C"/>
    <w:rsid w:val="00090899"/>
    <w:rsid w:val="00090B8F"/>
    <w:rsid w:val="00090C97"/>
    <w:rsid w:val="00090D8A"/>
    <w:rsid w:val="00090E2E"/>
    <w:rsid w:val="0009133A"/>
    <w:rsid w:val="00091626"/>
    <w:rsid w:val="000916AF"/>
    <w:rsid w:val="000919D7"/>
    <w:rsid w:val="00091B42"/>
    <w:rsid w:val="00091BEE"/>
    <w:rsid w:val="00091F93"/>
    <w:rsid w:val="000923FB"/>
    <w:rsid w:val="000929ED"/>
    <w:rsid w:val="00092C2E"/>
    <w:rsid w:val="00092E24"/>
    <w:rsid w:val="00092E5F"/>
    <w:rsid w:val="00092F3E"/>
    <w:rsid w:val="00093088"/>
    <w:rsid w:val="000937B7"/>
    <w:rsid w:val="00093937"/>
    <w:rsid w:val="00093952"/>
    <w:rsid w:val="000940A9"/>
    <w:rsid w:val="00094730"/>
    <w:rsid w:val="00094981"/>
    <w:rsid w:val="00094A70"/>
    <w:rsid w:val="00094A7D"/>
    <w:rsid w:val="00094C5B"/>
    <w:rsid w:val="00094C72"/>
    <w:rsid w:val="00094E61"/>
    <w:rsid w:val="00094EEC"/>
    <w:rsid w:val="00094F3A"/>
    <w:rsid w:val="00095069"/>
    <w:rsid w:val="000957B7"/>
    <w:rsid w:val="00095AC0"/>
    <w:rsid w:val="00095D98"/>
    <w:rsid w:val="0009624E"/>
    <w:rsid w:val="0009649A"/>
    <w:rsid w:val="0009655D"/>
    <w:rsid w:val="000965A2"/>
    <w:rsid w:val="000966CB"/>
    <w:rsid w:val="00096740"/>
    <w:rsid w:val="0009683B"/>
    <w:rsid w:val="00096899"/>
    <w:rsid w:val="000968C9"/>
    <w:rsid w:val="000969AE"/>
    <w:rsid w:val="00096BDB"/>
    <w:rsid w:val="00096C1B"/>
    <w:rsid w:val="00096CE0"/>
    <w:rsid w:val="00096DFF"/>
    <w:rsid w:val="00097163"/>
    <w:rsid w:val="000971B8"/>
    <w:rsid w:val="0009748C"/>
    <w:rsid w:val="000975C1"/>
    <w:rsid w:val="00097614"/>
    <w:rsid w:val="0009780B"/>
    <w:rsid w:val="00097863"/>
    <w:rsid w:val="00097ABD"/>
    <w:rsid w:val="00097BF6"/>
    <w:rsid w:val="00097DEB"/>
    <w:rsid w:val="00097FC4"/>
    <w:rsid w:val="000A0291"/>
    <w:rsid w:val="000A0412"/>
    <w:rsid w:val="000A0732"/>
    <w:rsid w:val="000A0E9D"/>
    <w:rsid w:val="000A0EA4"/>
    <w:rsid w:val="000A0EF8"/>
    <w:rsid w:val="000A124B"/>
    <w:rsid w:val="000A152A"/>
    <w:rsid w:val="000A1573"/>
    <w:rsid w:val="000A1624"/>
    <w:rsid w:val="000A1B73"/>
    <w:rsid w:val="000A1EBD"/>
    <w:rsid w:val="000A246C"/>
    <w:rsid w:val="000A261A"/>
    <w:rsid w:val="000A2B36"/>
    <w:rsid w:val="000A2C56"/>
    <w:rsid w:val="000A2DF9"/>
    <w:rsid w:val="000A2EDB"/>
    <w:rsid w:val="000A301D"/>
    <w:rsid w:val="000A37A7"/>
    <w:rsid w:val="000A3939"/>
    <w:rsid w:val="000A402F"/>
    <w:rsid w:val="000A40FD"/>
    <w:rsid w:val="000A413A"/>
    <w:rsid w:val="000A4384"/>
    <w:rsid w:val="000A45C6"/>
    <w:rsid w:val="000A4632"/>
    <w:rsid w:val="000A47EA"/>
    <w:rsid w:val="000A4C56"/>
    <w:rsid w:val="000A4DD9"/>
    <w:rsid w:val="000A4E36"/>
    <w:rsid w:val="000A504A"/>
    <w:rsid w:val="000A50D4"/>
    <w:rsid w:val="000A5457"/>
    <w:rsid w:val="000A54F5"/>
    <w:rsid w:val="000A57DA"/>
    <w:rsid w:val="000A599E"/>
    <w:rsid w:val="000A6269"/>
    <w:rsid w:val="000A62BD"/>
    <w:rsid w:val="000A6645"/>
    <w:rsid w:val="000A683D"/>
    <w:rsid w:val="000A6CDC"/>
    <w:rsid w:val="000A6E08"/>
    <w:rsid w:val="000A733B"/>
    <w:rsid w:val="000A74CB"/>
    <w:rsid w:val="000A75EF"/>
    <w:rsid w:val="000A77BB"/>
    <w:rsid w:val="000A78E5"/>
    <w:rsid w:val="000A79DB"/>
    <w:rsid w:val="000A7DA2"/>
    <w:rsid w:val="000B00CC"/>
    <w:rsid w:val="000B0631"/>
    <w:rsid w:val="000B0765"/>
    <w:rsid w:val="000B0ECB"/>
    <w:rsid w:val="000B0F42"/>
    <w:rsid w:val="000B0FEA"/>
    <w:rsid w:val="000B1052"/>
    <w:rsid w:val="000B1627"/>
    <w:rsid w:val="000B1A59"/>
    <w:rsid w:val="000B1B9E"/>
    <w:rsid w:val="000B29E7"/>
    <w:rsid w:val="000B2A52"/>
    <w:rsid w:val="000B2AFA"/>
    <w:rsid w:val="000B2B2C"/>
    <w:rsid w:val="000B2C79"/>
    <w:rsid w:val="000B2D7A"/>
    <w:rsid w:val="000B3015"/>
    <w:rsid w:val="000B3444"/>
    <w:rsid w:val="000B359F"/>
    <w:rsid w:val="000B395E"/>
    <w:rsid w:val="000B3C0E"/>
    <w:rsid w:val="000B3C52"/>
    <w:rsid w:val="000B3F30"/>
    <w:rsid w:val="000B42EE"/>
    <w:rsid w:val="000B4439"/>
    <w:rsid w:val="000B4534"/>
    <w:rsid w:val="000B4AF2"/>
    <w:rsid w:val="000B4B33"/>
    <w:rsid w:val="000B4B84"/>
    <w:rsid w:val="000B4C5B"/>
    <w:rsid w:val="000B4E93"/>
    <w:rsid w:val="000B4EBB"/>
    <w:rsid w:val="000B5463"/>
    <w:rsid w:val="000B5A1A"/>
    <w:rsid w:val="000B5CED"/>
    <w:rsid w:val="000B5DB2"/>
    <w:rsid w:val="000B5DD4"/>
    <w:rsid w:val="000B5F2F"/>
    <w:rsid w:val="000B62EA"/>
    <w:rsid w:val="000B6342"/>
    <w:rsid w:val="000B639F"/>
    <w:rsid w:val="000B63F3"/>
    <w:rsid w:val="000B6475"/>
    <w:rsid w:val="000B6BC1"/>
    <w:rsid w:val="000B6DA0"/>
    <w:rsid w:val="000B706C"/>
    <w:rsid w:val="000B759E"/>
    <w:rsid w:val="000B775A"/>
    <w:rsid w:val="000B77F3"/>
    <w:rsid w:val="000B79DD"/>
    <w:rsid w:val="000B7A54"/>
    <w:rsid w:val="000B7B62"/>
    <w:rsid w:val="000B7C24"/>
    <w:rsid w:val="000B7E48"/>
    <w:rsid w:val="000B7EC2"/>
    <w:rsid w:val="000C0013"/>
    <w:rsid w:val="000C02AD"/>
    <w:rsid w:val="000C049A"/>
    <w:rsid w:val="000C060B"/>
    <w:rsid w:val="000C0875"/>
    <w:rsid w:val="000C0AA8"/>
    <w:rsid w:val="000C0B99"/>
    <w:rsid w:val="000C0D07"/>
    <w:rsid w:val="000C1585"/>
    <w:rsid w:val="000C1757"/>
    <w:rsid w:val="000C1A3E"/>
    <w:rsid w:val="000C1AFC"/>
    <w:rsid w:val="000C1EED"/>
    <w:rsid w:val="000C1F99"/>
    <w:rsid w:val="000C22BE"/>
    <w:rsid w:val="000C22C0"/>
    <w:rsid w:val="000C28CC"/>
    <w:rsid w:val="000C2960"/>
    <w:rsid w:val="000C2CBC"/>
    <w:rsid w:val="000C3A4C"/>
    <w:rsid w:val="000C3BD5"/>
    <w:rsid w:val="000C3DAB"/>
    <w:rsid w:val="000C42A5"/>
    <w:rsid w:val="000C4611"/>
    <w:rsid w:val="000C461B"/>
    <w:rsid w:val="000C4A10"/>
    <w:rsid w:val="000C4A88"/>
    <w:rsid w:val="000C4AC9"/>
    <w:rsid w:val="000C4BA1"/>
    <w:rsid w:val="000C4FAE"/>
    <w:rsid w:val="000C5199"/>
    <w:rsid w:val="000C51DE"/>
    <w:rsid w:val="000C5536"/>
    <w:rsid w:val="000C556A"/>
    <w:rsid w:val="000C5799"/>
    <w:rsid w:val="000C5890"/>
    <w:rsid w:val="000C5D70"/>
    <w:rsid w:val="000C5FDE"/>
    <w:rsid w:val="000C61FA"/>
    <w:rsid w:val="000C6279"/>
    <w:rsid w:val="000C69B3"/>
    <w:rsid w:val="000C6D64"/>
    <w:rsid w:val="000C6F6F"/>
    <w:rsid w:val="000C7281"/>
    <w:rsid w:val="000C743C"/>
    <w:rsid w:val="000C7D11"/>
    <w:rsid w:val="000D073F"/>
    <w:rsid w:val="000D0AE8"/>
    <w:rsid w:val="000D0D17"/>
    <w:rsid w:val="000D0D66"/>
    <w:rsid w:val="000D0D9A"/>
    <w:rsid w:val="000D10FB"/>
    <w:rsid w:val="000D14D9"/>
    <w:rsid w:val="000D1878"/>
    <w:rsid w:val="000D1901"/>
    <w:rsid w:val="000D1AAE"/>
    <w:rsid w:val="000D1B91"/>
    <w:rsid w:val="000D1C53"/>
    <w:rsid w:val="000D1DC7"/>
    <w:rsid w:val="000D1EF5"/>
    <w:rsid w:val="000D1FD7"/>
    <w:rsid w:val="000D2184"/>
    <w:rsid w:val="000D21EE"/>
    <w:rsid w:val="000D2283"/>
    <w:rsid w:val="000D258A"/>
    <w:rsid w:val="000D27A8"/>
    <w:rsid w:val="000D2883"/>
    <w:rsid w:val="000D29A2"/>
    <w:rsid w:val="000D2CBD"/>
    <w:rsid w:val="000D359B"/>
    <w:rsid w:val="000D3759"/>
    <w:rsid w:val="000D37B0"/>
    <w:rsid w:val="000D3B50"/>
    <w:rsid w:val="000D3C1E"/>
    <w:rsid w:val="000D3E44"/>
    <w:rsid w:val="000D4696"/>
    <w:rsid w:val="000D52D9"/>
    <w:rsid w:val="000D56C5"/>
    <w:rsid w:val="000D56E6"/>
    <w:rsid w:val="000D61F8"/>
    <w:rsid w:val="000D61FD"/>
    <w:rsid w:val="000D6373"/>
    <w:rsid w:val="000D6388"/>
    <w:rsid w:val="000D6418"/>
    <w:rsid w:val="000D6479"/>
    <w:rsid w:val="000D6839"/>
    <w:rsid w:val="000D6906"/>
    <w:rsid w:val="000D6C9E"/>
    <w:rsid w:val="000D74DF"/>
    <w:rsid w:val="000D7904"/>
    <w:rsid w:val="000D7BA8"/>
    <w:rsid w:val="000D7CE9"/>
    <w:rsid w:val="000D7DB6"/>
    <w:rsid w:val="000D7DD6"/>
    <w:rsid w:val="000D7DED"/>
    <w:rsid w:val="000D7E4F"/>
    <w:rsid w:val="000E00F0"/>
    <w:rsid w:val="000E020F"/>
    <w:rsid w:val="000E0743"/>
    <w:rsid w:val="000E0A96"/>
    <w:rsid w:val="000E10DB"/>
    <w:rsid w:val="000E12F7"/>
    <w:rsid w:val="000E1A4B"/>
    <w:rsid w:val="000E1BBB"/>
    <w:rsid w:val="000E1CAA"/>
    <w:rsid w:val="000E1D37"/>
    <w:rsid w:val="000E1DF7"/>
    <w:rsid w:val="000E23D2"/>
    <w:rsid w:val="000E24D9"/>
    <w:rsid w:val="000E28AC"/>
    <w:rsid w:val="000E2D47"/>
    <w:rsid w:val="000E3599"/>
    <w:rsid w:val="000E372B"/>
    <w:rsid w:val="000E38A0"/>
    <w:rsid w:val="000E3955"/>
    <w:rsid w:val="000E3A55"/>
    <w:rsid w:val="000E3B31"/>
    <w:rsid w:val="000E3C6D"/>
    <w:rsid w:val="000E45B0"/>
    <w:rsid w:val="000E4B19"/>
    <w:rsid w:val="000E4D15"/>
    <w:rsid w:val="000E504D"/>
    <w:rsid w:val="000E5C70"/>
    <w:rsid w:val="000E5EAB"/>
    <w:rsid w:val="000E5F56"/>
    <w:rsid w:val="000E6183"/>
    <w:rsid w:val="000E65B4"/>
    <w:rsid w:val="000E69A6"/>
    <w:rsid w:val="000E6B37"/>
    <w:rsid w:val="000E6CEF"/>
    <w:rsid w:val="000E7091"/>
    <w:rsid w:val="000E730B"/>
    <w:rsid w:val="000E7703"/>
    <w:rsid w:val="000E78A6"/>
    <w:rsid w:val="000E7E92"/>
    <w:rsid w:val="000E7FD4"/>
    <w:rsid w:val="000F05AC"/>
    <w:rsid w:val="000F0847"/>
    <w:rsid w:val="000F09C6"/>
    <w:rsid w:val="000F0A64"/>
    <w:rsid w:val="000F0F99"/>
    <w:rsid w:val="000F13F3"/>
    <w:rsid w:val="000F1450"/>
    <w:rsid w:val="000F1583"/>
    <w:rsid w:val="000F1786"/>
    <w:rsid w:val="000F1921"/>
    <w:rsid w:val="000F2133"/>
    <w:rsid w:val="000F28B2"/>
    <w:rsid w:val="000F28E9"/>
    <w:rsid w:val="000F2975"/>
    <w:rsid w:val="000F29B9"/>
    <w:rsid w:val="000F2D05"/>
    <w:rsid w:val="000F2D48"/>
    <w:rsid w:val="000F2F92"/>
    <w:rsid w:val="000F2FD9"/>
    <w:rsid w:val="000F3258"/>
    <w:rsid w:val="000F3282"/>
    <w:rsid w:val="000F33B5"/>
    <w:rsid w:val="000F33FD"/>
    <w:rsid w:val="000F3520"/>
    <w:rsid w:val="000F3D2B"/>
    <w:rsid w:val="000F3E8F"/>
    <w:rsid w:val="000F3EFB"/>
    <w:rsid w:val="000F47C1"/>
    <w:rsid w:val="000F48B1"/>
    <w:rsid w:val="000F495D"/>
    <w:rsid w:val="000F4B0C"/>
    <w:rsid w:val="000F4B18"/>
    <w:rsid w:val="000F4B82"/>
    <w:rsid w:val="000F4CC1"/>
    <w:rsid w:val="000F5135"/>
    <w:rsid w:val="000F59E0"/>
    <w:rsid w:val="000F5ED7"/>
    <w:rsid w:val="000F5EFA"/>
    <w:rsid w:val="000F601E"/>
    <w:rsid w:val="000F6986"/>
    <w:rsid w:val="000F69B8"/>
    <w:rsid w:val="000F6A43"/>
    <w:rsid w:val="000F6A5D"/>
    <w:rsid w:val="000F6B22"/>
    <w:rsid w:val="000F6D85"/>
    <w:rsid w:val="000F73F1"/>
    <w:rsid w:val="000F7B66"/>
    <w:rsid w:val="000F7CEE"/>
    <w:rsid w:val="000F7D84"/>
    <w:rsid w:val="001001F4"/>
    <w:rsid w:val="001003DD"/>
    <w:rsid w:val="001005A8"/>
    <w:rsid w:val="00100B6D"/>
    <w:rsid w:val="00100BFC"/>
    <w:rsid w:val="001016F1"/>
    <w:rsid w:val="00101707"/>
    <w:rsid w:val="00101AF5"/>
    <w:rsid w:val="00101EE1"/>
    <w:rsid w:val="00101F01"/>
    <w:rsid w:val="00102031"/>
    <w:rsid w:val="00102661"/>
    <w:rsid w:val="001029A6"/>
    <w:rsid w:val="00102C2F"/>
    <w:rsid w:val="00102D37"/>
    <w:rsid w:val="00102DC0"/>
    <w:rsid w:val="00103738"/>
    <w:rsid w:val="00103A3E"/>
    <w:rsid w:val="00103C24"/>
    <w:rsid w:val="00103E5B"/>
    <w:rsid w:val="00103E8A"/>
    <w:rsid w:val="00103EA0"/>
    <w:rsid w:val="0010404C"/>
    <w:rsid w:val="001041ED"/>
    <w:rsid w:val="001043C0"/>
    <w:rsid w:val="001048BD"/>
    <w:rsid w:val="00104AAD"/>
    <w:rsid w:val="00104C71"/>
    <w:rsid w:val="00104D93"/>
    <w:rsid w:val="001052CD"/>
    <w:rsid w:val="001055B3"/>
    <w:rsid w:val="00105F75"/>
    <w:rsid w:val="00106075"/>
    <w:rsid w:val="00106101"/>
    <w:rsid w:val="001064E1"/>
    <w:rsid w:val="00106500"/>
    <w:rsid w:val="001071C7"/>
    <w:rsid w:val="00107244"/>
    <w:rsid w:val="001072E1"/>
    <w:rsid w:val="00107486"/>
    <w:rsid w:val="001078DE"/>
    <w:rsid w:val="00107A34"/>
    <w:rsid w:val="00107AC8"/>
    <w:rsid w:val="001100F8"/>
    <w:rsid w:val="0011038F"/>
    <w:rsid w:val="0011039E"/>
    <w:rsid w:val="001103EC"/>
    <w:rsid w:val="001104BA"/>
    <w:rsid w:val="001108C0"/>
    <w:rsid w:val="00110C79"/>
    <w:rsid w:val="00110ECA"/>
    <w:rsid w:val="001110E6"/>
    <w:rsid w:val="00111441"/>
    <w:rsid w:val="00111866"/>
    <w:rsid w:val="00111A2A"/>
    <w:rsid w:val="00111A71"/>
    <w:rsid w:val="00111B67"/>
    <w:rsid w:val="00111E00"/>
    <w:rsid w:val="00112265"/>
    <w:rsid w:val="001125A2"/>
    <w:rsid w:val="00112676"/>
    <w:rsid w:val="0011273C"/>
    <w:rsid w:val="00112A5F"/>
    <w:rsid w:val="00112E90"/>
    <w:rsid w:val="00112F66"/>
    <w:rsid w:val="00112F9E"/>
    <w:rsid w:val="00113168"/>
    <w:rsid w:val="0011373A"/>
    <w:rsid w:val="00113A1F"/>
    <w:rsid w:val="00113B55"/>
    <w:rsid w:val="00113CA5"/>
    <w:rsid w:val="00114137"/>
    <w:rsid w:val="0011429C"/>
    <w:rsid w:val="001142A2"/>
    <w:rsid w:val="00114511"/>
    <w:rsid w:val="00114ABD"/>
    <w:rsid w:val="00114C24"/>
    <w:rsid w:val="00115305"/>
    <w:rsid w:val="0011552F"/>
    <w:rsid w:val="001156BA"/>
    <w:rsid w:val="0011582E"/>
    <w:rsid w:val="00115911"/>
    <w:rsid w:val="0011599F"/>
    <w:rsid w:val="00116039"/>
    <w:rsid w:val="0011615F"/>
    <w:rsid w:val="0011629D"/>
    <w:rsid w:val="001165AC"/>
    <w:rsid w:val="001165F4"/>
    <w:rsid w:val="001166F1"/>
    <w:rsid w:val="00116706"/>
    <w:rsid w:val="0011691F"/>
    <w:rsid w:val="00116BAB"/>
    <w:rsid w:val="00117178"/>
    <w:rsid w:val="001173EC"/>
    <w:rsid w:val="0011748D"/>
    <w:rsid w:val="001174F7"/>
    <w:rsid w:val="00117631"/>
    <w:rsid w:val="00117A9F"/>
    <w:rsid w:val="00117E95"/>
    <w:rsid w:val="0012006A"/>
    <w:rsid w:val="001203BE"/>
    <w:rsid w:val="00120ADB"/>
    <w:rsid w:val="00121213"/>
    <w:rsid w:val="00121290"/>
    <w:rsid w:val="001212BD"/>
    <w:rsid w:val="00121782"/>
    <w:rsid w:val="001217A0"/>
    <w:rsid w:val="00121BE3"/>
    <w:rsid w:val="00121EDA"/>
    <w:rsid w:val="0012277E"/>
    <w:rsid w:val="0012293C"/>
    <w:rsid w:val="00122950"/>
    <w:rsid w:val="00122F63"/>
    <w:rsid w:val="0012305F"/>
    <w:rsid w:val="00123E4E"/>
    <w:rsid w:val="00123E5C"/>
    <w:rsid w:val="00123E6B"/>
    <w:rsid w:val="0012419E"/>
    <w:rsid w:val="00124A6A"/>
    <w:rsid w:val="00124A77"/>
    <w:rsid w:val="00125476"/>
    <w:rsid w:val="001254DC"/>
    <w:rsid w:val="00125A39"/>
    <w:rsid w:val="00125B0B"/>
    <w:rsid w:val="00125F9A"/>
    <w:rsid w:val="00125FC9"/>
    <w:rsid w:val="00126026"/>
    <w:rsid w:val="001260FC"/>
    <w:rsid w:val="00126198"/>
    <w:rsid w:val="001263AF"/>
    <w:rsid w:val="0012665C"/>
    <w:rsid w:val="0012676F"/>
    <w:rsid w:val="00126A9F"/>
    <w:rsid w:val="00126AB1"/>
    <w:rsid w:val="00126B84"/>
    <w:rsid w:val="00126BE0"/>
    <w:rsid w:val="001278E8"/>
    <w:rsid w:val="00127B1A"/>
    <w:rsid w:val="00127C1D"/>
    <w:rsid w:val="00130032"/>
    <w:rsid w:val="001305CC"/>
    <w:rsid w:val="00130752"/>
    <w:rsid w:val="00130A0C"/>
    <w:rsid w:val="00130B06"/>
    <w:rsid w:val="00130D49"/>
    <w:rsid w:val="00130EF3"/>
    <w:rsid w:val="00131188"/>
    <w:rsid w:val="00131679"/>
    <w:rsid w:val="001316FC"/>
    <w:rsid w:val="00131767"/>
    <w:rsid w:val="001318D7"/>
    <w:rsid w:val="00132794"/>
    <w:rsid w:val="00132D82"/>
    <w:rsid w:val="00132E48"/>
    <w:rsid w:val="0013322B"/>
    <w:rsid w:val="0013393F"/>
    <w:rsid w:val="00133B2A"/>
    <w:rsid w:val="00133C72"/>
    <w:rsid w:val="00133EA9"/>
    <w:rsid w:val="00133FBC"/>
    <w:rsid w:val="00133FE5"/>
    <w:rsid w:val="00134083"/>
    <w:rsid w:val="00134175"/>
    <w:rsid w:val="0013476D"/>
    <w:rsid w:val="00134976"/>
    <w:rsid w:val="00135107"/>
    <w:rsid w:val="00135139"/>
    <w:rsid w:val="001351CE"/>
    <w:rsid w:val="001351D5"/>
    <w:rsid w:val="001354AC"/>
    <w:rsid w:val="00135548"/>
    <w:rsid w:val="00135D01"/>
    <w:rsid w:val="00135EDA"/>
    <w:rsid w:val="001360E2"/>
    <w:rsid w:val="001360FB"/>
    <w:rsid w:val="00136272"/>
    <w:rsid w:val="0013642B"/>
    <w:rsid w:val="001365EA"/>
    <w:rsid w:val="00136670"/>
    <w:rsid w:val="001366BB"/>
    <w:rsid w:val="0013714A"/>
    <w:rsid w:val="00137335"/>
    <w:rsid w:val="0013735A"/>
    <w:rsid w:val="001374E3"/>
    <w:rsid w:val="00137560"/>
    <w:rsid w:val="001378A3"/>
    <w:rsid w:val="00137908"/>
    <w:rsid w:val="00137A34"/>
    <w:rsid w:val="00137B22"/>
    <w:rsid w:val="00137D7E"/>
    <w:rsid w:val="00137FE3"/>
    <w:rsid w:val="00140100"/>
    <w:rsid w:val="00140820"/>
    <w:rsid w:val="001408D8"/>
    <w:rsid w:val="00140984"/>
    <w:rsid w:val="00140C58"/>
    <w:rsid w:val="00140CA5"/>
    <w:rsid w:val="00140DD7"/>
    <w:rsid w:val="00140FED"/>
    <w:rsid w:val="0014137E"/>
    <w:rsid w:val="00141D7A"/>
    <w:rsid w:val="00141DE9"/>
    <w:rsid w:val="001420D1"/>
    <w:rsid w:val="001420FE"/>
    <w:rsid w:val="00142212"/>
    <w:rsid w:val="001425C5"/>
    <w:rsid w:val="00142621"/>
    <w:rsid w:val="00142699"/>
    <w:rsid w:val="00142951"/>
    <w:rsid w:val="0014299D"/>
    <w:rsid w:val="00142A39"/>
    <w:rsid w:val="00142AB7"/>
    <w:rsid w:val="00142C16"/>
    <w:rsid w:val="00142F14"/>
    <w:rsid w:val="001430DC"/>
    <w:rsid w:val="001438E6"/>
    <w:rsid w:val="001441C9"/>
    <w:rsid w:val="001444A2"/>
    <w:rsid w:val="00144987"/>
    <w:rsid w:val="00144E88"/>
    <w:rsid w:val="00144EBC"/>
    <w:rsid w:val="00145439"/>
    <w:rsid w:val="00145B06"/>
    <w:rsid w:val="00145B71"/>
    <w:rsid w:val="0014652A"/>
    <w:rsid w:val="00146C2E"/>
    <w:rsid w:val="00146C4A"/>
    <w:rsid w:val="00146F56"/>
    <w:rsid w:val="0014775B"/>
    <w:rsid w:val="00147789"/>
    <w:rsid w:val="001477A4"/>
    <w:rsid w:val="00147AE1"/>
    <w:rsid w:val="00147C8B"/>
    <w:rsid w:val="001504AD"/>
    <w:rsid w:val="001506B4"/>
    <w:rsid w:val="0015086F"/>
    <w:rsid w:val="00150C05"/>
    <w:rsid w:val="00150CBB"/>
    <w:rsid w:val="00151660"/>
    <w:rsid w:val="00151F92"/>
    <w:rsid w:val="0015258E"/>
    <w:rsid w:val="00152687"/>
    <w:rsid w:val="001529CF"/>
    <w:rsid w:val="00152AE4"/>
    <w:rsid w:val="00152DBC"/>
    <w:rsid w:val="00152ECC"/>
    <w:rsid w:val="00152F0D"/>
    <w:rsid w:val="001530A6"/>
    <w:rsid w:val="00153276"/>
    <w:rsid w:val="001532E4"/>
    <w:rsid w:val="001533BA"/>
    <w:rsid w:val="001534C8"/>
    <w:rsid w:val="00154349"/>
    <w:rsid w:val="001544AC"/>
    <w:rsid w:val="0015478D"/>
    <w:rsid w:val="001547F6"/>
    <w:rsid w:val="00154A1A"/>
    <w:rsid w:val="00154C79"/>
    <w:rsid w:val="00154DF8"/>
    <w:rsid w:val="00155D65"/>
    <w:rsid w:val="00156218"/>
    <w:rsid w:val="0015648A"/>
    <w:rsid w:val="001564E5"/>
    <w:rsid w:val="001565FB"/>
    <w:rsid w:val="00156851"/>
    <w:rsid w:val="00156908"/>
    <w:rsid w:val="0015699C"/>
    <w:rsid w:val="001569A7"/>
    <w:rsid w:val="00156A48"/>
    <w:rsid w:val="00156C77"/>
    <w:rsid w:val="00156C90"/>
    <w:rsid w:val="00156DDB"/>
    <w:rsid w:val="00156FCC"/>
    <w:rsid w:val="00157614"/>
    <w:rsid w:val="001576E2"/>
    <w:rsid w:val="001577AF"/>
    <w:rsid w:val="0015798E"/>
    <w:rsid w:val="00157AFE"/>
    <w:rsid w:val="00157C0F"/>
    <w:rsid w:val="00157CCE"/>
    <w:rsid w:val="00157EF2"/>
    <w:rsid w:val="001600FC"/>
    <w:rsid w:val="0016039D"/>
    <w:rsid w:val="00160563"/>
    <w:rsid w:val="001608BD"/>
    <w:rsid w:val="0016127C"/>
    <w:rsid w:val="001612C0"/>
    <w:rsid w:val="001614AF"/>
    <w:rsid w:val="0016160E"/>
    <w:rsid w:val="001616F8"/>
    <w:rsid w:val="00161AFB"/>
    <w:rsid w:val="00161E4F"/>
    <w:rsid w:val="001623BD"/>
    <w:rsid w:val="001627B2"/>
    <w:rsid w:val="00162C40"/>
    <w:rsid w:val="00163051"/>
    <w:rsid w:val="001634AE"/>
    <w:rsid w:val="0016352E"/>
    <w:rsid w:val="00163585"/>
    <w:rsid w:val="00163752"/>
    <w:rsid w:val="001638FF"/>
    <w:rsid w:val="00163A36"/>
    <w:rsid w:val="00164355"/>
    <w:rsid w:val="00164A74"/>
    <w:rsid w:val="00164C11"/>
    <w:rsid w:val="00164DAA"/>
    <w:rsid w:val="00164F82"/>
    <w:rsid w:val="0016510E"/>
    <w:rsid w:val="00165590"/>
    <w:rsid w:val="0016572F"/>
    <w:rsid w:val="001658D6"/>
    <w:rsid w:val="001663D3"/>
    <w:rsid w:val="001665B9"/>
    <w:rsid w:val="001667C0"/>
    <w:rsid w:val="00166B40"/>
    <w:rsid w:val="00166C60"/>
    <w:rsid w:val="00167271"/>
    <w:rsid w:val="00167274"/>
    <w:rsid w:val="001672BC"/>
    <w:rsid w:val="00167ECD"/>
    <w:rsid w:val="00167EDD"/>
    <w:rsid w:val="00167F39"/>
    <w:rsid w:val="00170A9D"/>
    <w:rsid w:val="00170F1A"/>
    <w:rsid w:val="0017110F"/>
    <w:rsid w:val="00171DD5"/>
    <w:rsid w:val="00171E89"/>
    <w:rsid w:val="0017217D"/>
    <w:rsid w:val="001729A4"/>
    <w:rsid w:val="00172BE2"/>
    <w:rsid w:val="00173132"/>
    <w:rsid w:val="00173174"/>
    <w:rsid w:val="001731D5"/>
    <w:rsid w:val="00173561"/>
    <w:rsid w:val="001737F7"/>
    <w:rsid w:val="00173904"/>
    <w:rsid w:val="00173E98"/>
    <w:rsid w:val="001744B4"/>
    <w:rsid w:val="001744E7"/>
    <w:rsid w:val="00174554"/>
    <w:rsid w:val="0017459B"/>
    <w:rsid w:val="00174651"/>
    <w:rsid w:val="00174774"/>
    <w:rsid w:val="001747AF"/>
    <w:rsid w:val="00174C1E"/>
    <w:rsid w:val="00174E4D"/>
    <w:rsid w:val="00175500"/>
    <w:rsid w:val="00175730"/>
    <w:rsid w:val="00175B3C"/>
    <w:rsid w:val="00175EA0"/>
    <w:rsid w:val="00176024"/>
    <w:rsid w:val="00176287"/>
    <w:rsid w:val="00176375"/>
    <w:rsid w:val="001766A9"/>
    <w:rsid w:val="00177237"/>
    <w:rsid w:val="0017753C"/>
    <w:rsid w:val="001777EF"/>
    <w:rsid w:val="001778CF"/>
    <w:rsid w:val="00177A91"/>
    <w:rsid w:val="00177C81"/>
    <w:rsid w:val="00180126"/>
    <w:rsid w:val="00180209"/>
    <w:rsid w:val="0018021C"/>
    <w:rsid w:val="00180774"/>
    <w:rsid w:val="00180EAA"/>
    <w:rsid w:val="00180EC2"/>
    <w:rsid w:val="00181005"/>
    <w:rsid w:val="0018106F"/>
    <w:rsid w:val="00181339"/>
    <w:rsid w:val="00181596"/>
    <w:rsid w:val="00181680"/>
    <w:rsid w:val="00181817"/>
    <w:rsid w:val="00181848"/>
    <w:rsid w:val="00181DF3"/>
    <w:rsid w:val="00181EF1"/>
    <w:rsid w:val="0018200B"/>
    <w:rsid w:val="00182450"/>
    <w:rsid w:val="0018254A"/>
    <w:rsid w:val="001829A6"/>
    <w:rsid w:val="00182A21"/>
    <w:rsid w:val="00183A7D"/>
    <w:rsid w:val="00183DA4"/>
    <w:rsid w:val="00183EA0"/>
    <w:rsid w:val="00183F58"/>
    <w:rsid w:val="001841C2"/>
    <w:rsid w:val="00184202"/>
    <w:rsid w:val="00184259"/>
    <w:rsid w:val="001843DB"/>
    <w:rsid w:val="0018476F"/>
    <w:rsid w:val="001847D6"/>
    <w:rsid w:val="0018495A"/>
    <w:rsid w:val="00184DD0"/>
    <w:rsid w:val="00184E93"/>
    <w:rsid w:val="001855E1"/>
    <w:rsid w:val="0018566A"/>
    <w:rsid w:val="001858A0"/>
    <w:rsid w:val="001858EA"/>
    <w:rsid w:val="0018591D"/>
    <w:rsid w:val="001863E5"/>
    <w:rsid w:val="00186AF4"/>
    <w:rsid w:val="00186C7E"/>
    <w:rsid w:val="0018763E"/>
    <w:rsid w:val="0018776F"/>
    <w:rsid w:val="00187F3D"/>
    <w:rsid w:val="001900A2"/>
    <w:rsid w:val="001908DC"/>
    <w:rsid w:val="00190CCB"/>
    <w:rsid w:val="00190FE2"/>
    <w:rsid w:val="001912D8"/>
    <w:rsid w:val="00191554"/>
    <w:rsid w:val="00191803"/>
    <w:rsid w:val="00191CF7"/>
    <w:rsid w:val="00191FCE"/>
    <w:rsid w:val="00192052"/>
    <w:rsid w:val="001922CC"/>
    <w:rsid w:val="00192483"/>
    <w:rsid w:val="0019284D"/>
    <w:rsid w:val="001928C9"/>
    <w:rsid w:val="00192929"/>
    <w:rsid w:val="00192DC1"/>
    <w:rsid w:val="00194053"/>
    <w:rsid w:val="001943EB"/>
    <w:rsid w:val="00194949"/>
    <w:rsid w:val="00194BE9"/>
    <w:rsid w:val="00194C5E"/>
    <w:rsid w:val="00194CA4"/>
    <w:rsid w:val="00194E35"/>
    <w:rsid w:val="00194EDA"/>
    <w:rsid w:val="00194F03"/>
    <w:rsid w:val="00195023"/>
    <w:rsid w:val="001951C9"/>
    <w:rsid w:val="001956E2"/>
    <w:rsid w:val="001958EE"/>
    <w:rsid w:val="001959CD"/>
    <w:rsid w:val="00195EEF"/>
    <w:rsid w:val="00195F77"/>
    <w:rsid w:val="00196098"/>
    <w:rsid w:val="00196898"/>
    <w:rsid w:val="00196ADB"/>
    <w:rsid w:val="00196E11"/>
    <w:rsid w:val="0019736D"/>
    <w:rsid w:val="001977ED"/>
    <w:rsid w:val="00197904"/>
    <w:rsid w:val="001979BB"/>
    <w:rsid w:val="00197BFF"/>
    <w:rsid w:val="00197C2F"/>
    <w:rsid w:val="001A03C3"/>
    <w:rsid w:val="001A052D"/>
    <w:rsid w:val="001A0725"/>
    <w:rsid w:val="001A08CA"/>
    <w:rsid w:val="001A0B42"/>
    <w:rsid w:val="001A0B5D"/>
    <w:rsid w:val="001A0CC1"/>
    <w:rsid w:val="001A0DC5"/>
    <w:rsid w:val="001A0DF8"/>
    <w:rsid w:val="001A11F4"/>
    <w:rsid w:val="001A1AAD"/>
    <w:rsid w:val="001A204B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3B82"/>
    <w:rsid w:val="001A4287"/>
    <w:rsid w:val="001A430F"/>
    <w:rsid w:val="001A44BC"/>
    <w:rsid w:val="001A4C6F"/>
    <w:rsid w:val="001A516E"/>
    <w:rsid w:val="001A56C7"/>
    <w:rsid w:val="001A58D8"/>
    <w:rsid w:val="001A5BD8"/>
    <w:rsid w:val="001A5C45"/>
    <w:rsid w:val="001A60A2"/>
    <w:rsid w:val="001A6111"/>
    <w:rsid w:val="001A6625"/>
    <w:rsid w:val="001A6C2E"/>
    <w:rsid w:val="001A6F58"/>
    <w:rsid w:val="001A6F68"/>
    <w:rsid w:val="001A7146"/>
    <w:rsid w:val="001A727F"/>
    <w:rsid w:val="001A75FE"/>
    <w:rsid w:val="001A7675"/>
    <w:rsid w:val="001A79D3"/>
    <w:rsid w:val="001A7BF5"/>
    <w:rsid w:val="001A7FC7"/>
    <w:rsid w:val="001B0615"/>
    <w:rsid w:val="001B0737"/>
    <w:rsid w:val="001B08E7"/>
    <w:rsid w:val="001B0C66"/>
    <w:rsid w:val="001B0EB8"/>
    <w:rsid w:val="001B118A"/>
    <w:rsid w:val="001B11EA"/>
    <w:rsid w:val="001B1669"/>
    <w:rsid w:val="001B19FF"/>
    <w:rsid w:val="001B24A6"/>
    <w:rsid w:val="001B2506"/>
    <w:rsid w:val="001B2580"/>
    <w:rsid w:val="001B2809"/>
    <w:rsid w:val="001B2931"/>
    <w:rsid w:val="001B2A46"/>
    <w:rsid w:val="001B30C0"/>
    <w:rsid w:val="001B3729"/>
    <w:rsid w:val="001B38F3"/>
    <w:rsid w:val="001B396A"/>
    <w:rsid w:val="001B3AB2"/>
    <w:rsid w:val="001B3B42"/>
    <w:rsid w:val="001B3BEF"/>
    <w:rsid w:val="001B3E8E"/>
    <w:rsid w:val="001B4316"/>
    <w:rsid w:val="001B45FC"/>
    <w:rsid w:val="001B4773"/>
    <w:rsid w:val="001B4F90"/>
    <w:rsid w:val="001B52A1"/>
    <w:rsid w:val="001B5333"/>
    <w:rsid w:val="001B5426"/>
    <w:rsid w:val="001B6823"/>
    <w:rsid w:val="001B6CF2"/>
    <w:rsid w:val="001B70B9"/>
    <w:rsid w:val="001B73EE"/>
    <w:rsid w:val="001B7758"/>
    <w:rsid w:val="001B7EFA"/>
    <w:rsid w:val="001B7F4F"/>
    <w:rsid w:val="001C0575"/>
    <w:rsid w:val="001C0677"/>
    <w:rsid w:val="001C08D8"/>
    <w:rsid w:val="001C0A66"/>
    <w:rsid w:val="001C0B97"/>
    <w:rsid w:val="001C0D43"/>
    <w:rsid w:val="001C0D55"/>
    <w:rsid w:val="001C0FA0"/>
    <w:rsid w:val="001C102A"/>
    <w:rsid w:val="001C1568"/>
    <w:rsid w:val="001C15D1"/>
    <w:rsid w:val="001C17A8"/>
    <w:rsid w:val="001C1903"/>
    <w:rsid w:val="001C1949"/>
    <w:rsid w:val="001C2397"/>
    <w:rsid w:val="001C23B5"/>
    <w:rsid w:val="001C2492"/>
    <w:rsid w:val="001C24DE"/>
    <w:rsid w:val="001C2577"/>
    <w:rsid w:val="001C262A"/>
    <w:rsid w:val="001C2852"/>
    <w:rsid w:val="001C2950"/>
    <w:rsid w:val="001C2AA6"/>
    <w:rsid w:val="001C2CD1"/>
    <w:rsid w:val="001C2F68"/>
    <w:rsid w:val="001C3470"/>
    <w:rsid w:val="001C366A"/>
    <w:rsid w:val="001C37ED"/>
    <w:rsid w:val="001C3CF9"/>
    <w:rsid w:val="001C3FE0"/>
    <w:rsid w:val="001C402C"/>
    <w:rsid w:val="001C412B"/>
    <w:rsid w:val="001C423E"/>
    <w:rsid w:val="001C437E"/>
    <w:rsid w:val="001C4723"/>
    <w:rsid w:val="001C48C5"/>
    <w:rsid w:val="001C4F39"/>
    <w:rsid w:val="001C4FE9"/>
    <w:rsid w:val="001C51E4"/>
    <w:rsid w:val="001C536B"/>
    <w:rsid w:val="001C5777"/>
    <w:rsid w:val="001C5B26"/>
    <w:rsid w:val="001C5B47"/>
    <w:rsid w:val="001C5C51"/>
    <w:rsid w:val="001C5CDF"/>
    <w:rsid w:val="001C6395"/>
    <w:rsid w:val="001C641C"/>
    <w:rsid w:val="001C6509"/>
    <w:rsid w:val="001C6512"/>
    <w:rsid w:val="001C6A2C"/>
    <w:rsid w:val="001C6B8C"/>
    <w:rsid w:val="001C6D43"/>
    <w:rsid w:val="001C6E55"/>
    <w:rsid w:val="001C71E3"/>
    <w:rsid w:val="001C729A"/>
    <w:rsid w:val="001C72D6"/>
    <w:rsid w:val="001C7349"/>
    <w:rsid w:val="001C7892"/>
    <w:rsid w:val="001C7AEE"/>
    <w:rsid w:val="001C7BF3"/>
    <w:rsid w:val="001C7DC4"/>
    <w:rsid w:val="001C7FD4"/>
    <w:rsid w:val="001D0208"/>
    <w:rsid w:val="001D03C7"/>
    <w:rsid w:val="001D065B"/>
    <w:rsid w:val="001D0A1D"/>
    <w:rsid w:val="001D0D1C"/>
    <w:rsid w:val="001D0FAF"/>
    <w:rsid w:val="001D11F8"/>
    <w:rsid w:val="001D1478"/>
    <w:rsid w:val="001D1E52"/>
    <w:rsid w:val="001D1ECA"/>
    <w:rsid w:val="001D1F25"/>
    <w:rsid w:val="001D1FCD"/>
    <w:rsid w:val="001D263A"/>
    <w:rsid w:val="001D2746"/>
    <w:rsid w:val="001D2968"/>
    <w:rsid w:val="001D2B84"/>
    <w:rsid w:val="001D2BC3"/>
    <w:rsid w:val="001D2BC5"/>
    <w:rsid w:val="001D2D43"/>
    <w:rsid w:val="001D2E56"/>
    <w:rsid w:val="001D2F09"/>
    <w:rsid w:val="001D33CC"/>
    <w:rsid w:val="001D3401"/>
    <w:rsid w:val="001D34EB"/>
    <w:rsid w:val="001D35B4"/>
    <w:rsid w:val="001D3A4D"/>
    <w:rsid w:val="001D3F21"/>
    <w:rsid w:val="001D44B8"/>
    <w:rsid w:val="001D4515"/>
    <w:rsid w:val="001D451E"/>
    <w:rsid w:val="001D476E"/>
    <w:rsid w:val="001D4A98"/>
    <w:rsid w:val="001D5190"/>
    <w:rsid w:val="001D51D8"/>
    <w:rsid w:val="001D5339"/>
    <w:rsid w:val="001D541A"/>
    <w:rsid w:val="001D559E"/>
    <w:rsid w:val="001D56C3"/>
    <w:rsid w:val="001D5E38"/>
    <w:rsid w:val="001D5F66"/>
    <w:rsid w:val="001D5FB0"/>
    <w:rsid w:val="001D6198"/>
    <w:rsid w:val="001D62BC"/>
    <w:rsid w:val="001D6352"/>
    <w:rsid w:val="001D670F"/>
    <w:rsid w:val="001D6B86"/>
    <w:rsid w:val="001D6E5D"/>
    <w:rsid w:val="001D73B6"/>
    <w:rsid w:val="001D74CE"/>
    <w:rsid w:val="001D7622"/>
    <w:rsid w:val="001D7685"/>
    <w:rsid w:val="001D76EB"/>
    <w:rsid w:val="001D779F"/>
    <w:rsid w:val="001D78F3"/>
    <w:rsid w:val="001D79D0"/>
    <w:rsid w:val="001D7AC7"/>
    <w:rsid w:val="001D7F3D"/>
    <w:rsid w:val="001D7F80"/>
    <w:rsid w:val="001E04AD"/>
    <w:rsid w:val="001E0BF1"/>
    <w:rsid w:val="001E1815"/>
    <w:rsid w:val="001E19B9"/>
    <w:rsid w:val="001E1D29"/>
    <w:rsid w:val="001E1E28"/>
    <w:rsid w:val="001E1E6E"/>
    <w:rsid w:val="001E2620"/>
    <w:rsid w:val="001E27E7"/>
    <w:rsid w:val="001E2AF5"/>
    <w:rsid w:val="001E2B28"/>
    <w:rsid w:val="001E2D30"/>
    <w:rsid w:val="001E3674"/>
    <w:rsid w:val="001E3AC2"/>
    <w:rsid w:val="001E3D51"/>
    <w:rsid w:val="001E3D84"/>
    <w:rsid w:val="001E3DCC"/>
    <w:rsid w:val="001E3EC5"/>
    <w:rsid w:val="001E4147"/>
    <w:rsid w:val="001E4381"/>
    <w:rsid w:val="001E44D3"/>
    <w:rsid w:val="001E4CBA"/>
    <w:rsid w:val="001E548C"/>
    <w:rsid w:val="001E568C"/>
    <w:rsid w:val="001E5B5B"/>
    <w:rsid w:val="001E5CBA"/>
    <w:rsid w:val="001E60B0"/>
    <w:rsid w:val="001E69E4"/>
    <w:rsid w:val="001E7019"/>
    <w:rsid w:val="001E7047"/>
    <w:rsid w:val="001E713F"/>
    <w:rsid w:val="001E71F0"/>
    <w:rsid w:val="001E71F9"/>
    <w:rsid w:val="001E725A"/>
    <w:rsid w:val="001E7433"/>
    <w:rsid w:val="001E747D"/>
    <w:rsid w:val="001E76DA"/>
    <w:rsid w:val="001E7A00"/>
    <w:rsid w:val="001E7C3D"/>
    <w:rsid w:val="001E7F81"/>
    <w:rsid w:val="001F00DF"/>
    <w:rsid w:val="001F0141"/>
    <w:rsid w:val="001F01E5"/>
    <w:rsid w:val="001F02E1"/>
    <w:rsid w:val="001F0951"/>
    <w:rsid w:val="001F0D41"/>
    <w:rsid w:val="001F0F0C"/>
    <w:rsid w:val="001F1223"/>
    <w:rsid w:val="001F1235"/>
    <w:rsid w:val="001F182A"/>
    <w:rsid w:val="001F1D23"/>
    <w:rsid w:val="001F1E8F"/>
    <w:rsid w:val="001F1FE2"/>
    <w:rsid w:val="001F2327"/>
    <w:rsid w:val="001F2874"/>
    <w:rsid w:val="001F2B05"/>
    <w:rsid w:val="001F2B1F"/>
    <w:rsid w:val="001F3157"/>
    <w:rsid w:val="001F348E"/>
    <w:rsid w:val="001F34F8"/>
    <w:rsid w:val="001F40C4"/>
    <w:rsid w:val="001F473A"/>
    <w:rsid w:val="001F4DA1"/>
    <w:rsid w:val="001F5138"/>
    <w:rsid w:val="001F5268"/>
    <w:rsid w:val="001F553C"/>
    <w:rsid w:val="001F5A5A"/>
    <w:rsid w:val="001F5C4D"/>
    <w:rsid w:val="001F5E50"/>
    <w:rsid w:val="001F5EB4"/>
    <w:rsid w:val="001F5FBA"/>
    <w:rsid w:val="001F642E"/>
    <w:rsid w:val="001F6448"/>
    <w:rsid w:val="001F64D1"/>
    <w:rsid w:val="001F6932"/>
    <w:rsid w:val="001F6A27"/>
    <w:rsid w:val="001F6A48"/>
    <w:rsid w:val="001F6AA6"/>
    <w:rsid w:val="001F6BB0"/>
    <w:rsid w:val="001F6D5B"/>
    <w:rsid w:val="001F6FDB"/>
    <w:rsid w:val="001F73EB"/>
    <w:rsid w:val="001F7414"/>
    <w:rsid w:val="001F7838"/>
    <w:rsid w:val="001F7B59"/>
    <w:rsid w:val="00200260"/>
    <w:rsid w:val="002002CE"/>
    <w:rsid w:val="002002D1"/>
    <w:rsid w:val="0020066F"/>
    <w:rsid w:val="0020107A"/>
    <w:rsid w:val="002011BD"/>
    <w:rsid w:val="0020135D"/>
    <w:rsid w:val="00201A25"/>
    <w:rsid w:val="00201BA3"/>
    <w:rsid w:val="00201D77"/>
    <w:rsid w:val="00201E8C"/>
    <w:rsid w:val="00201FED"/>
    <w:rsid w:val="00202061"/>
    <w:rsid w:val="00202EAD"/>
    <w:rsid w:val="0020328F"/>
    <w:rsid w:val="002033AF"/>
    <w:rsid w:val="00203458"/>
    <w:rsid w:val="002039F2"/>
    <w:rsid w:val="00203A6F"/>
    <w:rsid w:val="00203D3B"/>
    <w:rsid w:val="00204511"/>
    <w:rsid w:val="0020454E"/>
    <w:rsid w:val="002046F3"/>
    <w:rsid w:val="00204DE0"/>
    <w:rsid w:val="002056E7"/>
    <w:rsid w:val="00205BBD"/>
    <w:rsid w:val="00205C7B"/>
    <w:rsid w:val="0020621C"/>
    <w:rsid w:val="00206508"/>
    <w:rsid w:val="0020678B"/>
    <w:rsid w:val="002067A7"/>
    <w:rsid w:val="00206C2E"/>
    <w:rsid w:val="00206CDA"/>
    <w:rsid w:val="00206CDC"/>
    <w:rsid w:val="00207082"/>
    <w:rsid w:val="0020734D"/>
    <w:rsid w:val="002074EE"/>
    <w:rsid w:val="00207BF8"/>
    <w:rsid w:val="00207DDC"/>
    <w:rsid w:val="00207E85"/>
    <w:rsid w:val="00210018"/>
    <w:rsid w:val="0021001C"/>
    <w:rsid w:val="0021022F"/>
    <w:rsid w:val="002108A7"/>
    <w:rsid w:val="00211194"/>
    <w:rsid w:val="00211218"/>
    <w:rsid w:val="0021149E"/>
    <w:rsid w:val="00211816"/>
    <w:rsid w:val="00211C55"/>
    <w:rsid w:val="0021201E"/>
    <w:rsid w:val="0021220E"/>
    <w:rsid w:val="0021238C"/>
    <w:rsid w:val="00212A08"/>
    <w:rsid w:val="00212A4A"/>
    <w:rsid w:val="00212BA4"/>
    <w:rsid w:val="00212BDC"/>
    <w:rsid w:val="00212E2B"/>
    <w:rsid w:val="00212E42"/>
    <w:rsid w:val="002132AF"/>
    <w:rsid w:val="0021340B"/>
    <w:rsid w:val="00213901"/>
    <w:rsid w:val="00213987"/>
    <w:rsid w:val="002139A2"/>
    <w:rsid w:val="00213B3D"/>
    <w:rsid w:val="00213FBB"/>
    <w:rsid w:val="002140F6"/>
    <w:rsid w:val="002143CD"/>
    <w:rsid w:val="00214569"/>
    <w:rsid w:val="00214A98"/>
    <w:rsid w:val="00215057"/>
    <w:rsid w:val="0021508D"/>
    <w:rsid w:val="00215156"/>
    <w:rsid w:val="0021517D"/>
    <w:rsid w:val="002157BF"/>
    <w:rsid w:val="00216157"/>
    <w:rsid w:val="00216BD9"/>
    <w:rsid w:val="00217566"/>
    <w:rsid w:val="0021762A"/>
    <w:rsid w:val="0021780D"/>
    <w:rsid w:val="00217940"/>
    <w:rsid w:val="00217B1B"/>
    <w:rsid w:val="0022026A"/>
    <w:rsid w:val="002204A9"/>
    <w:rsid w:val="00220A1F"/>
    <w:rsid w:val="00220D43"/>
    <w:rsid w:val="00220D69"/>
    <w:rsid w:val="002210F5"/>
    <w:rsid w:val="0022141E"/>
    <w:rsid w:val="0022160D"/>
    <w:rsid w:val="00221B97"/>
    <w:rsid w:val="00221C99"/>
    <w:rsid w:val="00221D51"/>
    <w:rsid w:val="00222123"/>
    <w:rsid w:val="0022213A"/>
    <w:rsid w:val="002222A1"/>
    <w:rsid w:val="00222946"/>
    <w:rsid w:val="00222AD1"/>
    <w:rsid w:val="00222BDB"/>
    <w:rsid w:val="00222CF1"/>
    <w:rsid w:val="0022357F"/>
    <w:rsid w:val="002236FC"/>
    <w:rsid w:val="00223BB9"/>
    <w:rsid w:val="00223C6C"/>
    <w:rsid w:val="002249FE"/>
    <w:rsid w:val="00224AF9"/>
    <w:rsid w:val="00224EA9"/>
    <w:rsid w:val="00224F04"/>
    <w:rsid w:val="00225155"/>
    <w:rsid w:val="00225423"/>
    <w:rsid w:val="0022552E"/>
    <w:rsid w:val="002255BA"/>
    <w:rsid w:val="00225D42"/>
    <w:rsid w:val="00225EA1"/>
    <w:rsid w:val="00226AEF"/>
    <w:rsid w:val="00226BFB"/>
    <w:rsid w:val="00226D9D"/>
    <w:rsid w:val="00226E3E"/>
    <w:rsid w:val="00227776"/>
    <w:rsid w:val="00227936"/>
    <w:rsid w:val="00230096"/>
    <w:rsid w:val="002301D3"/>
    <w:rsid w:val="002304EE"/>
    <w:rsid w:val="002308C7"/>
    <w:rsid w:val="00230CAD"/>
    <w:rsid w:val="002317C9"/>
    <w:rsid w:val="002317EE"/>
    <w:rsid w:val="00231AEF"/>
    <w:rsid w:val="00231BB3"/>
    <w:rsid w:val="00231CBC"/>
    <w:rsid w:val="00231DA0"/>
    <w:rsid w:val="00232158"/>
    <w:rsid w:val="00232164"/>
    <w:rsid w:val="0023253B"/>
    <w:rsid w:val="0023279B"/>
    <w:rsid w:val="002328F9"/>
    <w:rsid w:val="00232B8A"/>
    <w:rsid w:val="00232DF3"/>
    <w:rsid w:val="00232E1E"/>
    <w:rsid w:val="00233117"/>
    <w:rsid w:val="00233785"/>
    <w:rsid w:val="0023395B"/>
    <w:rsid w:val="00233A5A"/>
    <w:rsid w:val="00233CE3"/>
    <w:rsid w:val="002340FE"/>
    <w:rsid w:val="00234285"/>
    <w:rsid w:val="002343BF"/>
    <w:rsid w:val="002344C1"/>
    <w:rsid w:val="00234556"/>
    <w:rsid w:val="00234634"/>
    <w:rsid w:val="00234808"/>
    <w:rsid w:val="00234ADE"/>
    <w:rsid w:val="00234D8E"/>
    <w:rsid w:val="0023535A"/>
    <w:rsid w:val="0023535F"/>
    <w:rsid w:val="002353E9"/>
    <w:rsid w:val="002356D3"/>
    <w:rsid w:val="00235738"/>
    <w:rsid w:val="00235B29"/>
    <w:rsid w:val="00235D4C"/>
    <w:rsid w:val="002364A9"/>
    <w:rsid w:val="002366B7"/>
    <w:rsid w:val="002369E6"/>
    <w:rsid w:val="00236A81"/>
    <w:rsid w:val="00236E3A"/>
    <w:rsid w:val="00236F05"/>
    <w:rsid w:val="002371E3"/>
    <w:rsid w:val="00237528"/>
    <w:rsid w:val="00237734"/>
    <w:rsid w:val="00237789"/>
    <w:rsid w:val="002401FC"/>
    <w:rsid w:val="0024056C"/>
    <w:rsid w:val="00240D9D"/>
    <w:rsid w:val="00240E4C"/>
    <w:rsid w:val="00241240"/>
    <w:rsid w:val="002415A6"/>
    <w:rsid w:val="00242061"/>
    <w:rsid w:val="002421B1"/>
    <w:rsid w:val="00242BCF"/>
    <w:rsid w:val="00242E6D"/>
    <w:rsid w:val="00243011"/>
    <w:rsid w:val="0024318C"/>
    <w:rsid w:val="00243511"/>
    <w:rsid w:val="0024353D"/>
    <w:rsid w:val="002435FC"/>
    <w:rsid w:val="00243768"/>
    <w:rsid w:val="00243797"/>
    <w:rsid w:val="00243859"/>
    <w:rsid w:val="00243DDA"/>
    <w:rsid w:val="002442D9"/>
    <w:rsid w:val="002447C9"/>
    <w:rsid w:val="00244A11"/>
    <w:rsid w:val="00244BA7"/>
    <w:rsid w:val="00244CA2"/>
    <w:rsid w:val="0024506F"/>
    <w:rsid w:val="00245351"/>
    <w:rsid w:val="00245432"/>
    <w:rsid w:val="002454B8"/>
    <w:rsid w:val="0024593F"/>
    <w:rsid w:val="00245B87"/>
    <w:rsid w:val="00245CC7"/>
    <w:rsid w:val="002465A6"/>
    <w:rsid w:val="00246827"/>
    <w:rsid w:val="00246897"/>
    <w:rsid w:val="002468A3"/>
    <w:rsid w:val="00246C03"/>
    <w:rsid w:val="00246F94"/>
    <w:rsid w:val="0024701E"/>
    <w:rsid w:val="00247218"/>
    <w:rsid w:val="002472D3"/>
    <w:rsid w:val="002476B6"/>
    <w:rsid w:val="00247E76"/>
    <w:rsid w:val="00247E8F"/>
    <w:rsid w:val="00250146"/>
    <w:rsid w:val="00250777"/>
    <w:rsid w:val="00250AD6"/>
    <w:rsid w:val="00250C0E"/>
    <w:rsid w:val="00250F5B"/>
    <w:rsid w:val="002510D5"/>
    <w:rsid w:val="00251572"/>
    <w:rsid w:val="0025173D"/>
    <w:rsid w:val="0025202D"/>
    <w:rsid w:val="002523CF"/>
    <w:rsid w:val="002527A3"/>
    <w:rsid w:val="0025280C"/>
    <w:rsid w:val="002528AB"/>
    <w:rsid w:val="00252907"/>
    <w:rsid w:val="002529E0"/>
    <w:rsid w:val="00252BB0"/>
    <w:rsid w:val="00252BB3"/>
    <w:rsid w:val="00253242"/>
    <w:rsid w:val="002537C5"/>
    <w:rsid w:val="0025383B"/>
    <w:rsid w:val="0025399B"/>
    <w:rsid w:val="00253A05"/>
    <w:rsid w:val="00253D3A"/>
    <w:rsid w:val="00253DA1"/>
    <w:rsid w:val="002540E8"/>
    <w:rsid w:val="00254467"/>
    <w:rsid w:val="00254590"/>
    <w:rsid w:val="002549FC"/>
    <w:rsid w:val="00254B75"/>
    <w:rsid w:val="00254B8C"/>
    <w:rsid w:val="00254E68"/>
    <w:rsid w:val="00254F58"/>
    <w:rsid w:val="002551C8"/>
    <w:rsid w:val="0025529E"/>
    <w:rsid w:val="002556B1"/>
    <w:rsid w:val="00255773"/>
    <w:rsid w:val="002557AD"/>
    <w:rsid w:val="00255805"/>
    <w:rsid w:val="00255B58"/>
    <w:rsid w:val="00255CF8"/>
    <w:rsid w:val="00255E00"/>
    <w:rsid w:val="00255FC7"/>
    <w:rsid w:val="00256044"/>
    <w:rsid w:val="0025610B"/>
    <w:rsid w:val="002565C7"/>
    <w:rsid w:val="0025663C"/>
    <w:rsid w:val="00256671"/>
    <w:rsid w:val="002568DA"/>
    <w:rsid w:val="00256989"/>
    <w:rsid w:val="00256A50"/>
    <w:rsid w:val="00256D8B"/>
    <w:rsid w:val="00256FE1"/>
    <w:rsid w:val="00257178"/>
    <w:rsid w:val="00257354"/>
    <w:rsid w:val="0025771F"/>
    <w:rsid w:val="0025781A"/>
    <w:rsid w:val="0025782D"/>
    <w:rsid w:val="002579F8"/>
    <w:rsid w:val="00257B6B"/>
    <w:rsid w:val="00257D8A"/>
    <w:rsid w:val="00257F42"/>
    <w:rsid w:val="00257F96"/>
    <w:rsid w:val="0026064B"/>
    <w:rsid w:val="00260A2D"/>
    <w:rsid w:val="00260B38"/>
    <w:rsid w:val="00260C6C"/>
    <w:rsid w:val="002612B0"/>
    <w:rsid w:val="00261488"/>
    <w:rsid w:val="002616E8"/>
    <w:rsid w:val="0026195C"/>
    <w:rsid w:val="00261BAD"/>
    <w:rsid w:val="00261DAC"/>
    <w:rsid w:val="002621B8"/>
    <w:rsid w:val="002621BD"/>
    <w:rsid w:val="0026222C"/>
    <w:rsid w:val="00262359"/>
    <w:rsid w:val="00262490"/>
    <w:rsid w:val="002624BC"/>
    <w:rsid w:val="0026283B"/>
    <w:rsid w:val="00262969"/>
    <w:rsid w:val="00262D24"/>
    <w:rsid w:val="00262FDB"/>
    <w:rsid w:val="00263304"/>
    <w:rsid w:val="002633D9"/>
    <w:rsid w:val="0026340E"/>
    <w:rsid w:val="00263617"/>
    <w:rsid w:val="0026362E"/>
    <w:rsid w:val="00263993"/>
    <w:rsid w:val="002639CA"/>
    <w:rsid w:val="002642F2"/>
    <w:rsid w:val="0026473A"/>
    <w:rsid w:val="002648A3"/>
    <w:rsid w:val="002649A7"/>
    <w:rsid w:val="00264FC3"/>
    <w:rsid w:val="00265350"/>
    <w:rsid w:val="00265736"/>
    <w:rsid w:val="002657B3"/>
    <w:rsid w:val="00265874"/>
    <w:rsid w:val="0026589B"/>
    <w:rsid w:val="002661DB"/>
    <w:rsid w:val="0026620A"/>
    <w:rsid w:val="002662AF"/>
    <w:rsid w:val="002663B7"/>
    <w:rsid w:val="002666C5"/>
    <w:rsid w:val="00266B83"/>
    <w:rsid w:val="00266C8A"/>
    <w:rsid w:val="002675B3"/>
    <w:rsid w:val="002677CD"/>
    <w:rsid w:val="00267E01"/>
    <w:rsid w:val="00270185"/>
    <w:rsid w:val="00270462"/>
    <w:rsid w:val="00270ACB"/>
    <w:rsid w:val="00270BFB"/>
    <w:rsid w:val="00270C63"/>
    <w:rsid w:val="00270CEF"/>
    <w:rsid w:val="00270EAC"/>
    <w:rsid w:val="0027130B"/>
    <w:rsid w:val="0027156A"/>
    <w:rsid w:val="00271A81"/>
    <w:rsid w:val="00271CD7"/>
    <w:rsid w:val="00271CF2"/>
    <w:rsid w:val="00271D81"/>
    <w:rsid w:val="00272073"/>
    <w:rsid w:val="0027213F"/>
    <w:rsid w:val="0027227B"/>
    <w:rsid w:val="002722BD"/>
    <w:rsid w:val="0027267D"/>
    <w:rsid w:val="002727E6"/>
    <w:rsid w:val="00272A95"/>
    <w:rsid w:val="00272D1C"/>
    <w:rsid w:val="00272DD9"/>
    <w:rsid w:val="00273058"/>
    <w:rsid w:val="002731B9"/>
    <w:rsid w:val="00273206"/>
    <w:rsid w:val="00273415"/>
    <w:rsid w:val="00273A11"/>
    <w:rsid w:val="00273B8D"/>
    <w:rsid w:val="00273CF0"/>
    <w:rsid w:val="00273E72"/>
    <w:rsid w:val="0027402A"/>
    <w:rsid w:val="00274068"/>
    <w:rsid w:val="002748ED"/>
    <w:rsid w:val="0027498E"/>
    <w:rsid w:val="00274EFE"/>
    <w:rsid w:val="0027549E"/>
    <w:rsid w:val="00275B02"/>
    <w:rsid w:val="00275FBC"/>
    <w:rsid w:val="002762DF"/>
    <w:rsid w:val="0027638B"/>
    <w:rsid w:val="0027686D"/>
    <w:rsid w:val="00276B43"/>
    <w:rsid w:val="00276DC0"/>
    <w:rsid w:val="00276FBF"/>
    <w:rsid w:val="002775DB"/>
    <w:rsid w:val="0027773B"/>
    <w:rsid w:val="00277A63"/>
    <w:rsid w:val="00277BC9"/>
    <w:rsid w:val="00277C56"/>
    <w:rsid w:val="00277D5C"/>
    <w:rsid w:val="00277F47"/>
    <w:rsid w:val="00280026"/>
    <w:rsid w:val="00280489"/>
    <w:rsid w:val="0028064F"/>
    <w:rsid w:val="00280C4C"/>
    <w:rsid w:val="00280E14"/>
    <w:rsid w:val="00280F3D"/>
    <w:rsid w:val="002810D9"/>
    <w:rsid w:val="002814EE"/>
    <w:rsid w:val="002815F0"/>
    <w:rsid w:val="00281830"/>
    <w:rsid w:val="0028195E"/>
    <w:rsid w:val="00281B57"/>
    <w:rsid w:val="00281D85"/>
    <w:rsid w:val="00281D9E"/>
    <w:rsid w:val="00281F9A"/>
    <w:rsid w:val="00282593"/>
    <w:rsid w:val="00282A37"/>
    <w:rsid w:val="00282D63"/>
    <w:rsid w:val="002830F6"/>
    <w:rsid w:val="0028328B"/>
    <w:rsid w:val="00283507"/>
    <w:rsid w:val="002836C7"/>
    <w:rsid w:val="002836D4"/>
    <w:rsid w:val="002836ED"/>
    <w:rsid w:val="00283DD1"/>
    <w:rsid w:val="00283F64"/>
    <w:rsid w:val="002840D0"/>
    <w:rsid w:val="0028421D"/>
    <w:rsid w:val="00284442"/>
    <w:rsid w:val="00284CE8"/>
    <w:rsid w:val="00285037"/>
    <w:rsid w:val="00285482"/>
    <w:rsid w:val="00285886"/>
    <w:rsid w:val="00285A5E"/>
    <w:rsid w:val="00285F7B"/>
    <w:rsid w:val="002862A3"/>
    <w:rsid w:val="002864FC"/>
    <w:rsid w:val="002866B1"/>
    <w:rsid w:val="00286B4C"/>
    <w:rsid w:val="00286C59"/>
    <w:rsid w:val="0028705C"/>
    <w:rsid w:val="0028723A"/>
    <w:rsid w:val="00287326"/>
    <w:rsid w:val="00287723"/>
    <w:rsid w:val="002878FB"/>
    <w:rsid w:val="00287ACF"/>
    <w:rsid w:val="00287D5D"/>
    <w:rsid w:val="00290124"/>
    <w:rsid w:val="00290212"/>
    <w:rsid w:val="00290256"/>
    <w:rsid w:val="00290379"/>
    <w:rsid w:val="0029043B"/>
    <w:rsid w:val="00290658"/>
    <w:rsid w:val="00290946"/>
    <w:rsid w:val="00290A06"/>
    <w:rsid w:val="00290CF7"/>
    <w:rsid w:val="00290D0E"/>
    <w:rsid w:val="002911C8"/>
    <w:rsid w:val="00291703"/>
    <w:rsid w:val="00291766"/>
    <w:rsid w:val="00291B06"/>
    <w:rsid w:val="00291B56"/>
    <w:rsid w:val="00291E60"/>
    <w:rsid w:val="00291EB3"/>
    <w:rsid w:val="002920C1"/>
    <w:rsid w:val="0029211E"/>
    <w:rsid w:val="00292489"/>
    <w:rsid w:val="0029263E"/>
    <w:rsid w:val="00292791"/>
    <w:rsid w:val="00292A8E"/>
    <w:rsid w:val="00292F0A"/>
    <w:rsid w:val="002930FA"/>
    <w:rsid w:val="00293198"/>
    <w:rsid w:val="002933A1"/>
    <w:rsid w:val="0029353D"/>
    <w:rsid w:val="00293A66"/>
    <w:rsid w:val="00293B8B"/>
    <w:rsid w:val="00293C4B"/>
    <w:rsid w:val="0029423E"/>
    <w:rsid w:val="0029450E"/>
    <w:rsid w:val="00294B1A"/>
    <w:rsid w:val="00294C0F"/>
    <w:rsid w:val="00294F77"/>
    <w:rsid w:val="0029551E"/>
    <w:rsid w:val="0029574D"/>
    <w:rsid w:val="00295922"/>
    <w:rsid w:val="00295C85"/>
    <w:rsid w:val="002962CB"/>
    <w:rsid w:val="002962D4"/>
    <w:rsid w:val="0029691D"/>
    <w:rsid w:val="00297206"/>
    <w:rsid w:val="00297465"/>
    <w:rsid w:val="002975D4"/>
    <w:rsid w:val="002977B4"/>
    <w:rsid w:val="00297A00"/>
    <w:rsid w:val="00297BFE"/>
    <w:rsid w:val="00297CE2"/>
    <w:rsid w:val="00297D14"/>
    <w:rsid w:val="00297DFA"/>
    <w:rsid w:val="00297F8C"/>
    <w:rsid w:val="002A0113"/>
    <w:rsid w:val="002A02C5"/>
    <w:rsid w:val="002A03ED"/>
    <w:rsid w:val="002A040F"/>
    <w:rsid w:val="002A051F"/>
    <w:rsid w:val="002A0BC9"/>
    <w:rsid w:val="002A0F27"/>
    <w:rsid w:val="002A190F"/>
    <w:rsid w:val="002A1B25"/>
    <w:rsid w:val="002A1B2A"/>
    <w:rsid w:val="002A1CB1"/>
    <w:rsid w:val="002A1ED7"/>
    <w:rsid w:val="002A2129"/>
    <w:rsid w:val="002A2D08"/>
    <w:rsid w:val="002A2FA2"/>
    <w:rsid w:val="002A3215"/>
    <w:rsid w:val="002A33F4"/>
    <w:rsid w:val="002A3697"/>
    <w:rsid w:val="002A3796"/>
    <w:rsid w:val="002A38CF"/>
    <w:rsid w:val="002A3AED"/>
    <w:rsid w:val="002A3B3F"/>
    <w:rsid w:val="002A3B90"/>
    <w:rsid w:val="002A3E86"/>
    <w:rsid w:val="002A46F7"/>
    <w:rsid w:val="002A4859"/>
    <w:rsid w:val="002A4AB8"/>
    <w:rsid w:val="002A4F74"/>
    <w:rsid w:val="002A51C1"/>
    <w:rsid w:val="002A538D"/>
    <w:rsid w:val="002A5A02"/>
    <w:rsid w:val="002A5A51"/>
    <w:rsid w:val="002A5A64"/>
    <w:rsid w:val="002A5CF5"/>
    <w:rsid w:val="002A5D74"/>
    <w:rsid w:val="002A5F01"/>
    <w:rsid w:val="002A5F5D"/>
    <w:rsid w:val="002A5FBE"/>
    <w:rsid w:val="002A6ABB"/>
    <w:rsid w:val="002A6CE6"/>
    <w:rsid w:val="002A797E"/>
    <w:rsid w:val="002A7DBA"/>
    <w:rsid w:val="002A7E9B"/>
    <w:rsid w:val="002B0578"/>
    <w:rsid w:val="002B059A"/>
    <w:rsid w:val="002B059F"/>
    <w:rsid w:val="002B060A"/>
    <w:rsid w:val="002B0668"/>
    <w:rsid w:val="002B1293"/>
    <w:rsid w:val="002B1AD6"/>
    <w:rsid w:val="002B1E1C"/>
    <w:rsid w:val="002B2183"/>
    <w:rsid w:val="002B2414"/>
    <w:rsid w:val="002B25FA"/>
    <w:rsid w:val="002B295F"/>
    <w:rsid w:val="002B2B16"/>
    <w:rsid w:val="002B3035"/>
    <w:rsid w:val="002B32CA"/>
    <w:rsid w:val="002B32DD"/>
    <w:rsid w:val="002B3968"/>
    <w:rsid w:val="002B3A05"/>
    <w:rsid w:val="002B4001"/>
    <w:rsid w:val="002B409B"/>
    <w:rsid w:val="002B40EA"/>
    <w:rsid w:val="002B4392"/>
    <w:rsid w:val="002B4528"/>
    <w:rsid w:val="002B49D7"/>
    <w:rsid w:val="002B4A50"/>
    <w:rsid w:val="002B4B05"/>
    <w:rsid w:val="002B4C36"/>
    <w:rsid w:val="002B50B3"/>
    <w:rsid w:val="002B5562"/>
    <w:rsid w:val="002B56C3"/>
    <w:rsid w:val="002B595B"/>
    <w:rsid w:val="002B5AD5"/>
    <w:rsid w:val="002B5C5A"/>
    <w:rsid w:val="002B6038"/>
    <w:rsid w:val="002B61FF"/>
    <w:rsid w:val="002B6422"/>
    <w:rsid w:val="002B68D1"/>
    <w:rsid w:val="002B6ABA"/>
    <w:rsid w:val="002B6B43"/>
    <w:rsid w:val="002B71BA"/>
    <w:rsid w:val="002B742B"/>
    <w:rsid w:val="002B7540"/>
    <w:rsid w:val="002B782F"/>
    <w:rsid w:val="002B7843"/>
    <w:rsid w:val="002B7A02"/>
    <w:rsid w:val="002B7AE1"/>
    <w:rsid w:val="002B7B4D"/>
    <w:rsid w:val="002B7C88"/>
    <w:rsid w:val="002C0291"/>
    <w:rsid w:val="002C0439"/>
    <w:rsid w:val="002C0625"/>
    <w:rsid w:val="002C0678"/>
    <w:rsid w:val="002C1252"/>
    <w:rsid w:val="002C12D8"/>
    <w:rsid w:val="002C1391"/>
    <w:rsid w:val="002C15D5"/>
    <w:rsid w:val="002C171E"/>
    <w:rsid w:val="002C182C"/>
    <w:rsid w:val="002C1896"/>
    <w:rsid w:val="002C1A06"/>
    <w:rsid w:val="002C208E"/>
    <w:rsid w:val="002C2F67"/>
    <w:rsid w:val="002C30AC"/>
    <w:rsid w:val="002C3355"/>
    <w:rsid w:val="002C34A6"/>
    <w:rsid w:val="002C35FD"/>
    <w:rsid w:val="002C3609"/>
    <w:rsid w:val="002C3A60"/>
    <w:rsid w:val="002C3C63"/>
    <w:rsid w:val="002C45B6"/>
    <w:rsid w:val="002C4633"/>
    <w:rsid w:val="002C47A5"/>
    <w:rsid w:val="002C4A6F"/>
    <w:rsid w:val="002C506F"/>
    <w:rsid w:val="002C51B6"/>
    <w:rsid w:val="002C578A"/>
    <w:rsid w:val="002C5912"/>
    <w:rsid w:val="002C5970"/>
    <w:rsid w:val="002C5C0C"/>
    <w:rsid w:val="002C5D86"/>
    <w:rsid w:val="002C5F03"/>
    <w:rsid w:val="002C60E1"/>
    <w:rsid w:val="002C6170"/>
    <w:rsid w:val="002C6588"/>
    <w:rsid w:val="002C662D"/>
    <w:rsid w:val="002C66E9"/>
    <w:rsid w:val="002C6A85"/>
    <w:rsid w:val="002C6B2F"/>
    <w:rsid w:val="002C6BFB"/>
    <w:rsid w:val="002C71CF"/>
    <w:rsid w:val="002C742D"/>
    <w:rsid w:val="002C7813"/>
    <w:rsid w:val="002C78D8"/>
    <w:rsid w:val="002C7A91"/>
    <w:rsid w:val="002C7B61"/>
    <w:rsid w:val="002C7B6D"/>
    <w:rsid w:val="002C7C2B"/>
    <w:rsid w:val="002C7C42"/>
    <w:rsid w:val="002C7D61"/>
    <w:rsid w:val="002D00FA"/>
    <w:rsid w:val="002D023F"/>
    <w:rsid w:val="002D049F"/>
    <w:rsid w:val="002D0987"/>
    <w:rsid w:val="002D0B7C"/>
    <w:rsid w:val="002D0D1A"/>
    <w:rsid w:val="002D0E54"/>
    <w:rsid w:val="002D10DE"/>
    <w:rsid w:val="002D1359"/>
    <w:rsid w:val="002D155C"/>
    <w:rsid w:val="002D1637"/>
    <w:rsid w:val="002D1688"/>
    <w:rsid w:val="002D16B8"/>
    <w:rsid w:val="002D1729"/>
    <w:rsid w:val="002D1819"/>
    <w:rsid w:val="002D1B69"/>
    <w:rsid w:val="002D1BA5"/>
    <w:rsid w:val="002D1C46"/>
    <w:rsid w:val="002D1D4F"/>
    <w:rsid w:val="002D25B7"/>
    <w:rsid w:val="002D264F"/>
    <w:rsid w:val="002D26EC"/>
    <w:rsid w:val="002D2884"/>
    <w:rsid w:val="002D2A87"/>
    <w:rsid w:val="002D2BF5"/>
    <w:rsid w:val="002D2D0E"/>
    <w:rsid w:val="002D2D9E"/>
    <w:rsid w:val="002D2E54"/>
    <w:rsid w:val="002D3043"/>
    <w:rsid w:val="002D3249"/>
    <w:rsid w:val="002D35F5"/>
    <w:rsid w:val="002D378F"/>
    <w:rsid w:val="002D3B6D"/>
    <w:rsid w:val="002D3D5A"/>
    <w:rsid w:val="002D3E5B"/>
    <w:rsid w:val="002D4162"/>
    <w:rsid w:val="002D4510"/>
    <w:rsid w:val="002D47FE"/>
    <w:rsid w:val="002D4A56"/>
    <w:rsid w:val="002D4B1D"/>
    <w:rsid w:val="002D5270"/>
    <w:rsid w:val="002D532D"/>
    <w:rsid w:val="002D58FC"/>
    <w:rsid w:val="002D5D7D"/>
    <w:rsid w:val="002D5F27"/>
    <w:rsid w:val="002D5FDF"/>
    <w:rsid w:val="002D605B"/>
    <w:rsid w:val="002D607B"/>
    <w:rsid w:val="002D6582"/>
    <w:rsid w:val="002D65E2"/>
    <w:rsid w:val="002D676A"/>
    <w:rsid w:val="002D6B7B"/>
    <w:rsid w:val="002D739A"/>
    <w:rsid w:val="002D73BD"/>
    <w:rsid w:val="002D76AB"/>
    <w:rsid w:val="002D781B"/>
    <w:rsid w:val="002D786D"/>
    <w:rsid w:val="002D7912"/>
    <w:rsid w:val="002D7C74"/>
    <w:rsid w:val="002D7D26"/>
    <w:rsid w:val="002E0020"/>
    <w:rsid w:val="002E0042"/>
    <w:rsid w:val="002E0188"/>
    <w:rsid w:val="002E0209"/>
    <w:rsid w:val="002E0591"/>
    <w:rsid w:val="002E070F"/>
    <w:rsid w:val="002E0806"/>
    <w:rsid w:val="002E09B5"/>
    <w:rsid w:val="002E0C29"/>
    <w:rsid w:val="002E0C55"/>
    <w:rsid w:val="002E0CBF"/>
    <w:rsid w:val="002E1230"/>
    <w:rsid w:val="002E1545"/>
    <w:rsid w:val="002E180A"/>
    <w:rsid w:val="002E1910"/>
    <w:rsid w:val="002E1978"/>
    <w:rsid w:val="002E1BC6"/>
    <w:rsid w:val="002E1EC2"/>
    <w:rsid w:val="002E1EC7"/>
    <w:rsid w:val="002E210E"/>
    <w:rsid w:val="002E2333"/>
    <w:rsid w:val="002E2433"/>
    <w:rsid w:val="002E25AC"/>
    <w:rsid w:val="002E28BA"/>
    <w:rsid w:val="002E361B"/>
    <w:rsid w:val="002E361C"/>
    <w:rsid w:val="002E3943"/>
    <w:rsid w:val="002E3A0F"/>
    <w:rsid w:val="002E3EAF"/>
    <w:rsid w:val="002E3F7C"/>
    <w:rsid w:val="002E4254"/>
    <w:rsid w:val="002E44C3"/>
    <w:rsid w:val="002E4691"/>
    <w:rsid w:val="002E4695"/>
    <w:rsid w:val="002E4C2F"/>
    <w:rsid w:val="002E4E2F"/>
    <w:rsid w:val="002E4F13"/>
    <w:rsid w:val="002E4FB7"/>
    <w:rsid w:val="002E5213"/>
    <w:rsid w:val="002E5392"/>
    <w:rsid w:val="002E5412"/>
    <w:rsid w:val="002E543D"/>
    <w:rsid w:val="002E577D"/>
    <w:rsid w:val="002E5E86"/>
    <w:rsid w:val="002E63EE"/>
    <w:rsid w:val="002E6468"/>
    <w:rsid w:val="002E6712"/>
    <w:rsid w:val="002E6CC5"/>
    <w:rsid w:val="002E6FDB"/>
    <w:rsid w:val="002E700E"/>
    <w:rsid w:val="002E71B1"/>
    <w:rsid w:val="002E7794"/>
    <w:rsid w:val="002E79A6"/>
    <w:rsid w:val="002F0A46"/>
    <w:rsid w:val="002F0C37"/>
    <w:rsid w:val="002F0C92"/>
    <w:rsid w:val="002F0E1E"/>
    <w:rsid w:val="002F104B"/>
    <w:rsid w:val="002F11D3"/>
    <w:rsid w:val="002F16B7"/>
    <w:rsid w:val="002F1C09"/>
    <w:rsid w:val="002F1CE6"/>
    <w:rsid w:val="002F1E70"/>
    <w:rsid w:val="002F2645"/>
    <w:rsid w:val="002F28F1"/>
    <w:rsid w:val="002F3510"/>
    <w:rsid w:val="002F3563"/>
    <w:rsid w:val="002F35DF"/>
    <w:rsid w:val="002F3800"/>
    <w:rsid w:val="002F3839"/>
    <w:rsid w:val="002F3866"/>
    <w:rsid w:val="002F3875"/>
    <w:rsid w:val="002F4613"/>
    <w:rsid w:val="002F4696"/>
    <w:rsid w:val="002F472F"/>
    <w:rsid w:val="002F48B0"/>
    <w:rsid w:val="002F4DDB"/>
    <w:rsid w:val="002F4DF3"/>
    <w:rsid w:val="002F4EC1"/>
    <w:rsid w:val="002F5497"/>
    <w:rsid w:val="002F556F"/>
    <w:rsid w:val="002F5678"/>
    <w:rsid w:val="002F5818"/>
    <w:rsid w:val="002F5CE8"/>
    <w:rsid w:val="002F5F3B"/>
    <w:rsid w:val="002F61A4"/>
    <w:rsid w:val="002F64E5"/>
    <w:rsid w:val="002F66F6"/>
    <w:rsid w:val="002F693C"/>
    <w:rsid w:val="002F69BB"/>
    <w:rsid w:val="002F6E1A"/>
    <w:rsid w:val="002F6EC5"/>
    <w:rsid w:val="002F6FAD"/>
    <w:rsid w:val="002F7003"/>
    <w:rsid w:val="002F70BB"/>
    <w:rsid w:val="002F7707"/>
    <w:rsid w:val="002F797B"/>
    <w:rsid w:val="002F7A9E"/>
    <w:rsid w:val="002F7C6D"/>
    <w:rsid w:val="003006FA"/>
    <w:rsid w:val="0030071B"/>
    <w:rsid w:val="00300995"/>
    <w:rsid w:val="003010D4"/>
    <w:rsid w:val="0030120B"/>
    <w:rsid w:val="00301390"/>
    <w:rsid w:val="00302044"/>
    <w:rsid w:val="003020F4"/>
    <w:rsid w:val="003023A1"/>
    <w:rsid w:val="003025C7"/>
    <w:rsid w:val="0030360F"/>
    <w:rsid w:val="00303790"/>
    <w:rsid w:val="00303984"/>
    <w:rsid w:val="00303E57"/>
    <w:rsid w:val="00303FAF"/>
    <w:rsid w:val="00304072"/>
    <w:rsid w:val="00304161"/>
    <w:rsid w:val="00304201"/>
    <w:rsid w:val="003043A7"/>
    <w:rsid w:val="003043C9"/>
    <w:rsid w:val="00304618"/>
    <w:rsid w:val="00304643"/>
    <w:rsid w:val="0030477F"/>
    <w:rsid w:val="003047D2"/>
    <w:rsid w:val="0030493A"/>
    <w:rsid w:val="00304A73"/>
    <w:rsid w:val="00304AB6"/>
    <w:rsid w:val="00304AFB"/>
    <w:rsid w:val="00304DFD"/>
    <w:rsid w:val="00304EFB"/>
    <w:rsid w:val="00304FE5"/>
    <w:rsid w:val="0030526C"/>
    <w:rsid w:val="003057BF"/>
    <w:rsid w:val="003057F7"/>
    <w:rsid w:val="00305842"/>
    <w:rsid w:val="0030597C"/>
    <w:rsid w:val="003059A3"/>
    <w:rsid w:val="00305D69"/>
    <w:rsid w:val="003063A5"/>
    <w:rsid w:val="003063E2"/>
    <w:rsid w:val="00306530"/>
    <w:rsid w:val="00306651"/>
    <w:rsid w:val="00306864"/>
    <w:rsid w:val="003069F9"/>
    <w:rsid w:val="00306C90"/>
    <w:rsid w:val="00306CCA"/>
    <w:rsid w:val="00307669"/>
    <w:rsid w:val="00307951"/>
    <w:rsid w:val="00307AEA"/>
    <w:rsid w:val="00307D23"/>
    <w:rsid w:val="00307DB7"/>
    <w:rsid w:val="00307EBE"/>
    <w:rsid w:val="00307F99"/>
    <w:rsid w:val="00310040"/>
    <w:rsid w:val="00310128"/>
    <w:rsid w:val="00310208"/>
    <w:rsid w:val="00310371"/>
    <w:rsid w:val="0031042D"/>
    <w:rsid w:val="0031058F"/>
    <w:rsid w:val="003107A6"/>
    <w:rsid w:val="0031089E"/>
    <w:rsid w:val="00310B1D"/>
    <w:rsid w:val="00310BD7"/>
    <w:rsid w:val="00310CE6"/>
    <w:rsid w:val="00310D69"/>
    <w:rsid w:val="00310E45"/>
    <w:rsid w:val="00310EA6"/>
    <w:rsid w:val="00311329"/>
    <w:rsid w:val="00311663"/>
    <w:rsid w:val="00311668"/>
    <w:rsid w:val="003116D4"/>
    <w:rsid w:val="00311C89"/>
    <w:rsid w:val="00311FB1"/>
    <w:rsid w:val="0031246D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4D1A"/>
    <w:rsid w:val="00314D56"/>
    <w:rsid w:val="0031528D"/>
    <w:rsid w:val="00315535"/>
    <w:rsid w:val="00315650"/>
    <w:rsid w:val="00315675"/>
    <w:rsid w:val="00315888"/>
    <w:rsid w:val="00315EC0"/>
    <w:rsid w:val="003161E0"/>
    <w:rsid w:val="003168B2"/>
    <w:rsid w:val="00316FFF"/>
    <w:rsid w:val="0031702A"/>
    <w:rsid w:val="003170A7"/>
    <w:rsid w:val="003178EF"/>
    <w:rsid w:val="003179E3"/>
    <w:rsid w:val="00317B6B"/>
    <w:rsid w:val="00317CF0"/>
    <w:rsid w:val="00317E59"/>
    <w:rsid w:val="00317F8C"/>
    <w:rsid w:val="00320066"/>
    <w:rsid w:val="00320368"/>
    <w:rsid w:val="0032040C"/>
    <w:rsid w:val="00320465"/>
    <w:rsid w:val="00320A64"/>
    <w:rsid w:val="00320B02"/>
    <w:rsid w:val="00320B84"/>
    <w:rsid w:val="00320D78"/>
    <w:rsid w:val="00321697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1DE"/>
    <w:rsid w:val="0032320A"/>
    <w:rsid w:val="00323743"/>
    <w:rsid w:val="00323BA3"/>
    <w:rsid w:val="00323F0D"/>
    <w:rsid w:val="00324003"/>
    <w:rsid w:val="003240EC"/>
    <w:rsid w:val="0032422B"/>
    <w:rsid w:val="00324344"/>
    <w:rsid w:val="00324B63"/>
    <w:rsid w:val="00324E54"/>
    <w:rsid w:val="00324E78"/>
    <w:rsid w:val="00324ECF"/>
    <w:rsid w:val="003250C3"/>
    <w:rsid w:val="00325246"/>
    <w:rsid w:val="003253A1"/>
    <w:rsid w:val="00325619"/>
    <w:rsid w:val="003257B1"/>
    <w:rsid w:val="00325869"/>
    <w:rsid w:val="00325A8A"/>
    <w:rsid w:val="00325A8C"/>
    <w:rsid w:val="00325B90"/>
    <w:rsid w:val="00325D35"/>
    <w:rsid w:val="00325D4C"/>
    <w:rsid w:val="00325E91"/>
    <w:rsid w:val="00326448"/>
    <w:rsid w:val="0032650F"/>
    <w:rsid w:val="003265BD"/>
    <w:rsid w:val="0032662E"/>
    <w:rsid w:val="00326854"/>
    <w:rsid w:val="00326AC6"/>
    <w:rsid w:val="00326F42"/>
    <w:rsid w:val="00327220"/>
    <w:rsid w:val="003272AF"/>
    <w:rsid w:val="003275E4"/>
    <w:rsid w:val="003275F0"/>
    <w:rsid w:val="00327788"/>
    <w:rsid w:val="003278A7"/>
    <w:rsid w:val="00327C75"/>
    <w:rsid w:val="00327F0D"/>
    <w:rsid w:val="00330069"/>
    <w:rsid w:val="003300A0"/>
    <w:rsid w:val="00330144"/>
    <w:rsid w:val="003302D8"/>
    <w:rsid w:val="0033032C"/>
    <w:rsid w:val="003304A1"/>
    <w:rsid w:val="0033052A"/>
    <w:rsid w:val="00330999"/>
    <w:rsid w:val="0033103C"/>
    <w:rsid w:val="00331316"/>
    <w:rsid w:val="0033133C"/>
    <w:rsid w:val="0033161D"/>
    <w:rsid w:val="00331864"/>
    <w:rsid w:val="003319A1"/>
    <w:rsid w:val="00331FF5"/>
    <w:rsid w:val="0033244F"/>
    <w:rsid w:val="0033283F"/>
    <w:rsid w:val="00332BF1"/>
    <w:rsid w:val="00332C1D"/>
    <w:rsid w:val="00332EF9"/>
    <w:rsid w:val="00332F67"/>
    <w:rsid w:val="00333005"/>
    <w:rsid w:val="00333597"/>
    <w:rsid w:val="00333611"/>
    <w:rsid w:val="003340BD"/>
    <w:rsid w:val="00334500"/>
    <w:rsid w:val="0033497F"/>
    <w:rsid w:val="00334BE7"/>
    <w:rsid w:val="00334E58"/>
    <w:rsid w:val="00335067"/>
    <w:rsid w:val="00335160"/>
    <w:rsid w:val="003356EF"/>
    <w:rsid w:val="00335707"/>
    <w:rsid w:val="0033572F"/>
    <w:rsid w:val="00335C05"/>
    <w:rsid w:val="00335F31"/>
    <w:rsid w:val="0033634D"/>
    <w:rsid w:val="0033643D"/>
    <w:rsid w:val="00336998"/>
    <w:rsid w:val="00336EB7"/>
    <w:rsid w:val="003370E6"/>
    <w:rsid w:val="00337740"/>
    <w:rsid w:val="00337743"/>
    <w:rsid w:val="003379DF"/>
    <w:rsid w:val="00337E16"/>
    <w:rsid w:val="003401CA"/>
    <w:rsid w:val="00340266"/>
    <w:rsid w:val="003409FD"/>
    <w:rsid w:val="00340BCF"/>
    <w:rsid w:val="00340E66"/>
    <w:rsid w:val="00340F10"/>
    <w:rsid w:val="00341092"/>
    <w:rsid w:val="00341423"/>
    <w:rsid w:val="00341469"/>
    <w:rsid w:val="00341C89"/>
    <w:rsid w:val="00341D56"/>
    <w:rsid w:val="00342191"/>
    <w:rsid w:val="003423FA"/>
    <w:rsid w:val="00342629"/>
    <w:rsid w:val="003426CB"/>
    <w:rsid w:val="003427FE"/>
    <w:rsid w:val="0034291F"/>
    <w:rsid w:val="00342A44"/>
    <w:rsid w:val="00342B40"/>
    <w:rsid w:val="003436D7"/>
    <w:rsid w:val="003436F1"/>
    <w:rsid w:val="00343FC9"/>
    <w:rsid w:val="003444BC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5E8E"/>
    <w:rsid w:val="00345FF7"/>
    <w:rsid w:val="003463B5"/>
    <w:rsid w:val="0034659F"/>
    <w:rsid w:val="00346654"/>
    <w:rsid w:val="0034675B"/>
    <w:rsid w:val="00346F51"/>
    <w:rsid w:val="00347465"/>
    <w:rsid w:val="0034796E"/>
    <w:rsid w:val="00347B56"/>
    <w:rsid w:val="00347E1A"/>
    <w:rsid w:val="00347FA9"/>
    <w:rsid w:val="003506E7"/>
    <w:rsid w:val="0035080A"/>
    <w:rsid w:val="0035084B"/>
    <w:rsid w:val="00350A54"/>
    <w:rsid w:val="00350BE7"/>
    <w:rsid w:val="00350C4D"/>
    <w:rsid w:val="00350CBD"/>
    <w:rsid w:val="00350CDA"/>
    <w:rsid w:val="00350E87"/>
    <w:rsid w:val="00350ECA"/>
    <w:rsid w:val="00351286"/>
    <w:rsid w:val="00351609"/>
    <w:rsid w:val="00352323"/>
    <w:rsid w:val="00352B17"/>
    <w:rsid w:val="00352C98"/>
    <w:rsid w:val="00353018"/>
    <w:rsid w:val="00353253"/>
    <w:rsid w:val="003533A6"/>
    <w:rsid w:val="00353431"/>
    <w:rsid w:val="003536BB"/>
    <w:rsid w:val="00353B7C"/>
    <w:rsid w:val="00353BE4"/>
    <w:rsid w:val="00353D60"/>
    <w:rsid w:val="0035402B"/>
    <w:rsid w:val="0035422D"/>
    <w:rsid w:val="0035438E"/>
    <w:rsid w:val="003547C0"/>
    <w:rsid w:val="00354832"/>
    <w:rsid w:val="003548C6"/>
    <w:rsid w:val="0035500F"/>
    <w:rsid w:val="0035552E"/>
    <w:rsid w:val="00355564"/>
    <w:rsid w:val="00355796"/>
    <w:rsid w:val="003557D3"/>
    <w:rsid w:val="00355828"/>
    <w:rsid w:val="00355872"/>
    <w:rsid w:val="00355B00"/>
    <w:rsid w:val="00355C09"/>
    <w:rsid w:val="003561EE"/>
    <w:rsid w:val="00356418"/>
    <w:rsid w:val="0035689D"/>
    <w:rsid w:val="00356D90"/>
    <w:rsid w:val="00356E38"/>
    <w:rsid w:val="00356F95"/>
    <w:rsid w:val="0035721C"/>
    <w:rsid w:val="00357456"/>
    <w:rsid w:val="00357653"/>
    <w:rsid w:val="003576A1"/>
    <w:rsid w:val="003576DA"/>
    <w:rsid w:val="003577EB"/>
    <w:rsid w:val="00357B6E"/>
    <w:rsid w:val="00357CBE"/>
    <w:rsid w:val="00357D66"/>
    <w:rsid w:val="003602F2"/>
    <w:rsid w:val="003603B9"/>
    <w:rsid w:val="0036046F"/>
    <w:rsid w:val="003609A7"/>
    <w:rsid w:val="00360C13"/>
    <w:rsid w:val="00361263"/>
    <w:rsid w:val="003613E4"/>
    <w:rsid w:val="00361427"/>
    <w:rsid w:val="00361487"/>
    <w:rsid w:val="00361661"/>
    <w:rsid w:val="003616B4"/>
    <w:rsid w:val="0036199D"/>
    <w:rsid w:val="00362905"/>
    <w:rsid w:val="003629D8"/>
    <w:rsid w:val="00362CB5"/>
    <w:rsid w:val="00362D04"/>
    <w:rsid w:val="00362D33"/>
    <w:rsid w:val="00362E2E"/>
    <w:rsid w:val="0036318E"/>
    <w:rsid w:val="00363230"/>
    <w:rsid w:val="0036407C"/>
    <w:rsid w:val="003644B2"/>
    <w:rsid w:val="00364897"/>
    <w:rsid w:val="00364B80"/>
    <w:rsid w:val="00364D53"/>
    <w:rsid w:val="00364D74"/>
    <w:rsid w:val="00364FD8"/>
    <w:rsid w:val="0036548C"/>
    <w:rsid w:val="003654A7"/>
    <w:rsid w:val="00365669"/>
    <w:rsid w:val="00365A74"/>
    <w:rsid w:val="0036610E"/>
    <w:rsid w:val="00366735"/>
    <w:rsid w:val="0036674E"/>
    <w:rsid w:val="0036675B"/>
    <w:rsid w:val="00366917"/>
    <w:rsid w:val="00366BCA"/>
    <w:rsid w:val="00366D63"/>
    <w:rsid w:val="00366EBB"/>
    <w:rsid w:val="00366F43"/>
    <w:rsid w:val="0036772F"/>
    <w:rsid w:val="00367BD2"/>
    <w:rsid w:val="003705BB"/>
    <w:rsid w:val="00370612"/>
    <w:rsid w:val="00370987"/>
    <w:rsid w:val="003709BD"/>
    <w:rsid w:val="00370A1C"/>
    <w:rsid w:val="00370AD3"/>
    <w:rsid w:val="00370BC7"/>
    <w:rsid w:val="00370D62"/>
    <w:rsid w:val="00370EAD"/>
    <w:rsid w:val="00370FB6"/>
    <w:rsid w:val="00371059"/>
    <w:rsid w:val="003715D6"/>
    <w:rsid w:val="003717C6"/>
    <w:rsid w:val="00371822"/>
    <w:rsid w:val="003719DE"/>
    <w:rsid w:val="00371A15"/>
    <w:rsid w:val="00371A33"/>
    <w:rsid w:val="00371F8F"/>
    <w:rsid w:val="0037265E"/>
    <w:rsid w:val="0037285D"/>
    <w:rsid w:val="00372946"/>
    <w:rsid w:val="00372E83"/>
    <w:rsid w:val="003730E2"/>
    <w:rsid w:val="0037314C"/>
    <w:rsid w:val="003731C2"/>
    <w:rsid w:val="003733F4"/>
    <w:rsid w:val="00373747"/>
    <w:rsid w:val="00373860"/>
    <w:rsid w:val="00373DBC"/>
    <w:rsid w:val="00373DDB"/>
    <w:rsid w:val="00373F9C"/>
    <w:rsid w:val="00374076"/>
    <w:rsid w:val="00374220"/>
    <w:rsid w:val="00374226"/>
    <w:rsid w:val="00374B8C"/>
    <w:rsid w:val="00375080"/>
    <w:rsid w:val="0037523C"/>
    <w:rsid w:val="00375561"/>
    <w:rsid w:val="00375772"/>
    <w:rsid w:val="0037593A"/>
    <w:rsid w:val="00375D9E"/>
    <w:rsid w:val="003761DC"/>
    <w:rsid w:val="00376223"/>
    <w:rsid w:val="00376575"/>
    <w:rsid w:val="003765A7"/>
    <w:rsid w:val="003766A1"/>
    <w:rsid w:val="0037674F"/>
    <w:rsid w:val="0037696B"/>
    <w:rsid w:val="00376B8B"/>
    <w:rsid w:val="00376C51"/>
    <w:rsid w:val="00376CE2"/>
    <w:rsid w:val="00376D6D"/>
    <w:rsid w:val="00377047"/>
    <w:rsid w:val="00377407"/>
    <w:rsid w:val="003775AA"/>
    <w:rsid w:val="00380026"/>
    <w:rsid w:val="0038073F"/>
    <w:rsid w:val="003807B1"/>
    <w:rsid w:val="0038081D"/>
    <w:rsid w:val="003808DB"/>
    <w:rsid w:val="00380993"/>
    <w:rsid w:val="0038122A"/>
    <w:rsid w:val="00381332"/>
    <w:rsid w:val="00381780"/>
    <w:rsid w:val="003818E5"/>
    <w:rsid w:val="003819F0"/>
    <w:rsid w:val="00381AE5"/>
    <w:rsid w:val="00381B26"/>
    <w:rsid w:val="00381FDA"/>
    <w:rsid w:val="003820FF"/>
    <w:rsid w:val="003824B9"/>
    <w:rsid w:val="003824E4"/>
    <w:rsid w:val="003824EB"/>
    <w:rsid w:val="00382610"/>
    <w:rsid w:val="003827AA"/>
    <w:rsid w:val="00382B1B"/>
    <w:rsid w:val="00383044"/>
    <w:rsid w:val="00383333"/>
    <w:rsid w:val="00383518"/>
    <w:rsid w:val="0038351E"/>
    <w:rsid w:val="00383536"/>
    <w:rsid w:val="0038370D"/>
    <w:rsid w:val="00383AC8"/>
    <w:rsid w:val="00383CFE"/>
    <w:rsid w:val="0038430C"/>
    <w:rsid w:val="00384330"/>
    <w:rsid w:val="0038466D"/>
    <w:rsid w:val="0038475D"/>
    <w:rsid w:val="003849D7"/>
    <w:rsid w:val="00384BEF"/>
    <w:rsid w:val="00384D24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719"/>
    <w:rsid w:val="0038696B"/>
    <w:rsid w:val="003871D1"/>
    <w:rsid w:val="00387553"/>
    <w:rsid w:val="00387739"/>
    <w:rsid w:val="003878B7"/>
    <w:rsid w:val="00387C17"/>
    <w:rsid w:val="00387C8F"/>
    <w:rsid w:val="00387CA6"/>
    <w:rsid w:val="00387CBD"/>
    <w:rsid w:val="00390058"/>
    <w:rsid w:val="003900C7"/>
    <w:rsid w:val="00390154"/>
    <w:rsid w:val="003902C5"/>
    <w:rsid w:val="00390393"/>
    <w:rsid w:val="0039039F"/>
    <w:rsid w:val="00390480"/>
    <w:rsid w:val="00390ED6"/>
    <w:rsid w:val="003918DC"/>
    <w:rsid w:val="00391955"/>
    <w:rsid w:val="00391B5C"/>
    <w:rsid w:val="00392509"/>
    <w:rsid w:val="003925E5"/>
    <w:rsid w:val="00392660"/>
    <w:rsid w:val="00392775"/>
    <w:rsid w:val="00392CD3"/>
    <w:rsid w:val="00392EB9"/>
    <w:rsid w:val="003930A1"/>
    <w:rsid w:val="003931DD"/>
    <w:rsid w:val="003933B2"/>
    <w:rsid w:val="003933F3"/>
    <w:rsid w:val="00393536"/>
    <w:rsid w:val="00393865"/>
    <w:rsid w:val="00393BD7"/>
    <w:rsid w:val="00393C76"/>
    <w:rsid w:val="00393FCC"/>
    <w:rsid w:val="00394018"/>
    <w:rsid w:val="003942EA"/>
    <w:rsid w:val="003943E5"/>
    <w:rsid w:val="00394793"/>
    <w:rsid w:val="003947BD"/>
    <w:rsid w:val="00394A7E"/>
    <w:rsid w:val="00394B26"/>
    <w:rsid w:val="00394BEA"/>
    <w:rsid w:val="00394D47"/>
    <w:rsid w:val="0039500E"/>
    <w:rsid w:val="003955E6"/>
    <w:rsid w:val="00395950"/>
    <w:rsid w:val="00395EF5"/>
    <w:rsid w:val="003961E2"/>
    <w:rsid w:val="00396FE3"/>
    <w:rsid w:val="0039759B"/>
    <w:rsid w:val="0039763E"/>
    <w:rsid w:val="003978EA"/>
    <w:rsid w:val="0039797F"/>
    <w:rsid w:val="00397D8E"/>
    <w:rsid w:val="003A008A"/>
    <w:rsid w:val="003A05E8"/>
    <w:rsid w:val="003A08E5"/>
    <w:rsid w:val="003A0B0D"/>
    <w:rsid w:val="003A105C"/>
    <w:rsid w:val="003A14F3"/>
    <w:rsid w:val="003A19D7"/>
    <w:rsid w:val="003A1C9F"/>
    <w:rsid w:val="003A1E70"/>
    <w:rsid w:val="003A21CC"/>
    <w:rsid w:val="003A2222"/>
    <w:rsid w:val="003A2269"/>
    <w:rsid w:val="003A233D"/>
    <w:rsid w:val="003A23DC"/>
    <w:rsid w:val="003A289A"/>
    <w:rsid w:val="003A2A37"/>
    <w:rsid w:val="003A2AE0"/>
    <w:rsid w:val="003A3262"/>
    <w:rsid w:val="003A39F5"/>
    <w:rsid w:val="003A3D8B"/>
    <w:rsid w:val="003A434B"/>
    <w:rsid w:val="003A4371"/>
    <w:rsid w:val="003A43FF"/>
    <w:rsid w:val="003A46A8"/>
    <w:rsid w:val="003A4869"/>
    <w:rsid w:val="003A4970"/>
    <w:rsid w:val="003A49E2"/>
    <w:rsid w:val="003A4CC6"/>
    <w:rsid w:val="003A4D01"/>
    <w:rsid w:val="003A4F18"/>
    <w:rsid w:val="003A5479"/>
    <w:rsid w:val="003A54DE"/>
    <w:rsid w:val="003A57F9"/>
    <w:rsid w:val="003A5C1B"/>
    <w:rsid w:val="003A5DC7"/>
    <w:rsid w:val="003A5F8F"/>
    <w:rsid w:val="003A60B9"/>
    <w:rsid w:val="003A6665"/>
    <w:rsid w:val="003A6CF4"/>
    <w:rsid w:val="003A6E79"/>
    <w:rsid w:val="003A7971"/>
    <w:rsid w:val="003A7C7F"/>
    <w:rsid w:val="003A7D17"/>
    <w:rsid w:val="003A7F48"/>
    <w:rsid w:val="003A7FDB"/>
    <w:rsid w:val="003B0162"/>
    <w:rsid w:val="003B023B"/>
    <w:rsid w:val="003B0304"/>
    <w:rsid w:val="003B043F"/>
    <w:rsid w:val="003B09C9"/>
    <w:rsid w:val="003B0ACC"/>
    <w:rsid w:val="003B0C0A"/>
    <w:rsid w:val="003B0D76"/>
    <w:rsid w:val="003B0EA0"/>
    <w:rsid w:val="003B155C"/>
    <w:rsid w:val="003B16DB"/>
    <w:rsid w:val="003B1E19"/>
    <w:rsid w:val="003B1F33"/>
    <w:rsid w:val="003B20B4"/>
    <w:rsid w:val="003B2B5F"/>
    <w:rsid w:val="003B2E10"/>
    <w:rsid w:val="003B31D7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C03"/>
    <w:rsid w:val="003B4F8A"/>
    <w:rsid w:val="003B551C"/>
    <w:rsid w:val="003B56D7"/>
    <w:rsid w:val="003B5847"/>
    <w:rsid w:val="003B5882"/>
    <w:rsid w:val="003B5A7E"/>
    <w:rsid w:val="003B5D24"/>
    <w:rsid w:val="003B5EAE"/>
    <w:rsid w:val="003B62EA"/>
    <w:rsid w:val="003B6508"/>
    <w:rsid w:val="003B6B11"/>
    <w:rsid w:val="003B6CDF"/>
    <w:rsid w:val="003B78D5"/>
    <w:rsid w:val="003B79D6"/>
    <w:rsid w:val="003B7CC1"/>
    <w:rsid w:val="003B7F1E"/>
    <w:rsid w:val="003C00C3"/>
    <w:rsid w:val="003C0117"/>
    <w:rsid w:val="003C0338"/>
    <w:rsid w:val="003C03B6"/>
    <w:rsid w:val="003C04DA"/>
    <w:rsid w:val="003C0A82"/>
    <w:rsid w:val="003C0DAF"/>
    <w:rsid w:val="003C1074"/>
    <w:rsid w:val="003C10B2"/>
    <w:rsid w:val="003C11E9"/>
    <w:rsid w:val="003C123E"/>
    <w:rsid w:val="003C1267"/>
    <w:rsid w:val="003C137A"/>
    <w:rsid w:val="003C1467"/>
    <w:rsid w:val="003C179A"/>
    <w:rsid w:val="003C1911"/>
    <w:rsid w:val="003C1B05"/>
    <w:rsid w:val="003C1B4F"/>
    <w:rsid w:val="003C1C96"/>
    <w:rsid w:val="003C1CD8"/>
    <w:rsid w:val="003C1D7D"/>
    <w:rsid w:val="003C2288"/>
    <w:rsid w:val="003C2B48"/>
    <w:rsid w:val="003C2C98"/>
    <w:rsid w:val="003C31E0"/>
    <w:rsid w:val="003C331C"/>
    <w:rsid w:val="003C3336"/>
    <w:rsid w:val="003C3727"/>
    <w:rsid w:val="003C380E"/>
    <w:rsid w:val="003C39E6"/>
    <w:rsid w:val="003C3A11"/>
    <w:rsid w:val="003C3BAE"/>
    <w:rsid w:val="003C3E2C"/>
    <w:rsid w:val="003C40A3"/>
    <w:rsid w:val="003C43EB"/>
    <w:rsid w:val="003C4603"/>
    <w:rsid w:val="003C463E"/>
    <w:rsid w:val="003C46AE"/>
    <w:rsid w:val="003C49DA"/>
    <w:rsid w:val="003C4AFE"/>
    <w:rsid w:val="003C4B2D"/>
    <w:rsid w:val="003C5187"/>
    <w:rsid w:val="003C526E"/>
    <w:rsid w:val="003C58C9"/>
    <w:rsid w:val="003C6310"/>
    <w:rsid w:val="003C64B0"/>
    <w:rsid w:val="003C6957"/>
    <w:rsid w:val="003C6BE3"/>
    <w:rsid w:val="003C6CF0"/>
    <w:rsid w:val="003C6DEB"/>
    <w:rsid w:val="003C6EFC"/>
    <w:rsid w:val="003C6FE0"/>
    <w:rsid w:val="003C70D4"/>
    <w:rsid w:val="003C7159"/>
    <w:rsid w:val="003C71B1"/>
    <w:rsid w:val="003C73CA"/>
    <w:rsid w:val="003C748D"/>
    <w:rsid w:val="003C7585"/>
    <w:rsid w:val="003C7734"/>
    <w:rsid w:val="003C7A5C"/>
    <w:rsid w:val="003C7A6B"/>
    <w:rsid w:val="003D0153"/>
    <w:rsid w:val="003D0526"/>
    <w:rsid w:val="003D0791"/>
    <w:rsid w:val="003D095D"/>
    <w:rsid w:val="003D0AAF"/>
    <w:rsid w:val="003D0C4D"/>
    <w:rsid w:val="003D13D2"/>
    <w:rsid w:val="003D16F3"/>
    <w:rsid w:val="003D17E0"/>
    <w:rsid w:val="003D17F1"/>
    <w:rsid w:val="003D189B"/>
    <w:rsid w:val="003D198F"/>
    <w:rsid w:val="003D1993"/>
    <w:rsid w:val="003D1A8D"/>
    <w:rsid w:val="003D1C60"/>
    <w:rsid w:val="003D201E"/>
    <w:rsid w:val="003D2665"/>
    <w:rsid w:val="003D314A"/>
    <w:rsid w:val="003D331D"/>
    <w:rsid w:val="003D3574"/>
    <w:rsid w:val="003D3857"/>
    <w:rsid w:val="003D3A0C"/>
    <w:rsid w:val="003D3A71"/>
    <w:rsid w:val="003D3D78"/>
    <w:rsid w:val="003D4149"/>
    <w:rsid w:val="003D44C8"/>
    <w:rsid w:val="003D47FD"/>
    <w:rsid w:val="003D4AA0"/>
    <w:rsid w:val="003D4B8C"/>
    <w:rsid w:val="003D5468"/>
    <w:rsid w:val="003D5526"/>
    <w:rsid w:val="003D5B17"/>
    <w:rsid w:val="003D5B32"/>
    <w:rsid w:val="003D660C"/>
    <w:rsid w:val="003D6961"/>
    <w:rsid w:val="003D709E"/>
    <w:rsid w:val="003D73BD"/>
    <w:rsid w:val="003D79C7"/>
    <w:rsid w:val="003D7AF7"/>
    <w:rsid w:val="003D7B70"/>
    <w:rsid w:val="003D7CCE"/>
    <w:rsid w:val="003D7F6D"/>
    <w:rsid w:val="003E040C"/>
    <w:rsid w:val="003E0481"/>
    <w:rsid w:val="003E0864"/>
    <w:rsid w:val="003E099A"/>
    <w:rsid w:val="003E09A0"/>
    <w:rsid w:val="003E0BAC"/>
    <w:rsid w:val="003E0D8C"/>
    <w:rsid w:val="003E0DCE"/>
    <w:rsid w:val="003E154A"/>
    <w:rsid w:val="003E15A3"/>
    <w:rsid w:val="003E1931"/>
    <w:rsid w:val="003E19C7"/>
    <w:rsid w:val="003E19FD"/>
    <w:rsid w:val="003E1B68"/>
    <w:rsid w:val="003E1DE4"/>
    <w:rsid w:val="003E21AD"/>
    <w:rsid w:val="003E21C8"/>
    <w:rsid w:val="003E2417"/>
    <w:rsid w:val="003E2594"/>
    <w:rsid w:val="003E2601"/>
    <w:rsid w:val="003E2E52"/>
    <w:rsid w:val="003E343C"/>
    <w:rsid w:val="003E3D77"/>
    <w:rsid w:val="003E3DCA"/>
    <w:rsid w:val="003E4100"/>
    <w:rsid w:val="003E4408"/>
    <w:rsid w:val="003E4670"/>
    <w:rsid w:val="003E4DB4"/>
    <w:rsid w:val="003E4ED6"/>
    <w:rsid w:val="003E5242"/>
    <w:rsid w:val="003E5587"/>
    <w:rsid w:val="003E57A2"/>
    <w:rsid w:val="003E5824"/>
    <w:rsid w:val="003E588C"/>
    <w:rsid w:val="003E5930"/>
    <w:rsid w:val="003E5FC5"/>
    <w:rsid w:val="003E63A2"/>
    <w:rsid w:val="003E65D7"/>
    <w:rsid w:val="003E6BFB"/>
    <w:rsid w:val="003E7465"/>
    <w:rsid w:val="003E7483"/>
    <w:rsid w:val="003E7D26"/>
    <w:rsid w:val="003F0515"/>
    <w:rsid w:val="003F057F"/>
    <w:rsid w:val="003F0EDC"/>
    <w:rsid w:val="003F106B"/>
    <w:rsid w:val="003F11AD"/>
    <w:rsid w:val="003F12AB"/>
    <w:rsid w:val="003F14AB"/>
    <w:rsid w:val="003F163F"/>
    <w:rsid w:val="003F185F"/>
    <w:rsid w:val="003F1ACE"/>
    <w:rsid w:val="003F1B82"/>
    <w:rsid w:val="003F1CE1"/>
    <w:rsid w:val="003F1E26"/>
    <w:rsid w:val="003F25D5"/>
    <w:rsid w:val="003F2756"/>
    <w:rsid w:val="003F27C0"/>
    <w:rsid w:val="003F2923"/>
    <w:rsid w:val="003F2CA7"/>
    <w:rsid w:val="003F2D7E"/>
    <w:rsid w:val="003F2E6F"/>
    <w:rsid w:val="003F33C7"/>
    <w:rsid w:val="003F3B0D"/>
    <w:rsid w:val="003F3F76"/>
    <w:rsid w:val="003F405F"/>
    <w:rsid w:val="003F413A"/>
    <w:rsid w:val="003F4328"/>
    <w:rsid w:val="003F47B8"/>
    <w:rsid w:val="003F49EE"/>
    <w:rsid w:val="003F4A40"/>
    <w:rsid w:val="003F4B33"/>
    <w:rsid w:val="003F5154"/>
    <w:rsid w:val="003F5225"/>
    <w:rsid w:val="003F5249"/>
    <w:rsid w:val="003F533C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578"/>
    <w:rsid w:val="003F6BD4"/>
    <w:rsid w:val="003F6C4D"/>
    <w:rsid w:val="003F6D1F"/>
    <w:rsid w:val="003F72AE"/>
    <w:rsid w:val="003F7416"/>
    <w:rsid w:val="003F74AD"/>
    <w:rsid w:val="003F765B"/>
    <w:rsid w:val="003F7897"/>
    <w:rsid w:val="003F78D3"/>
    <w:rsid w:val="003F7D98"/>
    <w:rsid w:val="004000C9"/>
    <w:rsid w:val="004002AB"/>
    <w:rsid w:val="004002FA"/>
    <w:rsid w:val="0040048C"/>
    <w:rsid w:val="004004C3"/>
    <w:rsid w:val="00400533"/>
    <w:rsid w:val="00400C90"/>
    <w:rsid w:val="00400F7F"/>
    <w:rsid w:val="004015C6"/>
    <w:rsid w:val="00401930"/>
    <w:rsid w:val="00401983"/>
    <w:rsid w:val="00401ABD"/>
    <w:rsid w:val="00401B73"/>
    <w:rsid w:val="004023F7"/>
    <w:rsid w:val="00402919"/>
    <w:rsid w:val="00402B9B"/>
    <w:rsid w:val="00402C93"/>
    <w:rsid w:val="00402CED"/>
    <w:rsid w:val="00402F74"/>
    <w:rsid w:val="00403437"/>
    <w:rsid w:val="0040363C"/>
    <w:rsid w:val="004036AF"/>
    <w:rsid w:val="0040371E"/>
    <w:rsid w:val="00403A08"/>
    <w:rsid w:val="00403A0F"/>
    <w:rsid w:val="00403BE7"/>
    <w:rsid w:val="00403F51"/>
    <w:rsid w:val="00403F52"/>
    <w:rsid w:val="00404054"/>
    <w:rsid w:val="0040424B"/>
    <w:rsid w:val="0040434E"/>
    <w:rsid w:val="004044CE"/>
    <w:rsid w:val="004045DC"/>
    <w:rsid w:val="0040481F"/>
    <w:rsid w:val="004048E5"/>
    <w:rsid w:val="00404D1E"/>
    <w:rsid w:val="004050E9"/>
    <w:rsid w:val="00405316"/>
    <w:rsid w:val="004057B0"/>
    <w:rsid w:val="00405876"/>
    <w:rsid w:val="00406224"/>
    <w:rsid w:val="004065C0"/>
    <w:rsid w:val="00406623"/>
    <w:rsid w:val="004066FA"/>
    <w:rsid w:val="0040692C"/>
    <w:rsid w:val="00406F1D"/>
    <w:rsid w:val="00407AB6"/>
    <w:rsid w:val="00407FCA"/>
    <w:rsid w:val="00410367"/>
    <w:rsid w:val="0041059B"/>
    <w:rsid w:val="004105B7"/>
    <w:rsid w:val="00410810"/>
    <w:rsid w:val="004108C3"/>
    <w:rsid w:val="00410997"/>
    <w:rsid w:val="004109CD"/>
    <w:rsid w:val="00410ED3"/>
    <w:rsid w:val="00411268"/>
    <w:rsid w:val="0041153E"/>
    <w:rsid w:val="004117A3"/>
    <w:rsid w:val="00411DB9"/>
    <w:rsid w:val="00411E35"/>
    <w:rsid w:val="00412149"/>
    <w:rsid w:val="00412488"/>
    <w:rsid w:val="004124D7"/>
    <w:rsid w:val="004127C7"/>
    <w:rsid w:val="00412B7F"/>
    <w:rsid w:val="00412C6F"/>
    <w:rsid w:val="00412CEF"/>
    <w:rsid w:val="00413EBD"/>
    <w:rsid w:val="004141A8"/>
    <w:rsid w:val="004142D6"/>
    <w:rsid w:val="004145D9"/>
    <w:rsid w:val="00414B08"/>
    <w:rsid w:val="00414D86"/>
    <w:rsid w:val="00414E59"/>
    <w:rsid w:val="004153B4"/>
    <w:rsid w:val="00415A4B"/>
    <w:rsid w:val="00415F33"/>
    <w:rsid w:val="00415F59"/>
    <w:rsid w:val="00416404"/>
    <w:rsid w:val="004165B8"/>
    <w:rsid w:val="004169D8"/>
    <w:rsid w:val="00416AE2"/>
    <w:rsid w:val="00416E99"/>
    <w:rsid w:val="00417048"/>
    <w:rsid w:val="004173CE"/>
    <w:rsid w:val="004174A0"/>
    <w:rsid w:val="00417956"/>
    <w:rsid w:val="004179AE"/>
    <w:rsid w:val="00417F88"/>
    <w:rsid w:val="00420098"/>
    <w:rsid w:val="004201AF"/>
    <w:rsid w:val="004202C4"/>
    <w:rsid w:val="00420632"/>
    <w:rsid w:val="00420B07"/>
    <w:rsid w:val="00420C22"/>
    <w:rsid w:val="00420DF0"/>
    <w:rsid w:val="0042107B"/>
    <w:rsid w:val="004213F9"/>
    <w:rsid w:val="004214FF"/>
    <w:rsid w:val="0042150E"/>
    <w:rsid w:val="004217F1"/>
    <w:rsid w:val="004217FC"/>
    <w:rsid w:val="0042188B"/>
    <w:rsid w:val="00421A79"/>
    <w:rsid w:val="00421E70"/>
    <w:rsid w:val="004224E7"/>
    <w:rsid w:val="004229FE"/>
    <w:rsid w:val="00422BF5"/>
    <w:rsid w:val="0042327F"/>
    <w:rsid w:val="004235EB"/>
    <w:rsid w:val="00423B76"/>
    <w:rsid w:val="00423F07"/>
    <w:rsid w:val="0042405E"/>
    <w:rsid w:val="004240B4"/>
    <w:rsid w:val="004240C2"/>
    <w:rsid w:val="004242BF"/>
    <w:rsid w:val="00424303"/>
    <w:rsid w:val="004243AB"/>
    <w:rsid w:val="00424835"/>
    <w:rsid w:val="00424A1E"/>
    <w:rsid w:val="00424CD0"/>
    <w:rsid w:val="00424D1A"/>
    <w:rsid w:val="00425431"/>
    <w:rsid w:val="004254F2"/>
    <w:rsid w:val="004257A8"/>
    <w:rsid w:val="00425BB7"/>
    <w:rsid w:val="00425D34"/>
    <w:rsid w:val="00425D6B"/>
    <w:rsid w:val="00425FF9"/>
    <w:rsid w:val="00426328"/>
    <w:rsid w:val="004266DC"/>
    <w:rsid w:val="0042677E"/>
    <w:rsid w:val="00426A0F"/>
    <w:rsid w:val="0042706F"/>
    <w:rsid w:val="00427202"/>
    <w:rsid w:val="004274A1"/>
    <w:rsid w:val="004275C7"/>
    <w:rsid w:val="004276B7"/>
    <w:rsid w:val="0042786A"/>
    <w:rsid w:val="004279A3"/>
    <w:rsid w:val="004279C7"/>
    <w:rsid w:val="00427B3B"/>
    <w:rsid w:val="00427C8C"/>
    <w:rsid w:val="00427D4C"/>
    <w:rsid w:val="00427EBF"/>
    <w:rsid w:val="0043004B"/>
    <w:rsid w:val="004301EC"/>
    <w:rsid w:val="0043072B"/>
    <w:rsid w:val="0043072D"/>
    <w:rsid w:val="00430832"/>
    <w:rsid w:val="00431085"/>
    <w:rsid w:val="00431367"/>
    <w:rsid w:val="004313B0"/>
    <w:rsid w:val="004314AB"/>
    <w:rsid w:val="0043152E"/>
    <w:rsid w:val="00431AA2"/>
    <w:rsid w:val="00432278"/>
    <w:rsid w:val="00432A43"/>
    <w:rsid w:val="00432CD9"/>
    <w:rsid w:val="00432FAF"/>
    <w:rsid w:val="004333C8"/>
    <w:rsid w:val="00433576"/>
    <w:rsid w:val="00433BB0"/>
    <w:rsid w:val="004345DD"/>
    <w:rsid w:val="00434ABF"/>
    <w:rsid w:val="00434EDF"/>
    <w:rsid w:val="00435149"/>
    <w:rsid w:val="00435269"/>
    <w:rsid w:val="00435769"/>
    <w:rsid w:val="00435805"/>
    <w:rsid w:val="00435EC1"/>
    <w:rsid w:val="004362AB"/>
    <w:rsid w:val="004364D6"/>
    <w:rsid w:val="004367E0"/>
    <w:rsid w:val="00436A05"/>
    <w:rsid w:val="00437337"/>
    <w:rsid w:val="0043734E"/>
    <w:rsid w:val="004373B8"/>
    <w:rsid w:val="00437550"/>
    <w:rsid w:val="0043763C"/>
    <w:rsid w:val="00437F4F"/>
    <w:rsid w:val="00440126"/>
    <w:rsid w:val="004403CE"/>
    <w:rsid w:val="0044047F"/>
    <w:rsid w:val="004404CD"/>
    <w:rsid w:val="0044060D"/>
    <w:rsid w:val="00440C8D"/>
    <w:rsid w:val="00440FDD"/>
    <w:rsid w:val="00441101"/>
    <w:rsid w:val="00441261"/>
    <w:rsid w:val="00441564"/>
    <w:rsid w:val="004415E8"/>
    <w:rsid w:val="004415FB"/>
    <w:rsid w:val="00441CE3"/>
    <w:rsid w:val="00441D69"/>
    <w:rsid w:val="004421F5"/>
    <w:rsid w:val="00442567"/>
    <w:rsid w:val="004425E2"/>
    <w:rsid w:val="00442835"/>
    <w:rsid w:val="00442838"/>
    <w:rsid w:val="0044284D"/>
    <w:rsid w:val="00442C13"/>
    <w:rsid w:val="00442E88"/>
    <w:rsid w:val="00443050"/>
    <w:rsid w:val="00443221"/>
    <w:rsid w:val="004432EB"/>
    <w:rsid w:val="00443352"/>
    <w:rsid w:val="0044336F"/>
    <w:rsid w:val="004438B7"/>
    <w:rsid w:val="004439F1"/>
    <w:rsid w:val="004440E8"/>
    <w:rsid w:val="0044417A"/>
    <w:rsid w:val="0044434A"/>
    <w:rsid w:val="0044437F"/>
    <w:rsid w:val="00444447"/>
    <w:rsid w:val="004446ED"/>
    <w:rsid w:val="00444D9A"/>
    <w:rsid w:val="0044529F"/>
    <w:rsid w:val="004452BC"/>
    <w:rsid w:val="004453BC"/>
    <w:rsid w:val="004453D0"/>
    <w:rsid w:val="00445787"/>
    <w:rsid w:val="004457E4"/>
    <w:rsid w:val="004459D3"/>
    <w:rsid w:val="00445A25"/>
    <w:rsid w:val="00445AC4"/>
    <w:rsid w:val="00445C7A"/>
    <w:rsid w:val="00445D2B"/>
    <w:rsid w:val="00445E76"/>
    <w:rsid w:val="00445EF9"/>
    <w:rsid w:val="0044620A"/>
    <w:rsid w:val="0044655B"/>
    <w:rsid w:val="00446606"/>
    <w:rsid w:val="00446B7C"/>
    <w:rsid w:val="00446BF7"/>
    <w:rsid w:val="00446DCC"/>
    <w:rsid w:val="004471BC"/>
    <w:rsid w:val="00447217"/>
    <w:rsid w:val="004473A1"/>
    <w:rsid w:val="00447508"/>
    <w:rsid w:val="004477E9"/>
    <w:rsid w:val="00447B50"/>
    <w:rsid w:val="00447EB2"/>
    <w:rsid w:val="004501F3"/>
    <w:rsid w:val="004503C4"/>
    <w:rsid w:val="00450515"/>
    <w:rsid w:val="0045090E"/>
    <w:rsid w:val="00450AD8"/>
    <w:rsid w:val="00450B8C"/>
    <w:rsid w:val="00450F0D"/>
    <w:rsid w:val="00451220"/>
    <w:rsid w:val="004513CE"/>
    <w:rsid w:val="00451450"/>
    <w:rsid w:val="00451471"/>
    <w:rsid w:val="00451B50"/>
    <w:rsid w:val="0045211C"/>
    <w:rsid w:val="004522AA"/>
    <w:rsid w:val="0045237D"/>
    <w:rsid w:val="00452756"/>
    <w:rsid w:val="00452C60"/>
    <w:rsid w:val="00452DBE"/>
    <w:rsid w:val="00452DFE"/>
    <w:rsid w:val="004530CC"/>
    <w:rsid w:val="004531B1"/>
    <w:rsid w:val="00453294"/>
    <w:rsid w:val="0045343E"/>
    <w:rsid w:val="00453626"/>
    <w:rsid w:val="004536C3"/>
    <w:rsid w:val="00453704"/>
    <w:rsid w:val="00453999"/>
    <w:rsid w:val="00453FC2"/>
    <w:rsid w:val="0045404D"/>
    <w:rsid w:val="004544ED"/>
    <w:rsid w:val="004548B3"/>
    <w:rsid w:val="00454D9A"/>
    <w:rsid w:val="00455223"/>
    <w:rsid w:val="0045576D"/>
    <w:rsid w:val="00456230"/>
    <w:rsid w:val="0045665B"/>
    <w:rsid w:val="00456819"/>
    <w:rsid w:val="00456A56"/>
    <w:rsid w:val="00456C61"/>
    <w:rsid w:val="00457013"/>
    <w:rsid w:val="004571D3"/>
    <w:rsid w:val="004573A3"/>
    <w:rsid w:val="004573D3"/>
    <w:rsid w:val="004576DF"/>
    <w:rsid w:val="004578EA"/>
    <w:rsid w:val="00457AAC"/>
    <w:rsid w:val="00457DF0"/>
    <w:rsid w:val="00457E06"/>
    <w:rsid w:val="00457F93"/>
    <w:rsid w:val="00460326"/>
    <w:rsid w:val="00460376"/>
    <w:rsid w:val="00460547"/>
    <w:rsid w:val="00460682"/>
    <w:rsid w:val="00460A4F"/>
    <w:rsid w:val="00460B6C"/>
    <w:rsid w:val="00460BA7"/>
    <w:rsid w:val="00460E6C"/>
    <w:rsid w:val="00460F1B"/>
    <w:rsid w:val="0046113E"/>
    <w:rsid w:val="004617A9"/>
    <w:rsid w:val="00461B70"/>
    <w:rsid w:val="00461E87"/>
    <w:rsid w:val="00462285"/>
    <w:rsid w:val="0046258E"/>
    <w:rsid w:val="0046291A"/>
    <w:rsid w:val="00462932"/>
    <w:rsid w:val="00462CEB"/>
    <w:rsid w:val="00462DCA"/>
    <w:rsid w:val="00462EA8"/>
    <w:rsid w:val="004635FB"/>
    <w:rsid w:val="0046384E"/>
    <w:rsid w:val="004638C7"/>
    <w:rsid w:val="00463A96"/>
    <w:rsid w:val="00463D66"/>
    <w:rsid w:val="00463F9A"/>
    <w:rsid w:val="0046400D"/>
    <w:rsid w:val="00464BAF"/>
    <w:rsid w:val="00464C2B"/>
    <w:rsid w:val="00464CF4"/>
    <w:rsid w:val="00464F50"/>
    <w:rsid w:val="004650F5"/>
    <w:rsid w:val="00465422"/>
    <w:rsid w:val="00465562"/>
    <w:rsid w:val="00465C8E"/>
    <w:rsid w:val="00465CB6"/>
    <w:rsid w:val="00465DFD"/>
    <w:rsid w:val="0046630F"/>
    <w:rsid w:val="00466362"/>
    <w:rsid w:val="004663C3"/>
    <w:rsid w:val="004666C7"/>
    <w:rsid w:val="0046686F"/>
    <w:rsid w:val="00466E73"/>
    <w:rsid w:val="00466F69"/>
    <w:rsid w:val="0046706B"/>
    <w:rsid w:val="004677A5"/>
    <w:rsid w:val="00467815"/>
    <w:rsid w:val="00467916"/>
    <w:rsid w:val="00467D9B"/>
    <w:rsid w:val="00467DD1"/>
    <w:rsid w:val="0047000B"/>
    <w:rsid w:val="004703CF"/>
    <w:rsid w:val="004709A0"/>
    <w:rsid w:val="00470B8B"/>
    <w:rsid w:val="00470D19"/>
    <w:rsid w:val="00471284"/>
    <w:rsid w:val="004712D4"/>
    <w:rsid w:val="0047147A"/>
    <w:rsid w:val="004715E7"/>
    <w:rsid w:val="00471E08"/>
    <w:rsid w:val="00472552"/>
    <w:rsid w:val="004729D6"/>
    <w:rsid w:val="00472A18"/>
    <w:rsid w:val="00472BF3"/>
    <w:rsid w:val="00472FB0"/>
    <w:rsid w:val="00473696"/>
    <w:rsid w:val="00473721"/>
    <w:rsid w:val="004739B6"/>
    <w:rsid w:val="00473A4B"/>
    <w:rsid w:val="004741FD"/>
    <w:rsid w:val="004747C0"/>
    <w:rsid w:val="004748DC"/>
    <w:rsid w:val="0047491E"/>
    <w:rsid w:val="00474986"/>
    <w:rsid w:val="004749A7"/>
    <w:rsid w:val="00474A6A"/>
    <w:rsid w:val="00474EF0"/>
    <w:rsid w:val="00475090"/>
    <w:rsid w:val="00475233"/>
    <w:rsid w:val="00475541"/>
    <w:rsid w:val="00475B71"/>
    <w:rsid w:val="00475CA4"/>
    <w:rsid w:val="00475D81"/>
    <w:rsid w:val="0047608F"/>
    <w:rsid w:val="004762F5"/>
    <w:rsid w:val="0047658E"/>
    <w:rsid w:val="0047673A"/>
    <w:rsid w:val="00477413"/>
    <w:rsid w:val="00477496"/>
    <w:rsid w:val="00477716"/>
    <w:rsid w:val="00477863"/>
    <w:rsid w:val="00477AAC"/>
    <w:rsid w:val="00477BFC"/>
    <w:rsid w:val="00477D51"/>
    <w:rsid w:val="00477D8A"/>
    <w:rsid w:val="00477DE9"/>
    <w:rsid w:val="00477E98"/>
    <w:rsid w:val="00477F47"/>
    <w:rsid w:val="004802DA"/>
    <w:rsid w:val="00480439"/>
    <w:rsid w:val="00480618"/>
    <w:rsid w:val="00480748"/>
    <w:rsid w:val="0048086E"/>
    <w:rsid w:val="00480E9A"/>
    <w:rsid w:val="00480F71"/>
    <w:rsid w:val="0048135F"/>
    <w:rsid w:val="004816CF"/>
    <w:rsid w:val="004817AC"/>
    <w:rsid w:val="0048213A"/>
    <w:rsid w:val="0048241C"/>
    <w:rsid w:val="00482764"/>
    <w:rsid w:val="0048278B"/>
    <w:rsid w:val="0048285F"/>
    <w:rsid w:val="004829DB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05B"/>
    <w:rsid w:val="00484250"/>
    <w:rsid w:val="0048443A"/>
    <w:rsid w:val="00484652"/>
    <w:rsid w:val="00484695"/>
    <w:rsid w:val="004848A8"/>
    <w:rsid w:val="00484A58"/>
    <w:rsid w:val="00484C78"/>
    <w:rsid w:val="00484CB7"/>
    <w:rsid w:val="00484D1C"/>
    <w:rsid w:val="00484E4C"/>
    <w:rsid w:val="00485154"/>
    <w:rsid w:val="004851D1"/>
    <w:rsid w:val="004851F3"/>
    <w:rsid w:val="0048538C"/>
    <w:rsid w:val="004854A3"/>
    <w:rsid w:val="0048553F"/>
    <w:rsid w:val="00485673"/>
    <w:rsid w:val="00485B71"/>
    <w:rsid w:val="004862BE"/>
    <w:rsid w:val="00486ABE"/>
    <w:rsid w:val="00486EF1"/>
    <w:rsid w:val="00486F3A"/>
    <w:rsid w:val="00487033"/>
    <w:rsid w:val="004873C2"/>
    <w:rsid w:val="004874C4"/>
    <w:rsid w:val="00487650"/>
    <w:rsid w:val="004878ED"/>
    <w:rsid w:val="00487B7C"/>
    <w:rsid w:val="0049004B"/>
    <w:rsid w:val="004908E5"/>
    <w:rsid w:val="00490C52"/>
    <w:rsid w:val="00491039"/>
    <w:rsid w:val="00491438"/>
    <w:rsid w:val="004915F2"/>
    <w:rsid w:val="00491AE6"/>
    <w:rsid w:val="00491B1C"/>
    <w:rsid w:val="00491B9F"/>
    <w:rsid w:val="00491F34"/>
    <w:rsid w:val="004922BC"/>
    <w:rsid w:val="00492380"/>
    <w:rsid w:val="004923BD"/>
    <w:rsid w:val="00492568"/>
    <w:rsid w:val="00492862"/>
    <w:rsid w:val="00492AF9"/>
    <w:rsid w:val="00492E3F"/>
    <w:rsid w:val="004930B3"/>
    <w:rsid w:val="00493DEE"/>
    <w:rsid w:val="00493F5C"/>
    <w:rsid w:val="00494129"/>
    <w:rsid w:val="0049412A"/>
    <w:rsid w:val="00494269"/>
    <w:rsid w:val="00494531"/>
    <w:rsid w:val="004945E3"/>
    <w:rsid w:val="0049469C"/>
    <w:rsid w:val="00494A4D"/>
    <w:rsid w:val="00494D66"/>
    <w:rsid w:val="00494EB3"/>
    <w:rsid w:val="00494F75"/>
    <w:rsid w:val="00495135"/>
    <w:rsid w:val="004952F2"/>
    <w:rsid w:val="0049560D"/>
    <w:rsid w:val="00495DB3"/>
    <w:rsid w:val="00495F43"/>
    <w:rsid w:val="00496818"/>
    <w:rsid w:val="00496B7B"/>
    <w:rsid w:val="00496BCF"/>
    <w:rsid w:val="00497141"/>
    <w:rsid w:val="00497470"/>
    <w:rsid w:val="0049772B"/>
    <w:rsid w:val="00497AB1"/>
    <w:rsid w:val="00497CE2"/>
    <w:rsid w:val="00497F5E"/>
    <w:rsid w:val="004A00B0"/>
    <w:rsid w:val="004A10F9"/>
    <w:rsid w:val="004A16BB"/>
    <w:rsid w:val="004A171B"/>
    <w:rsid w:val="004A1A36"/>
    <w:rsid w:val="004A1C9C"/>
    <w:rsid w:val="004A1D91"/>
    <w:rsid w:val="004A1E63"/>
    <w:rsid w:val="004A207E"/>
    <w:rsid w:val="004A2148"/>
    <w:rsid w:val="004A2151"/>
    <w:rsid w:val="004A2358"/>
    <w:rsid w:val="004A2385"/>
    <w:rsid w:val="004A27CE"/>
    <w:rsid w:val="004A2818"/>
    <w:rsid w:val="004A28A0"/>
    <w:rsid w:val="004A2C49"/>
    <w:rsid w:val="004A2D91"/>
    <w:rsid w:val="004A2E08"/>
    <w:rsid w:val="004A3A81"/>
    <w:rsid w:val="004A3A8F"/>
    <w:rsid w:val="004A3B95"/>
    <w:rsid w:val="004A3C91"/>
    <w:rsid w:val="004A3DEE"/>
    <w:rsid w:val="004A4457"/>
    <w:rsid w:val="004A44E6"/>
    <w:rsid w:val="004A4692"/>
    <w:rsid w:val="004A565E"/>
    <w:rsid w:val="004A5829"/>
    <w:rsid w:val="004A58BA"/>
    <w:rsid w:val="004A5B17"/>
    <w:rsid w:val="004A67A5"/>
    <w:rsid w:val="004A69D0"/>
    <w:rsid w:val="004A6D85"/>
    <w:rsid w:val="004A6E60"/>
    <w:rsid w:val="004A6F41"/>
    <w:rsid w:val="004A75D0"/>
    <w:rsid w:val="004A786D"/>
    <w:rsid w:val="004A7912"/>
    <w:rsid w:val="004A7BA8"/>
    <w:rsid w:val="004A7C53"/>
    <w:rsid w:val="004B0194"/>
    <w:rsid w:val="004B0271"/>
    <w:rsid w:val="004B089F"/>
    <w:rsid w:val="004B0B94"/>
    <w:rsid w:val="004B0C8F"/>
    <w:rsid w:val="004B0FB8"/>
    <w:rsid w:val="004B1113"/>
    <w:rsid w:val="004B1248"/>
    <w:rsid w:val="004B165A"/>
    <w:rsid w:val="004B176A"/>
    <w:rsid w:val="004B1DC3"/>
    <w:rsid w:val="004B1E80"/>
    <w:rsid w:val="004B2062"/>
    <w:rsid w:val="004B23E6"/>
    <w:rsid w:val="004B2724"/>
    <w:rsid w:val="004B2835"/>
    <w:rsid w:val="004B28C5"/>
    <w:rsid w:val="004B323F"/>
    <w:rsid w:val="004B326B"/>
    <w:rsid w:val="004B329D"/>
    <w:rsid w:val="004B32F8"/>
    <w:rsid w:val="004B3476"/>
    <w:rsid w:val="004B36AE"/>
    <w:rsid w:val="004B3DB4"/>
    <w:rsid w:val="004B3FAE"/>
    <w:rsid w:val="004B40A8"/>
    <w:rsid w:val="004B4672"/>
    <w:rsid w:val="004B4745"/>
    <w:rsid w:val="004B4766"/>
    <w:rsid w:val="004B4837"/>
    <w:rsid w:val="004B5819"/>
    <w:rsid w:val="004B58F5"/>
    <w:rsid w:val="004B5B48"/>
    <w:rsid w:val="004B5C63"/>
    <w:rsid w:val="004B5E52"/>
    <w:rsid w:val="004B605A"/>
    <w:rsid w:val="004B6174"/>
    <w:rsid w:val="004B6663"/>
    <w:rsid w:val="004B67A4"/>
    <w:rsid w:val="004B6A3D"/>
    <w:rsid w:val="004B6BC6"/>
    <w:rsid w:val="004B6E89"/>
    <w:rsid w:val="004B6F99"/>
    <w:rsid w:val="004B7414"/>
    <w:rsid w:val="004B74AD"/>
    <w:rsid w:val="004B781D"/>
    <w:rsid w:val="004B7997"/>
    <w:rsid w:val="004B7AB6"/>
    <w:rsid w:val="004B7E45"/>
    <w:rsid w:val="004B7FE2"/>
    <w:rsid w:val="004C01A2"/>
    <w:rsid w:val="004C07BD"/>
    <w:rsid w:val="004C07E2"/>
    <w:rsid w:val="004C0EF4"/>
    <w:rsid w:val="004C109F"/>
    <w:rsid w:val="004C14B1"/>
    <w:rsid w:val="004C1A46"/>
    <w:rsid w:val="004C1C2F"/>
    <w:rsid w:val="004C2694"/>
    <w:rsid w:val="004C289A"/>
    <w:rsid w:val="004C28C4"/>
    <w:rsid w:val="004C2ADF"/>
    <w:rsid w:val="004C31BF"/>
    <w:rsid w:val="004C3427"/>
    <w:rsid w:val="004C376F"/>
    <w:rsid w:val="004C41ED"/>
    <w:rsid w:val="004C4453"/>
    <w:rsid w:val="004C4A77"/>
    <w:rsid w:val="004C4D53"/>
    <w:rsid w:val="004C5692"/>
    <w:rsid w:val="004C5A50"/>
    <w:rsid w:val="004C5D4D"/>
    <w:rsid w:val="004C60F8"/>
    <w:rsid w:val="004C6173"/>
    <w:rsid w:val="004C61A3"/>
    <w:rsid w:val="004C61CB"/>
    <w:rsid w:val="004C6340"/>
    <w:rsid w:val="004C68C2"/>
    <w:rsid w:val="004C6DC4"/>
    <w:rsid w:val="004C6E03"/>
    <w:rsid w:val="004C6F47"/>
    <w:rsid w:val="004C6F97"/>
    <w:rsid w:val="004C73E2"/>
    <w:rsid w:val="004C780C"/>
    <w:rsid w:val="004C79B9"/>
    <w:rsid w:val="004C7AA2"/>
    <w:rsid w:val="004C7D5A"/>
    <w:rsid w:val="004C7F7F"/>
    <w:rsid w:val="004D03BA"/>
    <w:rsid w:val="004D0A75"/>
    <w:rsid w:val="004D0F17"/>
    <w:rsid w:val="004D0FAE"/>
    <w:rsid w:val="004D118A"/>
    <w:rsid w:val="004D1309"/>
    <w:rsid w:val="004D1346"/>
    <w:rsid w:val="004D16E2"/>
    <w:rsid w:val="004D20F4"/>
    <w:rsid w:val="004D2510"/>
    <w:rsid w:val="004D2696"/>
    <w:rsid w:val="004D2898"/>
    <w:rsid w:val="004D2E74"/>
    <w:rsid w:val="004D2EE6"/>
    <w:rsid w:val="004D301C"/>
    <w:rsid w:val="004D3100"/>
    <w:rsid w:val="004D32EE"/>
    <w:rsid w:val="004D3441"/>
    <w:rsid w:val="004D349D"/>
    <w:rsid w:val="004D357C"/>
    <w:rsid w:val="004D369B"/>
    <w:rsid w:val="004D3E0B"/>
    <w:rsid w:val="004D3F25"/>
    <w:rsid w:val="004D42B9"/>
    <w:rsid w:val="004D42DD"/>
    <w:rsid w:val="004D45C8"/>
    <w:rsid w:val="004D475D"/>
    <w:rsid w:val="004D4ED8"/>
    <w:rsid w:val="004D5051"/>
    <w:rsid w:val="004D53E0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60C"/>
    <w:rsid w:val="004D7814"/>
    <w:rsid w:val="004D7C62"/>
    <w:rsid w:val="004D7C91"/>
    <w:rsid w:val="004D7D45"/>
    <w:rsid w:val="004E01D4"/>
    <w:rsid w:val="004E0548"/>
    <w:rsid w:val="004E0C6F"/>
    <w:rsid w:val="004E0F37"/>
    <w:rsid w:val="004E14AB"/>
    <w:rsid w:val="004E1622"/>
    <w:rsid w:val="004E1E98"/>
    <w:rsid w:val="004E22F6"/>
    <w:rsid w:val="004E26E4"/>
    <w:rsid w:val="004E2AB8"/>
    <w:rsid w:val="004E32CA"/>
    <w:rsid w:val="004E357A"/>
    <w:rsid w:val="004E35EE"/>
    <w:rsid w:val="004E3800"/>
    <w:rsid w:val="004E3861"/>
    <w:rsid w:val="004E390B"/>
    <w:rsid w:val="004E434A"/>
    <w:rsid w:val="004E4A0B"/>
    <w:rsid w:val="004E4B6C"/>
    <w:rsid w:val="004E4F6D"/>
    <w:rsid w:val="004E5000"/>
    <w:rsid w:val="004E5251"/>
    <w:rsid w:val="004E530F"/>
    <w:rsid w:val="004E5331"/>
    <w:rsid w:val="004E5599"/>
    <w:rsid w:val="004E55D4"/>
    <w:rsid w:val="004E586B"/>
    <w:rsid w:val="004E5A83"/>
    <w:rsid w:val="004E5C7F"/>
    <w:rsid w:val="004E5CB8"/>
    <w:rsid w:val="004E5DA2"/>
    <w:rsid w:val="004E5E41"/>
    <w:rsid w:val="004E5F90"/>
    <w:rsid w:val="004E65EB"/>
    <w:rsid w:val="004E67F2"/>
    <w:rsid w:val="004E6A71"/>
    <w:rsid w:val="004E6B8C"/>
    <w:rsid w:val="004E6BE4"/>
    <w:rsid w:val="004E6C7F"/>
    <w:rsid w:val="004E7114"/>
    <w:rsid w:val="004E722D"/>
    <w:rsid w:val="004E7341"/>
    <w:rsid w:val="004E744E"/>
    <w:rsid w:val="004E7E7E"/>
    <w:rsid w:val="004F0244"/>
    <w:rsid w:val="004F0772"/>
    <w:rsid w:val="004F096B"/>
    <w:rsid w:val="004F09A1"/>
    <w:rsid w:val="004F09B6"/>
    <w:rsid w:val="004F09DB"/>
    <w:rsid w:val="004F0A27"/>
    <w:rsid w:val="004F0A45"/>
    <w:rsid w:val="004F0A5E"/>
    <w:rsid w:val="004F11FC"/>
    <w:rsid w:val="004F12BE"/>
    <w:rsid w:val="004F155A"/>
    <w:rsid w:val="004F19B6"/>
    <w:rsid w:val="004F23B6"/>
    <w:rsid w:val="004F26FA"/>
    <w:rsid w:val="004F282C"/>
    <w:rsid w:val="004F2903"/>
    <w:rsid w:val="004F2C12"/>
    <w:rsid w:val="004F3035"/>
    <w:rsid w:val="004F3087"/>
    <w:rsid w:val="004F3340"/>
    <w:rsid w:val="004F368A"/>
    <w:rsid w:val="004F379F"/>
    <w:rsid w:val="004F3D4A"/>
    <w:rsid w:val="004F3E0F"/>
    <w:rsid w:val="004F401E"/>
    <w:rsid w:val="004F43AB"/>
    <w:rsid w:val="004F456D"/>
    <w:rsid w:val="004F50EE"/>
    <w:rsid w:val="004F5614"/>
    <w:rsid w:val="004F58BE"/>
    <w:rsid w:val="004F6090"/>
    <w:rsid w:val="004F60A6"/>
    <w:rsid w:val="004F68C9"/>
    <w:rsid w:val="004F6E0C"/>
    <w:rsid w:val="004F70F0"/>
    <w:rsid w:val="004F712C"/>
    <w:rsid w:val="004F7174"/>
    <w:rsid w:val="004F7AF1"/>
    <w:rsid w:val="004F7C43"/>
    <w:rsid w:val="004F7D96"/>
    <w:rsid w:val="004F7E98"/>
    <w:rsid w:val="00500320"/>
    <w:rsid w:val="005005C8"/>
    <w:rsid w:val="00500DD0"/>
    <w:rsid w:val="00500EDC"/>
    <w:rsid w:val="00500F4E"/>
    <w:rsid w:val="00500F5E"/>
    <w:rsid w:val="005010BA"/>
    <w:rsid w:val="005010F0"/>
    <w:rsid w:val="005012AA"/>
    <w:rsid w:val="005012CF"/>
    <w:rsid w:val="005013A1"/>
    <w:rsid w:val="00501773"/>
    <w:rsid w:val="005018BA"/>
    <w:rsid w:val="00501DE6"/>
    <w:rsid w:val="00501E11"/>
    <w:rsid w:val="00501EB9"/>
    <w:rsid w:val="00501F11"/>
    <w:rsid w:val="005022A5"/>
    <w:rsid w:val="00502352"/>
    <w:rsid w:val="0050278D"/>
    <w:rsid w:val="00502A36"/>
    <w:rsid w:val="00502BB7"/>
    <w:rsid w:val="00502C10"/>
    <w:rsid w:val="0050309D"/>
    <w:rsid w:val="005030DD"/>
    <w:rsid w:val="005032E5"/>
    <w:rsid w:val="00503326"/>
    <w:rsid w:val="0050355D"/>
    <w:rsid w:val="00503812"/>
    <w:rsid w:val="00503B43"/>
    <w:rsid w:val="00503C58"/>
    <w:rsid w:val="00504188"/>
    <w:rsid w:val="00504345"/>
    <w:rsid w:val="00504560"/>
    <w:rsid w:val="00504655"/>
    <w:rsid w:val="00504A31"/>
    <w:rsid w:val="00504D3B"/>
    <w:rsid w:val="00504F8B"/>
    <w:rsid w:val="005055B5"/>
    <w:rsid w:val="005056AC"/>
    <w:rsid w:val="005058D9"/>
    <w:rsid w:val="005059E9"/>
    <w:rsid w:val="00505C75"/>
    <w:rsid w:val="0050605D"/>
    <w:rsid w:val="0050625D"/>
    <w:rsid w:val="005063A0"/>
    <w:rsid w:val="005063D2"/>
    <w:rsid w:val="00506619"/>
    <w:rsid w:val="0050690E"/>
    <w:rsid w:val="00506971"/>
    <w:rsid w:val="00506D8A"/>
    <w:rsid w:val="00506F6D"/>
    <w:rsid w:val="0050761D"/>
    <w:rsid w:val="00507750"/>
    <w:rsid w:val="0050798E"/>
    <w:rsid w:val="00507A54"/>
    <w:rsid w:val="00507ABF"/>
    <w:rsid w:val="00507DD2"/>
    <w:rsid w:val="00507E53"/>
    <w:rsid w:val="00510111"/>
    <w:rsid w:val="00510257"/>
    <w:rsid w:val="00510D1D"/>
    <w:rsid w:val="00510E99"/>
    <w:rsid w:val="00511033"/>
    <w:rsid w:val="00511104"/>
    <w:rsid w:val="00511440"/>
    <w:rsid w:val="00511938"/>
    <w:rsid w:val="00511A4E"/>
    <w:rsid w:val="00511A60"/>
    <w:rsid w:val="00511B5E"/>
    <w:rsid w:val="00511BBF"/>
    <w:rsid w:val="00511BDC"/>
    <w:rsid w:val="00511FE7"/>
    <w:rsid w:val="0051267A"/>
    <w:rsid w:val="00512785"/>
    <w:rsid w:val="00512E62"/>
    <w:rsid w:val="0051361B"/>
    <w:rsid w:val="0051373C"/>
    <w:rsid w:val="005138B3"/>
    <w:rsid w:val="0051390F"/>
    <w:rsid w:val="00513C7A"/>
    <w:rsid w:val="00513D0A"/>
    <w:rsid w:val="00513EBA"/>
    <w:rsid w:val="00513F43"/>
    <w:rsid w:val="00514116"/>
    <w:rsid w:val="005146E4"/>
    <w:rsid w:val="00514985"/>
    <w:rsid w:val="00514E64"/>
    <w:rsid w:val="00514F92"/>
    <w:rsid w:val="0051506B"/>
    <w:rsid w:val="00515A6A"/>
    <w:rsid w:val="00515D3E"/>
    <w:rsid w:val="00515E7B"/>
    <w:rsid w:val="005162FD"/>
    <w:rsid w:val="005165B0"/>
    <w:rsid w:val="00516663"/>
    <w:rsid w:val="00516C7F"/>
    <w:rsid w:val="00516D8C"/>
    <w:rsid w:val="00516F04"/>
    <w:rsid w:val="00517005"/>
    <w:rsid w:val="00517153"/>
    <w:rsid w:val="005171D1"/>
    <w:rsid w:val="005174C6"/>
    <w:rsid w:val="00517868"/>
    <w:rsid w:val="00517CD4"/>
    <w:rsid w:val="00520066"/>
    <w:rsid w:val="00520142"/>
    <w:rsid w:val="0052017C"/>
    <w:rsid w:val="005203B9"/>
    <w:rsid w:val="00520615"/>
    <w:rsid w:val="0052072A"/>
    <w:rsid w:val="00520894"/>
    <w:rsid w:val="00520BC0"/>
    <w:rsid w:val="00520BF7"/>
    <w:rsid w:val="00520C6E"/>
    <w:rsid w:val="005211D3"/>
    <w:rsid w:val="005215A2"/>
    <w:rsid w:val="005217F8"/>
    <w:rsid w:val="005219E0"/>
    <w:rsid w:val="00521A77"/>
    <w:rsid w:val="00521B41"/>
    <w:rsid w:val="00521F14"/>
    <w:rsid w:val="00522091"/>
    <w:rsid w:val="005220A9"/>
    <w:rsid w:val="00522490"/>
    <w:rsid w:val="0052259A"/>
    <w:rsid w:val="0052267A"/>
    <w:rsid w:val="005226D4"/>
    <w:rsid w:val="005227B0"/>
    <w:rsid w:val="00523273"/>
    <w:rsid w:val="005234D4"/>
    <w:rsid w:val="0052382F"/>
    <w:rsid w:val="005239DD"/>
    <w:rsid w:val="00523BB0"/>
    <w:rsid w:val="00523BD9"/>
    <w:rsid w:val="00523CA1"/>
    <w:rsid w:val="00523D06"/>
    <w:rsid w:val="00523EB9"/>
    <w:rsid w:val="0052417B"/>
    <w:rsid w:val="00524469"/>
    <w:rsid w:val="00524A9C"/>
    <w:rsid w:val="00525397"/>
    <w:rsid w:val="00525956"/>
    <w:rsid w:val="00525A82"/>
    <w:rsid w:val="00525B0E"/>
    <w:rsid w:val="00525B92"/>
    <w:rsid w:val="00525BED"/>
    <w:rsid w:val="00525D89"/>
    <w:rsid w:val="0052633E"/>
    <w:rsid w:val="00526501"/>
    <w:rsid w:val="005266F4"/>
    <w:rsid w:val="0052675C"/>
    <w:rsid w:val="0052679A"/>
    <w:rsid w:val="00526931"/>
    <w:rsid w:val="005269EC"/>
    <w:rsid w:val="00526CEC"/>
    <w:rsid w:val="00526D46"/>
    <w:rsid w:val="00526EDC"/>
    <w:rsid w:val="0052736B"/>
    <w:rsid w:val="00527436"/>
    <w:rsid w:val="00527C5D"/>
    <w:rsid w:val="005303B5"/>
    <w:rsid w:val="005303E3"/>
    <w:rsid w:val="00530D4E"/>
    <w:rsid w:val="00531094"/>
    <w:rsid w:val="00531126"/>
    <w:rsid w:val="00531143"/>
    <w:rsid w:val="0053173F"/>
    <w:rsid w:val="0053186B"/>
    <w:rsid w:val="00531C5C"/>
    <w:rsid w:val="005320D9"/>
    <w:rsid w:val="00532335"/>
    <w:rsid w:val="00532578"/>
    <w:rsid w:val="005327B7"/>
    <w:rsid w:val="00532870"/>
    <w:rsid w:val="00532A23"/>
    <w:rsid w:val="00532BC3"/>
    <w:rsid w:val="00532D3F"/>
    <w:rsid w:val="00532FA3"/>
    <w:rsid w:val="005331E8"/>
    <w:rsid w:val="0053333B"/>
    <w:rsid w:val="00533351"/>
    <w:rsid w:val="0053337C"/>
    <w:rsid w:val="005333BE"/>
    <w:rsid w:val="00533C6A"/>
    <w:rsid w:val="005340EA"/>
    <w:rsid w:val="00534664"/>
    <w:rsid w:val="00534787"/>
    <w:rsid w:val="005348FA"/>
    <w:rsid w:val="00534910"/>
    <w:rsid w:val="00534A44"/>
    <w:rsid w:val="00534AA1"/>
    <w:rsid w:val="0053508B"/>
    <w:rsid w:val="005350FD"/>
    <w:rsid w:val="005359AE"/>
    <w:rsid w:val="00535A9B"/>
    <w:rsid w:val="00535CE3"/>
    <w:rsid w:val="00535F4E"/>
    <w:rsid w:val="00535FEA"/>
    <w:rsid w:val="00536332"/>
    <w:rsid w:val="0053655B"/>
    <w:rsid w:val="00536601"/>
    <w:rsid w:val="0053684B"/>
    <w:rsid w:val="00536B78"/>
    <w:rsid w:val="00536BE9"/>
    <w:rsid w:val="00537174"/>
    <w:rsid w:val="005373DF"/>
    <w:rsid w:val="00537433"/>
    <w:rsid w:val="005376F2"/>
    <w:rsid w:val="00537A19"/>
    <w:rsid w:val="00537A4C"/>
    <w:rsid w:val="00540308"/>
    <w:rsid w:val="00540322"/>
    <w:rsid w:val="00540BDC"/>
    <w:rsid w:val="00540D81"/>
    <w:rsid w:val="00541519"/>
    <w:rsid w:val="00541BF0"/>
    <w:rsid w:val="00541C34"/>
    <w:rsid w:val="00542330"/>
    <w:rsid w:val="00542821"/>
    <w:rsid w:val="00542A12"/>
    <w:rsid w:val="00542B06"/>
    <w:rsid w:val="00542C00"/>
    <w:rsid w:val="00542CA8"/>
    <w:rsid w:val="00542E32"/>
    <w:rsid w:val="005430ED"/>
    <w:rsid w:val="0054341E"/>
    <w:rsid w:val="00543514"/>
    <w:rsid w:val="0054368B"/>
    <w:rsid w:val="005438A1"/>
    <w:rsid w:val="005439A7"/>
    <w:rsid w:val="00543B81"/>
    <w:rsid w:val="00543C00"/>
    <w:rsid w:val="00543CEA"/>
    <w:rsid w:val="00543EB8"/>
    <w:rsid w:val="00543F41"/>
    <w:rsid w:val="005441AB"/>
    <w:rsid w:val="0054448A"/>
    <w:rsid w:val="005444F5"/>
    <w:rsid w:val="00544550"/>
    <w:rsid w:val="00544556"/>
    <w:rsid w:val="0054482E"/>
    <w:rsid w:val="0054485E"/>
    <w:rsid w:val="00544DC8"/>
    <w:rsid w:val="00544FCF"/>
    <w:rsid w:val="005450A2"/>
    <w:rsid w:val="005450DC"/>
    <w:rsid w:val="0054524E"/>
    <w:rsid w:val="005452E6"/>
    <w:rsid w:val="0054533C"/>
    <w:rsid w:val="00545382"/>
    <w:rsid w:val="005455FC"/>
    <w:rsid w:val="00545602"/>
    <w:rsid w:val="00545A47"/>
    <w:rsid w:val="00545FC7"/>
    <w:rsid w:val="0054613D"/>
    <w:rsid w:val="0054634E"/>
    <w:rsid w:val="00546368"/>
    <w:rsid w:val="005464FC"/>
    <w:rsid w:val="005469B4"/>
    <w:rsid w:val="00546A4F"/>
    <w:rsid w:val="00546B67"/>
    <w:rsid w:val="00546B8B"/>
    <w:rsid w:val="00546B92"/>
    <w:rsid w:val="00547079"/>
    <w:rsid w:val="0054707A"/>
    <w:rsid w:val="0054710E"/>
    <w:rsid w:val="005474C7"/>
    <w:rsid w:val="00547758"/>
    <w:rsid w:val="00547A68"/>
    <w:rsid w:val="00547B37"/>
    <w:rsid w:val="00547BDB"/>
    <w:rsid w:val="00547CE6"/>
    <w:rsid w:val="00550490"/>
    <w:rsid w:val="005506F3"/>
    <w:rsid w:val="00550986"/>
    <w:rsid w:val="00550CBD"/>
    <w:rsid w:val="00550D16"/>
    <w:rsid w:val="00550F71"/>
    <w:rsid w:val="00551167"/>
    <w:rsid w:val="005512D3"/>
    <w:rsid w:val="00551C0E"/>
    <w:rsid w:val="00551F46"/>
    <w:rsid w:val="00552081"/>
    <w:rsid w:val="005521C1"/>
    <w:rsid w:val="005521F2"/>
    <w:rsid w:val="005524AF"/>
    <w:rsid w:val="00552526"/>
    <w:rsid w:val="00552561"/>
    <w:rsid w:val="00552812"/>
    <w:rsid w:val="00552840"/>
    <w:rsid w:val="00552982"/>
    <w:rsid w:val="00552B1B"/>
    <w:rsid w:val="00552B31"/>
    <w:rsid w:val="00552B71"/>
    <w:rsid w:val="00552BB0"/>
    <w:rsid w:val="00552C14"/>
    <w:rsid w:val="005531C6"/>
    <w:rsid w:val="00553290"/>
    <w:rsid w:val="005532B3"/>
    <w:rsid w:val="0055361F"/>
    <w:rsid w:val="00553C45"/>
    <w:rsid w:val="005542D6"/>
    <w:rsid w:val="005544FA"/>
    <w:rsid w:val="0055459C"/>
    <w:rsid w:val="00554723"/>
    <w:rsid w:val="00554A33"/>
    <w:rsid w:val="00554F2F"/>
    <w:rsid w:val="00554FCF"/>
    <w:rsid w:val="0055519A"/>
    <w:rsid w:val="0055525E"/>
    <w:rsid w:val="0055563A"/>
    <w:rsid w:val="0055588A"/>
    <w:rsid w:val="0055597A"/>
    <w:rsid w:val="00555A7F"/>
    <w:rsid w:val="00555C67"/>
    <w:rsid w:val="00555EE0"/>
    <w:rsid w:val="00556356"/>
    <w:rsid w:val="00556D0E"/>
    <w:rsid w:val="0055716D"/>
    <w:rsid w:val="005571A6"/>
    <w:rsid w:val="005572B8"/>
    <w:rsid w:val="005572CC"/>
    <w:rsid w:val="005572CD"/>
    <w:rsid w:val="0055745F"/>
    <w:rsid w:val="00557621"/>
    <w:rsid w:val="0055771A"/>
    <w:rsid w:val="00557953"/>
    <w:rsid w:val="00557AD3"/>
    <w:rsid w:val="00557C5E"/>
    <w:rsid w:val="00557D38"/>
    <w:rsid w:val="00557EA9"/>
    <w:rsid w:val="00560321"/>
    <w:rsid w:val="005603F5"/>
    <w:rsid w:val="005605D3"/>
    <w:rsid w:val="005609A0"/>
    <w:rsid w:val="00560E55"/>
    <w:rsid w:val="00560E76"/>
    <w:rsid w:val="005610CA"/>
    <w:rsid w:val="00561360"/>
    <w:rsid w:val="00561B32"/>
    <w:rsid w:val="00562125"/>
    <w:rsid w:val="0056275D"/>
    <w:rsid w:val="005629CA"/>
    <w:rsid w:val="00562B18"/>
    <w:rsid w:val="00562E8F"/>
    <w:rsid w:val="0056301A"/>
    <w:rsid w:val="005630D2"/>
    <w:rsid w:val="005635AD"/>
    <w:rsid w:val="005636B0"/>
    <w:rsid w:val="005637ED"/>
    <w:rsid w:val="0056399A"/>
    <w:rsid w:val="00563CAB"/>
    <w:rsid w:val="00563FC8"/>
    <w:rsid w:val="00564070"/>
    <w:rsid w:val="005640E1"/>
    <w:rsid w:val="00564496"/>
    <w:rsid w:val="005647B6"/>
    <w:rsid w:val="00564EA1"/>
    <w:rsid w:val="0056534C"/>
    <w:rsid w:val="0056595D"/>
    <w:rsid w:val="00566323"/>
    <w:rsid w:val="0056665F"/>
    <w:rsid w:val="005667A6"/>
    <w:rsid w:val="00566E81"/>
    <w:rsid w:val="00566F7A"/>
    <w:rsid w:val="005670FC"/>
    <w:rsid w:val="005675AD"/>
    <w:rsid w:val="0056767C"/>
    <w:rsid w:val="005677CF"/>
    <w:rsid w:val="00567AEE"/>
    <w:rsid w:val="00567CEE"/>
    <w:rsid w:val="00567E2C"/>
    <w:rsid w:val="00567F7D"/>
    <w:rsid w:val="005700DB"/>
    <w:rsid w:val="0057014E"/>
    <w:rsid w:val="005702BD"/>
    <w:rsid w:val="0057040F"/>
    <w:rsid w:val="00570950"/>
    <w:rsid w:val="0057096F"/>
    <w:rsid w:val="00570D57"/>
    <w:rsid w:val="00570ED5"/>
    <w:rsid w:val="005711A5"/>
    <w:rsid w:val="005713EC"/>
    <w:rsid w:val="005713F4"/>
    <w:rsid w:val="0057154B"/>
    <w:rsid w:val="0057166D"/>
    <w:rsid w:val="00571BB1"/>
    <w:rsid w:val="00571C5C"/>
    <w:rsid w:val="00571E64"/>
    <w:rsid w:val="0057201E"/>
    <w:rsid w:val="0057269E"/>
    <w:rsid w:val="005726BC"/>
    <w:rsid w:val="00572B78"/>
    <w:rsid w:val="00572EAC"/>
    <w:rsid w:val="00573426"/>
    <w:rsid w:val="00573713"/>
    <w:rsid w:val="00573ADD"/>
    <w:rsid w:val="00573D3B"/>
    <w:rsid w:val="00573EE2"/>
    <w:rsid w:val="00573F6A"/>
    <w:rsid w:val="0057402D"/>
    <w:rsid w:val="005741C8"/>
    <w:rsid w:val="005742D5"/>
    <w:rsid w:val="00574329"/>
    <w:rsid w:val="0057432C"/>
    <w:rsid w:val="00574657"/>
    <w:rsid w:val="00574676"/>
    <w:rsid w:val="00574ABC"/>
    <w:rsid w:val="00574C25"/>
    <w:rsid w:val="00574C41"/>
    <w:rsid w:val="00574CF9"/>
    <w:rsid w:val="00574FE9"/>
    <w:rsid w:val="00575314"/>
    <w:rsid w:val="00575BD4"/>
    <w:rsid w:val="00575CC3"/>
    <w:rsid w:val="00575D10"/>
    <w:rsid w:val="00576018"/>
    <w:rsid w:val="005763A8"/>
    <w:rsid w:val="00576466"/>
    <w:rsid w:val="00576B38"/>
    <w:rsid w:val="00576D6B"/>
    <w:rsid w:val="00576EC5"/>
    <w:rsid w:val="005778E9"/>
    <w:rsid w:val="00577AAE"/>
    <w:rsid w:val="00577D2C"/>
    <w:rsid w:val="005800F7"/>
    <w:rsid w:val="005808CA"/>
    <w:rsid w:val="00580983"/>
    <w:rsid w:val="00580B3D"/>
    <w:rsid w:val="00580F16"/>
    <w:rsid w:val="00580F26"/>
    <w:rsid w:val="005810A9"/>
    <w:rsid w:val="005819DB"/>
    <w:rsid w:val="00581A7C"/>
    <w:rsid w:val="00581BEF"/>
    <w:rsid w:val="005822F5"/>
    <w:rsid w:val="00582376"/>
    <w:rsid w:val="005827AD"/>
    <w:rsid w:val="00583133"/>
    <w:rsid w:val="0058343A"/>
    <w:rsid w:val="005834E6"/>
    <w:rsid w:val="005839B5"/>
    <w:rsid w:val="00583A1C"/>
    <w:rsid w:val="00583C0E"/>
    <w:rsid w:val="00583FDB"/>
    <w:rsid w:val="00584056"/>
    <w:rsid w:val="005841BC"/>
    <w:rsid w:val="0058427E"/>
    <w:rsid w:val="0058452A"/>
    <w:rsid w:val="005845E7"/>
    <w:rsid w:val="00584640"/>
    <w:rsid w:val="00584A97"/>
    <w:rsid w:val="00584CE1"/>
    <w:rsid w:val="00584FEF"/>
    <w:rsid w:val="005853EF"/>
    <w:rsid w:val="00585972"/>
    <w:rsid w:val="00585B10"/>
    <w:rsid w:val="00585B60"/>
    <w:rsid w:val="00585C1D"/>
    <w:rsid w:val="00586045"/>
    <w:rsid w:val="005862E4"/>
    <w:rsid w:val="005864FA"/>
    <w:rsid w:val="005865AA"/>
    <w:rsid w:val="00586848"/>
    <w:rsid w:val="00586A34"/>
    <w:rsid w:val="00586D7F"/>
    <w:rsid w:val="00586EE4"/>
    <w:rsid w:val="00587048"/>
    <w:rsid w:val="005875A3"/>
    <w:rsid w:val="00587652"/>
    <w:rsid w:val="0058773A"/>
    <w:rsid w:val="005878D7"/>
    <w:rsid w:val="00587BD5"/>
    <w:rsid w:val="00587BD9"/>
    <w:rsid w:val="00587C5F"/>
    <w:rsid w:val="00587CCA"/>
    <w:rsid w:val="0059023D"/>
    <w:rsid w:val="00590750"/>
    <w:rsid w:val="00590907"/>
    <w:rsid w:val="00590B0F"/>
    <w:rsid w:val="005911A2"/>
    <w:rsid w:val="0059130F"/>
    <w:rsid w:val="00591459"/>
    <w:rsid w:val="00592283"/>
    <w:rsid w:val="00592385"/>
    <w:rsid w:val="005923A1"/>
    <w:rsid w:val="0059241D"/>
    <w:rsid w:val="00592491"/>
    <w:rsid w:val="0059266B"/>
    <w:rsid w:val="00592AC1"/>
    <w:rsid w:val="0059346F"/>
    <w:rsid w:val="00593765"/>
    <w:rsid w:val="00593875"/>
    <w:rsid w:val="00593B35"/>
    <w:rsid w:val="00593E2F"/>
    <w:rsid w:val="005943C5"/>
    <w:rsid w:val="005945F8"/>
    <w:rsid w:val="005948C2"/>
    <w:rsid w:val="00594A21"/>
    <w:rsid w:val="00594A7B"/>
    <w:rsid w:val="00594C49"/>
    <w:rsid w:val="00595102"/>
    <w:rsid w:val="0059514F"/>
    <w:rsid w:val="005952ED"/>
    <w:rsid w:val="00595529"/>
    <w:rsid w:val="00595870"/>
    <w:rsid w:val="00595F5A"/>
    <w:rsid w:val="005963CE"/>
    <w:rsid w:val="00596842"/>
    <w:rsid w:val="00596853"/>
    <w:rsid w:val="00596AC6"/>
    <w:rsid w:val="00596C07"/>
    <w:rsid w:val="00596CA8"/>
    <w:rsid w:val="00596DB6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7D7"/>
    <w:rsid w:val="005A1C00"/>
    <w:rsid w:val="005A1CBB"/>
    <w:rsid w:val="005A1EAB"/>
    <w:rsid w:val="005A270C"/>
    <w:rsid w:val="005A297A"/>
    <w:rsid w:val="005A2D82"/>
    <w:rsid w:val="005A30F1"/>
    <w:rsid w:val="005A323A"/>
    <w:rsid w:val="005A3789"/>
    <w:rsid w:val="005A37C5"/>
    <w:rsid w:val="005A3835"/>
    <w:rsid w:val="005A389E"/>
    <w:rsid w:val="005A3950"/>
    <w:rsid w:val="005A3AEC"/>
    <w:rsid w:val="005A3B5A"/>
    <w:rsid w:val="005A3F9E"/>
    <w:rsid w:val="005A40C0"/>
    <w:rsid w:val="005A4634"/>
    <w:rsid w:val="005A467F"/>
    <w:rsid w:val="005A46A3"/>
    <w:rsid w:val="005A47FE"/>
    <w:rsid w:val="005A496F"/>
    <w:rsid w:val="005A4B91"/>
    <w:rsid w:val="005A50F6"/>
    <w:rsid w:val="005A578B"/>
    <w:rsid w:val="005A5A92"/>
    <w:rsid w:val="005A5DE6"/>
    <w:rsid w:val="005A5E6F"/>
    <w:rsid w:val="005A626B"/>
    <w:rsid w:val="005A6381"/>
    <w:rsid w:val="005A6858"/>
    <w:rsid w:val="005A697D"/>
    <w:rsid w:val="005A6AFA"/>
    <w:rsid w:val="005A6BA0"/>
    <w:rsid w:val="005A72F2"/>
    <w:rsid w:val="005A7E22"/>
    <w:rsid w:val="005A7ED9"/>
    <w:rsid w:val="005B0096"/>
    <w:rsid w:val="005B02C2"/>
    <w:rsid w:val="005B0341"/>
    <w:rsid w:val="005B0399"/>
    <w:rsid w:val="005B0855"/>
    <w:rsid w:val="005B09C2"/>
    <w:rsid w:val="005B0A4B"/>
    <w:rsid w:val="005B0CA7"/>
    <w:rsid w:val="005B0F5F"/>
    <w:rsid w:val="005B1C06"/>
    <w:rsid w:val="005B1CDA"/>
    <w:rsid w:val="005B1E97"/>
    <w:rsid w:val="005B1F3A"/>
    <w:rsid w:val="005B204F"/>
    <w:rsid w:val="005B2107"/>
    <w:rsid w:val="005B2194"/>
    <w:rsid w:val="005B2199"/>
    <w:rsid w:val="005B2339"/>
    <w:rsid w:val="005B2BC3"/>
    <w:rsid w:val="005B2D41"/>
    <w:rsid w:val="005B31EA"/>
    <w:rsid w:val="005B32F0"/>
    <w:rsid w:val="005B331B"/>
    <w:rsid w:val="005B3447"/>
    <w:rsid w:val="005B35D7"/>
    <w:rsid w:val="005B3AC9"/>
    <w:rsid w:val="005B3BFB"/>
    <w:rsid w:val="005B4125"/>
    <w:rsid w:val="005B42E1"/>
    <w:rsid w:val="005B4350"/>
    <w:rsid w:val="005B4621"/>
    <w:rsid w:val="005B4812"/>
    <w:rsid w:val="005B4CFA"/>
    <w:rsid w:val="005B4DEF"/>
    <w:rsid w:val="005B4E82"/>
    <w:rsid w:val="005B4ED1"/>
    <w:rsid w:val="005B50E0"/>
    <w:rsid w:val="005B5458"/>
    <w:rsid w:val="005B5589"/>
    <w:rsid w:val="005B55BD"/>
    <w:rsid w:val="005B574D"/>
    <w:rsid w:val="005B5B3D"/>
    <w:rsid w:val="005B5CEE"/>
    <w:rsid w:val="005B5CFF"/>
    <w:rsid w:val="005B630A"/>
    <w:rsid w:val="005B65C7"/>
    <w:rsid w:val="005B6B1E"/>
    <w:rsid w:val="005B6BD1"/>
    <w:rsid w:val="005B6BF6"/>
    <w:rsid w:val="005B6D53"/>
    <w:rsid w:val="005B6D64"/>
    <w:rsid w:val="005B7112"/>
    <w:rsid w:val="005B7166"/>
    <w:rsid w:val="005B744D"/>
    <w:rsid w:val="005B74D2"/>
    <w:rsid w:val="005B770C"/>
    <w:rsid w:val="005B7B3E"/>
    <w:rsid w:val="005B7D74"/>
    <w:rsid w:val="005C01D1"/>
    <w:rsid w:val="005C04FD"/>
    <w:rsid w:val="005C0CD5"/>
    <w:rsid w:val="005C128B"/>
    <w:rsid w:val="005C1616"/>
    <w:rsid w:val="005C1832"/>
    <w:rsid w:val="005C18EE"/>
    <w:rsid w:val="005C1960"/>
    <w:rsid w:val="005C19A6"/>
    <w:rsid w:val="005C1A79"/>
    <w:rsid w:val="005C1CD8"/>
    <w:rsid w:val="005C1D84"/>
    <w:rsid w:val="005C239B"/>
    <w:rsid w:val="005C28B1"/>
    <w:rsid w:val="005C2BF7"/>
    <w:rsid w:val="005C303E"/>
    <w:rsid w:val="005C30DE"/>
    <w:rsid w:val="005C38DA"/>
    <w:rsid w:val="005C39AD"/>
    <w:rsid w:val="005C3B26"/>
    <w:rsid w:val="005C3C95"/>
    <w:rsid w:val="005C3EDF"/>
    <w:rsid w:val="005C4397"/>
    <w:rsid w:val="005C44B0"/>
    <w:rsid w:val="005C45EA"/>
    <w:rsid w:val="005C48CC"/>
    <w:rsid w:val="005C5077"/>
    <w:rsid w:val="005C5E34"/>
    <w:rsid w:val="005C5EC6"/>
    <w:rsid w:val="005C6276"/>
    <w:rsid w:val="005C62AD"/>
    <w:rsid w:val="005C63B5"/>
    <w:rsid w:val="005C674D"/>
    <w:rsid w:val="005C6842"/>
    <w:rsid w:val="005C6C37"/>
    <w:rsid w:val="005C6F00"/>
    <w:rsid w:val="005C7356"/>
    <w:rsid w:val="005C73D5"/>
    <w:rsid w:val="005C7644"/>
    <w:rsid w:val="005C77FD"/>
    <w:rsid w:val="005C7837"/>
    <w:rsid w:val="005C791C"/>
    <w:rsid w:val="005C7B31"/>
    <w:rsid w:val="005C7BF4"/>
    <w:rsid w:val="005D003A"/>
    <w:rsid w:val="005D029E"/>
    <w:rsid w:val="005D0574"/>
    <w:rsid w:val="005D0745"/>
    <w:rsid w:val="005D0C14"/>
    <w:rsid w:val="005D19D9"/>
    <w:rsid w:val="005D1A69"/>
    <w:rsid w:val="005D1B66"/>
    <w:rsid w:val="005D1B7F"/>
    <w:rsid w:val="005D1FDF"/>
    <w:rsid w:val="005D27FF"/>
    <w:rsid w:val="005D28A0"/>
    <w:rsid w:val="005D2A1B"/>
    <w:rsid w:val="005D2B0F"/>
    <w:rsid w:val="005D2F6B"/>
    <w:rsid w:val="005D30FC"/>
    <w:rsid w:val="005D323E"/>
    <w:rsid w:val="005D3352"/>
    <w:rsid w:val="005D3562"/>
    <w:rsid w:val="005D363D"/>
    <w:rsid w:val="005D3794"/>
    <w:rsid w:val="005D3A17"/>
    <w:rsid w:val="005D3ACE"/>
    <w:rsid w:val="005D3D1E"/>
    <w:rsid w:val="005D3E50"/>
    <w:rsid w:val="005D3ECD"/>
    <w:rsid w:val="005D4ADF"/>
    <w:rsid w:val="005D4C26"/>
    <w:rsid w:val="005D4D03"/>
    <w:rsid w:val="005D50D9"/>
    <w:rsid w:val="005D529B"/>
    <w:rsid w:val="005D534A"/>
    <w:rsid w:val="005D5677"/>
    <w:rsid w:val="005D5A88"/>
    <w:rsid w:val="005D5E15"/>
    <w:rsid w:val="005D5E38"/>
    <w:rsid w:val="005D5F8D"/>
    <w:rsid w:val="005D6038"/>
    <w:rsid w:val="005D6261"/>
    <w:rsid w:val="005D65AE"/>
    <w:rsid w:val="005D6A61"/>
    <w:rsid w:val="005D6B60"/>
    <w:rsid w:val="005D6D68"/>
    <w:rsid w:val="005D6E13"/>
    <w:rsid w:val="005D6E30"/>
    <w:rsid w:val="005D6E3B"/>
    <w:rsid w:val="005D6E70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BEA"/>
    <w:rsid w:val="005E0EA6"/>
    <w:rsid w:val="005E111B"/>
    <w:rsid w:val="005E12DD"/>
    <w:rsid w:val="005E1771"/>
    <w:rsid w:val="005E1B02"/>
    <w:rsid w:val="005E1BD1"/>
    <w:rsid w:val="005E1C04"/>
    <w:rsid w:val="005E269C"/>
    <w:rsid w:val="005E2A11"/>
    <w:rsid w:val="005E2C16"/>
    <w:rsid w:val="005E3232"/>
    <w:rsid w:val="005E34C8"/>
    <w:rsid w:val="005E34F4"/>
    <w:rsid w:val="005E3586"/>
    <w:rsid w:val="005E386D"/>
    <w:rsid w:val="005E3B7E"/>
    <w:rsid w:val="005E3D0E"/>
    <w:rsid w:val="005E3EC0"/>
    <w:rsid w:val="005E4482"/>
    <w:rsid w:val="005E4678"/>
    <w:rsid w:val="005E491A"/>
    <w:rsid w:val="005E4C51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100"/>
    <w:rsid w:val="005E72FB"/>
    <w:rsid w:val="005E7F95"/>
    <w:rsid w:val="005E7FC5"/>
    <w:rsid w:val="005E7FFA"/>
    <w:rsid w:val="005F01CE"/>
    <w:rsid w:val="005F0261"/>
    <w:rsid w:val="005F0296"/>
    <w:rsid w:val="005F0718"/>
    <w:rsid w:val="005F0906"/>
    <w:rsid w:val="005F0E46"/>
    <w:rsid w:val="005F135B"/>
    <w:rsid w:val="005F1535"/>
    <w:rsid w:val="005F1942"/>
    <w:rsid w:val="005F1A1B"/>
    <w:rsid w:val="005F1BB0"/>
    <w:rsid w:val="005F20AE"/>
    <w:rsid w:val="005F22B3"/>
    <w:rsid w:val="005F2426"/>
    <w:rsid w:val="005F24DF"/>
    <w:rsid w:val="005F2AE8"/>
    <w:rsid w:val="005F2B41"/>
    <w:rsid w:val="005F2C18"/>
    <w:rsid w:val="005F2D16"/>
    <w:rsid w:val="005F335B"/>
    <w:rsid w:val="005F353B"/>
    <w:rsid w:val="005F362F"/>
    <w:rsid w:val="005F36C8"/>
    <w:rsid w:val="005F3709"/>
    <w:rsid w:val="005F3A57"/>
    <w:rsid w:val="005F3C7E"/>
    <w:rsid w:val="005F3EAB"/>
    <w:rsid w:val="005F4027"/>
    <w:rsid w:val="005F4289"/>
    <w:rsid w:val="005F42BB"/>
    <w:rsid w:val="005F45DB"/>
    <w:rsid w:val="005F4603"/>
    <w:rsid w:val="005F48C0"/>
    <w:rsid w:val="005F4E54"/>
    <w:rsid w:val="005F4EAE"/>
    <w:rsid w:val="005F574A"/>
    <w:rsid w:val="005F57F7"/>
    <w:rsid w:val="005F59DC"/>
    <w:rsid w:val="005F59E3"/>
    <w:rsid w:val="005F5DC9"/>
    <w:rsid w:val="005F6186"/>
    <w:rsid w:val="005F676C"/>
    <w:rsid w:val="005F68BE"/>
    <w:rsid w:val="005F70B6"/>
    <w:rsid w:val="005F73B3"/>
    <w:rsid w:val="005F7518"/>
    <w:rsid w:val="005F772E"/>
    <w:rsid w:val="005F775C"/>
    <w:rsid w:val="005F778D"/>
    <w:rsid w:val="005F7A87"/>
    <w:rsid w:val="005F7BA0"/>
    <w:rsid w:val="005F7C34"/>
    <w:rsid w:val="005F7E4A"/>
    <w:rsid w:val="005F7F41"/>
    <w:rsid w:val="00600905"/>
    <w:rsid w:val="006009D3"/>
    <w:rsid w:val="00600B1F"/>
    <w:rsid w:val="00600C85"/>
    <w:rsid w:val="00601080"/>
    <w:rsid w:val="006010E6"/>
    <w:rsid w:val="006011A3"/>
    <w:rsid w:val="00601784"/>
    <w:rsid w:val="006017D3"/>
    <w:rsid w:val="006017DF"/>
    <w:rsid w:val="00601C4F"/>
    <w:rsid w:val="00601F0A"/>
    <w:rsid w:val="0060217B"/>
    <w:rsid w:val="006023B8"/>
    <w:rsid w:val="00602639"/>
    <w:rsid w:val="006028DD"/>
    <w:rsid w:val="006030B5"/>
    <w:rsid w:val="00603291"/>
    <w:rsid w:val="006034B0"/>
    <w:rsid w:val="00603581"/>
    <w:rsid w:val="00603630"/>
    <w:rsid w:val="0060382E"/>
    <w:rsid w:val="00603CFA"/>
    <w:rsid w:val="00603D1C"/>
    <w:rsid w:val="00604174"/>
    <w:rsid w:val="006044E8"/>
    <w:rsid w:val="006046CA"/>
    <w:rsid w:val="006047D4"/>
    <w:rsid w:val="006049FB"/>
    <w:rsid w:val="00604DBE"/>
    <w:rsid w:val="0060510E"/>
    <w:rsid w:val="00605297"/>
    <w:rsid w:val="006057C2"/>
    <w:rsid w:val="006058CF"/>
    <w:rsid w:val="0060593F"/>
    <w:rsid w:val="00605BCD"/>
    <w:rsid w:val="00605C2C"/>
    <w:rsid w:val="00605E4A"/>
    <w:rsid w:val="006061B0"/>
    <w:rsid w:val="006062EA"/>
    <w:rsid w:val="006063E1"/>
    <w:rsid w:val="006065E4"/>
    <w:rsid w:val="006066C2"/>
    <w:rsid w:val="006066D1"/>
    <w:rsid w:val="00606718"/>
    <w:rsid w:val="00606995"/>
    <w:rsid w:val="006069A2"/>
    <w:rsid w:val="00606F56"/>
    <w:rsid w:val="0060717F"/>
    <w:rsid w:val="006074D8"/>
    <w:rsid w:val="00607982"/>
    <w:rsid w:val="00607A0E"/>
    <w:rsid w:val="00607D48"/>
    <w:rsid w:val="00610039"/>
    <w:rsid w:val="00610381"/>
    <w:rsid w:val="00610581"/>
    <w:rsid w:val="006108EE"/>
    <w:rsid w:val="00610917"/>
    <w:rsid w:val="006109E3"/>
    <w:rsid w:val="00610A2A"/>
    <w:rsid w:val="00610D2E"/>
    <w:rsid w:val="00610D5D"/>
    <w:rsid w:val="0061111D"/>
    <w:rsid w:val="0061145A"/>
    <w:rsid w:val="0061183C"/>
    <w:rsid w:val="00611976"/>
    <w:rsid w:val="00611B68"/>
    <w:rsid w:val="00611C07"/>
    <w:rsid w:val="00611C8F"/>
    <w:rsid w:val="00611E07"/>
    <w:rsid w:val="00611EDB"/>
    <w:rsid w:val="00611EFD"/>
    <w:rsid w:val="00612045"/>
    <w:rsid w:val="006120C3"/>
    <w:rsid w:val="0061286E"/>
    <w:rsid w:val="00612E91"/>
    <w:rsid w:val="00612F12"/>
    <w:rsid w:val="00612F99"/>
    <w:rsid w:val="006130AC"/>
    <w:rsid w:val="006136FF"/>
    <w:rsid w:val="0061371F"/>
    <w:rsid w:val="00613A47"/>
    <w:rsid w:val="00613AC9"/>
    <w:rsid w:val="00613DA3"/>
    <w:rsid w:val="00613EFC"/>
    <w:rsid w:val="00614026"/>
    <w:rsid w:val="0061404C"/>
    <w:rsid w:val="006140E8"/>
    <w:rsid w:val="006143BE"/>
    <w:rsid w:val="006143C0"/>
    <w:rsid w:val="006143E2"/>
    <w:rsid w:val="00614466"/>
    <w:rsid w:val="00614490"/>
    <w:rsid w:val="006144CD"/>
    <w:rsid w:val="00614679"/>
    <w:rsid w:val="00614786"/>
    <w:rsid w:val="00614BD6"/>
    <w:rsid w:val="00614EDE"/>
    <w:rsid w:val="0061500D"/>
    <w:rsid w:val="00615461"/>
    <w:rsid w:val="00615808"/>
    <w:rsid w:val="00615D37"/>
    <w:rsid w:val="00615E1F"/>
    <w:rsid w:val="00615E47"/>
    <w:rsid w:val="0061611B"/>
    <w:rsid w:val="0061678B"/>
    <w:rsid w:val="00616910"/>
    <w:rsid w:val="00616945"/>
    <w:rsid w:val="006169EE"/>
    <w:rsid w:val="00616FF4"/>
    <w:rsid w:val="00617050"/>
    <w:rsid w:val="006171E8"/>
    <w:rsid w:val="006171E9"/>
    <w:rsid w:val="00617982"/>
    <w:rsid w:val="00617BE1"/>
    <w:rsid w:val="00617C13"/>
    <w:rsid w:val="00617F7C"/>
    <w:rsid w:val="00620E86"/>
    <w:rsid w:val="006210E1"/>
    <w:rsid w:val="00621286"/>
    <w:rsid w:val="0062155F"/>
    <w:rsid w:val="006217BD"/>
    <w:rsid w:val="006219DD"/>
    <w:rsid w:val="00621AD4"/>
    <w:rsid w:val="00621D63"/>
    <w:rsid w:val="00621E48"/>
    <w:rsid w:val="00622172"/>
    <w:rsid w:val="00622A16"/>
    <w:rsid w:val="00622B91"/>
    <w:rsid w:val="00622DBA"/>
    <w:rsid w:val="00622EA7"/>
    <w:rsid w:val="00623472"/>
    <w:rsid w:val="0062372F"/>
    <w:rsid w:val="00623940"/>
    <w:rsid w:val="00623DAF"/>
    <w:rsid w:val="00623DCE"/>
    <w:rsid w:val="006242BF"/>
    <w:rsid w:val="00624678"/>
    <w:rsid w:val="006246FE"/>
    <w:rsid w:val="00624717"/>
    <w:rsid w:val="006248F5"/>
    <w:rsid w:val="00624E4E"/>
    <w:rsid w:val="00625073"/>
    <w:rsid w:val="00625136"/>
    <w:rsid w:val="0062524C"/>
    <w:rsid w:val="00625342"/>
    <w:rsid w:val="0062593B"/>
    <w:rsid w:val="006259FE"/>
    <w:rsid w:val="00625B08"/>
    <w:rsid w:val="00625B38"/>
    <w:rsid w:val="006261ED"/>
    <w:rsid w:val="00626765"/>
    <w:rsid w:val="00626AB6"/>
    <w:rsid w:val="00626C3D"/>
    <w:rsid w:val="00626C48"/>
    <w:rsid w:val="00626F58"/>
    <w:rsid w:val="0062707B"/>
    <w:rsid w:val="006272EC"/>
    <w:rsid w:val="006275F3"/>
    <w:rsid w:val="00627733"/>
    <w:rsid w:val="00627882"/>
    <w:rsid w:val="00627921"/>
    <w:rsid w:val="00627FB8"/>
    <w:rsid w:val="0063016C"/>
    <w:rsid w:val="006301DA"/>
    <w:rsid w:val="00630A86"/>
    <w:rsid w:val="00630B7A"/>
    <w:rsid w:val="00630E1F"/>
    <w:rsid w:val="006311E3"/>
    <w:rsid w:val="0063120D"/>
    <w:rsid w:val="006314EA"/>
    <w:rsid w:val="006314EC"/>
    <w:rsid w:val="00631786"/>
    <w:rsid w:val="00631B1E"/>
    <w:rsid w:val="00631FE7"/>
    <w:rsid w:val="006321EA"/>
    <w:rsid w:val="006324E6"/>
    <w:rsid w:val="0063272C"/>
    <w:rsid w:val="00632ACC"/>
    <w:rsid w:val="00632AFD"/>
    <w:rsid w:val="006332CD"/>
    <w:rsid w:val="00633313"/>
    <w:rsid w:val="006335C9"/>
    <w:rsid w:val="00633DC4"/>
    <w:rsid w:val="00633EB5"/>
    <w:rsid w:val="00633F26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76A"/>
    <w:rsid w:val="006358A3"/>
    <w:rsid w:val="00635B68"/>
    <w:rsid w:val="00635E34"/>
    <w:rsid w:val="00635F1B"/>
    <w:rsid w:val="0063608A"/>
    <w:rsid w:val="00636341"/>
    <w:rsid w:val="0063672D"/>
    <w:rsid w:val="006368C4"/>
    <w:rsid w:val="00637056"/>
    <w:rsid w:val="0063793A"/>
    <w:rsid w:val="006379F0"/>
    <w:rsid w:val="00637A5E"/>
    <w:rsid w:val="00637AD5"/>
    <w:rsid w:val="00637E9B"/>
    <w:rsid w:val="00637FDD"/>
    <w:rsid w:val="00640129"/>
    <w:rsid w:val="006407E3"/>
    <w:rsid w:val="0064090D"/>
    <w:rsid w:val="0064093F"/>
    <w:rsid w:val="00641DD3"/>
    <w:rsid w:val="00641E57"/>
    <w:rsid w:val="00641E88"/>
    <w:rsid w:val="006421E9"/>
    <w:rsid w:val="006423BE"/>
    <w:rsid w:val="0064260D"/>
    <w:rsid w:val="00642A39"/>
    <w:rsid w:val="00642DBC"/>
    <w:rsid w:val="00642FB1"/>
    <w:rsid w:val="0064307F"/>
    <w:rsid w:val="006430E6"/>
    <w:rsid w:val="006430FF"/>
    <w:rsid w:val="006432A3"/>
    <w:rsid w:val="006439EC"/>
    <w:rsid w:val="00643CED"/>
    <w:rsid w:val="00643D90"/>
    <w:rsid w:val="00644234"/>
    <w:rsid w:val="00644878"/>
    <w:rsid w:val="00644DE2"/>
    <w:rsid w:val="00645126"/>
    <w:rsid w:val="00645349"/>
    <w:rsid w:val="00645430"/>
    <w:rsid w:val="00645858"/>
    <w:rsid w:val="006458F4"/>
    <w:rsid w:val="00645F03"/>
    <w:rsid w:val="0064626D"/>
    <w:rsid w:val="0064638B"/>
    <w:rsid w:val="00646486"/>
    <w:rsid w:val="0064658A"/>
    <w:rsid w:val="00646602"/>
    <w:rsid w:val="00646BC4"/>
    <w:rsid w:val="00646D0E"/>
    <w:rsid w:val="006471F4"/>
    <w:rsid w:val="00647782"/>
    <w:rsid w:val="006478E6"/>
    <w:rsid w:val="00647DB1"/>
    <w:rsid w:val="00647E00"/>
    <w:rsid w:val="00647F58"/>
    <w:rsid w:val="00650238"/>
    <w:rsid w:val="00650306"/>
    <w:rsid w:val="006503A5"/>
    <w:rsid w:val="00650463"/>
    <w:rsid w:val="0065055F"/>
    <w:rsid w:val="006507FC"/>
    <w:rsid w:val="006507FD"/>
    <w:rsid w:val="0065082F"/>
    <w:rsid w:val="006509F9"/>
    <w:rsid w:val="00650BC1"/>
    <w:rsid w:val="00650D32"/>
    <w:rsid w:val="00651234"/>
    <w:rsid w:val="00651660"/>
    <w:rsid w:val="006517B9"/>
    <w:rsid w:val="00651C0A"/>
    <w:rsid w:val="00651C84"/>
    <w:rsid w:val="00651E1D"/>
    <w:rsid w:val="00652171"/>
    <w:rsid w:val="0065227C"/>
    <w:rsid w:val="006523C2"/>
    <w:rsid w:val="0065241D"/>
    <w:rsid w:val="006527D9"/>
    <w:rsid w:val="00652DBC"/>
    <w:rsid w:val="00652FFB"/>
    <w:rsid w:val="00653133"/>
    <w:rsid w:val="00653196"/>
    <w:rsid w:val="006532C3"/>
    <w:rsid w:val="00653422"/>
    <w:rsid w:val="00653DE9"/>
    <w:rsid w:val="00653E05"/>
    <w:rsid w:val="00654171"/>
    <w:rsid w:val="00654244"/>
    <w:rsid w:val="00654932"/>
    <w:rsid w:val="00654C9C"/>
    <w:rsid w:val="00654ED9"/>
    <w:rsid w:val="0065528D"/>
    <w:rsid w:val="0065528E"/>
    <w:rsid w:val="00655390"/>
    <w:rsid w:val="006553D9"/>
    <w:rsid w:val="00655622"/>
    <w:rsid w:val="00655858"/>
    <w:rsid w:val="0065606D"/>
    <w:rsid w:val="00656071"/>
    <w:rsid w:val="00656264"/>
    <w:rsid w:val="0065646C"/>
    <w:rsid w:val="006564F2"/>
    <w:rsid w:val="00656A00"/>
    <w:rsid w:val="00656D2E"/>
    <w:rsid w:val="00656E5B"/>
    <w:rsid w:val="0065716D"/>
    <w:rsid w:val="00657BA7"/>
    <w:rsid w:val="00657FD8"/>
    <w:rsid w:val="0066005B"/>
    <w:rsid w:val="006600DB"/>
    <w:rsid w:val="00660163"/>
    <w:rsid w:val="00660773"/>
    <w:rsid w:val="00660FDE"/>
    <w:rsid w:val="006612A4"/>
    <w:rsid w:val="006613F5"/>
    <w:rsid w:val="00661879"/>
    <w:rsid w:val="00661A2E"/>
    <w:rsid w:val="00661AAD"/>
    <w:rsid w:val="00661BD2"/>
    <w:rsid w:val="00661CDB"/>
    <w:rsid w:val="006621A9"/>
    <w:rsid w:val="00662328"/>
    <w:rsid w:val="006625C0"/>
    <w:rsid w:val="006627BD"/>
    <w:rsid w:val="00662B7A"/>
    <w:rsid w:val="00663175"/>
    <w:rsid w:val="006631C4"/>
    <w:rsid w:val="0066326A"/>
    <w:rsid w:val="006632D0"/>
    <w:rsid w:val="006635FA"/>
    <w:rsid w:val="0066388C"/>
    <w:rsid w:val="00663B35"/>
    <w:rsid w:val="00663CF1"/>
    <w:rsid w:val="00663F1B"/>
    <w:rsid w:val="00663FC5"/>
    <w:rsid w:val="0066419E"/>
    <w:rsid w:val="006645AF"/>
    <w:rsid w:val="006645B0"/>
    <w:rsid w:val="00664AB8"/>
    <w:rsid w:val="00664F18"/>
    <w:rsid w:val="0066523C"/>
    <w:rsid w:val="0066529F"/>
    <w:rsid w:val="0066571F"/>
    <w:rsid w:val="00665753"/>
    <w:rsid w:val="00665BA2"/>
    <w:rsid w:val="00665DA2"/>
    <w:rsid w:val="0066601A"/>
    <w:rsid w:val="006660F5"/>
    <w:rsid w:val="00666238"/>
    <w:rsid w:val="0066623A"/>
    <w:rsid w:val="00666285"/>
    <w:rsid w:val="00666443"/>
    <w:rsid w:val="00666480"/>
    <w:rsid w:val="006667CC"/>
    <w:rsid w:val="00666D34"/>
    <w:rsid w:val="00667069"/>
    <w:rsid w:val="0066731A"/>
    <w:rsid w:val="00667476"/>
    <w:rsid w:val="00667819"/>
    <w:rsid w:val="00667E3E"/>
    <w:rsid w:val="00667F07"/>
    <w:rsid w:val="00670B9B"/>
    <w:rsid w:val="00670BCE"/>
    <w:rsid w:val="00670BE7"/>
    <w:rsid w:val="00670D78"/>
    <w:rsid w:val="00670DCB"/>
    <w:rsid w:val="00670FEA"/>
    <w:rsid w:val="00671162"/>
    <w:rsid w:val="00671267"/>
    <w:rsid w:val="0067179C"/>
    <w:rsid w:val="00671874"/>
    <w:rsid w:val="00671B4A"/>
    <w:rsid w:val="00671CD0"/>
    <w:rsid w:val="00671DC9"/>
    <w:rsid w:val="0067252D"/>
    <w:rsid w:val="006728C2"/>
    <w:rsid w:val="00672955"/>
    <w:rsid w:val="00672C31"/>
    <w:rsid w:val="00672D4E"/>
    <w:rsid w:val="006730AC"/>
    <w:rsid w:val="006733DB"/>
    <w:rsid w:val="006733E9"/>
    <w:rsid w:val="006734AA"/>
    <w:rsid w:val="006734B3"/>
    <w:rsid w:val="0067353C"/>
    <w:rsid w:val="006735B3"/>
    <w:rsid w:val="00673735"/>
    <w:rsid w:val="00673DB4"/>
    <w:rsid w:val="00674093"/>
    <w:rsid w:val="006746F8"/>
    <w:rsid w:val="006749D2"/>
    <w:rsid w:val="00674BC6"/>
    <w:rsid w:val="00675403"/>
    <w:rsid w:val="00675498"/>
    <w:rsid w:val="00675509"/>
    <w:rsid w:val="00675640"/>
    <w:rsid w:val="00675BE6"/>
    <w:rsid w:val="00676163"/>
    <w:rsid w:val="00676216"/>
    <w:rsid w:val="006764C4"/>
    <w:rsid w:val="00676F76"/>
    <w:rsid w:val="006776E6"/>
    <w:rsid w:val="00677763"/>
    <w:rsid w:val="006777E4"/>
    <w:rsid w:val="006777EB"/>
    <w:rsid w:val="00677C1A"/>
    <w:rsid w:val="00677C22"/>
    <w:rsid w:val="00677C95"/>
    <w:rsid w:val="00677FB0"/>
    <w:rsid w:val="0068004B"/>
    <w:rsid w:val="006806E9"/>
    <w:rsid w:val="006808CC"/>
    <w:rsid w:val="006809AA"/>
    <w:rsid w:val="00680AF4"/>
    <w:rsid w:val="00680BCA"/>
    <w:rsid w:val="00681495"/>
    <w:rsid w:val="006815BE"/>
    <w:rsid w:val="0068171A"/>
    <w:rsid w:val="006817D4"/>
    <w:rsid w:val="0068197B"/>
    <w:rsid w:val="00681D10"/>
    <w:rsid w:val="00681D68"/>
    <w:rsid w:val="00681F18"/>
    <w:rsid w:val="006821C4"/>
    <w:rsid w:val="00682353"/>
    <w:rsid w:val="00682369"/>
    <w:rsid w:val="006826EA"/>
    <w:rsid w:val="0068281F"/>
    <w:rsid w:val="00682A80"/>
    <w:rsid w:val="00682C7C"/>
    <w:rsid w:val="00682E20"/>
    <w:rsid w:val="00682F4C"/>
    <w:rsid w:val="006830CB"/>
    <w:rsid w:val="00683141"/>
    <w:rsid w:val="00683223"/>
    <w:rsid w:val="00683825"/>
    <w:rsid w:val="006838D8"/>
    <w:rsid w:val="006838DF"/>
    <w:rsid w:val="00683EB2"/>
    <w:rsid w:val="00683F2A"/>
    <w:rsid w:val="006842B9"/>
    <w:rsid w:val="006844D4"/>
    <w:rsid w:val="00684966"/>
    <w:rsid w:val="00684BAF"/>
    <w:rsid w:val="00685234"/>
    <w:rsid w:val="006856FD"/>
    <w:rsid w:val="00685899"/>
    <w:rsid w:val="006859DA"/>
    <w:rsid w:val="006861A7"/>
    <w:rsid w:val="00686482"/>
    <w:rsid w:val="0068662B"/>
    <w:rsid w:val="00686772"/>
    <w:rsid w:val="00686E60"/>
    <w:rsid w:val="00687201"/>
    <w:rsid w:val="0068727D"/>
    <w:rsid w:val="0068735F"/>
    <w:rsid w:val="00687642"/>
    <w:rsid w:val="0069023B"/>
    <w:rsid w:val="00690667"/>
    <w:rsid w:val="0069080B"/>
    <w:rsid w:val="006908E3"/>
    <w:rsid w:val="00690AAE"/>
    <w:rsid w:val="00690B9E"/>
    <w:rsid w:val="00690CBB"/>
    <w:rsid w:val="00690CC0"/>
    <w:rsid w:val="00690E50"/>
    <w:rsid w:val="00691611"/>
    <w:rsid w:val="0069172E"/>
    <w:rsid w:val="0069183A"/>
    <w:rsid w:val="00691895"/>
    <w:rsid w:val="00691932"/>
    <w:rsid w:val="006919FB"/>
    <w:rsid w:val="0069213E"/>
    <w:rsid w:val="00692162"/>
    <w:rsid w:val="00692440"/>
    <w:rsid w:val="0069246A"/>
    <w:rsid w:val="0069246E"/>
    <w:rsid w:val="0069297F"/>
    <w:rsid w:val="00692D30"/>
    <w:rsid w:val="00692E71"/>
    <w:rsid w:val="00692F53"/>
    <w:rsid w:val="00692F6A"/>
    <w:rsid w:val="006933C5"/>
    <w:rsid w:val="006934C4"/>
    <w:rsid w:val="00693F12"/>
    <w:rsid w:val="00694124"/>
    <w:rsid w:val="006941DC"/>
    <w:rsid w:val="00694416"/>
    <w:rsid w:val="006945F8"/>
    <w:rsid w:val="00694C5F"/>
    <w:rsid w:val="006952A8"/>
    <w:rsid w:val="0069557A"/>
    <w:rsid w:val="00695597"/>
    <w:rsid w:val="00695896"/>
    <w:rsid w:val="00695EF1"/>
    <w:rsid w:val="00696411"/>
    <w:rsid w:val="00696A89"/>
    <w:rsid w:val="00696F75"/>
    <w:rsid w:val="00696FBB"/>
    <w:rsid w:val="00696FEC"/>
    <w:rsid w:val="00697165"/>
    <w:rsid w:val="00697431"/>
    <w:rsid w:val="00697477"/>
    <w:rsid w:val="00697532"/>
    <w:rsid w:val="00697D97"/>
    <w:rsid w:val="00697F2B"/>
    <w:rsid w:val="006A0047"/>
    <w:rsid w:val="006A0116"/>
    <w:rsid w:val="006A01C4"/>
    <w:rsid w:val="006A02D7"/>
    <w:rsid w:val="006A037E"/>
    <w:rsid w:val="006A0958"/>
    <w:rsid w:val="006A0CC8"/>
    <w:rsid w:val="006A0E80"/>
    <w:rsid w:val="006A0F9D"/>
    <w:rsid w:val="006A1D7D"/>
    <w:rsid w:val="006A1E12"/>
    <w:rsid w:val="006A2019"/>
    <w:rsid w:val="006A21CC"/>
    <w:rsid w:val="006A2944"/>
    <w:rsid w:val="006A294D"/>
    <w:rsid w:val="006A302B"/>
    <w:rsid w:val="006A30E6"/>
    <w:rsid w:val="006A3CBB"/>
    <w:rsid w:val="006A3D41"/>
    <w:rsid w:val="006A4022"/>
    <w:rsid w:val="006A4C19"/>
    <w:rsid w:val="006A511D"/>
    <w:rsid w:val="006A53F3"/>
    <w:rsid w:val="006A54B5"/>
    <w:rsid w:val="006A55B9"/>
    <w:rsid w:val="006A570E"/>
    <w:rsid w:val="006A5833"/>
    <w:rsid w:val="006A5A7A"/>
    <w:rsid w:val="006A5B87"/>
    <w:rsid w:val="006A6143"/>
    <w:rsid w:val="006A6410"/>
    <w:rsid w:val="006A69F3"/>
    <w:rsid w:val="006A72F8"/>
    <w:rsid w:val="006A7354"/>
    <w:rsid w:val="006A7796"/>
    <w:rsid w:val="006A7C96"/>
    <w:rsid w:val="006A7D38"/>
    <w:rsid w:val="006A7F83"/>
    <w:rsid w:val="006B0331"/>
    <w:rsid w:val="006B0495"/>
    <w:rsid w:val="006B0DCB"/>
    <w:rsid w:val="006B0EAB"/>
    <w:rsid w:val="006B0EE5"/>
    <w:rsid w:val="006B1448"/>
    <w:rsid w:val="006B14C8"/>
    <w:rsid w:val="006B15DB"/>
    <w:rsid w:val="006B19E9"/>
    <w:rsid w:val="006B2344"/>
    <w:rsid w:val="006B2408"/>
    <w:rsid w:val="006B299D"/>
    <w:rsid w:val="006B2A99"/>
    <w:rsid w:val="006B2CA1"/>
    <w:rsid w:val="006B2F28"/>
    <w:rsid w:val="006B3325"/>
    <w:rsid w:val="006B33F7"/>
    <w:rsid w:val="006B38B3"/>
    <w:rsid w:val="006B3AF9"/>
    <w:rsid w:val="006B3C91"/>
    <w:rsid w:val="006B403E"/>
    <w:rsid w:val="006B414C"/>
    <w:rsid w:val="006B47F4"/>
    <w:rsid w:val="006B48AB"/>
    <w:rsid w:val="006B4955"/>
    <w:rsid w:val="006B4B0F"/>
    <w:rsid w:val="006B4BC6"/>
    <w:rsid w:val="006B5474"/>
    <w:rsid w:val="006B55A0"/>
    <w:rsid w:val="006B62A0"/>
    <w:rsid w:val="006B62B4"/>
    <w:rsid w:val="006B650F"/>
    <w:rsid w:val="006B6584"/>
    <w:rsid w:val="006B659C"/>
    <w:rsid w:val="006B69CE"/>
    <w:rsid w:val="006C0449"/>
    <w:rsid w:val="006C0505"/>
    <w:rsid w:val="006C0656"/>
    <w:rsid w:val="006C0A21"/>
    <w:rsid w:val="006C0D0F"/>
    <w:rsid w:val="006C0E39"/>
    <w:rsid w:val="006C0E74"/>
    <w:rsid w:val="006C1394"/>
    <w:rsid w:val="006C1417"/>
    <w:rsid w:val="006C16B3"/>
    <w:rsid w:val="006C1721"/>
    <w:rsid w:val="006C183C"/>
    <w:rsid w:val="006C1AF8"/>
    <w:rsid w:val="006C1B28"/>
    <w:rsid w:val="006C26D6"/>
    <w:rsid w:val="006C2C87"/>
    <w:rsid w:val="006C2D2C"/>
    <w:rsid w:val="006C2D3A"/>
    <w:rsid w:val="006C2FED"/>
    <w:rsid w:val="006C30CF"/>
    <w:rsid w:val="006C32CF"/>
    <w:rsid w:val="006C335E"/>
    <w:rsid w:val="006C37B4"/>
    <w:rsid w:val="006C3A1F"/>
    <w:rsid w:val="006C41D7"/>
    <w:rsid w:val="006C4579"/>
    <w:rsid w:val="006C4F7E"/>
    <w:rsid w:val="006C53F8"/>
    <w:rsid w:val="006C54B1"/>
    <w:rsid w:val="006C54BB"/>
    <w:rsid w:val="006C54BE"/>
    <w:rsid w:val="006C56FC"/>
    <w:rsid w:val="006C5C6C"/>
    <w:rsid w:val="006C5E92"/>
    <w:rsid w:val="006C5F8C"/>
    <w:rsid w:val="006C63EB"/>
    <w:rsid w:val="006C7077"/>
    <w:rsid w:val="006C72C5"/>
    <w:rsid w:val="006C7304"/>
    <w:rsid w:val="006C7488"/>
    <w:rsid w:val="006C761F"/>
    <w:rsid w:val="006C771A"/>
    <w:rsid w:val="006C7815"/>
    <w:rsid w:val="006C7DE0"/>
    <w:rsid w:val="006D00BE"/>
    <w:rsid w:val="006D024B"/>
    <w:rsid w:val="006D0438"/>
    <w:rsid w:val="006D047D"/>
    <w:rsid w:val="006D0616"/>
    <w:rsid w:val="006D0643"/>
    <w:rsid w:val="006D092B"/>
    <w:rsid w:val="006D0E20"/>
    <w:rsid w:val="006D0EDF"/>
    <w:rsid w:val="006D0F52"/>
    <w:rsid w:val="006D0FAB"/>
    <w:rsid w:val="006D1314"/>
    <w:rsid w:val="006D150C"/>
    <w:rsid w:val="006D15EE"/>
    <w:rsid w:val="006D16CA"/>
    <w:rsid w:val="006D1793"/>
    <w:rsid w:val="006D1798"/>
    <w:rsid w:val="006D18A4"/>
    <w:rsid w:val="006D1ABE"/>
    <w:rsid w:val="006D1CF0"/>
    <w:rsid w:val="006D1D06"/>
    <w:rsid w:val="006D2070"/>
    <w:rsid w:val="006D209E"/>
    <w:rsid w:val="006D2162"/>
    <w:rsid w:val="006D216D"/>
    <w:rsid w:val="006D2268"/>
    <w:rsid w:val="006D23EE"/>
    <w:rsid w:val="006D252A"/>
    <w:rsid w:val="006D2AB0"/>
    <w:rsid w:val="006D35C7"/>
    <w:rsid w:val="006D364F"/>
    <w:rsid w:val="006D3657"/>
    <w:rsid w:val="006D3693"/>
    <w:rsid w:val="006D37A4"/>
    <w:rsid w:val="006D381C"/>
    <w:rsid w:val="006D3944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2BD"/>
    <w:rsid w:val="006D6509"/>
    <w:rsid w:val="006D660D"/>
    <w:rsid w:val="006D68AC"/>
    <w:rsid w:val="006D6DF7"/>
    <w:rsid w:val="006D6EBA"/>
    <w:rsid w:val="006D7DD5"/>
    <w:rsid w:val="006D7E18"/>
    <w:rsid w:val="006E00A7"/>
    <w:rsid w:val="006E010C"/>
    <w:rsid w:val="006E0A87"/>
    <w:rsid w:val="006E0A93"/>
    <w:rsid w:val="006E0E41"/>
    <w:rsid w:val="006E10BA"/>
    <w:rsid w:val="006E16BB"/>
    <w:rsid w:val="006E1B15"/>
    <w:rsid w:val="006E1CC8"/>
    <w:rsid w:val="006E1DA5"/>
    <w:rsid w:val="006E220A"/>
    <w:rsid w:val="006E27F1"/>
    <w:rsid w:val="006E2E12"/>
    <w:rsid w:val="006E2F36"/>
    <w:rsid w:val="006E346A"/>
    <w:rsid w:val="006E3749"/>
    <w:rsid w:val="006E3C8A"/>
    <w:rsid w:val="006E3E0D"/>
    <w:rsid w:val="006E3EAD"/>
    <w:rsid w:val="006E4064"/>
    <w:rsid w:val="006E4806"/>
    <w:rsid w:val="006E4C0D"/>
    <w:rsid w:val="006E4CAE"/>
    <w:rsid w:val="006E4CAF"/>
    <w:rsid w:val="006E5115"/>
    <w:rsid w:val="006E5294"/>
    <w:rsid w:val="006E56BC"/>
    <w:rsid w:val="006E58EA"/>
    <w:rsid w:val="006E5BF8"/>
    <w:rsid w:val="006E5C36"/>
    <w:rsid w:val="006E643B"/>
    <w:rsid w:val="006E65E1"/>
    <w:rsid w:val="006E67A4"/>
    <w:rsid w:val="006E6A02"/>
    <w:rsid w:val="006E6B01"/>
    <w:rsid w:val="006E6B82"/>
    <w:rsid w:val="006E6D16"/>
    <w:rsid w:val="006E6D29"/>
    <w:rsid w:val="006E7013"/>
    <w:rsid w:val="006E71B3"/>
    <w:rsid w:val="006E73DA"/>
    <w:rsid w:val="006E7745"/>
    <w:rsid w:val="006E77B3"/>
    <w:rsid w:val="006E783D"/>
    <w:rsid w:val="006E799D"/>
    <w:rsid w:val="006E79FB"/>
    <w:rsid w:val="006E7BA7"/>
    <w:rsid w:val="006E7E32"/>
    <w:rsid w:val="006E7FA2"/>
    <w:rsid w:val="006F0036"/>
    <w:rsid w:val="006F024E"/>
    <w:rsid w:val="006F0453"/>
    <w:rsid w:val="006F0D97"/>
    <w:rsid w:val="006F10D4"/>
    <w:rsid w:val="006F1233"/>
    <w:rsid w:val="006F1244"/>
    <w:rsid w:val="006F1593"/>
    <w:rsid w:val="006F172C"/>
    <w:rsid w:val="006F21C6"/>
    <w:rsid w:val="006F27E0"/>
    <w:rsid w:val="006F28D9"/>
    <w:rsid w:val="006F2A7F"/>
    <w:rsid w:val="006F2F67"/>
    <w:rsid w:val="006F30EF"/>
    <w:rsid w:val="006F3625"/>
    <w:rsid w:val="006F3CA4"/>
    <w:rsid w:val="006F4148"/>
    <w:rsid w:val="006F41AA"/>
    <w:rsid w:val="006F44C9"/>
    <w:rsid w:val="006F4986"/>
    <w:rsid w:val="006F4DE0"/>
    <w:rsid w:val="006F4EF0"/>
    <w:rsid w:val="006F4FB2"/>
    <w:rsid w:val="006F515A"/>
    <w:rsid w:val="006F5BCB"/>
    <w:rsid w:val="006F5BF3"/>
    <w:rsid w:val="006F5C1C"/>
    <w:rsid w:val="006F5C90"/>
    <w:rsid w:val="006F5DB5"/>
    <w:rsid w:val="006F5E2D"/>
    <w:rsid w:val="006F62C5"/>
    <w:rsid w:val="006F6483"/>
    <w:rsid w:val="006F697C"/>
    <w:rsid w:val="006F6C04"/>
    <w:rsid w:val="006F6EEB"/>
    <w:rsid w:val="006F7316"/>
    <w:rsid w:val="006F7332"/>
    <w:rsid w:val="006F76A0"/>
    <w:rsid w:val="006F7AF3"/>
    <w:rsid w:val="006F7BB6"/>
    <w:rsid w:val="006F7C90"/>
    <w:rsid w:val="007006EE"/>
    <w:rsid w:val="00700949"/>
    <w:rsid w:val="00700B08"/>
    <w:rsid w:val="00700E47"/>
    <w:rsid w:val="007012D8"/>
    <w:rsid w:val="007016DE"/>
    <w:rsid w:val="00701779"/>
    <w:rsid w:val="00701949"/>
    <w:rsid w:val="007019B8"/>
    <w:rsid w:val="00701F15"/>
    <w:rsid w:val="007020E5"/>
    <w:rsid w:val="00702382"/>
    <w:rsid w:val="007025BA"/>
    <w:rsid w:val="00702781"/>
    <w:rsid w:val="007027C6"/>
    <w:rsid w:val="00702BB8"/>
    <w:rsid w:val="00702DE7"/>
    <w:rsid w:val="00702F4D"/>
    <w:rsid w:val="007032B5"/>
    <w:rsid w:val="0070333C"/>
    <w:rsid w:val="00703533"/>
    <w:rsid w:val="0070385B"/>
    <w:rsid w:val="0070392F"/>
    <w:rsid w:val="00703981"/>
    <w:rsid w:val="00703A33"/>
    <w:rsid w:val="00703A74"/>
    <w:rsid w:val="00703B20"/>
    <w:rsid w:val="00703B4B"/>
    <w:rsid w:val="00703BEC"/>
    <w:rsid w:val="00703C5B"/>
    <w:rsid w:val="00703CB5"/>
    <w:rsid w:val="00703F00"/>
    <w:rsid w:val="00703F97"/>
    <w:rsid w:val="0070407E"/>
    <w:rsid w:val="0070449C"/>
    <w:rsid w:val="00704530"/>
    <w:rsid w:val="007046DD"/>
    <w:rsid w:val="0070494F"/>
    <w:rsid w:val="00704969"/>
    <w:rsid w:val="00704BB0"/>
    <w:rsid w:val="00704E6D"/>
    <w:rsid w:val="00704EDF"/>
    <w:rsid w:val="00705172"/>
    <w:rsid w:val="00705423"/>
    <w:rsid w:val="00705758"/>
    <w:rsid w:val="00705840"/>
    <w:rsid w:val="00705E4A"/>
    <w:rsid w:val="00706774"/>
    <w:rsid w:val="0070688B"/>
    <w:rsid w:val="00706997"/>
    <w:rsid w:val="00706E43"/>
    <w:rsid w:val="00706F0F"/>
    <w:rsid w:val="0070707A"/>
    <w:rsid w:val="0070710A"/>
    <w:rsid w:val="0070717A"/>
    <w:rsid w:val="00707244"/>
    <w:rsid w:val="00707265"/>
    <w:rsid w:val="00707D82"/>
    <w:rsid w:val="00710AE5"/>
    <w:rsid w:val="00710EA7"/>
    <w:rsid w:val="007111CC"/>
    <w:rsid w:val="00711246"/>
    <w:rsid w:val="00711427"/>
    <w:rsid w:val="007114BF"/>
    <w:rsid w:val="0071151C"/>
    <w:rsid w:val="00711B1F"/>
    <w:rsid w:val="00711B63"/>
    <w:rsid w:val="00711CBA"/>
    <w:rsid w:val="00712B2B"/>
    <w:rsid w:val="00712CCC"/>
    <w:rsid w:val="00712E48"/>
    <w:rsid w:val="0071303A"/>
    <w:rsid w:val="007134D7"/>
    <w:rsid w:val="00713618"/>
    <w:rsid w:val="007136E9"/>
    <w:rsid w:val="00713739"/>
    <w:rsid w:val="0071378C"/>
    <w:rsid w:val="00713B78"/>
    <w:rsid w:val="00713DE5"/>
    <w:rsid w:val="00713ED0"/>
    <w:rsid w:val="00713F39"/>
    <w:rsid w:val="00714018"/>
    <w:rsid w:val="0071435C"/>
    <w:rsid w:val="00714569"/>
    <w:rsid w:val="00714634"/>
    <w:rsid w:val="0071481A"/>
    <w:rsid w:val="0071533D"/>
    <w:rsid w:val="007153A5"/>
    <w:rsid w:val="007155D9"/>
    <w:rsid w:val="007157A0"/>
    <w:rsid w:val="0071591B"/>
    <w:rsid w:val="00715C4C"/>
    <w:rsid w:val="0071607D"/>
    <w:rsid w:val="0071623B"/>
    <w:rsid w:val="00716CAD"/>
    <w:rsid w:val="007174DA"/>
    <w:rsid w:val="007174DB"/>
    <w:rsid w:val="00717551"/>
    <w:rsid w:val="007178AF"/>
    <w:rsid w:val="007179F7"/>
    <w:rsid w:val="00717B0D"/>
    <w:rsid w:val="00717F41"/>
    <w:rsid w:val="00720723"/>
    <w:rsid w:val="00720910"/>
    <w:rsid w:val="00720B24"/>
    <w:rsid w:val="00720CF9"/>
    <w:rsid w:val="00720D97"/>
    <w:rsid w:val="00720F29"/>
    <w:rsid w:val="00720FF8"/>
    <w:rsid w:val="00721038"/>
    <w:rsid w:val="007210AE"/>
    <w:rsid w:val="007210B3"/>
    <w:rsid w:val="007213A5"/>
    <w:rsid w:val="007213BD"/>
    <w:rsid w:val="00721682"/>
    <w:rsid w:val="0072168A"/>
    <w:rsid w:val="00721B60"/>
    <w:rsid w:val="00721E12"/>
    <w:rsid w:val="00722271"/>
    <w:rsid w:val="007223C5"/>
    <w:rsid w:val="007224C2"/>
    <w:rsid w:val="007227AC"/>
    <w:rsid w:val="00722C19"/>
    <w:rsid w:val="00722D1E"/>
    <w:rsid w:val="00722DD1"/>
    <w:rsid w:val="00722F1C"/>
    <w:rsid w:val="0072327F"/>
    <w:rsid w:val="007233E9"/>
    <w:rsid w:val="007235B1"/>
    <w:rsid w:val="00723840"/>
    <w:rsid w:val="007238C4"/>
    <w:rsid w:val="007238EE"/>
    <w:rsid w:val="00723B3D"/>
    <w:rsid w:val="00724A39"/>
    <w:rsid w:val="00725354"/>
    <w:rsid w:val="0072537E"/>
    <w:rsid w:val="00726000"/>
    <w:rsid w:val="0072603B"/>
    <w:rsid w:val="007262B2"/>
    <w:rsid w:val="0072656E"/>
    <w:rsid w:val="007265DB"/>
    <w:rsid w:val="007266DF"/>
    <w:rsid w:val="00726756"/>
    <w:rsid w:val="00726989"/>
    <w:rsid w:val="00726A30"/>
    <w:rsid w:val="00726C1E"/>
    <w:rsid w:val="00726FEB"/>
    <w:rsid w:val="0072722E"/>
    <w:rsid w:val="0072771B"/>
    <w:rsid w:val="007278F8"/>
    <w:rsid w:val="00727910"/>
    <w:rsid w:val="00727DC2"/>
    <w:rsid w:val="00730280"/>
    <w:rsid w:val="00730B71"/>
    <w:rsid w:val="00731117"/>
    <w:rsid w:val="00731409"/>
    <w:rsid w:val="00731555"/>
    <w:rsid w:val="007315FC"/>
    <w:rsid w:val="00731616"/>
    <w:rsid w:val="00731EDD"/>
    <w:rsid w:val="0073207B"/>
    <w:rsid w:val="00732372"/>
    <w:rsid w:val="00732843"/>
    <w:rsid w:val="007328A5"/>
    <w:rsid w:val="007329EB"/>
    <w:rsid w:val="007329FC"/>
    <w:rsid w:val="00732DDD"/>
    <w:rsid w:val="00732F41"/>
    <w:rsid w:val="00733222"/>
    <w:rsid w:val="007332A5"/>
    <w:rsid w:val="007332C1"/>
    <w:rsid w:val="007332CD"/>
    <w:rsid w:val="007334B1"/>
    <w:rsid w:val="00733510"/>
    <w:rsid w:val="007339F3"/>
    <w:rsid w:val="00733EB2"/>
    <w:rsid w:val="00733EF8"/>
    <w:rsid w:val="007340CF"/>
    <w:rsid w:val="0073416D"/>
    <w:rsid w:val="00734270"/>
    <w:rsid w:val="00734400"/>
    <w:rsid w:val="0073482B"/>
    <w:rsid w:val="00734898"/>
    <w:rsid w:val="007348EE"/>
    <w:rsid w:val="00734A47"/>
    <w:rsid w:val="00734C2C"/>
    <w:rsid w:val="00734CE1"/>
    <w:rsid w:val="00734E65"/>
    <w:rsid w:val="00734E9B"/>
    <w:rsid w:val="00735107"/>
    <w:rsid w:val="00735687"/>
    <w:rsid w:val="007356BF"/>
    <w:rsid w:val="00735972"/>
    <w:rsid w:val="00735B0B"/>
    <w:rsid w:val="00736247"/>
    <w:rsid w:val="00736376"/>
    <w:rsid w:val="007366B4"/>
    <w:rsid w:val="00736F40"/>
    <w:rsid w:val="00736FD3"/>
    <w:rsid w:val="00737424"/>
    <w:rsid w:val="007378AD"/>
    <w:rsid w:val="007378C0"/>
    <w:rsid w:val="00737C23"/>
    <w:rsid w:val="00737FEC"/>
    <w:rsid w:val="007400E2"/>
    <w:rsid w:val="00740292"/>
    <w:rsid w:val="007403DD"/>
    <w:rsid w:val="00740D16"/>
    <w:rsid w:val="00740DA2"/>
    <w:rsid w:val="00740FB1"/>
    <w:rsid w:val="0074127A"/>
    <w:rsid w:val="007413BA"/>
    <w:rsid w:val="00741426"/>
    <w:rsid w:val="00741500"/>
    <w:rsid w:val="007415CD"/>
    <w:rsid w:val="00742068"/>
    <w:rsid w:val="00742422"/>
    <w:rsid w:val="007424E5"/>
    <w:rsid w:val="0074262A"/>
    <w:rsid w:val="0074269A"/>
    <w:rsid w:val="0074293F"/>
    <w:rsid w:val="007429FC"/>
    <w:rsid w:val="00742A21"/>
    <w:rsid w:val="00742AF9"/>
    <w:rsid w:val="00742B07"/>
    <w:rsid w:val="00742DB5"/>
    <w:rsid w:val="00742ECE"/>
    <w:rsid w:val="00743059"/>
    <w:rsid w:val="00743685"/>
    <w:rsid w:val="0074386C"/>
    <w:rsid w:val="00743DFD"/>
    <w:rsid w:val="007443CD"/>
    <w:rsid w:val="00744619"/>
    <w:rsid w:val="0074462C"/>
    <w:rsid w:val="0074497C"/>
    <w:rsid w:val="00744D93"/>
    <w:rsid w:val="00745019"/>
    <w:rsid w:val="007455E6"/>
    <w:rsid w:val="00745C12"/>
    <w:rsid w:val="00745CCD"/>
    <w:rsid w:val="00745DCF"/>
    <w:rsid w:val="00746BA2"/>
    <w:rsid w:val="00746E0F"/>
    <w:rsid w:val="0074755F"/>
    <w:rsid w:val="00747B66"/>
    <w:rsid w:val="00747D96"/>
    <w:rsid w:val="007502E4"/>
    <w:rsid w:val="0075064C"/>
    <w:rsid w:val="00750743"/>
    <w:rsid w:val="00750E7E"/>
    <w:rsid w:val="00751650"/>
    <w:rsid w:val="00751961"/>
    <w:rsid w:val="00751AAF"/>
    <w:rsid w:val="00752285"/>
    <w:rsid w:val="00752721"/>
    <w:rsid w:val="00752801"/>
    <w:rsid w:val="00752ADC"/>
    <w:rsid w:val="00752B26"/>
    <w:rsid w:val="00752B96"/>
    <w:rsid w:val="00752E39"/>
    <w:rsid w:val="00753089"/>
    <w:rsid w:val="00753DD3"/>
    <w:rsid w:val="0075434F"/>
    <w:rsid w:val="00754471"/>
    <w:rsid w:val="0075451A"/>
    <w:rsid w:val="00754C24"/>
    <w:rsid w:val="00754CE3"/>
    <w:rsid w:val="00754E06"/>
    <w:rsid w:val="0075525C"/>
    <w:rsid w:val="00755374"/>
    <w:rsid w:val="0075566D"/>
    <w:rsid w:val="007556C3"/>
    <w:rsid w:val="0075580D"/>
    <w:rsid w:val="00755956"/>
    <w:rsid w:val="00755A23"/>
    <w:rsid w:val="00755D46"/>
    <w:rsid w:val="00755F2D"/>
    <w:rsid w:val="00755FFF"/>
    <w:rsid w:val="00756142"/>
    <w:rsid w:val="007561B4"/>
    <w:rsid w:val="007562B3"/>
    <w:rsid w:val="0075688C"/>
    <w:rsid w:val="007569D9"/>
    <w:rsid w:val="00756AA0"/>
    <w:rsid w:val="00756FA2"/>
    <w:rsid w:val="0075767D"/>
    <w:rsid w:val="0075785E"/>
    <w:rsid w:val="00757CE6"/>
    <w:rsid w:val="007607F3"/>
    <w:rsid w:val="0076151C"/>
    <w:rsid w:val="007616B7"/>
    <w:rsid w:val="00761801"/>
    <w:rsid w:val="00761B79"/>
    <w:rsid w:val="00761E6B"/>
    <w:rsid w:val="00761FC2"/>
    <w:rsid w:val="007622F8"/>
    <w:rsid w:val="00762D4F"/>
    <w:rsid w:val="00763049"/>
    <w:rsid w:val="00763097"/>
    <w:rsid w:val="00763A41"/>
    <w:rsid w:val="00763AE0"/>
    <w:rsid w:val="00763C69"/>
    <w:rsid w:val="00763FA4"/>
    <w:rsid w:val="00764C54"/>
    <w:rsid w:val="00764CB0"/>
    <w:rsid w:val="00765001"/>
    <w:rsid w:val="0076506C"/>
    <w:rsid w:val="007651A7"/>
    <w:rsid w:val="00765229"/>
    <w:rsid w:val="00765890"/>
    <w:rsid w:val="007658C6"/>
    <w:rsid w:val="007660A1"/>
    <w:rsid w:val="0076613D"/>
    <w:rsid w:val="00766266"/>
    <w:rsid w:val="0076641B"/>
    <w:rsid w:val="0076651A"/>
    <w:rsid w:val="007666D8"/>
    <w:rsid w:val="0076674C"/>
    <w:rsid w:val="00766D03"/>
    <w:rsid w:val="00766D10"/>
    <w:rsid w:val="00766F2A"/>
    <w:rsid w:val="0076718A"/>
    <w:rsid w:val="007671B6"/>
    <w:rsid w:val="007671DA"/>
    <w:rsid w:val="00767433"/>
    <w:rsid w:val="0076767E"/>
    <w:rsid w:val="007677B8"/>
    <w:rsid w:val="0076786E"/>
    <w:rsid w:val="00767ADE"/>
    <w:rsid w:val="00767C28"/>
    <w:rsid w:val="007707EE"/>
    <w:rsid w:val="00770C72"/>
    <w:rsid w:val="00770FBF"/>
    <w:rsid w:val="00770FF2"/>
    <w:rsid w:val="007711D8"/>
    <w:rsid w:val="007719A8"/>
    <w:rsid w:val="00771BAD"/>
    <w:rsid w:val="00771CC5"/>
    <w:rsid w:val="00771DB8"/>
    <w:rsid w:val="0077228C"/>
    <w:rsid w:val="00772BB8"/>
    <w:rsid w:val="00772C15"/>
    <w:rsid w:val="00772D7B"/>
    <w:rsid w:val="00772F03"/>
    <w:rsid w:val="00772FA8"/>
    <w:rsid w:val="0077303C"/>
    <w:rsid w:val="00773149"/>
    <w:rsid w:val="0077348F"/>
    <w:rsid w:val="007737D3"/>
    <w:rsid w:val="00773A71"/>
    <w:rsid w:val="00773B74"/>
    <w:rsid w:val="00773CAE"/>
    <w:rsid w:val="007741FA"/>
    <w:rsid w:val="00774593"/>
    <w:rsid w:val="00774725"/>
    <w:rsid w:val="0077473A"/>
    <w:rsid w:val="007747F1"/>
    <w:rsid w:val="0077489F"/>
    <w:rsid w:val="00774B44"/>
    <w:rsid w:val="00774B87"/>
    <w:rsid w:val="00774C88"/>
    <w:rsid w:val="00774D02"/>
    <w:rsid w:val="007750D9"/>
    <w:rsid w:val="00775241"/>
    <w:rsid w:val="00775265"/>
    <w:rsid w:val="007753B5"/>
    <w:rsid w:val="00775695"/>
    <w:rsid w:val="00775788"/>
    <w:rsid w:val="00775992"/>
    <w:rsid w:val="00775AAA"/>
    <w:rsid w:val="007763F9"/>
    <w:rsid w:val="00776EDA"/>
    <w:rsid w:val="007773AF"/>
    <w:rsid w:val="00777463"/>
    <w:rsid w:val="00777599"/>
    <w:rsid w:val="007779A0"/>
    <w:rsid w:val="00777A2C"/>
    <w:rsid w:val="00777A79"/>
    <w:rsid w:val="007804CC"/>
    <w:rsid w:val="00780F1B"/>
    <w:rsid w:val="00780FEA"/>
    <w:rsid w:val="007812FC"/>
    <w:rsid w:val="0078134B"/>
    <w:rsid w:val="0078165D"/>
    <w:rsid w:val="00781C97"/>
    <w:rsid w:val="00782B59"/>
    <w:rsid w:val="00782D66"/>
    <w:rsid w:val="00782F57"/>
    <w:rsid w:val="00783603"/>
    <w:rsid w:val="00783786"/>
    <w:rsid w:val="00783D34"/>
    <w:rsid w:val="00783F5D"/>
    <w:rsid w:val="00784888"/>
    <w:rsid w:val="00784BCF"/>
    <w:rsid w:val="00784F4F"/>
    <w:rsid w:val="00785646"/>
    <w:rsid w:val="00785B9C"/>
    <w:rsid w:val="00785CF8"/>
    <w:rsid w:val="00785EA1"/>
    <w:rsid w:val="007860F9"/>
    <w:rsid w:val="0078621C"/>
    <w:rsid w:val="007862B1"/>
    <w:rsid w:val="00786628"/>
    <w:rsid w:val="00786B64"/>
    <w:rsid w:val="0078734E"/>
    <w:rsid w:val="00787700"/>
    <w:rsid w:val="007879CD"/>
    <w:rsid w:val="00787FBB"/>
    <w:rsid w:val="0079003C"/>
    <w:rsid w:val="00790A3E"/>
    <w:rsid w:val="00790BBC"/>
    <w:rsid w:val="00790BE6"/>
    <w:rsid w:val="00790D08"/>
    <w:rsid w:val="00790F87"/>
    <w:rsid w:val="00791119"/>
    <w:rsid w:val="0079147B"/>
    <w:rsid w:val="007917A5"/>
    <w:rsid w:val="00791A59"/>
    <w:rsid w:val="00791B62"/>
    <w:rsid w:val="00791E3A"/>
    <w:rsid w:val="00792A24"/>
    <w:rsid w:val="0079304F"/>
    <w:rsid w:val="00793259"/>
    <w:rsid w:val="00793277"/>
    <w:rsid w:val="0079346C"/>
    <w:rsid w:val="007934F1"/>
    <w:rsid w:val="007934FB"/>
    <w:rsid w:val="00793934"/>
    <w:rsid w:val="00793987"/>
    <w:rsid w:val="0079435F"/>
    <w:rsid w:val="00794474"/>
    <w:rsid w:val="007944E3"/>
    <w:rsid w:val="0079489A"/>
    <w:rsid w:val="0079493C"/>
    <w:rsid w:val="00794F40"/>
    <w:rsid w:val="007951D5"/>
    <w:rsid w:val="0079585F"/>
    <w:rsid w:val="00795A23"/>
    <w:rsid w:val="00795EE0"/>
    <w:rsid w:val="00796068"/>
    <w:rsid w:val="00796163"/>
    <w:rsid w:val="00796472"/>
    <w:rsid w:val="0079657E"/>
    <w:rsid w:val="0079679D"/>
    <w:rsid w:val="00796CC0"/>
    <w:rsid w:val="00796CF1"/>
    <w:rsid w:val="00797317"/>
    <w:rsid w:val="007974AF"/>
    <w:rsid w:val="00797740"/>
    <w:rsid w:val="007979EA"/>
    <w:rsid w:val="00797A74"/>
    <w:rsid w:val="00797ACF"/>
    <w:rsid w:val="00797C1C"/>
    <w:rsid w:val="007A09CF"/>
    <w:rsid w:val="007A1151"/>
    <w:rsid w:val="007A1397"/>
    <w:rsid w:val="007A13C1"/>
    <w:rsid w:val="007A1456"/>
    <w:rsid w:val="007A1706"/>
    <w:rsid w:val="007A17A6"/>
    <w:rsid w:val="007A1970"/>
    <w:rsid w:val="007A19BC"/>
    <w:rsid w:val="007A1A35"/>
    <w:rsid w:val="007A1EB5"/>
    <w:rsid w:val="007A1F6E"/>
    <w:rsid w:val="007A2166"/>
    <w:rsid w:val="007A2955"/>
    <w:rsid w:val="007A2B7F"/>
    <w:rsid w:val="007A2DEA"/>
    <w:rsid w:val="007A3059"/>
    <w:rsid w:val="007A336F"/>
    <w:rsid w:val="007A33FA"/>
    <w:rsid w:val="007A3544"/>
    <w:rsid w:val="007A3811"/>
    <w:rsid w:val="007A3885"/>
    <w:rsid w:val="007A3A89"/>
    <w:rsid w:val="007A4113"/>
    <w:rsid w:val="007A45A6"/>
    <w:rsid w:val="007A493F"/>
    <w:rsid w:val="007A4BF0"/>
    <w:rsid w:val="007A5018"/>
    <w:rsid w:val="007A536B"/>
    <w:rsid w:val="007A5409"/>
    <w:rsid w:val="007A5922"/>
    <w:rsid w:val="007A5924"/>
    <w:rsid w:val="007A5969"/>
    <w:rsid w:val="007A5AAE"/>
    <w:rsid w:val="007A5BC2"/>
    <w:rsid w:val="007A5EED"/>
    <w:rsid w:val="007A63D4"/>
    <w:rsid w:val="007A671A"/>
    <w:rsid w:val="007A679D"/>
    <w:rsid w:val="007A71E1"/>
    <w:rsid w:val="007A7232"/>
    <w:rsid w:val="007A7635"/>
    <w:rsid w:val="007A7675"/>
    <w:rsid w:val="007A7750"/>
    <w:rsid w:val="007A7790"/>
    <w:rsid w:val="007A77BF"/>
    <w:rsid w:val="007A7AA2"/>
    <w:rsid w:val="007A7C23"/>
    <w:rsid w:val="007B0260"/>
    <w:rsid w:val="007B0309"/>
    <w:rsid w:val="007B035D"/>
    <w:rsid w:val="007B05AC"/>
    <w:rsid w:val="007B07A6"/>
    <w:rsid w:val="007B09E9"/>
    <w:rsid w:val="007B0A30"/>
    <w:rsid w:val="007B0B70"/>
    <w:rsid w:val="007B0BF2"/>
    <w:rsid w:val="007B0D16"/>
    <w:rsid w:val="007B0DD1"/>
    <w:rsid w:val="007B100F"/>
    <w:rsid w:val="007B16B1"/>
    <w:rsid w:val="007B1ABA"/>
    <w:rsid w:val="007B1DC7"/>
    <w:rsid w:val="007B2070"/>
    <w:rsid w:val="007B221D"/>
    <w:rsid w:val="007B24B8"/>
    <w:rsid w:val="007B259B"/>
    <w:rsid w:val="007B27EB"/>
    <w:rsid w:val="007B2A2F"/>
    <w:rsid w:val="007B322F"/>
    <w:rsid w:val="007B38E3"/>
    <w:rsid w:val="007B3B33"/>
    <w:rsid w:val="007B3F28"/>
    <w:rsid w:val="007B3F58"/>
    <w:rsid w:val="007B434A"/>
    <w:rsid w:val="007B43BE"/>
    <w:rsid w:val="007B452C"/>
    <w:rsid w:val="007B459E"/>
    <w:rsid w:val="007B471E"/>
    <w:rsid w:val="007B4ACA"/>
    <w:rsid w:val="007B4E1A"/>
    <w:rsid w:val="007B4FD3"/>
    <w:rsid w:val="007B5018"/>
    <w:rsid w:val="007B52CF"/>
    <w:rsid w:val="007B53DE"/>
    <w:rsid w:val="007B53E7"/>
    <w:rsid w:val="007B6129"/>
    <w:rsid w:val="007B65B3"/>
    <w:rsid w:val="007B66B8"/>
    <w:rsid w:val="007B6913"/>
    <w:rsid w:val="007B6A14"/>
    <w:rsid w:val="007B6ADD"/>
    <w:rsid w:val="007B6B7A"/>
    <w:rsid w:val="007B6DFA"/>
    <w:rsid w:val="007B6E2E"/>
    <w:rsid w:val="007B7287"/>
    <w:rsid w:val="007B741D"/>
    <w:rsid w:val="007B74C3"/>
    <w:rsid w:val="007B753A"/>
    <w:rsid w:val="007B7637"/>
    <w:rsid w:val="007B7677"/>
    <w:rsid w:val="007B7821"/>
    <w:rsid w:val="007B782B"/>
    <w:rsid w:val="007B7980"/>
    <w:rsid w:val="007B7A70"/>
    <w:rsid w:val="007C0033"/>
    <w:rsid w:val="007C06A5"/>
    <w:rsid w:val="007C08AB"/>
    <w:rsid w:val="007C161D"/>
    <w:rsid w:val="007C17CF"/>
    <w:rsid w:val="007C2042"/>
    <w:rsid w:val="007C2208"/>
    <w:rsid w:val="007C24B9"/>
    <w:rsid w:val="007C2CBC"/>
    <w:rsid w:val="007C2EA3"/>
    <w:rsid w:val="007C33E6"/>
    <w:rsid w:val="007C3515"/>
    <w:rsid w:val="007C38F7"/>
    <w:rsid w:val="007C3908"/>
    <w:rsid w:val="007C3AA6"/>
    <w:rsid w:val="007C40E5"/>
    <w:rsid w:val="007C4290"/>
    <w:rsid w:val="007C42FB"/>
    <w:rsid w:val="007C4499"/>
    <w:rsid w:val="007C48EC"/>
    <w:rsid w:val="007C4E99"/>
    <w:rsid w:val="007C5151"/>
    <w:rsid w:val="007C546B"/>
    <w:rsid w:val="007C54B5"/>
    <w:rsid w:val="007C54EE"/>
    <w:rsid w:val="007C55E8"/>
    <w:rsid w:val="007C565B"/>
    <w:rsid w:val="007C5953"/>
    <w:rsid w:val="007C59C0"/>
    <w:rsid w:val="007C59F3"/>
    <w:rsid w:val="007C5B8D"/>
    <w:rsid w:val="007C5ECA"/>
    <w:rsid w:val="007C670D"/>
    <w:rsid w:val="007C68D2"/>
    <w:rsid w:val="007C6A87"/>
    <w:rsid w:val="007C6ACF"/>
    <w:rsid w:val="007C6B7A"/>
    <w:rsid w:val="007C6D5A"/>
    <w:rsid w:val="007C7167"/>
    <w:rsid w:val="007C7170"/>
    <w:rsid w:val="007C7359"/>
    <w:rsid w:val="007C7419"/>
    <w:rsid w:val="007C782D"/>
    <w:rsid w:val="007C7DF2"/>
    <w:rsid w:val="007D01DE"/>
    <w:rsid w:val="007D0B2E"/>
    <w:rsid w:val="007D0C56"/>
    <w:rsid w:val="007D0CD1"/>
    <w:rsid w:val="007D0ED0"/>
    <w:rsid w:val="007D1005"/>
    <w:rsid w:val="007D1048"/>
    <w:rsid w:val="007D1A48"/>
    <w:rsid w:val="007D1F01"/>
    <w:rsid w:val="007D246B"/>
    <w:rsid w:val="007D250D"/>
    <w:rsid w:val="007D2D2B"/>
    <w:rsid w:val="007D2E8B"/>
    <w:rsid w:val="007D3500"/>
    <w:rsid w:val="007D350E"/>
    <w:rsid w:val="007D37D7"/>
    <w:rsid w:val="007D3868"/>
    <w:rsid w:val="007D3B90"/>
    <w:rsid w:val="007D3E0E"/>
    <w:rsid w:val="007D3F33"/>
    <w:rsid w:val="007D3F48"/>
    <w:rsid w:val="007D4075"/>
    <w:rsid w:val="007D4104"/>
    <w:rsid w:val="007D4178"/>
    <w:rsid w:val="007D420F"/>
    <w:rsid w:val="007D4757"/>
    <w:rsid w:val="007D48CF"/>
    <w:rsid w:val="007D4A4A"/>
    <w:rsid w:val="007D4BDC"/>
    <w:rsid w:val="007D4C4B"/>
    <w:rsid w:val="007D51C3"/>
    <w:rsid w:val="007D560E"/>
    <w:rsid w:val="007D5AAB"/>
    <w:rsid w:val="007D5D5F"/>
    <w:rsid w:val="007D5F85"/>
    <w:rsid w:val="007D62EC"/>
    <w:rsid w:val="007D700A"/>
    <w:rsid w:val="007D73A8"/>
    <w:rsid w:val="007D743A"/>
    <w:rsid w:val="007D7606"/>
    <w:rsid w:val="007D77EB"/>
    <w:rsid w:val="007E018B"/>
    <w:rsid w:val="007E0637"/>
    <w:rsid w:val="007E0721"/>
    <w:rsid w:val="007E08FE"/>
    <w:rsid w:val="007E0B69"/>
    <w:rsid w:val="007E0C58"/>
    <w:rsid w:val="007E0C77"/>
    <w:rsid w:val="007E0CC7"/>
    <w:rsid w:val="007E0CF4"/>
    <w:rsid w:val="007E0D6F"/>
    <w:rsid w:val="007E0E05"/>
    <w:rsid w:val="007E0E11"/>
    <w:rsid w:val="007E133A"/>
    <w:rsid w:val="007E165D"/>
    <w:rsid w:val="007E1DAC"/>
    <w:rsid w:val="007E1DD3"/>
    <w:rsid w:val="007E209F"/>
    <w:rsid w:val="007E23C8"/>
    <w:rsid w:val="007E23FE"/>
    <w:rsid w:val="007E25F0"/>
    <w:rsid w:val="007E2815"/>
    <w:rsid w:val="007E2878"/>
    <w:rsid w:val="007E28E1"/>
    <w:rsid w:val="007E2A7E"/>
    <w:rsid w:val="007E2A98"/>
    <w:rsid w:val="007E303F"/>
    <w:rsid w:val="007E3070"/>
    <w:rsid w:val="007E3D77"/>
    <w:rsid w:val="007E4109"/>
    <w:rsid w:val="007E456A"/>
    <w:rsid w:val="007E4655"/>
    <w:rsid w:val="007E4E0A"/>
    <w:rsid w:val="007E4F8E"/>
    <w:rsid w:val="007E4FD0"/>
    <w:rsid w:val="007E50E4"/>
    <w:rsid w:val="007E50F7"/>
    <w:rsid w:val="007E5187"/>
    <w:rsid w:val="007E5349"/>
    <w:rsid w:val="007E55E0"/>
    <w:rsid w:val="007E579F"/>
    <w:rsid w:val="007E5B24"/>
    <w:rsid w:val="007E5C22"/>
    <w:rsid w:val="007E5C50"/>
    <w:rsid w:val="007E5DED"/>
    <w:rsid w:val="007E6017"/>
    <w:rsid w:val="007E6747"/>
    <w:rsid w:val="007E6B99"/>
    <w:rsid w:val="007E6FFA"/>
    <w:rsid w:val="007E7300"/>
    <w:rsid w:val="007E7577"/>
    <w:rsid w:val="007E7854"/>
    <w:rsid w:val="007E79C9"/>
    <w:rsid w:val="007E79CB"/>
    <w:rsid w:val="007E7C33"/>
    <w:rsid w:val="007E7D7E"/>
    <w:rsid w:val="007E7E98"/>
    <w:rsid w:val="007E7ECC"/>
    <w:rsid w:val="007E7FF2"/>
    <w:rsid w:val="007F00D0"/>
    <w:rsid w:val="007F0546"/>
    <w:rsid w:val="007F0635"/>
    <w:rsid w:val="007F0754"/>
    <w:rsid w:val="007F09F2"/>
    <w:rsid w:val="007F0D41"/>
    <w:rsid w:val="007F1691"/>
    <w:rsid w:val="007F1AC7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ACC"/>
    <w:rsid w:val="007F3B8F"/>
    <w:rsid w:val="007F3D93"/>
    <w:rsid w:val="007F413A"/>
    <w:rsid w:val="007F421D"/>
    <w:rsid w:val="007F45B9"/>
    <w:rsid w:val="007F497E"/>
    <w:rsid w:val="007F4E05"/>
    <w:rsid w:val="007F521A"/>
    <w:rsid w:val="007F5240"/>
    <w:rsid w:val="007F532E"/>
    <w:rsid w:val="007F5495"/>
    <w:rsid w:val="007F54D2"/>
    <w:rsid w:val="007F5589"/>
    <w:rsid w:val="007F5688"/>
    <w:rsid w:val="007F588F"/>
    <w:rsid w:val="007F5E63"/>
    <w:rsid w:val="007F603C"/>
    <w:rsid w:val="007F6049"/>
    <w:rsid w:val="007F617F"/>
    <w:rsid w:val="007F633E"/>
    <w:rsid w:val="007F66A5"/>
    <w:rsid w:val="007F6947"/>
    <w:rsid w:val="007F7247"/>
    <w:rsid w:val="007F72E0"/>
    <w:rsid w:val="007F74A9"/>
    <w:rsid w:val="007F767F"/>
    <w:rsid w:val="007F7A11"/>
    <w:rsid w:val="0080038A"/>
    <w:rsid w:val="008005B1"/>
    <w:rsid w:val="0080065F"/>
    <w:rsid w:val="008006D9"/>
    <w:rsid w:val="0080086D"/>
    <w:rsid w:val="00800BDB"/>
    <w:rsid w:val="00800CEF"/>
    <w:rsid w:val="00800D1F"/>
    <w:rsid w:val="008010B1"/>
    <w:rsid w:val="008011F2"/>
    <w:rsid w:val="00801385"/>
    <w:rsid w:val="0080157F"/>
    <w:rsid w:val="00801588"/>
    <w:rsid w:val="008022CF"/>
    <w:rsid w:val="0080263E"/>
    <w:rsid w:val="00802807"/>
    <w:rsid w:val="008028DA"/>
    <w:rsid w:val="00802CC5"/>
    <w:rsid w:val="00802DA0"/>
    <w:rsid w:val="00803139"/>
    <w:rsid w:val="00803CE2"/>
    <w:rsid w:val="00803FD7"/>
    <w:rsid w:val="008043A4"/>
    <w:rsid w:val="00804983"/>
    <w:rsid w:val="008051D9"/>
    <w:rsid w:val="008051DE"/>
    <w:rsid w:val="00805350"/>
    <w:rsid w:val="00805594"/>
    <w:rsid w:val="00805656"/>
    <w:rsid w:val="00805659"/>
    <w:rsid w:val="0080593E"/>
    <w:rsid w:val="00805F9A"/>
    <w:rsid w:val="0080618C"/>
    <w:rsid w:val="008063ED"/>
    <w:rsid w:val="008069B2"/>
    <w:rsid w:val="00806ABA"/>
    <w:rsid w:val="00806B0B"/>
    <w:rsid w:val="00806BC2"/>
    <w:rsid w:val="0080733E"/>
    <w:rsid w:val="008074A3"/>
    <w:rsid w:val="0080783D"/>
    <w:rsid w:val="00807D62"/>
    <w:rsid w:val="008100B2"/>
    <w:rsid w:val="008106C3"/>
    <w:rsid w:val="00810A71"/>
    <w:rsid w:val="00810B66"/>
    <w:rsid w:val="00810B76"/>
    <w:rsid w:val="00810CC2"/>
    <w:rsid w:val="00811465"/>
    <w:rsid w:val="008119E6"/>
    <w:rsid w:val="00811B4D"/>
    <w:rsid w:val="00811DA1"/>
    <w:rsid w:val="008124CB"/>
    <w:rsid w:val="00812C2A"/>
    <w:rsid w:val="00812FCB"/>
    <w:rsid w:val="00813052"/>
    <w:rsid w:val="008130EC"/>
    <w:rsid w:val="0081324B"/>
    <w:rsid w:val="008134C6"/>
    <w:rsid w:val="00813B80"/>
    <w:rsid w:val="00813DF0"/>
    <w:rsid w:val="00814167"/>
    <w:rsid w:val="0081423E"/>
    <w:rsid w:val="008142C1"/>
    <w:rsid w:val="00814307"/>
    <w:rsid w:val="0081440E"/>
    <w:rsid w:val="00814B69"/>
    <w:rsid w:val="00814D09"/>
    <w:rsid w:val="00814F4D"/>
    <w:rsid w:val="008152B9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17C7D"/>
    <w:rsid w:val="008201ED"/>
    <w:rsid w:val="008202BD"/>
    <w:rsid w:val="008203CB"/>
    <w:rsid w:val="0082096B"/>
    <w:rsid w:val="008209BC"/>
    <w:rsid w:val="00820CEA"/>
    <w:rsid w:val="00820E62"/>
    <w:rsid w:val="0082117C"/>
    <w:rsid w:val="0082124A"/>
    <w:rsid w:val="00821702"/>
    <w:rsid w:val="008218ED"/>
    <w:rsid w:val="00822563"/>
    <w:rsid w:val="008231C5"/>
    <w:rsid w:val="00823230"/>
    <w:rsid w:val="00823414"/>
    <w:rsid w:val="00823472"/>
    <w:rsid w:val="008234BD"/>
    <w:rsid w:val="00823663"/>
    <w:rsid w:val="0082372E"/>
    <w:rsid w:val="00823997"/>
    <w:rsid w:val="00823A7E"/>
    <w:rsid w:val="00823D0F"/>
    <w:rsid w:val="0082437A"/>
    <w:rsid w:val="00824A8C"/>
    <w:rsid w:val="008250A5"/>
    <w:rsid w:val="00825155"/>
    <w:rsid w:val="00825171"/>
    <w:rsid w:val="0082545C"/>
    <w:rsid w:val="00825523"/>
    <w:rsid w:val="008258FE"/>
    <w:rsid w:val="00825A7C"/>
    <w:rsid w:val="00825D4C"/>
    <w:rsid w:val="00825D9F"/>
    <w:rsid w:val="00825EB9"/>
    <w:rsid w:val="008261E9"/>
    <w:rsid w:val="008262FE"/>
    <w:rsid w:val="008263A8"/>
    <w:rsid w:val="00826614"/>
    <w:rsid w:val="0082668A"/>
    <w:rsid w:val="008266D3"/>
    <w:rsid w:val="00826786"/>
    <w:rsid w:val="00826C8F"/>
    <w:rsid w:val="00827461"/>
    <w:rsid w:val="008277BF"/>
    <w:rsid w:val="00827830"/>
    <w:rsid w:val="00827A03"/>
    <w:rsid w:val="00827D75"/>
    <w:rsid w:val="00830099"/>
    <w:rsid w:val="008301A9"/>
    <w:rsid w:val="008301B7"/>
    <w:rsid w:val="008303E2"/>
    <w:rsid w:val="00830537"/>
    <w:rsid w:val="00830917"/>
    <w:rsid w:val="00830B28"/>
    <w:rsid w:val="00830D99"/>
    <w:rsid w:val="00830EB9"/>
    <w:rsid w:val="00830FFD"/>
    <w:rsid w:val="00831194"/>
    <w:rsid w:val="0083125A"/>
    <w:rsid w:val="00831589"/>
    <w:rsid w:val="0083169F"/>
    <w:rsid w:val="008317D7"/>
    <w:rsid w:val="00831A01"/>
    <w:rsid w:val="00831AE4"/>
    <w:rsid w:val="00831B7E"/>
    <w:rsid w:val="0083235E"/>
    <w:rsid w:val="00832496"/>
    <w:rsid w:val="00832E0D"/>
    <w:rsid w:val="0083324B"/>
    <w:rsid w:val="008333A6"/>
    <w:rsid w:val="00833867"/>
    <w:rsid w:val="00833A8F"/>
    <w:rsid w:val="00833C13"/>
    <w:rsid w:val="00833D53"/>
    <w:rsid w:val="00834123"/>
    <w:rsid w:val="008341F8"/>
    <w:rsid w:val="0083431E"/>
    <w:rsid w:val="00834892"/>
    <w:rsid w:val="0083514E"/>
    <w:rsid w:val="00835151"/>
    <w:rsid w:val="008359DA"/>
    <w:rsid w:val="008359F3"/>
    <w:rsid w:val="00835B16"/>
    <w:rsid w:val="00835C7F"/>
    <w:rsid w:val="00835DB6"/>
    <w:rsid w:val="00835E66"/>
    <w:rsid w:val="00836113"/>
    <w:rsid w:val="0083654D"/>
    <w:rsid w:val="008369D4"/>
    <w:rsid w:val="00836AC2"/>
    <w:rsid w:val="00836D7F"/>
    <w:rsid w:val="0083711B"/>
    <w:rsid w:val="00837188"/>
    <w:rsid w:val="008376FE"/>
    <w:rsid w:val="00837C00"/>
    <w:rsid w:val="00837D13"/>
    <w:rsid w:val="0084005B"/>
    <w:rsid w:val="008401EF"/>
    <w:rsid w:val="0084051D"/>
    <w:rsid w:val="008406D5"/>
    <w:rsid w:val="008417E1"/>
    <w:rsid w:val="00841D7F"/>
    <w:rsid w:val="008425A7"/>
    <w:rsid w:val="008425EB"/>
    <w:rsid w:val="00842833"/>
    <w:rsid w:val="0084289D"/>
    <w:rsid w:val="00842941"/>
    <w:rsid w:val="00842B8E"/>
    <w:rsid w:val="00842D5A"/>
    <w:rsid w:val="00843779"/>
    <w:rsid w:val="00843798"/>
    <w:rsid w:val="00843BED"/>
    <w:rsid w:val="00843FB3"/>
    <w:rsid w:val="0084442A"/>
    <w:rsid w:val="008444E7"/>
    <w:rsid w:val="00844594"/>
    <w:rsid w:val="008447B9"/>
    <w:rsid w:val="008447C8"/>
    <w:rsid w:val="00844C5B"/>
    <w:rsid w:val="00844ECB"/>
    <w:rsid w:val="00844F50"/>
    <w:rsid w:val="008451F5"/>
    <w:rsid w:val="00845856"/>
    <w:rsid w:val="008458D3"/>
    <w:rsid w:val="00845944"/>
    <w:rsid w:val="008459A7"/>
    <w:rsid w:val="00845DFB"/>
    <w:rsid w:val="00845E6A"/>
    <w:rsid w:val="00846833"/>
    <w:rsid w:val="00846BB1"/>
    <w:rsid w:val="00846CE5"/>
    <w:rsid w:val="00846D10"/>
    <w:rsid w:val="00847120"/>
    <w:rsid w:val="008475D6"/>
    <w:rsid w:val="00847B37"/>
    <w:rsid w:val="00847B7F"/>
    <w:rsid w:val="00847CE5"/>
    <w:rsid w:val="00847FAE"/>
    <w:rsid w:val="0085012C"/>
    <w:rsid w:val="008501A4"/>
    <w:rsid w:val="00850279"/>
    <w:rsid w:val="008502F2"/>
    <w:rsid w:val="008505A1"/>
    <w:rsid w:val="00850817"/>
    <w:rsid w:val="008508FD"/>
    <w:rsid w:val="00850D6A"/>
    <w:rsid w:val="00850D70"/>
    <w:rsid w:val="008511F2"/>
    <w:rsid w:val="008517EC"/>
    <w:rsid w:val="00851AF9"/>
    <w:rsid w:val="00851D16"/>
    <w:rsid w:val="00851E54"/>
    <w:rsid w:val="00852005"/>
    <w:rsid w:val="008523AE"/>
    <w:rsid w:val="00852541"/>
    <w:rsid w:val="00852769"/>
    <w:rsid w:val="0085284B"/>
    <w:rsid w:val="0085292C"/>
    <w:rsid w:val="0085292E"/>
    <w:rsid w:val="00852B02"/>
    <w:rsid w:val="00852B27"/>
    <w:rsid w:val="00852D0D"/>
    <w:rsid w:val="00853A16"/>
    <w:rsid w:val="00853B91"/>
    <w:rsid w:val="00853F97"/>
    <w:rsid w:val="0085433A"/>
    <w:rsid w:val="00854A62"/>
    <w:rsid w:val="00854A85"/>
    <w:rsid w:val="00854B32"/>
    <w:rsid w:val="00854DD3"/>
    <w:rsid w:val="0085553C"/>
    <w:rsid w:val="008556ED"/>
    <w:rsid w:val="00855F2B"/>
    <w:rsid w:val="00855FBE"/>
    <w:rsid w:val="00856252"/>
    <w:rsid w:val="00856498"/>
    <w:rsid w:val="00856BAE"/>
    <w:rsid w:val="00856C76"/>
    <w:rsid w:val="00856E10"/>
    <w:rsid w:val="008570DF"/>
    <w:rsid w:val="008571A7"/>
    <w:rsid w:val="00857554"/>
    <w:rsid w:val="00857634"/>
    <w:rsid w:val="008577C7"/>
    <w:rsid w:val="008578B7"/>
    <w:rsid w:val="0085795A"/>
    <w:rsid w:val="00857E42"/>
    <w:rsid w:val="00857FFB"/>
    <w:rsid w:val="008600E5"/>
    <w:rsid w:val="008602D0"/>
    <w:rsid w:val="008608AB"/>
    <w:rsid w:val="00860B38"/>
    <w:rsid w:val="0086124E"/>
    <w:rsid w:val="00861A5F"/>
    <w:rsid w:val="00861AF9"/>
    <w:rsid w:val="00861B74"/>
    <w:rsid w:val="00861D98"/>
    <w:rsid w:val="00861DF4"/>
    <w:rsid w:val="00861E30"/>
    <w:rsid w:val="008625ED"/>
    <w:rsid w:val="00862725"/>
    <w:rsid w:val="00862758"/>
    <w:rsid w:val="00862AAE"/>
    <w:rsid w:val="00862ADD"/>
    <w:rsid w:val="00862DB7"/>
    <w:rsid w:val="00862F06"/>
    <w:rsid w:val="00862FD8"/>
    <w:rsid w:val="008634A8"/>
    <w:rsid w:val="00863C6A"/>
    <w:rsid w:val="00864A10"/>
    <w:rsid w:val="00864F86"/>
    <w:rsid w:val="00865089"/>
    <w:rsid w:val="00865163"/>
    <w:rsid w:val="008652C9"/>
    <w:rsid w:val="008654E6"/>
    <w:rsid w:val="00865D8B"/>
    <w:rsid w:val="00866084"/>
    <w:rsid w:val="00866527"/>
    <w:rsid w:val="00866992"/>
    <w:rsid w:val="00866CA9"/>
    <w:rsid w:val="008676DF"/>
    <w:rsid w:val="00867897"/>
    <w:rsid w:val="00867AD6"/>
    <w:rsid w:val="00867C5B"/>
    <w:rsid w:val="00867E32"/>
    <w:rsid w:val="0087057E"/>
    <w:rsid w:val="008706B6"/>
    <w:rsid w:val="00870780"/>
    <w:rsid w:val="00870AAD"/>
    <w:rsid w:val="00871719"/>
    <w:rsid w:val="00871909"/>
    <w:rsid w:val="00871EC0"/>
    <w:rsid w:val="008720A6"/>
    <w:rsid w:val="008726DA"/>
    <w:rsid w:val="008727F6"/>
    <w:rsid w:val="00872942"/>
    <w:rsid w:val="00872D51"/>
    <w:rsid w:val="00872EAF"/>
    <w:rsid w:val="0087338E"/>
    <w:rsid w:val="0087354F"/>
    <w:rsid w:val="0087356A"/>
    <w:rsid w:val="0087361A"/>
    <w:rsid w:val="00873B76"/>
    <w:rsid w:val="00873CA3"/>
    <w:rsid w:val="0087462C"/>
    <w:rsid w:val="0087469C"/>
    <w:rsid w:val="00874DB9"/>
    <w:rsid w:val="0087504D"/>
    <w:rsid w:val="008754CA"/>
    <w:rsid w:val="00875648"/>
    <w:rsid w:val="0087568C"/>
    <w:rsid w:val="0087572F"/>
    <w:rsid w:val="00875991"/>
    <w:rsid w:val="008759EC"/>
    <w:rsid w:val="00875AF9"/>
    <w:rsid w:val="00875BB1"/>
    <w:rsid w:val="00875BB5"/>
    <w:rsid w:val="008760C3"/>
    <w:rsid w:val="00876535"/>
    <w:rsid w:val="00876E33"/>
    <w:rsid w:val="00876F26"/>
    <w:rsid w:val="008770A8"/>
    <w:rsid w:val="008771B6"/>
    <w:rsid w:val="0087739E"/>
    <w:rsid w:val="008774D0"/>
    <w:rsid w:val="00877865"/>
    <w:rsid w:val="008778A8"/>
    <w:rsid w:val="00877D1E"/>
    <w:rsid w:val="00877D54"/>
    <w:rsid w:val="00877E86"/>
    <w:rsid w:val="00877FDD"/>
    <w:rsid w:val="00880032"/>
    <w:rsid w:val="008800B7"/>
    <w:rsid w:val="0088015B"/>
    <w:rsid w:val="0088056F"/>
    <w:rsid w:val="00880815"/>
    <w:rsid w:val="0088092D"/>
    <w:rsid w:val="00880FED"/>
    <w:rsid w:val="00881415"/>
    <w:rsid w:val="0088159A"/>
    <w:rsid w:val="00881649"/>
    <w:rsid w:val="0088186D"/>
    <w:rsid w:val="00881987"/>
    <w:rsid w:val="00881B40"/>
    <w:rsid w:val="00882A96"/>
    <w:rsid w:val="00882C53"/>
    <w:rsid w:val="008834B8"/>
    <w:rsid w:val="00883E30"/>
    <w:rsid w:val="008841C8"/>
    <w:rsid w:val="0088463A"/>
    <w:rsid w:val="0088469F"/>
    <w:rsid w:val="0088480B"/>
    <w:rsid w:val="00884B42"/>
    <w:rsid w:val="00884B9A"/>
    <w:rsid w:val="00884BD3"/>
    <w:rsid w:val="00884D7E"/>
    <w:rsid w:val="00885067"/>
    <w:rsid w:val="00885132"/>
    <w:rsid w:val="0088533D"/>
    <w:rsid w:val="00885367"/>
    <w:rsid w:val="008853CE"/>
    <w:rsid w:val="008855A4"/>
    <w:rsid w:val="00885871"/>
    <w:rsid w:val="00885989"/>
    <w:rsid w:val="00885B0B"/>
    <w:rsid w:val="00885B98"/>
    <w:rsid w:val="00885C77"/>
    <w:rsid w:val="00885D27"/>
    <w:rsid w:val="00886050"/>
    <w:rsid w:val="008867F4"/>
    <w:rsid w:val="0088692D"/>
    <w:rsid w:val="00886958"/>
    <w:rsid w:val="00886AAA"/>
    <w:rsid w:val="00886EE2"/>
    <w:rsid w:val="00887082"/>
    <w:rsid w:val="0088722F"/>
    <w:rsid w:val="00887546"/>
    <w:rsid w:val="00887C8D"/>
    <w:rsid w:val="00887DBF"/>
    <w:rsid w:val="00887DC7"/>
    <w:rsid w:val="00890821"/>
    <w:rsid w:val="00890991"/>
    <w:rsid w:val="00890CE4"/>
    <w:rsid w:val="00890D3C"/>
    <w:rsid w:val="00891434"/>
    <w:rsid w:val="00891A0E"/>
    <w:rsid w:val="00891ADA"/>
    <w:rsid w:val="00891F76"/>
    <w:rsid w:val="00891FCC"/>
    <w:rsid w:val="008922EB"/>
    <w:rsid w:val="008922F4"/>
    <w:rsid w:val="0089235F"/>
    <w:rsid w:val="0089240D"/>
    <w:rsid w:val="00892702"/>
    <w:rsid w:val="00892841"/>
    <w:rsid w:val="00892844"/>
    <w:rsid w:val="008928A8"/>
    <w:rsid w:val="008928EB"/>
    <w:rsid w:val="00892ABE"/>
    <w:rsid w:val="00892BB8"/>
    <w:rsid w:val="00892EBB"/>
    <w:rsid w:val="00893014"/>
    <w:rsid w:val="00893384"/>
    <w:rsid w:val="00893774"/>
    <w:rsid w:val="008939C2"/>
    <w:rsid w:val="00893BAF"/>
    <w:rsid w:val="00893C33"/>
    <w:rsid w:val="00894600"/>
    <w:rsid w:val="008948B2"/>
    <w:rsid w:val="0089513A"/>
    <w:rsid w:val="008953B7"/>
    <w:rsid w:val="008954E8"/>
    <w:rsid w:val="00895D68"/>
    <w:rsid w:val="00895DFF"/>
    <w:rsid w:val="00895F77"/>
    <w:rsid w:val="00896078"/>
    <w:rsid w:val="008961D5"/>
    <w:rsid w:val="00896217"/>
    <w:rsid w:val="008965FF"/>
    <w:rsid w:val="00896755"/>
    <w:rsid w:val="00896E41"/>
    <w:rsid w:val="00896F38"/>
    <w:rsid w:val="00897A55"/>
    <w:rsid w:val="00897B6D"/>
    <w:rsid w:val="008A0172"/>
    <w:rsid w:val="008A019D"/>
    <w:rsid w:val="008A02E5"/>
    <w:rsid w:val="008A0395"/>
    <w:rsid w:val="008A0423"/>
    <w:rsid w:val="008A058F"/>
    <w:rsid w:val="008A0843"/>
    <w:rsid w:val="008A086B"/>
    <w:rsid w:val="008A0993"/>
    <w:rsid w:val="008A0EF5"/>
    <w:rsid w:val="008A0F0E"/>
    <w:rsid w:val="008A1294"/>
    <w:rsid w:val="008A12E6"/>
    <w:rsid w:val="008A140B"/>
    <w:rsid w:val="008A151F"/>
    <w:rsid w:val="008A1565"/>
    <w:rsid w:val="008A195C"/>
    <w:rsid w:val="008A1C9E"/>
    <w:rsid w:val="008A1DD1"/>
    <w:rsid w:val="008A2417"/>
    <w:rsid w:val="008A273A"/>
    <w:rsid w:val="008A296E"/>
    <w:rsid w:val="008A2B57"/>
    <w:rsid w:val="008A2C79"/>
    <w:rsid w:val="008A2F37"/>
    <w:rsid w:val="008A344D"/>
    <w:rsid w:val="008A34CE"/>
    <w:rsid w:val="008A3976"/>
    <w:rsid w:val="008A3AB8"/>
    <w:rsid w:val="008A4647"/>
    <w:rsid w:val="008A46EB"/>
    <w:rsid w:val="008A47EC"/>
    <w:rsid w:val="008A4A7A"/>
    <w:rsid w:val="008A4BAF"/>
    <w:rsid w:val="008A4D6C"/>
    <w:rsid w:val="008A4FD4"/>
    <w:rsid w:val="008A5034"/>
    <w:rsid w:val="008A553E"/>
    <w:rsid w:val="008A55C0"/>
    <w:rsid w:val="008A5937"/>
    <w:rsid w:val="008A5D49"/>
    <w:rsid w:val="008A5D4A"/>
    <w:rsid w:val="008A60C7"/>
    <w:rsid w:val="008A638E"/>
    <w:rsid w:val="008A63CF"/>
    <w:rsid w:val="008A6414"/>
    <w:rsid w:val="008A665D"/>
    <w:rsid w:val="008A6952"/>
    <w:rsid w:val="008A69D6"/>
    <w:rsid w:val="008A6BDC"/>
    <w:rsid w:val="008A7333"/>
    <w:rsid w:val="008A7429"/>
    <w:rsid w:val="008A751E"/>
    <w:rsid w:val="008A756C"/>
    <w:rsid w:val="008A75D2"/>
    <w:rsid w:val="008A7679"/>
    <w:rsid w:val="008A7A77"/>
    <w:rsid w:val="008B0547"/>
    <w:rsid w:val="008B05EB"/>
    <w:rsid w:val="008B0D83"/>
    <w:rsid w:val="008B10A5"/>
    <w:rsid w:val="008B113C"/>
    <w:rsid w:val="008B11A3"/>
    <w:rsid w:val="008B18B9"/>
    <w:rsid w:val="008B1A20"/>
    <w:rsid w:val="008B1AB1"/>
    <w:rsid w:val="008B1CA6"/>
    <w:rsid w:val="008B1FE5"/>
    <w:rsid w:val="008B223C"/>
    <w:rsid w:val="008B229C"/>
    <w:rsid w:val="008B23F0"/>
    <w:rsid w:val="008B2AD7"/>
    <w:rsid w:val="008B2E7E"/>
    <w:rsid w:val="008B2F0F"/>
    <w:rsid w:val="008B2FF0"/>
    <w:rsid w:val="008B302F"/>
    <w:rsid w:val="008B31B3"/>
    <w:rsid w:val="008B3675"/>
    <w:rsid w:val="008B3A74"/>
    <w:rsid w:val="008B3CA5"/>
    <w:rsid w:val="008B3D72"/>
    <w:rsid w:val="008B3DF6"/>
    <w:rsid w:val="008B3ED8"/>
    <w:rsid w:val="008B411A"/>
    <w:rsid w:val="008B4216"/>
    <w:rsid w:val="008B434A"/>
    <w:rsid w:val="008B4458"/>
    <w:rsid w:val="008B475C"/>
    <w:rsid w:val="008B4A47"/>
    <w:rsid w:val="008B4E7C"/>
    <w:rsid w:val="008B50D8"/>
    <w:rsid w:val="008B510B"/>
    <w:rsid w:val="008B55EA"/>
    <w:rsid w:val="008B5688"/>
    <w:rsid w:val="008B56B8"/>
    <w:rsid w:val="008B58F9"/>
    <w:rsid w:val="008B5911"/>
    <w:rsid w:val="008B5DA7"/>
    <w:rsid w:val="008B607E"/>
    <w:rsid w:val="008B6640"/>
    <w:rsid w:val="008B6A37"/>
    <w:rsid w:val="008B6A56"/>
    <w:rsid w:val="008B6F08"/>
    <w:rsid w:val="008B71A7"/>
    <w:rsid w:val="008B7518"/>
    <w:rsid w:val="008B756E"/>
    <w:rsid w:val="008B79A7"/>
    <w:rsid w:val="008B7AC2"/>
    <w:rsid w:val="008B7B55"/>
    <w:rsid w:val="008B7E1F"/>
    <w:rsid w:val="008B7FD5"/>
    <w:rsid w:val="008C0071"/>
    <w:rsid w:val="008C0283"/>
    <w:rsid w:val="008C0339"/>
    <w:rsid w:val="008C0F3E"/>
    <w:rsid w:val="008C12EF"/>
    <w:rsid w:val="008C15C2"/>
    <w:rsid w:val="008C1917"/>
    <w:rsid w:val="008C1A4A"/>
    <w:rsid w:val="008C1AFD"/>
    <w:rsid w:val="008C25D0"/>
    <w:rsid w:val="008C268B"/>
    <w:rsid w:val="008C2691"/>
    <w:rsid w:val="008C26D0"/>
    <w:rsid w:val="008C29EE"/>
    <w:rsid w:val="008C2ABC"/>
    <w:rsid w:val="008C2AFA"/>
    <w:rsid w:val="008C31CD"/>
    <w:rsid w:val="008C3730"/>
    <w:rsid w:val="008C39CB"/>
    <w:rsid w:val="008C3A5B"/>
    <w:rsid w:val="008C3C55"/>
    <w:rsid w:val="008C3D50"/>
    <w:rsid w:val="008C437D"/>
    <w:rsid w:val="008C4823"/>
    <w:rsid w:val="008C4EF9"/>
    <w:rsid w:val="008C512A"/>
    <w:rsid w:val="008C5728"/>
    <w:rsid w:val="008C5822"/>
    <w:rsid w:val="008C597E"/>
    <w:rsid w:val="008C5B71"/>
    <w:rsid w:val="008C5CC1"/>
    <w:rsid w:val="008C5E3C"/>
    <w:rsid w:val="008C5FFD"/>
    <w:rsid w:val="008C69BF"/>
    <w:rsid w:val="008C6B27"/>
    <w:rsid w:val="008C6BCE"/>
    <w:rsid w:val="008C6D01"/>
    <w:rsid w:val="008C7008"/>
    <w:rsid w:val="008C7039"/>
    <w:rsid w:val="008C7559"/>
    <w:rsid w:val="008C79E8"/>
    <w:rsid w:val="008C7DC1"/>
    <w:rsid w:val="008D053B"/>
    <w:rsid w:val="008D07A9"/>
    <w:rsid w:val="008D09E8"/>
    <w:rsid w:val="008D0E23"/>
    <w:rsid w:val="008D142E"/>
    <w:rsid w:val="008D1630"/>
    <w:rsid w:val="008D1890"/>
    <w:rsid w:val="008D1A67"/>
    <w:rsid w:val="008D1BFC"/>
    <w:rsid w:val="008D1E43"/>
    <w:rsid w:val="008D1FE1"/>
    <w:rsid w:val="008D2382"/>
    <w:rsid w:val="008D23B5"/>
    <w:rsid w:val="008D23DC"/>
    <w:rsid w:val="008D24ED"/>
    <w:rsid w:val="008D2775"/>
    <w:rsid w:val="008D2791"/>
    <w:rsid w:val="008D290D"/>
    <w:rsid w:val="008D2D76"/>
    <w:rsid w:val="008D2EB8"/>
    <w:rsid w:val="008D2F21"/>
    <w:rsid w:val="008D3521"/>
    <w:rsid w:val="008D3570"/>
    <w:rsid w:val="008D367F"/>
    <w:rsid w:val="008D3BD7"/>
    <w:rsid w:val="008D3C09"/>
    <w:rsid w:val="008D3C87"/>
    <w:rsid w:val="008D40B3"/>
    <w:rsid w:val="008D421A"/>
    <w:rsid w:val="008D449E"/>
    <w:rsid w:val="008D4846"/>
    <w:rsid w:val="008D4A48"/>
    <w:rsid w:val="008D5667"/>
    <w:rsid w:val="008D57ED"/>
    <w:rsid w:val="008D597F"/>
    <w:rsid w:val="008D603D"/>
    <w:rsid w:val="008D61B7"/>
    <w:rsid w:val="008D61F8"/>
    <w:rsid w:val="008D62A6"/>
    <w:rsid w:val="008D675C"/>
    <w:rsid w:val="008D6784"/>
    <w:rsid w:val="008D6B2F"/>
    <w:rsid w:val="008D6D9A"/>
    <w:rsid w:val="008D6F5D"/>
    <w:rsid w:val="008D72A8"/>
    <w:rsid w:val="008D7A0A"/>
    <w:rsid w:val="008D7AD8"/>
    <w:rsid w:val="008D7CB3"/>
    <w:rsid w:val="008D7CB8"/>
    <w:rsid w:val="008D7D82"/>
    <w:rsid w:val="008D7F41"/>
    <w:rsid w:val="008D7F62"/>
    <w:rsid w:val="008E003A"/>
    <w:rsid w:val="008E0529"/>
    <w:rsid w:val="008E08A4"/>
    <w:rsid w:val="008E109B"/>
    <w:rsid w:val="008E1453"/>
    <w:rsid w:val="008E15E3"/>
    <w:rsid w:val="008E197E"/>
    <w:rsid w:val="008E2045"/>
    <w:rsid w:val="008E20BE"/>
    <w:rsid w:val="008E287E"/>
    <w:rsid w:val="008E28AE"/>
    <w:rsid w:val="008E2C38"/>
    <w:rsid w:val="008E2E14"/>
    <w:rsid w:val="008E3380"/>
    <w:rsid w:val="008E3A8C"/>
    <w:rsid w:val="008E3AC0"/>
    <w:rsid w:val="008E3C0B"/>
    <w:rsid w:val="008E3F76"/>
    <w:rsid w:val="008E4027"/>
    <w:rsid w:val="008E40B8"/>
    <w:rsid w:val="008E45A3"/>
    <w:rsid w:val="008E477B"/>
    <w:rsid w:val="008E4A1F"/>
    <w:rsid w:val="008E4C62"/>
    <w:rsid w:val="008E4E55"/>
    <w:rsid w:val="008E4E85"/>
    <w:rsid w:val="008E537D"/>
    <w:rsid w:val="008E581C"/>
    <w:rsid w:val="008E5DC3"/>
    <w:rsid w:val="008E6003"/>
    <w:rsid w:val="008E622A"/>
    <w:rsid w:val="008E64B5"/>
    <w:rsid w:val="008E6A21"/>
    <w:rsid w:val="008E6BEC"/>
    <w:rsid w:val="008E6F9F"/>
    <w:rsid w:val="008E727E"/>
    <w:rsid w:val="008E72E1"/>
    <w:rsid w:val="008E78BF"/>
    <w:rsid w:val="008E7BB6"/>
    <w:rsid w:val="008E7D29"/>
    <w:rsid w:val="008E7D97"/>
    <w:rsid w:val="008F013D"/>
    <w:rsid w:val="008F03C0"/>
    <w:rsid w:val="008F03CB"/>
    <w:rsid w:val="008F045B"/>
    <w:rsid w:val="008F05FB"/>
    <w:rsid w:val="008F0A4B"/>
    <w:rsid w:val="008F0B17"/>
    <w:rsid w:val="008F0C2D"/>
    <w:rsid w:val="008F0F1C"/>
    <w:rsid w:val="008F136C"/>
    <w:rsid w:val="008F1E31"/>
    <w:rsid w:val="008F1F05"/>
    <w:rsid w:val="008F1FA2"/>
    <w:rsid w:val="008F2493"/>
    <w:rsid w:val="008F2559"/>
    <w:rsid w:val="008F2619"/>
    <w:rsid w:val="008F2902"/>
    <w:rsid w:val="008F2FAB"/>
    <w:rsid w:val="008F38B2"/>
    <w:rsid w:val="008F3912"/>
    <w:rsid w:val="008F3DF9"/>
    <w:rsid w:val="008F4047"/>
    <w:rsid w:val="008F4111"/>
    <w:rsid w:val="008F4593"/>
    <w:rsid w:val="008F490C"/>
    <w:rsid w:val="008F4CB9"/>
    <w:rsid w:val="008F4FDF"/>
    <w:rsid w:val="008F50FE"/>
    <w:rsid w:val="008F5604"/>
    <w:rsid w:val="008F5AE6"/>
    <w:rsid w:val="008F6071"/>
    <w:rsid w:val="008F60C6"/>
    <w:rsid w:val="008F6220"/>
    <w:rsid w:val="008F660B"/>
    <w:rsid w:val="008F67EF"/>
    <w:rsid w:val="008F695F"/>
    <w:rsid w:val="008F6E12"/>
    <w:rsid w:val="008F6F9E"/>
    <w:rsid w:val="008F7290"/>
    <w:rsid w:val="00900057"/>
    <w:rsid w:val="0090019D"/>
    <w:rsid w:val="00900516"/>
    <w:rsid w:val="009005CE"/>
    <w:rsid w:val="009006A0"/>
    <w:rsid w:val="00900822"/>
    <w:rsid w:val="0090082D"/>
    <w:rsid w:val="0090087F"/>
    <w:rsid w:val="00900C17"/>
    <w:rsid w:val="00900CF2"/>
    <w:rsid w:val="00901129"/>
    <w:rsid w:val="00901376"/>
    <w:rsid w:val="00901380"/>
    <w:rsid w:val="0090141B"/>
    <w:rsid w:val="0090187D"/>
    <w:rsid w:val="0090188B"/>
    <w:rsid w:val="009018BE"/>
    <w:rsid w:val="00901AF4"/>
    <w:rsid w:val="00901EE5"/>
    <w:rsid w:val="00901F83"/>
    <w:rsid w:val="009021A4"/>
    <w:rsid w:val="009027FA"/>
    <w:rsid w:val="009028C4"/>
    <w:rsid w:val="009028CD"/>
    <w:rsid w:val="00902A54"/>
    <w:rsid w:val="00902F06"/>
    <w:rsid w:val="0090306F"/>
    <w:rsid w:val="00903309"/>
    <w:rsid w:val="009034BE"/>
    <w:rsid w:val="009039C5"/>
    <w:rsid w:val="00903C16"/>
    <w:rsid w:val="00903EC2"/>
    <w:rsid w:val="00903ED6"/>
    <w:rsid w:val="00904305"/>
    <w:rsid w:val="00904362"/>
    <w:rsid w:val="0090441C"/>
    <w:rsid w:val="009045D3"/>
    <w:rsid w:val="009047D9"/>
    <w:rsid w:val="00904979"/>
    <w:rsid w:val="00904986"/>
    <w:rsid w:val="00904C5A"/>
    <w:rsid w:val="00904CA6"/>
    <w:rsid w:val="00904EC5"/>
    <w:rsid w:val="00905B11"/>
    <w:rsid w:val="00906150"/>
    <w:rsid w:val="009062C7"/>
    <w:rsid w:val="00906B15"/>
    <w:rsid w:val="00907430"/>
    <w:rsid w:val="00907498"/>
    <w:rsid w:val="00907968"/>
    <w:rsid w:val="00907A72"/>
    <w:rsid w:val="00907F0D"/>
    <w:rsid w:val="009104A9"/>
    <w:rsid w:val="00910550"/>
    <w:rsid w:val="00910A48"/>
    <w:rsid w:val="00910A67"/>
    <w:rsid w:val="00910B17"/>
    <w:rsid w:val="00910B23"/>
    <w:rsid w:val="00910C0D"/>
    <w:rsid w:val="0091159F"/>
    <w:rsid w:val="00911BA9"/>
    <w:rsid w:val="00911F81"/>
    <w:rsid w:val="0091267A"/>
    <w:rsid w:val="00912A85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64"/>
    <w:rsid w:val="00914672"/>
    <w:rsid w:val="009149EC"/>
    <w:rsid w:val="00914ADE"/>
    <w:rsid w:val="00914B48"/>
    <w:rsid w:val="0091511B"/>
    <w:rsid w:val="0091512A"/>
    <w:rsid w:val="00915779"/>
    <w:rsid w:val="00915C42"/>
    <w:rsid w:val="0091622F"/>
    <w:rsid w:val="00916377"/>
    <w:rsid w:val="00916549"/>
    <w:rsid w:val="00916A4F"/>
    <w:rsid w:val="00916A57"/>
    <w:rsid w:val="00916B9A"/>
    <w:rsid w:val="009172D7"/>
    <w:rsid w:val="009173D0"/>
    <w:rsid w:val="00917A34"/>
    <w:rsid w:val="00917AFB"/>
    <w:rsid w:val="00917B6F"/>
    <w:rsid w:val="00917D2C"/>
    <w:rsid w:val="00917E08"/>
    <w:rsid w:val="00917E84"/>
    <w:rsid w:val="00920387"/>
    <w:rsid w:val="00920489"/>
    <w:rsid w:val="00920D31"/>
    <w:rsid w:val="00920FEC"/>
    <w:rsid w:val="009211CF"/>
    <w:rsid w:val="009211F2"/>
    <w:rsid w:val="00921705"/>
    <w:rsid w:val="00921A3E"/>
    <w:rsid w:val="00921A4F"/>
    <w:rsid w:val="00921B79"/>
    <w:rsid w:val="00922061"/>
    <w:rsid w:val="00922295"/>
    <w:rsid w:val="009226F4"/>
    <w:rsid w:val="0092299C"/>
    <w:rsid w:val="00922CD3"/>
    <w:rsid w:val="00922E38"/>
    <w:rsid w:val="009230E2"/>
    <w:rsid w:val="009232B9"/>
    <w:rsid w:val="0092336E"/>
    <w:rsid w:val="009236AA"/>
    <w:rsid w:val="009238AF"/>
    <w:rsid w:val="009239AA"/>
    <w:rsid w:val="00923AF8"/>
    <w:rsid w:val="00924173"/>
    <w:rsid w:val="0092425D"/>
    <w:rsid w:val="009245B5"/>
    <w:rsid w:val="009245D0"/>
    <w:rsid w:val="009248EF"/>
    <w:rsid w:val="00924AB4"/>
    <w:rsid w:val="00924BB9"/>
    <w:rsid w:val="009252B5"/>
    <w:rsid w:val="00925431"/>
    <w:rsid w:val="0092578D"/>
    <w:rsid w:val="009257B6"/>
    <w:rsid w:val="00925DB3"/>
    <w:rsid w:val="00925DF7"/>
    <w:rsid w:val="00925EF2"/>
    <w:rsid w:val="00925F3C"/>
    <w:rsid w:val="00926204"/>
    <w:rsid w:val="009264C7"/>
    <w:rsid w:val="00926502"/>
    <w:rsid w:val="009265A0"/>
    <w:rsid w:val="00926984"/>
    <w:rsid w:val="009269E3"/>
    <w:rsid w:val="00926DBE"/>
    <w:rsid w:val="009274C7"/>
    <w:rsid w:val="00927CC9"/>
    <w:rsid w:val="00927FAA"/>
    <w:rsid w:val="00930134"/>
    <w:rsid w:val="0093097F"/>
    <w:rsid w:val="00930F0E"/>
    <w:rsid w:val="0093118A"/>
    <w:rsid w:val="0093163E"/>
    <w:rsid w:val="00931955"/>
    <w:rsid w:val="00931DC7"/>
    <w:rsid w:val="00932208"/>
    <w:rsid w:val="00932259"/>
    <w:rsid w:val="009327C5"/>
    <w:rsid w:val="00932814"/>
    <w:rsid w:val="00932973"/>
    <w:rsid w:val="00932D4D"/>
    <w:rsid w:val="00932ED6"/>
    <w:rsid w:val="00932EFE"/>
    <w:rsid w:val="009332F5"/>
    <w:rsid w:val="009336C8"/>
    <w:rsid w:val="00933736"/>
    <w:rsid w:val="009337D3"/>
    <w:rsid w:val="009339EB"/>
    <w:rsid w:val="00933A1D"/>
    <w:rsid w:val="00933B05"/>
    <w:rsid w:val="00933CBC"/>
    <w:rsid w:val="009344C2"/>
    <w:rsid w:val="009346EA"/>
    <w:rsid w:val="009347FC"/>
    <w:rsid w:val="00934ADA"/>
    <w:rsid w:val="00934B87"/>
    <w:rsid w:val="00934BAF"/>
    <w:rsid w:val="00934D8A"/>
    <w:rsid w:val="00934F64"/>
    <w:rsid w:val="00934F6D"/>
    <w:rsid w:val="00934FEC"/>
    <w:rsid w:val="00935493"/>
    <w:rsid w:val="009354B8"/>
    <w:rsid w:val="009355A2"/>
    <w:rsid w:val="009356D9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872"/>
    <w:rsid w:val="00936AB2"/>
    <w:rsid w:val="00936B5E"/>
    <w:rsid w:val="00936BFE"/>
    <w:rsid w:val="00936C7F"/>
    <w:rsid w:val="009373EF"/>
    <w:rsid w:val="009377EA"/>
    <w:rsid w:val="0093795C"/>
    <w:rsid w:val="00937C88"/>
    <w:rsid w:val="00937DCB"/>
    <w:rsid w:val="00937E53"/>
    <w:rsid w:val="00937EC9"/>
    <w:rsid w:val="00937F77"/>
    <w:rsid w:val="00937F7E"/>
    <w:rsid w:val="0094001E"/>
    <w:rsid w:val="00940363"/>
    <w:rsid w:val="009404FB"/>
    <w:rsid w:val="00940576"/>
    <w:rsid w:val="009405C8"/>
    <w:rsid w:val="0094075C"/>
    <w:rsid w:val="009407BB"/>
    <w:rsid w:val="00940DD8"/>
    <w:rsid w:val="0094104B"/>
    <w:rsid w:val="0094141F"/>
    <w:rsid w:val="00941655"/>
    <w:rsid w:val="00941C5B"/>
    <w:rsid w:val="00941FF5"/>
    <w:rsid w:val="00942022"/>
    <w:rsid w:val="0094205A"/>
    <w:rsid w:val="0094237D"/>
    <w:rsid w:val="009425D0"/>
    <w:rsid w:val="00942814"/>
    <w:rsid w:val="009429B8"/>
    <w:rsid w:val="00942FB7"/>
    <w:rsid w:val="00943395"/>
    <w:rsid w:val="00943453"/>
    <w:rsid w:val="009438EA"/>
    <w:rsid w:val="00943D34"/>
    <w:rsid w:val="00943F9A"/>
    <w:rsid w:val="009440DE"/>
    <w:rsid w:val="00944198"/>
    <w:rsid w:val="0094429F"/>
    <w:rsid w:val="009444E6"/>
    <w:rsid w:val="009448E4"/>
    <w:rsid w:val="00944900"/>
    <w:rsid w:val="009449E0"/>
    <w:rsid w:val="00944A8E"/>
    <w:rsid w:val="00944D43"/>
    <w:rsid w:val="009450F0"/>
    <w:rsid w:val="009453E9"/>
    <w:rsid w:val="0094541F"/>
    <w:rsid w:val="009455E6"/>
    <w:rsid w:val="0094589B"/>
    <w:rsid w:val="00945A95"/>
    <w:rsid w:val="00945C6B"/>
    <w:rsid w:val="00946216"/>
    <w:rsid w:val="009465EE"/>
    <w:rsid w:val="00946958"/>
    <w:rsid w:val="00946A49"/>
    <w:rsid w:val="00946D3C"/>
    <w:rsid w:val="009476BA"/>
    <w:rsid w:val="0094787C"/>
    <w:rsid w:val="00947AEE"/>
    <w:rsid w:val="00947EE9"/>
    <w:rsid w:val="00947F64"/>
    <w:rsid w:val="0095030E"/>
    <w:rsid w:val="00950390"/>
    <w:rsid w:val="00950775"/>
    <w:rsid w:val="009509C0"/>
    <w:rsid w:val="00950AFF"/>
    <w:rsid w:val="00951313"/>
    <w:rsid w:val="009514DE"/>
    <w:rsid w:val="00951938"/>
    <w:rsid w:val="00951BB8"/>
    <w:rsid w:val="00952660"/>
    <w:rsid w:val="00952838"/>
    <w:rsid w:val="00952A65"/>
    <w:rsid w:val="00952B9C"/>
    <w:rsid w:val="00952E93"/>
    <w:rsid w:val="009530DC"/>
    <w:rsid w:val="00953422"/>
    <w:rsid w:val="009539F2"/>
    <w:rsid w:val="00953B70"/>
    <w:rsid w:val="00953C3C"/>
    <w:rsid w:val="00953CCB"/>
    <w:rsid w:val="0095488A"/>
    <w:rsid w:val="009548E7"/>
    <w:rsid w:val="00954978"/>
    <w:rsid w:val="00954C38"/>
    <w:rsid w:val="00954D0C"/>
    <w:rsid w:val="00954E92"/>
    <w:rsid w:val="009550C2"/>
    <w:rsid w:val="00955620"/>
    <w:rsid w:val="00955C62"/>
    <w:rsid w:val="00955E2A"/>
    <w:rsid w:val="00955F59"/>
    <w:rsid w:val="00956330"/>
    <w:rsid w:val="00956348"/>
    <w:rsid w:val="0095650D"/>
    <w:rsid w:val="00956BA7"/>
    <w:rsid w:val="00956EB1"/>
    <w:rsid w:val="00956F04"/>
    <w:rsid w:val="00956FD8"/>
    <w:rsid w:val="009575F7"/>
    <w:rsid w:val="009577D1"/>
    <w:rsid w:val="00957A98"/>
    <w:rsid w:val="00957B9A"/>
    <w:rsid w:val="00957E4B"/>
    <w:rsid w:val="00957EA2"/>
    <w:rsid w:val="0096021A"/>
    <w:rsid w:val="0096053C"/>
    <w:rsid w:val="00960D89"/>
    <w:rsid w:val="00960F5E"/>
    <w:rsid w:val="00960F73"/>
    <w:rsid w:val="00961346"/>
    <w:rsid w:val="0096169A"/>
    <w:rsid w:val="00961A86"/>
    <w:rsid w:val="00961B3B"/>
    <w:rsid w:val="00961DAE"/>
    <w:rsid w:val="00961F29"/>
    <w:rsid w:val="00962202"/>
    <w:rsid w:val="009622D8"/>
    <w:rsid w:val="00962337"/>
    <w:rsid w:val="009624DE"/>
    <w:rsid w:val="00962509"/>
    <w:rsid w:val="009625FE"/>
    <w:rsid w:val="00962C94"/>
    <w:rsid w:val="00962D70"/>
    <w:rsid w:val="00962F11"/>
    <w:rsid w:val="00963363"/>
    <w:rsid w:val="009635FB"/>
    <w:rsid w:val="00964075"/>
    <w:rsid w:val="009642CA"/>
    <w:rsid w:val="00964559"/>
    <w:rsid w:val="00964606"/>
    <w:rsid w:val="00964798"/>
    <w:rsid w:val="00964B4C"/>
    <w:rsid w:val="00964BE5"/>
    <w:rsid w:val="00964ED5"/>
    <w:rsid w:val="00964F2B"/>
    <w:rsid w:val="00965116"/>
    <w:rsid w:val="009652B6"/>
    <w:rsid w:val="00965A36"/>
    <w:rsid w:val="00965B60"/>
    <w:rsid w:val="00965CBD"/>
    <w:rsid w:val="00965D55"/>
    <w:rsid w:val="00965F42"/>
    <w:rsid w:val="00965FE1"/>
    <w:rsid w:val="0096655D"/>
    <w:rsid w:val="009671A7"/>
    <w:rsid w:val="009675D1"/>
    <w:rsid w:val="009679CA"/>
    <w:rsid w:val="00967AB4"/>
    <w:rsid w:val="00967CA9"/>
    <w:rsid w:val="0097014D"/>
    <w:rsid w:val="009702E6"/>
    <w:rsid w:val="009703A7"/>
    <w:rsid w:val="009705AB"/>
    <w:rsid w:val="00970664"/>
    <w:rsid w:val="009707B6"/>
    <w:rsid w:val="00970974"/>
    <w:rsid w:val="009709EC"/>
    <w:rsid w:val="00970E8A"/>
    <w:rsid w:val="00971139"/>
    <w:rsid w:val="0097128D"/>
    <w:rsid w:val="009712B4"/>
    <w:rsid w:val="009715E5"/>
    <w:rsid w:val="00971F21"/>
    <w:rsid w:val="00971F5D"/>
    <w:rsid w:val="00972288"/>
    <w:rsid w:val="00972B10"/>
    <w:rsid w:val="00972DED"/>
    <w:rsid w:val="00973554"/>
    <w:rsid w:val="0097358B"/>
    <w:rsid w:val="00973A29"/>
    <w:rsid w:val="00973B6E"/>
    <w:rsid w:val="00973DD8"/>
    <w:rsid w:val="00973E1D"/>
    <w:rsid w:val="00973F4A"/>
    <w:rsid w:val="0097401F"/>
    <w:rsid w:val="00974595"/>
    <w:rsid w:val="0097465C"/>
    <w:rsid w:val="00974DB6"/>
    <w:rsid w:val="00974E53"/>
    <w:rsid w:val="00974F91"/>
    <w:rsid w:val="009754B8"/>
    <w:rsid w:val="009755EE"/>
    <w:rsid w:val="00975603"/>
    <w:rsid w:val="00975E28"/>
    <w:rsid w:val="00975E49"/>
    <w:rsid w:val="00975EA5"/>
    <w:rsid w:val="00976726"/>
    <w:rsid w:val="00976F32"/>
    <w:rsid w:val="0097752F"/>
    <w:rsid w:val="00977648"/>
    <w:rsid w:val="009778B7"/>
    <w:rsid w:val="00977D85"/>
    <w:rsid w:val="0098057D"/>
    <w:rsid w:val="00980C3D"/>
    <w:rsid w:val="0098103C"/>
    <w:rsid w:val="00981234"/>
    <w:rsid w:val="009812A8"/>
    <w:rsid w:val="00981632"/>
    <w:rsid w:val="00981AE9"/>
    <w:rsid w:val="00981F17"/>
    <w:rsid w:val="00981FA0"/>
    <w:rsid w:val="00982496"/>
    <w:rsid w:val="009825AE"/>
    <w:rsid w:val="00982630"/>
    <w:rsid w:val="0098263A"/>
    <w:rsid w:val="00982ED7"/>
    <w:rsid w:val="00983541"/>
    <w:rsid w:val="00983A7B"/>
    <w:rsid w:val="00983B0F"/>
    <w:rsid w:val="00984046"/>
    <w:rsid w:val="00984366"/>
    <w:rsid w:val="00984666"/>
    <w:rsid w:val="009848A7"/>
    <w:rsid w:val="00984CA0"/>
    <w:rsid w:val="00984E80"/>
    <w:rsid w:val="0098529D"/>
    <w:rsid w:val="0098543F"/>
    <w:rsid w:val="00985656"/>
    <w:rsid w:val="00985B6F"/>
    <w:rsid w:val="00985B79"/>
    <w:rsid w:val="009861A8"/>
    <w:rsid w:val="009861C2"/>
    <w:rsid w:val="0098629B"/>
    <w:rsid w:val="0098634E"/>
    <w:rsid w:val="00986460"/>
    <w:rsid w:val="0098690F"/>
    <w:rsid w:val="00986A7E"/>
    <w:rsid w:val="00986BC3"/>
    <w:rsid w:val="00986D68"/>
    <w:rsid w:val="00986FBE"/>
    <w:rsid w:val="0098701B"/>
    <w:rsid w:val="00987088"/>
    <w:rsid w:val="009870A0"/>
    <w:rsid w:val="0098752A"/>
    <w:rsid w:val="00987565"/>
    <w:rsid w:val="00987994"/>
    <w:rsid w:val="00987A84"/>
    <w:rsid w:val="00987ACF"/>
    <w:rsid w:val="00987B36"/>
    <w:rsid w:val="00987C66"/>
    <w:rsid w:val="00987D93"/>
    <w:rsid w:val="00987EE5"/>
    <w:rsid w:val="009900F0"/>
    <w:rsid w:val="00990180"/>
    <w:rsid w:val="009907EB"/>
    <w:rsid w:val="00990C67"/>
    <w:rsid w:val="00990E8A"/>
    <w:rsid w:val="009910C5"/>
    <w:rsid w:val="00991AA9"/>
    <w:rsid w:val="00991CD8"/>
    <w:rsid w:val="00991EBE"/>
    <w:rsid w:val="009923AC"/>
    <w:rsid w:val="009923E5"/>
    <w:rsid w:val="00992741"/>
    <w:rsid w:val="00992830"/>
    <w:rsid w:val="009928B3"/>
    <w:rsid w:val="00992968"/>
    <w:rsid w:val="00992A4A"/>
    <w:rsid w:val="00992B6B"/>
    <w:rsid w:val="00992C88"/>
    <w:rsid w:val="00992F2E"/>
    <w:rsid w:val="00993431"/>
    <w:rsid w:val="0099343D"/>
    <w:rsid w:val="00993495"/>
    <w:rsid w:val="009939EB"/>
    <w:rsid w:val="00993B9D"/>
    <w:rsid w:val="00993C2E"/>
    <w:rsid w:val="00993CEC"/>
    <w:rsid w:val="00993D33"/>
    <w:rsid w:val="009943ED"/>
    <w:rsid w:val="0099454E"/>
    <w:rsid w:val="0099456D"/>
    <w:rsid w:val="00994618"/>
    <w:rsid w:val="00994920"/>
    <w:rsid w:val="00994948"/>
    <w:rsid w:val="00994E8A"/>
    <w:rsid w:val="00994F60"/>
    <w:rsid w:val="00995151"/>
    <w:rsid w:val="0099545F"/>
    <w:rsid w:val="00995BF1"/>
    <w:rsid w:val="00995CC4"/>
    <w:rsid w:val="00995DF2"/>
    <w:rsid w:val="00995F16"/>
    <w:rsid w:val="0099769B"/>
    <w:rsid w:val="00997764"/>
    <w:rsid w:val="00997832"/>
    <w:rsid w:val="00997887"/>
    <w:rsid w:val="00997905"/>
    <w:rsid w:val="00997A8C"/>
    <w:rsid w:val="00997B51"/>
    <w:rsid w:val="00997B80"/>
    <w:rsid w:val="00997C8A"/>
    <w:rsid w:val="00997CDC"/>
    <w:rsid w:val="009A019F"/>
    <w:rsid w:val="009A0493"/>
    <w:rsid w:val="009A0547"/>
    <w:rsid w:val="009A0CCD"/>
    <w:rsid w:val="009A0CFB"/>
    <w:rsid w:val="009A0E89"/>
    <w:rsid w:val="009A0F40"/>
    <w:rsid w:val="009A0F9E"/>
    <w:rsid w:val="009A11C4"/>
    <w:rsid w:val="009A1339"/>
    <w:rsid w:val="009A180C"/>
    <w:rsid w:val="009A188A"/>
    <w:rsid w:val="009A1A95"/>
    <w:rsid w:val="009A1BCF"/>
    <w:rsid w:val="009A1C41"/>
    <w:rsid w:val="009A1C5F"/>
    <w:rsid w:val="009A1D11"/>
    <w:rsid w:val="009A234A"/>
    <w:rsid w:val="009A26E9"/>
    <w:rsid w:val="009A2C26"/>
    <w:rsid w:val="009A2CCC"/>
    <w:rsid w:val="009A2F68"/>
    <w:rsid w:val="009A3006"/>
    <w:rsid w:val="009A309F"/>
    <w:rsid w:val="009A337B"/>
    <w:rsid w:val="009A34C8"/>
    <w:rsid w:val="009A3994"/>
    <w:rsid w:val="009A3BB3"/>
    <w:rsid w:val="009A4241"/>
    <w:rsid w:val="009A42F6"/>
    <w:rsid w:val="009A445A"/>
    <w:rsid w:val="009A4498"/>
    <w:rsid w:val="009A45C8"/>
    <w:rsid w:val="009A48A3"/>
    <w:rsid w:val="009A4EAD"/>
    <w:rsid w:val="009A50CD"/>
    <w:rsid w:val="009A52F3"/>
    <w:rsid w:val="009A532D"/>
    <w:rsid w:val="009A59FF"/>
    <w:rsid w:val="009A65F4"/>
    <w:rsid w:val="009A681D"/>
    <w:rsid w:val="009A742F"/>
    <w:rsid w:val="009A7617"/>
    <w:rsid w:val="009A77A6"/>
    <w:rsid w:val="009A78A3"/>
    <w:rsid w:val="009A7961"/>
    <w:rsid w:val="009A7B5C"/>
    <w:rsid w:val="009B03A1"/>
    <w:rsid w:val="009B03E8"/>
    <w:rsid w:val="009B06A8"/>
    <w:rsid w:val="009B06C0"/>
    <w:rsid w:val="009B077E"/>
    <w:rsid w:val="009B09BF"/>
    <w:rsid w:val="009B0B80"/>
    <w:rsid w:val="009B0E76"/>
    <w:rsid w:val="009B0F4A"/>
    <w:rsid w:val="009B0FC0"/>
    <w:rsid w:val="009B1811"/>
    <w:rsid w:val="009B1900"/>
    <w:rsid w:val="009B1B10"/>
    <w:rsid w:val="009B1D73"/>
    <w:rsid w:val="009B1DAD"/>
    <w:rsid w:val="009B2107"/>
    <w:rsid w:val="009B23FD"/>
    <w:rsid w:val="009B2839"/>
    <w:rsid w:val="009B2CAA"/>
    <w:rsid w:val="009B2FB9"/>
    <w:rsid w:val="009B3134"/>
    <w:rsid w:val="009B32B1"/>
    <w:rsid w:val="009B33BF"/>
    <w:rsid w:val="009B3668"/>
    <w:rsid w:val="009B39F7"/>
    <w:rsid w:val="009B3AA8"/>
    <w:rsid w:val="009B436E"/>
    <w:rsid w:val="009B4598"/>
    <w:rsid w:val="009B45C4"/>
    <w:rsid w:val="009B480B"/>
    <w:rsid w:val="009B4C24"/>
    <w:rsid w:val="009B4E58"/>
    <w:rsid w:val="009B522F"/>
    <w:rsid w:val="009B56E4"/>
    <w:rsid w:val="009B57F6"/>
    <w:rsid w:val="009B5B02"/>
    <w:rsid w:val="009B5B0F"/>
    <w:rsid w:val="009B5BD6"/>
    <w:rsid w:val="009B5D6F"/>
    <w:rsid w:val="009B5F9A"/>
    <w:rsid w:val="009B62AF"/>
    <w:rsid w:val="009B63AE"/>
    <w:rsid w:val="009B6745"/>
    <w:rsid w:val="009B68AF"/>
    <w:rsid w:val="009B6ED3"/>
    <w:rsid w:val="009B6FAB"/>
    <w:rsid w:val="009B7286"/>
    <w:rsid w:val="009B73AE"/>
    <w:rsid w:val="009B74EA"/>
    <w:rsid w:val="009B7549"/>
    <w:rsid w:val="009B7AB7"/>
    <w:rsid w:val="009B7AB9"/>
    <w:rsid w:val="009C01D2"/>
    <w:rsid w:val="009C029D"/>
    <w:rsid w:val="009C02B7"/>
    <w:rsid w:val="009C04DC"/>
    <w:rsid w:val="009C0567"/>
    <w:rsid w:val="009C0772"/>
    <w:rsid w:val="009C07D7"/>
    <w:rsid w:val="009C0894"/>
    <w:rsid w:val="009C0AF5"/>
    <w:rsid w:val="009C0C4E"/>
    <w:rsid w:val="009C0E75"/>
    <w:rsid w:val="009C1101"/>
    <w:rsid w:val="009C1647"/>
    <w:rsid w:val="009C1855"/>
    <w:rsid w:val="009C1AC5"/>
    <w:rsid w:val="009C1D47"/>
    <w:rsid w:val="009C1ED2"/>
    <w:rsid w:val="009C22E6"/>
    <w:rsid w:val="009C2B82"/>
    <w:rsid w:val="009C2E9D"/>
    <w:rsid w:val="009C2FA7"/>
    <w:rsid w:val="009C33CA"/>
    <w:rsid w:val="009C39AF"/>
    <w:rsid w:val="009C3EB1"/>
    <w:rsid w:val="009C4359"/>
    <w:rsid w:val="009C4B6D"/>
    <w:rsid w:val="009C5146"/>
    <w:rsid w:val="009C55C1"/>
    <w:rsid w:val="009C56E6"/>
    <w:rsid w:val="009C57AC"/>
    <w:rsid w:val="009C5803"/>
    <w:rsid w:val="009C5B2F"/>
    <w:rsid w:val="009C5EDE"/>
    <w:rsid w:val="009C6087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0A39"/>
    <w:rsid w:val="009D131D"/>
    <w:rsid w:val="009D15F8"/>
    <w:rsid w:val="009D1941"/>
    <w:rsid w:val="009D1B99"/>
    <w:rsid w:val="009D1DD8"/>
    <w:rsid w:val="009D2609"/>
    <w:rsid w:val="009D2884"/>
    <w:rsid w:val="009D2A4F"/>
    <w:rsid w:val="009D2B2F"/>
    <w:rsid w:val="009D2B45"/>
    <w:rsid w:val="009D2E46"/>
    <w:rsid w:val="009D2F24"/>
    <w:rsid w:val="009D325B"/>
    <w:rsid w:val="009D3407"/>
    <w:rsid w:val="009D35CC"/>
    <w:rsid w:val="009D377D"/>
    <w:rsid w:val="009D3890"/>
    <w:rsid w:val="009D396D"/>
    <w:rsid w:val="009D3B41"/>
    <w:rsid w:val="009D3D0B"/>
    <w:rsid w:val="009D4062"/>
    <w:rsid w:val="009D44F6"/>
    <w:rsid w:val="009D45C8"/>
    <w:rsid w:val="009D4D44"/>
    <w:rsid w:val="009D4DF9"/>
    <w:rsid w:val="009D4FF7"/>
    <w:rsid w:val="009D51E2"/>
    <w:rsid w:val="009D5393"/>
    <w:rsid w:val="009D5445"/>
    <w:rsid w:val="009D5604"/>
    <w:rsid w:val="009D565F"/>
    <w:rsid w:val="009D56C8"/>
    <w:rsid w:val="009D5820"/>
    <w:rsid w:val="009D5AE6"/>
    <w:rsid w:val="009D6026"/>
    <w:rsid w:val="009D65B9"/>
    <w:rsid w:val="009D6C11"/>
    <w:rsid w:val="009D6C99"/>
    <w:rsid w:val="009D70EE"/>
    <w:rsid w:val="009D7194"/>
    <w:rsid w:val="009D733B"/>
    <w:rsid w:val="009D7474"/>
    <w:rsid w:val="009D7949"/>
    <w:rsid w:val="009D7A7F"/>
    <w:rsid w:val="009E0488"/>
    <w:rsid w:val="009E04DC"/>
    <w:rsid w:val="009E0686"/>
    <w:rsid w:val="009E0764"/>
    <w:rsid w:val="009E0931"/>
    <w:rsid w:val="009E0DA8"/>
    <w:rsid w:val="009E0FB3"/>
    <w:rsid w:val="009E1000"/>
    <w:rsid w:val="009E106E"/>
    <w:rsid w:val="009E11F6"/>
    <w:rsid w:val="009E1605"/>
    <w:rsid w:val="009E1BEB"/>
    <w:rsid w:val="009E1C20"/>
    <w:rsid w:val="009E1F03"/>
    <w:rsid w:val="009E2E7B"/>
    <w:rsid w:val="009E370E"/>
    <w:rsid w:val="009E3AD9"/>
    <w:rsid w:val="009E3B5A"/>
    <w:rsid w:val="009E3E85"/>
    <w:rsid w:val="009E4226"/>
    <w:rsid w:val="009E4562"/>
    <w:rsid w:val="009E46D3"/>
    <w:rsid w:val="009E488C"/>
    <w:rsid w:val="009E48E4"/>
    <w:rsid w:val="009E4E51"/>
    <w:rsid w:val="009E5105"/>
    <w:rsid w:val="009E52D7"/>
    <w:rsid w:val="009E5891"/>
    <w:rsid w:val="009E593F"/>
    <w:rsid w:val="009E5963"/>
    <w:rsid w:val="009E59A1"/>
    <w:rsid w:val="009E5CBE"/>
    <w:rsid w:val="009E6477"/>
    <w:rsid w:val="009E66EE"/>
    <w:rsid w:val="009E681A"/>
    <w:rsid w:val="009E6AAD"/>
    <w:rsid w:val="009E6CD6"/>
    <w:rsid w:val="009E6CD9"/>
    <w:rsid w:val="009E733E"/>
    <w:rsid w:val="009E74C5"/>
    <w:rsid w:val="009E7E3C"/>
    <w:rsid w:val="009E7F7E"/>
    <w:rsid w:val="009F011F"/>
    <w:rsid w:val="009F015D"/>
    <w:rsid w:val="009F01DB"/>
    <w:rsid w:val="009F0E6B"/>
    <w:rsid w:val="009F0EEB"/>
    <w:rsid w:val="009F1041"/>
    <w:rsid w:val="009F1253"/>
    <w:rsid w:val="009F16B2"/>
    <w:rsid w:val="009F18E8"/>
    <w:rsid w:val="009F202B"/>
    <w:rsid w:val="009F20C6"/>
    <w:rsid w:val="009F28CE"/>
    <w:rsid w:val="009F2E7E"/>
    <w:rsid w:val="009F37BF"/>
    <w:rsid w:val="009F3DA5"/>
    <w:rsid w:val="009F401B"/>
    <w:rsid w:val="009F4087"/>
    <w:rsid w:val="009F4326"/>
    <w:rsid w:val="009F43AF"/>
    <w:rsid w:val="009F4702"/>
    <w:rsid w:val="009F484C"/>
    <w:rsid w:val="009F4D5E"/>
    <w:rsid w:val="009F519F"/>
    <w:rsid w:val="009F54D2"/>
    <w:rsid w:val="009F560A"/>
    <w:rsid w:val="009F5834"/>
    <w:rsid w:val="009F59A7"/>
    <w:rsid w:val="009F5ABD"/>
    <w:rsid w:val="009F5E79"/>
    <w:rsid w:val="009F687A"/>
    <w:rsid w:val="009F68AC"/>
    <w:rsid w:val="009F6B46"/>
    <w:rsid w:val="009F6C31"/>
    <w:rsid w:val="009F7078"/>
    <w:rsid w:val="009F733B"/>
    <w:rsid w:val="009F7379"/>
    <w:rsid w:val="009F73DA"/>
    <w:rsid w:val="009F7B0A"/>
    <w:rsid w:val="009F7BB2"/>
    <w:rsid w:val="009F7FA6"/>
    <w:rsid w:val="00A00005"/>
    <w:rsid w:val="00A00028"/>
    <w:rsid w:val="00A0017C"/>
    <w:rsid w:val="00A001C8"/>
    <w:rsid w:val="00A0032D"/>
    <w:rsid w:val="00A0082F"/>
    <w:rsid w:val="00A0097D"/>
    <w:rsid w:val="00A00AE7"/>
    <w:rsid w:val="00A00B80"/>
    <w:rsid w:val="00A0105A"/>
    <w:rsid w:val="00A01593"/>
    <w:rsid w:val="00A01607"/>
    <w:rsid w:val="00A016AA"/>
    <w:rsid w:val="00A018C5"/>
    <w:rsid w:val="00A01B3E"/>
    <w:rsid w:val="00A023BE"/>
    <w:rsid w:val="00A0244C"/>
    <w:rsid w:val="00A02A53"/>
    <w:rsid w:val="00A02C2C"/>
    <w:rsid w:val="00A02CF1"/>
    <w:rsid w:val="00A02EFA"/>
    <w:rsid w:val="00A02FC7"/>
    <w:rsid w:val="00A030A8"/>
    <w:rsid w:val="00A031D4"/>
    <w:rsid w:val="00A033FF"/>
    <w:rsid w:val="00A038D7"/>
    <w:rsid w:val="00A038E2"/>
    <w:rsid w:val="00A03D62"/>
    <w:rsid w:val="00A03FA4"/>
    <w:rsid w:val="00A0409E"/>
    <w:rsid w:val="00A041B4"/>
    <w:rsid w:val="00A046C7"/>
    <w:rsid w:val="00A04874"/>
    <w:rsid w:val="00A04BDD"/>
    <w:rsid w:val="00A04E2C"/>
    <w:rsid w:val="00A04EDA"/>
    <w:rsid w:val="00A05147"/>
    <w:rsid w:val="00A05202"/>
    <w:rsid w:val="00A05450"/>
    <w:rsid w:val="00A0582E"/>
    <w:rsid w:val="00A05840"/>
    <w:rsid w:val="00A05843"/>
    <w:rsid w:val="00A05FF4"/>
    <w:rsid w:val="00A06137"/>
    <w:rsid w:val="00A06344"/>
    <w:rsid w:val="00A063FE"/>
    <w:rsid w:val="00A0675A"/>
    <w:rsid w:val="00A06C38"/>
    <w:rsid w:val="00A06EDB"/>
    <w:rsid w:val="00A0720D"/>
    <w:rsid w:val="00A07251"/>
    <w:rsid w:val="00A07738"/>
    <w:rsid w:val="00A07ACC"/>
    <w:rsid w:val="00A1108E"/>
    <w:rsid w:val="00A11259"/>
    <w:rsid w:val="00A11430"/>
    <w:rsid w:val="00A11799"/>
    <w:rsid w:val="00A1184F"/>
    <w:rsid w:val="00A11B89"/>
    <w:rsid w:val="00A11BFE"/>
    <w:rsid w:val="00A122A9"/>
    <w:rsid w:val="00A122C5"/>
    <w:rsid w:val="00A123F2"/>
    <w:rsid w:val="00A12D25"/>
    <w:rsid w:val="00A131A1"/>
    <w:rsid w:val="00A131E0"/>
    <w:rsid w:val="00A1329C"/>
    <w:rsid w:val="00A13744"/>
    <w:rsid w:val="00A13831"/>
    <w:rsid w:val="00A138CF"/>
    <w:rsid w:val="00A13A8C"/>
    <w:rsid w:val="00A13DEE"/>
    <w:rsid w:val="00A13E26"/>
    <w:rsid w:val="00A141DC"/>
    <w:rsid w:val="00A144F9"/>
    <w:rsid w:val="00A14503"/>
    <w:rsid w:val="00A14879"/>
    <w:rsid w:val="00A14928"/>
    <w:rsid w:val="00A14E25"/>
    <w:rsid w:val="00A14E81"/>
    <w:rsid w:val="00A14EE5"/>
    <w:rsid w:val="00A14FFF"/>
    <w:rsid w:val="00A15241"/>
    <w:rsid w:val="00A156EB"/>
    <w:rsid w:val="00A15901"/>
    <w:rsid w:val="00A1598F"/>
    <w:rsid w:val="00A15EDC"/>
    <w:rsid w:val="00A160DD"/>
    <w:rsid w:val="00A16331"/>
    <w:rsid w:val="00A163B8"/>
    <w:rsid w:val="00A1640D"/>
    <w:rsid w:val="00A165B4"/>
    <w:rsid w:val="00A16896"/>
    <w:rsid w:val="00A16A60"/>
    <w:rsid w:val="00A16A7B"/>
    <w:rsid w:val="00A16E0C"/>
    <w:rsid w:val="00A17070"/>
    <w:rsid w:val="00A174B9"/>
    <w:rsid w:val="00A17A3D"/>
    <w:rsid w:val="00A17BC7"/>
    <w:rsid w:val="00A17CE3"/>
    <w:rsid w:val="00A17FE8"/>
    <w:rsid w:val="00A20252"/>
    <w:rsid w:val="00A203C2"/>
    <w:rsid w:val="00A2062A"/>
    <w:rsid w:val="00A2065D"/>
    <w:rsid w:val="00A2066E"/>
    <w:rsid w:val="00A20765"/>
    <w:rsid w:val="00A20A49"/>
    <w:rsid w:val="00A20D96"/>
    <w:rsid w:val="00A210E7"/>
    <w:rsid w:val="00A212B8"/>
    <w:rsid w:val="00A21D7A"/>
    <w:rsid w:val="00A21E19"/>
    <w:rsid w:val="00A21EE2"/>
    <w:rsid w:val="00A22796"/>
    <w:rsid w:val="00A22B7C"/>
    <w:rsid w:val="00A22C2E"/>
    <w:rsid w:val="00A22E9D"/>
    <w:rsid w:val="00A2308C"/>
    <w:rsid w:val="00A233F6"/>
    <w:rsid w:val="00A2348F"/>
    <w:rsid w:val="00A236A1"/>
    <w:rsid w:val="00A239A8"/>
    <w:rsid w:val="00A23BA5"/>
    <w:rsid w:val="00A23E3F"/>
    <w:rsid w:val="00A242EC"/>
    <w:rsid w:val="00A24599"/>
    <w:rsid w:val="00A24E78"/>
    <w:rsid w:val="00A24FBC"/>
    <w:rsid w:val="00A24FD3"/>
    <w:rsid w:val="00A253E6"/>
    <w:rsid w:val="00A25B79"/>
    <w:rsid w:val="00A25D7B"/>
    <w:rsid w:val="00A260A0"/>
    <w:rsid w:val="00A265A6"/>
    <w:rsid w:val="00A26F3B"/>
    <w:rsid w:val="00A27308"/>
    <w:rsid w:val="00A273A9"/>
    <w:rsid w:val="00A27523"/>
    <w:rsid w:val="00A27B52"/>
    <w:rsid w:val="00A27DA6"/>
    <w:rsid w:val="00A27E08"/>
    <w:rsid w:val="00A27FF0"/>
    <w:rsid w:val="00A30007"/>
    <w:rsid w:val="00A300CB"/>
    <w:rsid w:val="00A3064C"/>
    <w:rsid w:val="00A30683"/>
    <w:rsid w:val="00A306FC"/>
    <w:rsid w:val="00A307BD"/>
    <w:rsid w:val="00A30E78"/>
    <w:rsid w:val="00A3101A"/>
    <w:rsid w:val="00A3115F"/>
    <w:rsid w:val="00A31782"/>
    <w:rsid w:val="00A3189F"/>
    <w:rsid w:val="00A3194F"/>
    <w:rsid w:val="00A31BFC"/>
    <w:rsid w:val="00A31E6C"/>
    <w:rsid w:val="00A32209"/>
    <w:rsid w:val="00A324D8"/>
    <w:rsid w:val="00A3297C"/>
    <w:rsid w:val="00A32BA0"/>
    <w:rsid w:val="00A32BC7"/>
    <w:rsid w:val="00A32D77"/>
    <w:rsid w:val="00A32DFD"/>
    <w:rsid w:val="00A32F2C"/>
    <w:rsid w:val="00A33030"/>
    <w:rsid w:val="00A33079"/>
    <w:rsid w:val="00A3314D"/>
    <w:rsid w:val="00A332B7"/>
    <w:rsid w:val="00A33319"/>
    <w:rsid w:val="00A3356E"/>
    <w:rsid w:val="00A33991"/>
    <w:rsid w:val="00A33ABD"/>
    <w:rsid w:val="00A34307"/>
    <w:rsid w:val="00A3439B"/>
    <w:rsid w:val="00A347EE"/>
    <w:rsid w:val="00A34917"/>
    <w:rsid w:val="00A34CFC"/>
    <w:rsid w:val="00A35495"/>
    <w:rsid w:val="00A35595"/>
    <w:rsid w:val="00A3571E"/>
    <w:rsid w:val="00A35A7A"/>
    <w:rsid w:val="00A35AAC"/>
    <w:rsid w:val="00A36427"/>
    <w:rsid w:val="00A36845"/>
    <w:rsid w:val="00A36BDF"/>
    <w:rsid w:val="00A374CD"/>
    <w:rsid w:val="00A378A2"/>
    <w:rsid w:val="00A37B1D"/>
    <w:rsid w:val="00A37CAC"/>
    <w:rsid w:val="00A40175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33E"/>
    <w:rsid w:val="00A42395"/>
    <w:rsid w:val="00A42403"/>
    <w:rsid w:val="00A4241A"/>
    <w:rsid w:val="00A42BF4"/>
    <w:rsid w:val="00A42E47"/>
    <w:rsid w:val="00A42F06"/>
    <w:rsid w:val="00A42F3E"/>
    <w:rsid w:val="00A43329"/>
    <w:rsid w:val="00A4361D"/>
    <w:rsid w:val="00A438DC"/>
    <w:rsid w:val="00A43D01"/>
    <w:rsid w:val="00A43FBD"/>
    <w:rsid w:val="00A43FD4"/>
    <w:rsid w:val="00A441B8"/>
    <w:rsid w:val="00A443D1"/>
    <w:rsid w:val="00A44703"/>
    <w:rsid w:val="00A44A48"/>
    <w:rsid w:val="00A44D9B"/>
    <w:rsid w:val="00A44EC9"/>
    <w:rsid w:val="00A44ECE"/>
    <w:rsid w:val="00A4514F"/>
    <w:rsid w:val="00A45468"/>
    <w:rsid w:val="00A4553B"/>
    <w:rsid w:val="00A4559B"/>
    <w:rsid w:val="00A455C7"/>
    <w:rsid w:val="00A4568D"/>
    <w:rsid w:val="00A45893"/>
    <w:rsid w:val="00A459E6"/>
    <w:rsid w:val="00A45A7F"/>
    <w:rsid w:val="00A45D3D"/>
    <w:rsid w:val="00A460A1"/>
    <w:rsid w:val="00A464E3"/>
    <w:rsid w:val="00A46500"/>
    <w:rsid w:val="00A4679A"/>
    <w:rsid w:val="00A46E28"/>
    <w:rsid w:val="00A473D7"/>
    <w:rsid w:val="00A4772C"/>
    <w:rsid w:val="00A477C6"/>
    <w:rsid w:val="00A478FA"/>
    <w:rsid w:val="00A4799F"/>
    <w:rsid w:val="00A47A9A"/>
    <w:rsid w:val="00A47D31"/>
    <w:rsid w:val="00A501F6"/>
    <w:rsid w:val="00A509F2"/>
    <w:rsid w:val="00A50BCE"/>
    <w:rsid w:val="00A51066"/>
    <w:rsid w:val="00A514A9"/>
    <w:rsid w:val="00A51516"/>
    <w:rsid w:val="00A51653"/>
    <w:rsid w:val="00A51BDE"/>
    <w:rsid w:val="00A51CBF"/>
    <w:rsid w:val="00A51DA8"/>
    <w:rsid w:val="00A51DF8"/>
    <w:rsid w:val="00A5205B"/>
    <w:rsid w:val="00A5219C"/>
    <w:rsid w:val="00A5256F"/>
    <w:rsid w:val="00A52D8E"/>
    <w:rsid w:val="00A52DA1"/>
    <w:rsid w:val="00A531E2"/>
    <w:rsid w:val="00A5328B"/>
    <w:rsid w:val="00A53AA9"/>
    <w:rsid w:val="00A53BBB"/>
    <w:rsid w:val="00A54367"/>
    <w:rsid w:val="00A544CD"/>
    <w:rsid w:val="00A5485E"/>
    <w:rsid w:val="00A548B1"/>
    <w:rsid w:val="00A54992"/>
    <w:rsid w:val="00A5499C"/>
    <w:rsid w:val="00A54CCB"/>
    <w:rsid w:val="00A54E77"/>
    <w:rsid w:val="00A55424"/>
    <w:rsid w:val="00A55682"/>
    <w:rsid w:val="00A55911"/>
    <w:rsid w:val="00A55B71"/>
    <w:rsid w:val="00A55C52"/>
    <w:rsid w:val="00A55FFA"/>
    <w:rsid w:val="00A5605D"/>
    <w:rsid w:val="00A560BA"/>
    <w:rsid w:val="00A560D5"/>
    <w:rsid w:val="00A569F9"/>
    <w:rsid w:val="00A56A2B"/>
    <w:rsid w:val="00A56E63"/>
    <w:rsid w:val="00A57301"/>
    <w:rsid w:val="00A574C8"/>
    <w:rsid w:val="00A574DE"/>
    <w:rsid w:val="00A5757E"/>
    <w:rsid w:val="00A57A93"/>
    <w:rsid w:val="00A57F17"/>
    <w:rsid w:val="00A60766"/>
    <w:rsid w:val="00A60A6E"/>
    <w:rsid w:val="00A60F52"/>
    <w:rsid w:val="00A6113D"/>
    <w:rsid w:val="00A615D1"/>
    <w:rsid w:val="00A61DFE"/>
    <w:rsid w:val="00A61F91"/>
    <w:rsid w:val="00A620CD"/>
    <w:rsid w:val="00A624C9"/>
    <w:rsid w:val="00A62AA8"/>
    <w:rsid w:val="00A62D15"/>
    <w:rsid w:val="00A63062"/>
    <w:rsid w:val="00A630D8"/>
    <w:rsid w:val="00A637A4"/>
    <w:rsid w:val="00A63819"/>
    <w:rsid w:val="00A63B4C"/>
    <w:rsid w:val="00A63D81"/>
    <w:rsid w:val="00A63F67"/>
    <w:rsid w:val="00A64067"/>
    <w:rsid w:val="00A640B1"/>
    <w:rsid w:val="00A6442E"/>
    <w:rsid w:val="00A6488F"/>
    <w:rsid w:val="00A64A19"/>
    <w:rsid w:val="00A64A93"/>
    <w:rsid w:val="00A64D2F"/>
    <w:rsid w:val="00A64F58"/>
    <w:rsid w:val="00A6508F"/>
    <w:rsid w:val="00A6526F"/>
    <w:rsid w:val="00A65284"/>
    <w:rsid w:val="00A65373"/>
    <w:rsid w:val="00A657BB"/>
    <w:rsid w:val="00A65854"/>
    <w:rsid w:val="00A6594D"/>
    <w:rsid w:val="00A6604B"/>
    <w:rsid w:val="00A66175"/>
    <w:rsid w:val="00A66313"/>
    <w:rsid w:val="00A6633B"/>
    <w:rsid w:val="00A664AD"/>
    <w:rsid w:val="00A664E7"/>
    <w:rsid w:val="00A66676"/>
    <w:rsid w:val="00A66A25"/>
    <w:rsid w:val="00A66A83"/>
    <w:rsid w:val="00A66B85"/>
    <w:rsid w:val="00A66C39"/>
    <w:rsid w:val="00A66E7F"/>
    <w:rsid w:val="00A66F54"/>
    <w:rsid w:val="00A671A4"/>
    <w:rsid w:val="00A673A7"/>
    <w:rsid w:val="00A675F4"/>
    <w:rsid w:val="00A67670"/>
    <w:rsid w:val="00A67687"/>
    <w:rsid w:val="00A6781C"/>
    <w:rsid w:val="00A6786C"/>
    <w:rsid w:val="00A678AB"/>
    <w:rsid w:val="00A67917"/>
    <w:rsid w:val="00A679B0"/>
    <w:rsid w:val="00A67A14"/>
    <w:rsid w:val="00A67A90"/>
    <w:rsid w:val="00A67D92"/>
    <w:rsid w:val="00A67F19"/>
    <w:rsid w:val="00A70225"/>
    <w:rsid w:val="00A70517"/>
    <w:rsid w:val="00A708DF"/>
    <w:rsid w:val="00A70904"/>
    <w:rsid w:val="00A709BB"/>
    <w:rsid w:val="00A70BC3"/>
    <w:rsid w:val="00A717CF"/>
    <w:rsid w:val="00A719F4"/>
    <w:rsid w:val="00A71BA3"/>
    <w:rsid w:val="00A72239"/>
    <w:rsid w:val="00A722E2"/>
    <w:rsid w:val="00A727BD"/>
    <w:rsid w:val="00A72D44"/>
    <w:rsid w:val="00A72EDC"/>
    <w:rsid w:val="00A72F67"/>
    <w:rsid w:val="00A72FAC"/>
    <w:rsid w:val="00A730AC"/>
    <w:rsid w:val="00A73406"/>
    <w:rsid w:val="00A73534"/>
    <w:rsid w:val="00A735A4"/>
    <w:rsid w:val="00A7377A"/>
    <w:rsid w:val="00A73884"/>
    <w:rsid w:val="00A738E6"/>
    <w:rsid w:val="00A740EA"/>
    <w:rsid w:val="00A7424A"/>
    <w:rsid w:val="00A74597"/>
    <w:rsid w:val="00A74A7D"/>
    <w:rsid w:val="00A74D0A"/>
    <w:rsid w:val="00A74D20"/>
    <w:rsid w:val="00A7542C"/>
    <w:rsid w:val="00A756FE"/>
    <w:rsid w:val="00A757F9"/>
    <w:rsid w:val="00A759BE"/>
    <w:rsid w:val="00A75B89"/>
    <w:rsid w:val="00A75BC4"/>
    <w:rsid w:val="00A75C52"/>
    <w:rsid w:val="00A75C7F"/>
    <w:rsid w:val="00A764E0"/>
    <w:rsid w:val="00A7653B"/>
    <w:rsid w:val="00A76756"/>
    <w:rsid w:val="00A76776"/>
    <w:rsid w:val="00A767B2"/>
    <w:rsid w:val="00A76A78"/>
    <w:rsid w:val="00A76BDD"/>
    <w:rsid w:val="00A76BE7"/>
    <w:rsid w:val="00A7717C"/>
    <w:rsid w:val="00A774B2"/>
    <w:rsid w:val="00A776A9"/>
    <w:rsid w:val="00A77C30"/>
    <w:rsid w:val="00A77C6C"/>
    <w:rsid w:val="00A77CCE"/>
    <w:rsid w:val="00A80549"/>
    <w:rsid w:val="00A809BE"/>
    <w:rsid w:val="00A80B0C"/>
    <w:rsid w:val="00A80E48"/>
    <w:rsid w:val="00A81234"/>
    <w:rsid w:val="00A81367"/>
    <w:rsid w:val="00A81676"/>
    <w:rsid w:val="00A819D7"/>
    <w:rsid w:val="00A81B11"/>
    <w:rsid w:val="00A81DFB"/>
    <w:rsid w:val="00A82229"/>
    <w:rsid w:val="00A82323"/>
    <w:rsid w:val="00A8244E"/>
    <w:rsid w:val="00A82662"/>
    <w:rsid w:val="00A827FC"/>
    <w:rsid w:val="00A82B9E"/>
    <w:rsid w:val="00A82D16"/>
    <w:rsid w:val="00A82F64"/>
    <w:rsid w:val="00A82F78"/>
    <w:rsid w:val="00A82FFE"/>
    <w:rsid w:val="00A8307D"/>
    <w:rsid w:val="00A831CF"/>
    <w:rsid w:val="00A831FB"/>
    <w:rsid w:val="00A8322E"/>
    <w:rsid w:val="00A83310"/>
    <w:rsid w:val="00A833BB"/>
    <w:rsid w:val="00A8358F"/>
    <w:rsid w:val="00A837FA"/>
    <w:rsid w:val="00A83B95"/>
    <w:rsid w:val="00A83BC5"/>
    <w:rsid w:val="00A83EB5"/>
    <w:rsid w:val="00A84186"/>
    <w:rsid w:val="00A84424"/>
    <w:rsid w:val="00A846F1"/>
    <w:rsid w:val="00A84937"/>
    <w:rsid w:val="00A84A34"/>
    <w:rsid w:val="00A84EAF"/>
    <w:rsid w:val="00A85468"/>
    <w:rsid w:val="00A85469"/>
    <w:rsid w:val="00A857B4"/>
    <w:rsid w:val="00A85B14"/>
    <w:rsid w:val="00A85B90"/>
    <w:rsid w:val="00A8674E"/>
    <w:rsid w:val="00A86F91"/>
    <w:rsid w:val="00A86FB6"/>
    <w:rsid w:val="00A875C0"/>
    <w:rsid w:val="00A87654"/>
    <w:rsid w:val="00A87C15"/>
    <w:rsid w:val="00A9014D"/>
    <w:rsid w:val="00A90925"/>
    <w:rsid w:val="00A90DDB"/>
    <w:rsid w:val="00A918DC"/>
    <w:rsid w:val="00A91AE4"/>
    <w:rsid w:val="00A925D7"/>
    <w:rsid w:val="00A92706"/>
    <w:rsid w:val="00A9280B"/>
    <w:rsid w:val="00A9281E"/>
    <w:rsid w:val="00A92939"/>
    <w:rsid w:val="00A92B42"/>
    <w:rsid w:val="00A92CF1"/>
    <w:rsid w:val="00A93190"/>
    <w:rsid w:val="00A93CB3"/>
    <w:rsid w:val="00A93D34"/>
    <w:rsid w:val="00A93DAF"/>
    <w:rsid w:val="00A93E6F"/>
    <w:rsid w:val="00A93FD1"/>
    <w:rsid w:val="00A94088"/>
    <w:rsid w:val="00A9413F"/>
    <w:rsid w:val="00A9439C"/>
    <w:rsid w:val="00A943F8"/>
    <w:rsid w:val="00A94488"/>
    <w:rsid w:val="00A945C2"/>
    <w:rsid w:val="00A947F1"/>
    <w:rsid w:val="00A94DF6"/>
    <w:rsid w:val="00A951F2"/>
    <w:rsid w:val="00A9584E"/>
    <w:rsid w:val="00A95872"/>
    <w:rsid w:val="00A95A69"/>
    <w:rsid w:val="00A96195"/>
    <w:rsid w:val="00A962D6"/>
    <w:rsid w:val="00A963C1"/>
    <w:rsid w:val="00A963F9"/>
    <w:rsid w:val="00A9668E"/>
    <w:rsid w:val="00A96BF2"/>
    <w:rsid w:val="00A9704A"/>
    <w:rsid w:val="00A9721B"/>
    <w:rsid w:val="00A97395"/>
    <w:rsid w:val="00A9741A"/>
    <w:rsid w:val="00A97511"/>
    <w:rsid w:val="00A97596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1FD8"/>
    <w:rsid w:val="00AA2130"/>
    <w:rsid w:val="00AA2167"/>
    <w:rsid w:val="00AA2493"/>
    <w:rsid w:val="00AA2755"/>
    <w:rsid w:val="00AA2E06"/>
    <w:rsid w:val="00AA2F09"/>
    <w:rsid w:val="00AA34B8"/>
    <w:rsid w:val="00AA3757"/>
    <w:rsid w:val="00AA37B2"/>
    <w:rsid w:val="00AA38C4"/>
    <w:rsid w:val="00AA3A4A"/>
    <w:rsid w:val="00AA3DB9"/>
    <w:rsid w:val="00AA421C"/>
    <w:rsid w:val="00AA4590"/>
    <w:rsid w:val="00AA46CC"/>
    <w:rsid w:val="00AA46CE"/>
    <w:rsid w:val="00AA49AF"/>
    <w:rsid w:val="00AA4F2F"/>
    <w:rsid w:val="00AA533A"/>
    <w:rsid w:val="00AA5432"/>
    <w:rsid w:val="00AA570E"/>
    <w:rsid w:val="00AA57CE"/>
    <w:rsid w:val="00AA584E"/>
    <w:rsid w:val="00AA5AD2"/>
    <w:rsid w:val="00AA5ADC"/>
    <w:rsid w:val="00AA5D14"/>
    <w:rsid w:val="00AA5D22"/>
    <w:rsid w:val="00AA5DF4"/>
    <w:rsid w:val="00AA5E45"/>
    <w:rsid w:val="00AA6517"/>
    <w:rsid w:val="00AA6C4B"/>
    <w:rsid w:val="00AA6CB3"/>
    <w:rsid w:val="00AA6E1B"/>
    <w:rsid w:val="00AA6F2A"/>
    <w:rsid w:val="00AA7078"/>
    <w:rsid w:val="00AA7090"/>
    <w:rsid w:val="00AA7211"/>
    <w:rsid w:val="00AA7285"/>
    <w:rsid w:val="00AA7540"/>
    <w:rsid w:val="00AA7779"/>
    <w:rsid w:val="00AA780F"/>
    <w:rsid w:val="00AA7B8C"/>
    <w:rsid w:val="00AB009E"/>
    <w:rsid w:val="00AB0B9C"/>
    <w:rsid w:val="00AB0D26"/>
    <w:rsid w:val="00AB0EAC"/>
    <w:rsid w:val="00AB10A3"/>
    <w:rsid w:val="00AB12C8"/>
    <w:rsid w:val="00AB12FF"/>
    <w:rsid w:val="00AB146D"/>
    <w:rsid w:val="00AB18EE"/>
    <w:rsid w:val="00AB1BB4"/>
    <w:rsid w:val="00AB1DEB"/>
    <w:rsid w:val="00AB2769"/>
    <w:rsid w:val="00AB27AA"/>
    <w:rsid w:val="00AB2A85"/>
    <w:rsid w:val="00AB2E00"/>
    <w:rsid w:val="00AB3283"/>
    <w:rsid w:val="00AB38AD"/>
    <w:rsid w:val="00AB3C8A"/>
    <w:rsid w:val="00AB3E6B"/>
    <w:rsid w:val="00AB4105"/>
    <w:rsid w:val="00AB434D"/>
    <w:rsid w:val="00AB4970"/>
    <w:rsid w:val="00AB4C48"/>
    <w:rsid w:val="00AB4D0B"/>
    <w:rsid w:val="00AB51C8"/>
    <w:rsid w:val="00AB5269"/>
    <w:rsid w:val="00AB5586"/>
    <w:rsid w:val="00AB58E8"/>
    <w:rsid w:val="00AB5FC3"/>
    <w:rsid w:val="00AB61E4"/>
    <w:rsid w:val="00AB6406"/>
    <w:rsid w:val="00AB65B4"/>
    <w:rsid w:val="00AB695D"/>
    <w:rsid w:val="00AB6B5E"/>
    <w:rsid w:val="00AB737B"/>
    <w:rsid w:val="00AB7684"/>
    <w:rsid w:val="00AB7918"/>
    <w:rsid w:val="00AB7B25"/>
    <w:rsid w:val="00AB7CB8"/>
    <w:rsid w:val="00AC00E7"/>
    <w:rsid w:val="00AC06DB"/>
    <w:rsid w:val="00AC0BAE"/>
    <w:rsid w:val="00AC0E78"/>
    <w:rsid w:val="00AC10AA"/>
    <w:rsid w:val="00AC111D"/>
    <w:rsid w:val="00AC126F"/>
    <w:rsid w:val="00AC13B3"/>
    <w:rsid w:val="00AC13D9"/>
    <w:rsid w:val="00AC13F7"/>
    <w:rsid w:val="00AC1415"/>
    <w:rsid w:val="00AC14B3"/>
    <w:rsid w:val="00AC157B"/>
    <w:rsid w:val="00AC1BD7"/>
    <w:rsid w:val="00AC1E9C"/>
    <w:rsid w:val="00AC2005"/>
    <w:rsid w:val="00AC265D"/>
    <w:rsid w:val="00AC2805"/>
    <w:rsid w:val="00AC2A1F"/>
    <w:rsid w:val="00AC2C49"/>
    <w:rsid w:val="00AC3256"/>
    <w:rsid w:val="00AC3304"/>
    <w:rsid w:val="00AC33AB"/>
    <w:rsid w:val="00AC33E2"/>
    <w:rsid w:val="00AC38FF"/>
    <w:rsid w:val="00AC3DC0"/>
    <w:rsid w:val="00AC409D"/>
    <w:rsid w:val="00AC426D"/>
    <w:rsid w:val="00AC43D2"/>
    <w:rsid w:val="00AC47AE"/>
    <w:rsid w:val="00AC485B"/>
    <w:rsid w:val="00AC4A94"/>
    <w:rsid w:val="00AC4B18"/>
    <w:rsid w:val="00AC4B34"/>
    <w:rsid w:val="00AC4E3E"/>
    <w:rsid w:val="00AC4F91"/>
    <w:rsid w:val="00AC50A6"/>
    <w:rsid w:val="00AC544D"/>
    <w:rsid w:val="00AC55C0"/>
    <w:rsid w:val="00AC5C45"/>
    <w:rsid w:val="00AC66A0"/>
    <w:rsid w:val="00AC6864"/>
    <w:rsid w:val="00AC6DE2"/>
    <w:rsid w:val="00AC6EA6"/>
    <w:rsid w:val="00AC70D4"/>
    <w:rsid w:val="00AC737D"/>
    <w:rsid w:val="00AC7655"/>
    <w:rsid w:val="00AC76A6"/>
    <w:rsid w:val="00AC7B55"/>
    <w:rsid w:val="00AC7E8B"/>
    <w:rsid w:val="00AC7F43"/>
    <w:rsid w:val="00AC7F52"/>
    <w:rsid w:val="00AC7FF3"/>
    <w:rsid w:val="00AD0007"/>
    <w:rsid w:val="00AD00F1"/>
    <w:rsid w:val="00AD02F5"/>
    <w:rsid w:val="00AD05A6"/>
    <w:rsid w:val="00AD06AC"/>
    <w:rsid w:val="00AD083F"/>
    <w:rsid w:val="00AD0ABD"/>
    <w:rsid w:val="00AD1176"/>
    <w:rsid w:val="00AD15B6"/>
    <w:rsid w:val="00AD17EC"/>
    <w:rsid w:val="00AD221B"/>
    <w:rsid w:val="00AD2262"/>
    <w:rsid w:val="00AD22C5"/>
    <w:rsid w:val="00AD2519"/>
    <w:rsid w:val="00AD283D"/>
    <w:rsid w:val="00AD294A"/>
    <w:rsid w:val="00AD2AF4"/>
    <w:rsid w:val="00AD2B41"/>
    <w:rsid w:val="00AD2E6B"/>
    <w:rsid w:val="00AD3115"/>
    <w:rsid w:val="00AD3920"/>
    <w:rsid w:val="00AD3D9F"/>
    <w:rsid w:val="00AD3E55"/>
    <w:rsid w:val="00AD3F06"/>
    <w:rsid w:val="00AD4431"/>
    <w:rsid w:val="00AD465C"/>
    <w:rsid w:val="00AD4D66"/>
    <w:rsid w:val="00AD516C"/>
    <w:rsid w:val="00AD51CC"/>
    <w:rsid w:val="00AD5922"/>
    <w:rsid w:val="00AD5B84"/>
    <w:rsid w:val="00AD5CB8"/>
    <w:rsid w:val="00AD5E96"/>
    <w:rsid w:val="00AD5EFC"/>
    <w:rsid w:val="00AD5F80"/>
    <w:rsid w:val="00AD61E3"/>
    <w:rsid w:val="00AD6555"/>
    <w:rsid w:val="00AD6A0F"/>
    <w:rsid w:val="00AD6BDB"/>
    <w:rsid w:val="00AD6F4A"/>
    <w:rsid w:val="00AD72AF"/>
    <w:rsid w:val="00AD77E5"/>
    <w:rsid w:val="00AD791A"/>
    <w:rsid w:val="00AD79DB"/>
    <w:rsid w:val="00AD7D8F"/>
    <w:rsid w:val="00AD7FA3"/>
    <w:rsid w:val="00AE0162"/>
    <w:rsid w:val="00AE05EA"/>
    <w:rsid w:val="00AE0781"/>
    <w:rsid w:val="00AE08C9"/>
    <w:rsid w:val="00AE094C"/>
    <w:rsid w:val="00AE0DE1"/>
    <w:rsid w:val="00AE0E06"/>
    <w:rsid w:val="00AE0EDF"/>
    <w:rsid w:val="00AE1128"/>
    <w:rsid w:val="00AE1422"/>
    <w:rsid w:val="00AE14F4"/>
    <w:rsid w:val="00AE15D4"/>
    <w:rsid w:val="00AE1AB0"/>
    <w:rsid w:val="00AE1DF8"/>
    <w:rsid w:val="00AE1E93"/>
    <w:rsid w:val="00AE2143"/>
    <w:rsid w:val="00AE2192"/>
    <w:rsid w:val="00AE2609"/>
    <w:rsid w:val="00AE2684"/>
    <w:rsid w:val="00AE26F5"/>
    <w:rsid w:val="00AE29A8"/>
    <w:rsid w:val="00AE2AAE"/>
    <w:rsid w:val="00AE3211"/>
    <w:rsid w:val="00AE328B"/>
    <w:rsid w:val="00AE359B"/>
    <w:rsid w:val="00AE3960"/>
    <w:rsid w:val="00AE3EEF"/>
    <w:rsid w:val="00AE4074"/>
    <w:rsid w:val="00AE439A"/>
    <w:rsid w:val="00AE4561"/>
    <w:rsid w:val="00AE54D5"/>
    <w:rsid w:val="00AE591D"/>
    <w:rsid w:val="00AE5E61"/>
    <w:rsid w:val="00AE617A"/>
    <w:rsid w:val="00AE65CF"/>
    <w:rsid w:val="00AE6778"/>
    <w:rsid w:val="00AE67C1"/>
    <w:rsid w:val="00AE6CD9"/>
    <w:rsid w:val="00AE7008"/>
    <w:rsid w:val="00AE713F"/>
    <w:rsid w:val="00AE7519"/>
    <w:rsid w:val="00AE76B9"/>
    <w:rsid w:val="00AF01CB"/>
    <w:rsid w:val="00AF0728"/>
    <w:rsid w:val="00AF08E1"/>
    <w:rsid w:val="00AF09C7"/>
    <w:rsid w:val="00AF09E6"/>
    <w:rsid w:val="00AF0B35"/>
    <w:rsid w:val="00AF0DC2"/>
    <w:rsid w:val="00AF0E62"/>
    <w:rsid w:val="00AF1317"/>
    <w:rsid w:val="00AF1474"/>
    <w:rsid w:val="00AF15A7"/>
    <w:rsid w:val="00AF1A40"/>
    <w:rsid w:val="00AF1A5C"/>
    <w:rsid w:val="00AF1CC2"/>
    <w:rsid w:val="00AF1D86"/>
    <w:rsid w:val="00AF1FDF"/>
    <w:rsid w:val="00AF20EA"/>
    <w:rsid w:val="00AF20FB"/>
    <w:rsid w:val="00AF22F8"/>
    <w:rsid w:val="00AF2FFD"/>
    <w:rsid w:val="00AF3458"/>
    <w:rsid w:val="00AF37F7"/>
    <w:rsid w:val="00AF384D"/>
    <w:rsid w:val="00AF3888"/>
    <w:rsid w:val="00AF3A05"/>
    <w:rsid w:val="00AF3DFD"/>
    <w:rsid w:val="00AF3E89"/>
    <w:rsid w:val="00AF44C8"/>
    <w:rsid w:val="00AF4B96"/>
    <w:rsid w:val="00AF4BF4"/>
    <w:rsid w:val="00AF4BF9"/>
    <w:rsid w:val="00AF551F"/>
    <w:rsid w:val="00AF55FA"/>
    <w:rsid w:val="00AF5706"/>
    <w:rsid w:val="00AF5967"/>
    <w:rsid w:val="00AF59F2"/>
    <w:rsid w:val="00AF5A88"/>
    <w:rsid w:val="00AF5AE8"/>
    <w:rsid w:val="00AF5CEA"/>
    <w:rsid w:val="00AF5F84"/>
    <w:rsid w:val="00AF6563"/>
    <w:rsid w:val="00AF6EB8"/>
    <w:rsid w:val="00AF6EEF"/>
    <w:rsid w:val="00AF70C0"/>
    <w:rsid w:val="00AF735A"/>
    <w:rsid w:val="00AF75FC"/>
    <w:rsid w:val="00AF7766"/>
    <w:rsid w:val="00AF78A5"/>
    <w:rsid w:val="00AF7E12"/>
    <w:rsid w:val="00AF7F9E"/>
    <w:rsid w:val="00B0025D"/>
    <w:rsid w:val="00B006D8"/>
    <w:rsid w:val="00B0073B"/>
    <w:rsid w:val="00B00A61"/>
    <w:rsid w:val="00B00B13"/>
    <w:rsid w:val="00B00D87"/>
    <w:rsid w:val="00B015BB"/>
    <w:rsid w:val="00B02099"/>
    <w:rsid w:val="00B02174"/>
    <w:rsid w:val="00B02209"/>
    <w:rsid w:val="00B02238"/>
    <w:rsid w:val="00B02265"/>
    <w:rsid w:val="00B0250B"/>
    <w:rsid w:val="00B02892"/>
    <w:rsid w:val="00B0313D"/>
    <w:rsid w:val="00B03337"/>
    <w:rsid w:val="00B035B0"/>
    <w:rsid w:val="00B03A3C"/>
    <w:rsid w:val="00B03D35"/>
    <w:rsid w:val="00B03DE4"/>
    <w:rsid w:val="00B0420E"/>
    <w:rsid w:val="00B04341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E39"/>
    <w:rsid w:val="00B061FF"/>
    <w:rsid w:val="00B062B0"/>
    <w:rsid w:val="00B06545"/>
    <w:rsid w:val="00B067C4"/>
    <w:rsid w:val="00B0688D"/>
    <w:rsid w:val="00B06A2F"/>
    <w:rsid w:val="00B06A41"/>
    <w:rsid w:val="00B06AA0"/>
    <w:rsid w:val="00B06B45"/>
    <w:rsid w:val="00B06C3E"/>
    <w:rsid w:val="00B06D33"/>
    <w:rsid w:val="00B06FBF"/>
    <w:rsid w:val="00B070B9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1011"/>
    <w:rsid w:val="00B11792"/>
    <w:rsid w:val="00B118D8"/>
    <w:rsid w:val="00B1197E"/>
    <w:rsid w:val="00B1231B"/>
    <w:rsid w:val="00B127AF"/>
    <w:rsid w:val="00B12865"/>
    <w:rsid w:val="00B12904"/>
    <w:rsid w:val="00B12B44"/>
    <w:rsid w:val="00B12B95"/>
    <w:rsid w:val="00B133CD"/>
    <w:rsid w:val="00B1394E"/>
    <w:rsid w:val="00B13DA6"/>
    <w:rsid w:val="00B141BB"/>
    <w:rsid w:val="00B1466C"/>
    <w:rsid w:val="00B149B2"/>
    <w:rsid w:val="00B14BA4"/>
    <w:rsid w:val="00B14F7F"/>
    <w:rsid w:val="00B15074"/>
    <w:rsid w:val="00B152F4"/>
    <w:rsid w:val="00B154B3"/>
    <w:rsid w:val="00B154B5"/>
    <w:rsid w:val="00B157BA"/>
    <w:rsid w:val="00B15DAA"/>
    <w:rsid w:val="00B1664E"/>
    <w:rsid w:val="00B169ED"/>
    <w:rsid w:val="00B16F85"/>
    <w:rsid w:val="00B17074"/>
    <w:rsid w:val="00B17303"/>
    <w:rsid w:val="00B1744E"/>
    <w:rsid w:val="00B17682"/>
    <w:rsid w:val="00B177A5"/>
    <w:rsid w:val="00B177D2"/>
    <w:rsid w:val="00B177F1"/>
    <w:rsid w:val="00B17BDD"/>
    <w:rsid w:val="00B17CA4"/>
    <w:rsid w:val="00B17FBB"/>
    <w:rsid w:val="00B200E9"/>
    <w:rsid w:val="00B200F2"/>
    <w:rsid w:val="00B20223"/>
    <w:rsid w:val="00B20496"/>
    <w:rsid w:val="00B206FC"/>
    <w:rsid w:val="00B20833"/>
    <w:rsid w:val="00B20890"/>
    <w:rsid w:val="00B20BDB"/>
    <w:rsid w:val="00B21343"/>
    <w:rsid w:val="00B21776"/>
    <w:rsid w:val="00B219AA"/>
    <w:rsid w:val="00B21A5B"/>
    <w:rsid w:val="00B21D99"/>
    <w:rsid w:val="00B221C7"/>
    <w:rsid w:val="00B22260"/>
    <w:rsid w:val="00B22402"/>
    <w:rsid w:val="00B22549"/>
    <w:rsid w:val="00B2279B"/>
    <w:rsid w:val="00B2284C"/>
    <w:rsid w:val="00B22898"/>
    <w:rsid w:val="00B22BFA"/>
    <w:rsid w:val="00B22D6E"/>
    <w:rsid w:val="00B230E1"/>
    <w:rsid w:val="00B23135"/>
    <w:rsid w:val="00B231DE"/>
    <w:rsid w:val="00B232FE"/>
    <w:rsid w:val="00B23522"/>
    <w:rsid w:val="00B23564"/>
    <w:rsid w:val="00B23698"/>
    <w:rsid w:val="00B2376E"/>
    <w:rsid w:val="00B2388A"/>
    <w:rsid w:val="00B238C0"/>
    <w:rsid w:val="00B23EB7"/>
    <w:rsid w:val="00B23FFE"/>
    <w:rsid w:val="00B240EE"/>
    <w:rsid w:val="00B243EB"/>
    <w:rsid w:val="00B24581"/>
    <w:rsid w:val="00B247BA"/>
    <w:rsid w:val="00B24820"/>
    <w:rsid w:val="00B249CD"/>
    <w:rsid w:val="00B24C80"/>
    <w:rsid w:val="00B24FB1"/>
    <w:rsid w:val="00B25143"/>
    <w:rsid w:val="00B251DE"/>
    <w:rsid w:val="00B25825"/>
    <w:rsid w:val="00B2585D"/>
    <w:rsid w:val="00B25962"/>
    <w:rsid w:val="00B25CB1"/>
    <w:rsid w:val="00B25E57"/>
    <w:rsid w:val="00B2601B"/>
    <w:rsid w:val="00B263B8"/>
    <w:rsid w:val="00B266FA"/>
    <w:rsid w:val="00B26902"/>
    <w:rsid w:val="00B269DB"/>
    <w:rsid w:val="00B26A9C"/>
    <w:rsid w:val="00B26C40"/>
    <w:rsid w:val="00B26D82"/>
    <w:rsid w:val="00B26E8C"/>
    <w:rsid w:val="00B27359"/>
    <w:rsid w:val="00B27739"/>
    <w:rsid w:val="00B27C42"/>
    <w:rsid w:val="00B30884"/>
    <w:rsid w:val="00B308E6"/>
    <w:rsid w:val="00B30B4B"/>
    <w:rsid w:val="00B30BA2"/>
    <w:rsid w:val="00B30D09"/>
    <w:rsid w:val="00B30E29"/>
    <w:rsid w:val="00B30F71"/>
    <w:rsid w:val="00B31187"/>
    <w:rsid w:val="00B3172B"/>
    <w:rsid w:val="00B317F0"/>
    <w:rsid w:val="00B3194F"/>
    <w:rsid w:val="00B31C49"/>
    <w:rsid w:val="00B31DDF"/>
    <w:rsid w:val="00B3248C"/>
    <w:rsid w:val="00B32B36"/>
    <w:rsid w:val="00B32EB9"/>
    <w:rsid w:val="00B3312D"/>
    <w:rsid w:val="00B333F8"/>
    <w:rsid w:val="00B334B8"/>
    <w:rsid w:val="00B3374A"/>
    <w:rsid w:val="00B33974"/>
    <w:rsid w:val="00B33B47"/>
    <w:rsid w:val="00B33D16"/>
    <w:rsid w:val="00B33E1A"/>
    <w:rsid w:val="00B33F57"/>
    <w:rsid w:val="00B33FC2"/>
    <w:rsid w:val="00B341D6"/>
    <w:rsid w:val="00B3423E"/>
    <w:rsid w:val="00B346BF"/>
    <w:rsid w:val="00B347F1"/>
    <w:rsid w:val="00B348F0"/>
    <w:rsid w:val="00B34A39"/>
    <w:rsid w:val="00B34A99"/>
    <w:rsid w:val="00B34CB7"/>
    <w:rsid w:val="00B34CFF"/>
    <w:rsid w:val="00B34F0B"/>
    <w:rsid w:val="00B3502B"/>
    <w:rsid w:val="00B3514E"/>
    <w:rsid w:val="00B3537B"/>
    <w:rsid w:val="00B35724"/>
    <w:rsid w:val="00B35755"/>
    <w:rsid w:val="00B35774"/>
    <w:rsid w:val="00B3599F"/>
    <w:rsid w:val="00B35C3E"/>
    <w:rsid w:val="00B3602A"/>
    <w:rsid w:val="00B36473"/>
    <w:rsid w:val="00B3656D"/>
    <w:rsid w:val="00B36577"/>
    <w:rsid w:val="00B36670"/>
    <w:rsid w:val="00B366D2"/>
    <w:rsid w:val="00B36C48"/>
    <w:rsid w:val="00B36EBC"/>
    <w:rsid w:val="00B3713F"/>
    <w:rsid w:val="00B376F1"/>
    <w:rsid w:val="00B3796C"/>
    <w:rsid w:val="00B37A01"/>
    <w:rsid w:val="00B37B12"/>
    <w:rsid w:val="00B37ECE"/>
    <w:rsid w:val="00B40111"/>
    <w:rsid w:val="00B401F3"/>
    <w:rsid w:val="00B402DA"/>
    <w:rsid w:val="00B40460"/>
    <w:rsid w:val="00B404B2"/>
    <w:rsid w:val="00B408FD"/>
    <w:rsid w:val="00B40A2D"/>
    <w:rsid w:val="00B40BEA"/>
    <w:rsid w:val="00B40D4E"/>
    <w:rsid w:val="00B40EC3"/>
    <w:rsid w:val="00B4140A"/>
    <w:rsid w:val="00B41418"/>
    <w:rsid w:val="00B414C9"/>
    <w:rsid w:val="00B415E5"/>
    <w:rsid w:val="00B4167C"/>
    <w:rsid w:val="00B4180F"/>
    <w:rsid w:val="00B418F1"/>
    <w:rsid w:val="00B41962"/>
    <w:rsid w:val="00B41A7E"/>
    <w:rsid w:val="00B41BC0"/>
    <w:rsid w:val="00B41D9D"/>
    <w:rsid w:val="00B4220C"/>
    <w:rsid w:val="00B42372"/>
    <w:rsid w:val="00B42A89"/>
    <w:rsid w:val="00B42D2B"/>
    <w:rsid w:val="00B42D97"/>
    <w:rsid w:val="00B42DCD"/>
    <w:rsid w:val="00B431BA"/>
    <w:rsid w:val="00B43B2D"/>
    <w:rsid w:val="00B43C2D"/>
    <w:rsid w:val="00B43CA7"/>
    <w:rsid w:val="00B44029"/>
    <w:rsid w:val="00B4461C"/>
    <w:rsid w:val="00B44653"/>
    <w:rsid w:val="00B44C12"/>
    <w:rsid w:val="00B44FFA"/>
    <w:rsid w:val="00B451D8"/>
    <w:rsid w:val="00B45428"/>
    <w:rsid w:val="00B454AB"/>
    <w:rsid w:val="00B454F6"/>
    <w:rsid w:val="00B454FD"/>
    <w:rsid w:val="00B45B86"/>
    <w:rsid w:val="00B460B3"/>
    <w:rsid w:val="00B461F8"/>
    <w:rsid w:val="00B46D09"/>
    <w:rsid w:val="00B46FA5"/>
    <w:rsid w:val="00B47165"/>
    <w:rsid w:val="00B475CB"/>
    <w:rsid w:val="00B4771A"/>
    <w:rsid w:val="00B47943"/>
    <w:rsid w:val="00B47959"/>
    <w:rsid w:val="00B47DE3"/>
    <w:rsid w:val="00B47DFA"/>
    <w:rsid w:val="00B50022"/>
    <w:rsid w:val="00B50446"/>
    <w:rsid w:val="00B506FA"/>
    <w:rsid w:val="00B50A6E"/>
    <w:rsid w:val="00B51207"/>
    <w:rsid w:val="00B51278"/>
    <w:rsid w:val="00B512C8"/>
    <w:rsid w:val="00B512D2"/>
    <w:rsid w:val="00B513D2"/>
    <w:rsid w:val="00B516F6"/>
    <w:rsid w:val="00B518F4"/>
    <w:rsid w:val="00B51919"/>
    <w:rsid w:val="00B51A42"/>
    <w:rsid w:val="00B52447"/>
    <w:rsid w:val="00B527BF"/>
    <w:rsid w:val="00B52AF7"/>
    <w:rsid w:val="00B52C0E"/>
    <w:rsid w:val="00B52DC6"/>
    <w:rsid w:val="00B52E82"/>
    <w:rsid w:val="00B52E9B"/>
    <w:rsid w:val="00B52F03"/>
    <w:rsid w:val="00B530FD"/>
    <w:rsid w:val="00B53159"/>
    <w:rsid w:val="00B531DC"/>
    <w:rsid w:val="00B53657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4CD"/>
    <w:rsid w:val="00B558FE"/>
    <w:rsid w:val="00B55A17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56E4E"/>
    <w:rsid w:val="00B57874"/>
    <w:rsid w:val="00B57A9F"/>
    <w:rsid w:val="00B57F02"/>
    <w:rsid w:val="00B60390"/>
    <w:rsid w:val="00B6069B"/>
    <w:rsid w:val="00B609C5"/>
    <w:rsid w:val="00B60B63"/>
    <w:rsid w:val="00B60C3E"/>
    <w:rsid w:val="00B610BA"/>
    <w:rsid w:val="00B615CB"/>
    <w:rsid w:val="00B616D8"/>
    <w:rsid w:val="00B617A9"/>
    <w:rsid w:val="00B61D95"/>
    <w:rsid w:val="00B61E41"/>
    <w:rsid w:val="00B61ED5"/>
    <w:rsid w:val="00B62085"/>
    <w:rsid w:val="00B629C0"/>
    <w:rsid w:val="00B62AE0"/>
    <w:rsid w:val="00B630EF"/>
    <w:rsid w:val="00B63284"/>
    <w:rsid w:val="00B63709"/>
    <w:rsid w:val="00B6373D"/>
    <w:rsid w:val="00B63964"/>
    <w:rsid w:val="00B63E30"/>
    <w:rsid w:val="00B6445E"/>
    <w:rsid w:val="00B645FA"/>
    <w:rsid w:val="00B64775"/>
    <w:rsid w:val="00B64BF2"/>
    <w:rsid w:val="00B64D39"/>
    <w:rsid w:val="00B64F04"/>
    <w:rsid w:val="00B6504C"/>
    <w:rsid w:val="00B6520E"/>
    <w:rsid w:val="00B6531D"/>
    <w:rsid w:val="00B6532A"/>
    <w:rsid w:val="00B65660"/>
    <w:rsid w:val="00B65755"/>
    <w:rsid w:val="00B657AB"/>
    <w:rsid w:val="00B657E6"/>
    <w:rsid w:val="00B65854"/>
    <w:rsid w:val="00B65AF9"/>
    <w:rsid w:val="00B65FF0"/>
    <w:rsid w:val="00B662EB"/>
    <w:rsid w:val="00B663CD"/>
    <w:rsid w:val="00B665C8"/>
    <w:rsid w:val="00B67013"/>
    <w:rsid w:val="00B6704A"/>
    <w:rsid w:val="00B67260"/>
    <w:rsid w:val="00B67AB1"/>
    <w:rsid w:val="00B67B4F"/>
    <w:rsid w:val="00B67E6B"/>
    <w:rsid w:val="00B67F6E"/>
    <w:rsid w:val="00B702CD"/>
    <w:rsid w:val="00B7041C"/>
    <w:rsid w:val="00B7070A"/>
    <w:rsid w:val="00B70D22"/>
    <w:rsid w:val="00B71898"/>
    <w:rsid w:val="00B71A1D"/>
    <w:rsid w:val="00B71BBB"/>
    <w:rsid w:val="00B71D73"/>
    <w:rsid w:val="00B71F95"/>
    <w:rsid w:val="00B7207F"/>
    <w:rsid w:val="00B72089"/>
    <w:rsid w:val="00B726F8"/>
    <w:rsid w:val="00B7273E"/>
    <w:rsid w:val="00B727C5"/>
    <w:rsid w:val="00B72C08"/>
    <w:rsid w:val="00B72DD5"/>
    <w:rsid w:val="00B72EBB"/>
    <w:rsid w:val="00B7305E"/>
    <w:rsid w:val="00B7316F"/>
    <w:rsid w:val="00B73288"/>
    <w:rsid w:val="00B7350D"/>
    <w:rsid w:val="00B735FB"/>
    <w:rsid w:val="00B7365D"/>
    <w:rsid w:val="00B73B28"/>
    <w:rsid w:val="00B73E58"/>
    <w:rsid w:val="00B73EC5"/>
    <w:rsid w:val="00B74251"/>
    <w:rsid w:val="00B74308"/>
    <w:rsid w:val="00B74A55"/>
    <w:rsid w:val="00B74A83"/>
    <w:rsid w:val="00B74E5B"/>
    <w:rsid w:val="00B74FE2"/>
    <w:rsid w:val="00B75317"/>
    <w:rsid w:val="00B7575F"/>
    <w:rsid w:val="00B763BE"/>
    <w:rsid w:val="00B7649E"/>
    <w:rsid w:val="00B76876"/>
    <w:rsid w:val="00B76FB2"/>
    <w:rsid w:val="00B76FCB"/>
    <w:rsid w:val="00B77236"/>
    <w:rsid w:val="00B7749A"/>
    <w:rsid w:val="00B77582"/>
    <w:rsid w:val="00B779BB"/>
    <w:rsid w:val="00B77A5A"/>
    <w:rsid w:val="00B77B07"/>
    <w:rsid w:val="00B77BB8"/>
    <w:rsid w:val="00B77E78"/>
    <w:rsid w:val="00B77FDF"/>
    <w:rsid w:val="00B800EC"/>
    <w:rsid w:val="00B80124"/>
    <w:rsid w:val="00B80249"/>
    <w:rsid w:val="00B80561"/>
    <w:rsid w:val="00B806D2"/>
    <w:rsid w:val="00B8097A"/>
    <w:rsid w:val="00B80988"/>
    <w:rsid w:val="00B8103D"/>
    <w:rsid w:val="00B81718"/>
    <w:rsid w:val="00B8179E"/>
    <w:rsid w:val="00B81A37"/>
    <w:rsid w:val="00B8252D"/>
    <w:rsid w:val="00B82652"/>
    <w:rsid w:val="00B8271D"/>
    <w:rsid w:val="00B8314D"/>
    <w:rsid w:val="00B8325B"/>
    <w:rsid w:val="00B833E1"/>
    <w:rsid w:val="00B83972"/>
    <w:rsid w:val="00B84245"/>
    <w:rsid w:val="00B8468D"/>
    <w:rsid w:val="00B846CE"/>
    <w:rsid w:val="00B849C2"/>
    <w:rsid w:val="00B84CBC"/>
    <w:rsid w:val="00B8518B"/>
    <w:rsid w:val="00B8556E"/>
    <w:rsid w:val="00B85845"/>
    <w:rsid w:val="00B8586E"/>
    <w:rsid w:val="00B858B1"/>
    <w:rsid w:val="00B85A97"/>
    <w:rsid w:val="00B85C3D"/>
    <w:rsid w:val="00B8600B"/>
    <w:rsid w:val="00B860A2"/>
    <w:rsid w:val="00B86278"/>
    <w:rsid w:val="00B86AF6"/>
    <w:rsid w:val="00B86CAF"/>
    <w:rsid w:val="00B86E2A"/>
    <w:rsid w:val="00B86EF3"/>
    <w:rsid w:val="00B86F73"/>
    <w:rsid w:val="00B8720E"/>
    <w:rsid w:val="00B877AA"/>
    <w:rsid w:val="00B87B44"/>
    <w:rsid w:val="00B87C87"/>
    <w:rsid w:val="00B87E3D"/>
    <w:rsid w:val="00B87FCD"/>
    <w:rsid w:val="00B903F3"/>
    <w:rsid w:val="00B90556"/>
    <w:rsid w:val="00B908D5"/>
    <w:rsid w:val="00B90939"/>
    <w:rsid w:val="00B909D7"/>
    <w:rsid w:val="00B909E7"/>
    <w:rsid w:val="00B90A28"/>
    <w:rsid w:val="00B90E5D"/>
    <w:rsid w:val="00B9121D"/>
    <w:rsid w:val="00B915C5"/>
    <w:rsid w:val="00B91A5D"/>
    <w:rsid w:val="00B91C52"/>
    <w:rsid w:val="00B91CA6"/>
    <w:rsid w:val="00B91F21"/>
    <w:rsid w:val="00B92713"/>
    <w:rsid w:val="00B9279B"/>
    <w:rsid w:val="00B9290B"/>
    <w:rsid w:val="00B92AB7"/>
    <w:rsid w:val="00B92BC7"/>
    <w:rsid w:val="00B9307F"/>
    <w:rsid w:val="00B93378"/>
    <w:rsid w:val="00B93455"/>
    <w:rsid w:val="00B9389E"/>
    <w:rsid w:val="00B93B9C"/>
    <w:rsid w:val="00B93C3B"/>
    <w:rsid w:val="00B93E85"/>
    <w:rsid w:val="00B9422B"/>
    <w:rsid w:val="00B946A8"/>
    <w:rsid w:val="00B947AD"/>
    <w:rsid w:val="00B948A0"/>
    <w:rsid w:val="00B94A6A"/>
    <w:rsid w:val="00B94B02"/>
    <w:rsid w:val="00B94B27"/>
    <w:rsid w:val="00B94D24"/>
    <w:rsid w:val="00B94D4C"/>
    <w:rsid w:val="00B94DFE"/>
    <w:rsid w:val="00B94EB5"/>
    <w:rsid w:val="00B95110"/>
    <w:rsid w:val="00B9589C"/>
    <w:rsid w:val="00B95A01"/>
    <w:rsid w:val="00B95F6F"/>
    <w:rsid w:val="00B95FC8"/>
    <w:rsid w:val="00B9610A"/>
    <w:rsid w:val="00B965DC"/>
    <w:rsid w:val="00B966FB"/>
    <w:rsid w:val="00B96A8E"/>
    <w:rsid w:val="00B96D19"/>
    <w:rsid w:val="00B96EA4"/>
    <w:rsid w:val="00B96FD9"/>
    <w:rsid w:val="00B97282"/>
    <w:rsid w:val="00B975D7"/>
    <w:rsid w:val="00B976BF"/>
    <w:rsid w:val="00B97A3E"/>
    <w:rsid w:val="00B97A65"/>
    <w:rsid w:val="00B97D3D"/>
    <w:rsid w:val="00B97DE9"/>
    <w:rsid w:val="00BA0572"/>
    <w:rsid w:val="00BA07B1"/>
    <w:rsid w:val="00BA091C"/>
    <w:rsid w:val="00BA101D"/>
    <w:rsid w:val="00BA14BA"/>
    <w:rsid w:val="00BA1FFF"/>
    <w:rsid w:val="00BA2089"/>
    <w:rsid w:val="00BA254A"/>
    <w:rsid w:val="00BA267F"/>
    <w:rsid w:val="00BA2F02"/>
    <w:rsid w:val="00BA2FFD"/>
    <w:rsid w:val="00BA3254"/>
    <w:rsid w:val="00BA3491"/>
    <w:rsid w:val="00BA3492"/>
    <w:rsid w:val="00BA3608"/>
    <w:rsid w:val="00BA428A"/>
    <w:rsid w:val="00BA4351"/>
    <w:rsid w:val="00BA4561"/>
    <w:rsid w:val="00BA47E3"/>
    <w:rsid w:val="00BA4ED9"/>
    <w:rsid w:val="00BA5023"/>
    <w:rsid w:val="00BA5365"/>
    <w:rsid w:val="00BA56EB"/>
    <w:rsid w:val="00BA58B6"/>
    <w:rsid w:val="00BA5B30"/>
    <w:rsid w:val="00BA5B72"/>
    <w:rsid w:val="00BA62AD"/>
    <w:rsid w:val="00BA6495"/>
    <w:rsid w:val="00BA664A"/>
    <w:rsid w:val="00BA678B"/>
    <w:rsid w:val="00BA68E8"/>
    <w:rsid w:val="00BA6936"/>
    <w:rsid w:val="00BA6C22"/>
    <w:rsid w:val="00BA6DBD"/>
    <w:rsid w:val="00BA7276"/>
    <w:rsid w:val="00BA78A8"/>
    <w:rsid w:val="00BA78CC"/>
    <w:rsid w:val="00BA7C71"/>
    <w:rsid w:val="00BB0267"/>
    <w:rsid w:val="00BB02EA"/>
    <w:rsid w:val="00BB072E"/>
    <w:rsid w:val="00BB078B"/>
    <w:rsid w:val="00BB0C7E"/>
    <w:rsid w:val="00BB0D66"/>
    <w:rsid w:val="00BB0DE7"/>
    <w:rsid w:val="00BB0E0C"/>
    <w:rsid w:val="00BB112C"/>
    <w:rsid w:val="00BB135F"/>
    <w:rsid w:val="00BB147C"/>
    <w:rsid w:val="00BB209C"/>
    <w:rsid w:val="00BB210C"/>
    <w:rsid w:val="00BB218D"/>
    <w:rsid w:val="00BB21FB"/>
    <w:rsid w:val="00BB2265"/>
    <w:rsid w:val="00BB28BF"/>
    <w:rsid w:val="00BB2B25"/>
    <w:rsid w:val="00BB2ED7"/>
    <w:rsid w:val="00BB30EA"/>
    <w:rsid w:val="00BB35B6"/>
    <w:rsid w:val="00BB36FE"/>
    <w:rsid w:val="00BB37AF"/>
    <w:rsid w:val="00BB3B0D"/>
    <w:rsid w:val="00BB3BBC"/>
    <w:rsid w:val="00BB4011"/>
    <w:rsid w:val="00BB4769"/>
    <w:rsid w:val="00BB49D4"/>
    <w:rsid w:val="00BB4AF9"/>
    <w:rsid w:val="00BB4B2D"/>
    <w:rsid w:val="00BB4B37"/>
    <w:rsid w:val="00BB4C08"/>
    <w:rsid w:val="00BB4FDA"/>
    <w:rsid w:val="00BB5053"/>
    <w:rsid w:val="00BB5EC1"/>
    <w:rsid w:val="00BB5F40"/>
    <w:rsid w:val="00BB61BE"/>
    <w:rsid w:val="00BB66B2"/>
    <w:rsid w:val="00BB6891"/>
    <w:rsid w:val="00BB68A3"/>
    <w:rsid w:val="00BB6A7F"/>
    <w:rsid w:val="00BB6AC3"/>
    <w:rsid w:val="00BB6C49"/>
    <w:rsid w:val="00BB6E9D"/>
    <w:rsid w:val="00BB7373"/>
    <w:rsid w:val="00BB76DF"/>
    <w:rsid w:val="00BB779D"/>
    <w:rsid w:val="00BB7C9F"/>
    <w:rsid w:val="00BB7CB3"/>
    <w:rsid w:val="00BC0305"/>
    <w:rsid w:val="00BC050A"/>
    <w:rsid w:val="00BC066A"/>
    <w:rsid w:val="00BC072F"/>
    <w:rsid w:val="00BC11FD"/>
    <w:rsid w:val="00BC122C"/>
    <w:rsid w:val="00BC15CC"/>
    <w:rsid w:val="00BC174B"/>
    <w:rsid w:val="00BC17A9"/>
    <w:rsid w:val="00BC1866"/>
    <w:rsid w:val="00BC1C6F"/>
    <w:rsid w:val="00BC1DBD"/>
    <w:rsid w:val="00BC220C"/>
    <w:rsid w:val="00BC2239"/>
    <w:rsid w:val="00BC2384"/>
    <w:rsid w:val="00BC2414"/>
    <w:rsid w:val="00BC2930"/>
    <w:rsid w:val="00BC2A25"/>
    <w:rsid w:val="00BC322A"/>
    <w:rsid w:val="00BC40C5"/>
    <w:rsid w:val="00BC438A"/>
    <w:rsid w:val="00BC45D9"/>
    <w:rsid w:val="00BC46CC"/>
    <w:rsid w:val="00BC4728"/>
    <w:rsid w:val="00BC47C5"/>
    <w:rsid w:val="00BC4A4E"/>
    <w:rsid w:val="00BC4B19"/>
    <w:rsid w:val="00BC4B4A"/>
    <w:rsid w:val="00BC4D16"/>
    <w:rsid w:val="00BC4F00"/>
    <w:rsid w:val="00BC5092"/>
    <w:rsid w:val="00BC50F1"/>
    <w:rsid w:val="00BC526B"/>
    <w:rsid w:val="00BC5663"/>
    <w:rsid w:val="00BC5737"/>
    <w:rsid w:val="00BC5C14"/>
    <w:rsid w:val="00BC5E05"/>
    <w:rsid w:val="00BC5EB0"/>
    <w:rsid w:val="00BC605D"/>
    <w:rsid w:val="00BC6274"/>
    <w:rsid w:val="00BC639A"/>
    <w:rsid w:val="00BC64D9"/>
    <w:rsid w:val="00BC65A7"/>
    <w:rsid w:val="00BC6782"/>
    <w:rsid w:val="00BC6C96"/>
    <w:rsid w:val="00BC6D81"/>
    <w:rsid w:val="00BC70A9"/>
    <w:rsid w:val="00BC71DC"/>
    <w:rsid w:val="00BC753A"/>
    <w:rsid w:val="00BC7A88"/>
    <w:rsid w:val="00BD032B"/>
    <w:rsid w:val="00BD043C"/>
    <w:rsid w:val="00BD045B"/>
    <w:rsid w:val="00BD0B42"/>
    <w:rsid w:val="00BD0D1E"/>
    <w:rsid w:val="00BD0DA1"/>
    <w:rsid w:val="00BD11FF"/>
    <w:rsid w:val="00BD1200"/>
    <w:rsid w:val="00BD1386"/>
    <w:rsid w:val="00BD151C"/>
    <w:rsid w:val="00BD1747"/>
    <w:rsid w:val="00BD1C97"/>
    <w:rsid w:val="00BD2483"/>
    <w:rsid w:val="00BD25DE"/>
    <w:rsid w:val="00BD2D2D"/>
    <w:rsid w:val="00BD386A"/>
    <w:rsid w:val="00BD3940"/>
    <w:rsid w:val="00BD3A51"/>
    <w:rsid w:val="00BD3C1A"/>
    <w:rsid w:val="00BD3C68"/>
    <w:rsid w:val="00BD3F92"/>
    <w:rsid w:val="00BD421D"/>
    <w:rsid w:val="00BD4267"/>
    <w:rsid w:val="00BD447F"/>
    <w:rsid w:val="00BD4493"/>
    <w:rsid w:val="00BD47E6"/>
    <w:rsid w:val="00BD4D97"/>
    <w:rsid w:val="00BD5031"/>
    <w:rsid w:val="00BD5052"/>
    <w:rsid w:val="00BD5160"/>
    <w:rsid w:val="00BD521E"/>
    <w:rsid w:val="00BD5413"/>
    <w:rsid w:val="00BD58A0"/>
    <w:rsid w:val="00BD58AC"/>
    <w:rsid w:val="00BD5918"/>
    <w:rsid w:val="00BD5CFC"/>
    <w:rsid w:val="00BD5F35"/>
    <w:rsid w:val="00BD6239"/>
    <w:rsid w:val="00BD6B87"/>
    <w:rsid w:val="00BD6CFA"/>
    <w:rsid w:val="00BD6EF4"/>
    <w:rsid w:val="00BD73FC"/>
    <w:rsid w:val="00BD7560"/>
    <w:rsid w:val="00BD7696"/>
    <w:rsid w:val="00BD7791"/>
    <w:rsid w:val="00BD79B1"/>
    <w:rsid w:val="00BE00E2"/>
    <w:rsid w:val="00BE0216"/>
    <w:rsid w:val="00BE03B6"/>
    <w:rsid w:val="00BE03D0"/>
    <w:rsid w:val="00BE04D9"/>
    <w:rsid w:val="00BE08EF"/>
    <w:rsid w:val="00BE0BCC"/>
    <w:rsid w:val="00BE1722"/>
    <w:rsid w:val="00BE1876"/>
    <w:rsid w:val="00BE1B83"/>
    <w:rsid w:val="00BE1FEF"/>
    <w:rsid w:val="00BE28AB"/>
    <w:rsid w:val="00BE29B0"/>
    <w:rsid w:val="00BE2A03"/>
    <w:rsid w:val="00BE2B81"/>
    <w:rsid w:val="00BE311F"/>
    <w:rsid w:val="00BE348F"/>
    <w:rsid w:val="00BE3622"/>
    <w:rsid w:val="00BE3997"/>
    <w:rsid w:val="00BE3C9C"/>
    <w:rsid w:val="00BE3F6E"/>
    <w:rsid w:val="00BE4614"/>
    <w:rsid w:val="00BE485B"/>
    <w:rsid w:val="00BE4B58"/>
    <w:rsid w:val="00BE4E6F"/>
    <w:rsid w:val="00BE5100"/>
    <w:rsid w:val="00BE529D"/>
    <w:rsid w:val="00BE53DD"/>
    <w:rsid w:val="00BE573E"/>
    <w:rsid w:val="00BE59E2"/>
    <w:rsid w:val="00BE5A4E"/>
    <w:rsid w:val="00BE5B32"/>
    <w:rsid w:val="00BE5D1B"/>
    <w:rsid w:val="00BE6065"/>
    <w:rsid w:val="00BE60BD"/>
    <w:rsid w:val="00BE6106"/>
    <w:rsid w:val="00BE6584"/>
    <w:rsid w:val="00BE6637"/>
    <w:rsid w:val="00BE6690"/>
    <w:rsid w:val="00BE6953"/>
    <w:rsid w:val="00BE6F2B"/>
    <w:rsid w:val="00BE6FD4"/>
    <w:rsid w:val="00BE7090"/>
    <w:rsid w:val="00BE749B"/>
    <w:rsid w:val="00BE7C90"/>
    <w:rsid w:val="00BE7D8D"/>
    <w:rsid w:val="00BF05CA"/>
    <w:rsid w:val="00BF07FD"/>
    <w:rsid w:val="00BF10E8"/>
    <w:rsid w:val="00BF11E2"/>
    <w:rsid w:val="00BF1376"/>
    <w:rsid w:val="00BF1B38"/>
    <w:rsid w:val="00BF1B73"/>
    <w:rsid w:val="00BF1D1B"/>
    <w:rsid w:val="00BF2033"/>
    <w:rsid w:val="00BF2320"/>
    <w:rsid w:val="00BF2B02"/>
    <w:rsid w:val="00BF2B75"/>
    <w:rsid w:val="00BF2C93"/>
    <w:rsid w:val="00BF3158"/>
    <w:rsid w:val="00BF3169"/>
    <w:rsid w:val="00BF31CF"/>
    <w:rsid w:val="00BF34E0"/>
    <w:rsid w:val="00BF3614"/>
    <w:rsid w:val="00BF3911"/>
    <w:rsid w:val="00BF3AC9"/>
    <w:rsid w:val="00BF3BD1"/>
    <w:rsid w:val="00BF3C61"/>
    <w:rsid w:val="00BF3D31"/>
    <w:rsid w:val="00BF412D"/>
    <w:rsid w:val="00BF5023"/>
    <w:rsid w:val="00BF51B7"/>
    <w:rsid w:val="00BF5491"/>
    <w:rsid w:val="00BF5628"/>
    <w:rsid w:val="00BF56BE"/>
    <w:rsid w:val="00BF5AC5"/>
    <w:rsid w:val="00BF602F"/>
    <w:rsid w:val="00BF6229"/>
    <w:rsid w:val="00BF6398"/>
    <w:rsid w:val="00BF6676"/>
    <w:rsid w:val="00BF670D"/>
    <w:rsid w:val="00BF6B8D"/>
    <w:rsid w:val="00BF6EA0"/>
    <w:rsid w:val="00BF725A"/>
    <w:rsid w:val="00BF75E5"/>
    <w:rsid w:val="00BF7615"/>
    <w:rsid w:val="00BF7B60"/>
    <w:rsid w:val="00BF7BA0"/>
    <w:rsid w:val="00BF7BD9"/>
    <w:rsid w:val="00BF7F14"/>
    <w:rsid w:val="00C004DD"/>
    <w:rsid w:val="00C00688"/>
    <w:rsid w:val="00C00723"/>
    <w:rsid w:val="00C007DA"/>
    <w:rsid w:val="00C00953"/>
    <w:rsid w:val="00C00C95"/>
    <w:rsid w:val="00C00EBB"/>
    <w:rsid w:val="00C00F38"/>
    <w:rsid w:val="00C010D8"/>
    <w:rsid w:val="00C01B1D"/>
    <w:rsid w:val="00C021B2"/>
    <w:rsid w:val="00C02307"/>
    <w:rsid w:val="00C02493"/>
    <w:rsid w:val="00C0250F"/>
    <w:rsid w:val="00C027C3"/>
    <w:rsid w:val="00C02802"/>
    <w:rsid w:val="00C0314D"/>
    <w:rsid w:val="00C0327E"/>
    <w:rsid w:val="00C032F3"/>
    <w:rsid w:val="00C03312"/>
    <w:rsid w:val="00C03532"/>
    <w:rsid w:val="00C03605"/>
    <w:rsid w:val="00C0394C"/>
    <w:rsid w:val="00C039A5"/>
    <w:rsid w:val="00C03A04"/>
    <w:rsid w:val="00C03AFE"/>
    <w:rsid w:val="00C03C67"/>
    <w:rsid w:val="00C03F49"/>
    <w:rsid w:val="00C0441D"/>
    <w:rsid w:val="00C046F7"/>
    <w:rsid w:val="00C05BFF"/>
    <w:rsid w:val="00C062B9"/>
    <w:rsid w:val="00C06374"/>
    <w:rsid w:val="00C063ED"/>
    <w:rsid w:val="00C064FE"/>
    <w:rsid w:val="00C066AB"/>
    <w:rsid w:val="00C067CE"/>
    <w:rsid w:val="00C06A1F"/>
    <w:rsid w:val="00C06EA1"/>
    <w:rsid w:val="00C070F7"/>
    <w:rsid w:val="00C071E1"/>
    <w:rsid w:val="00C07299"/>
    <w:rsid w:val="00C0739F"/>
    <w:rsid w:val="00C07715"/>
    <w:rsid w:val="00C07795"/>
    <w:rsid w:val="00C079DE"/>
    <w:rsid w:val="00C07A1D"/>
    <w:rsid w:val="00C07A9D"/>
    <w:rsid w:val="00C07B5B"/>
    <w:rsid w:val="00C07D9B"/>
    <w:rsid w:val="00C10069"/>
    <w:rsid w:val="00C104D1"/>
    <w:rsid w:val="00C10C0B"/>
    <w:rsid w:val="00C10DD5"/>
    <w:rsid w:val="00C10F51"/>
    <w:rsid w:val="00C1122F"/>
    <w:rsid w:val="00C116FB"/>
    <w:rsid w:val="00C11762"/>
    <w:rsid w:val="00C11A6C"/>
    <w:rsid w:val="00C11F76"/>
    <w:rsid w:val="00C12197"/>
    <w:rsid w:val="00C124A6"/>
    <w:rsid w:val="00C12863"/>
    <w:rsid w:val="00C12944"/>
    <w:rsid w:val="00C12989"/>
    <w:rsid w:val="00C12A61"/>
    <w:rsid w:val="00C12E58"/>
    <w:rsid w:val="00C13567"/>
    <w:rsid w:val="00C13BA5"/>
    <w:rsid w:val="00C13C61"/>
    <w:rsid w:val="00C1421F"/>
    <w:rsid w:val="00C145C0"/>
    <w:rsid w:val="00C1477D"/>
    <w:rsid w:val="00C1485C"/>
    <w:rsid w:val="00C14D9F"/>
    <w:rsid w:val="00C156A5"/>
    <w:rsid w:val="00C156D7"/>
    <w:rsid w:val="00C15740"/>
    <w:rsid w:val="00C15A27"/>
    <w:rsid w:val="00C15D0C"/>
    <w:rsid w:val="00C15FEF"/>
    <w:rsid w:val="00C16215"/>
    <w:rsid w:val="00C165A1"/>
    <w:rsid w:val="00C165DA"/>
    <w:rsid w:val="00C16765"/>
    <w:rsid w:val="00C16A2F"/>
    <w:rsid w:val="00C16AD7"/>
    <w:rsid w:val="00C16DAE"/>
    <w:rsid w:val="00C16F1F"/>
    <w:rsid w:val="00C1750F"/>
    <w:rsid w:val="00C176A9"/>
    <w:rsid w:val="00C1776A"/>
    <w:rsid w:val="00C17CB0"/>
    <w:rsid w:val="00C20301"/>
    <w:rsid w:val="00C20BBA"/>
    <w:rsid w:val="00C20FFB"/>
    <w:rsid w:val="00C21442"/>
    <w:rsid w:val="00C21711"/>
    <w:rsid w:val="00C21BF1"/>
    <w:rsid w:val="00C21D38"/>
    <w:rsid w:val="00C21D92"/>
    <w:rsid w:val="00C22275"/>
    <w:rsid w:val="00C223C5"/>
    <w:rsid w:val="00C22519"/>
    <w:rsid w:val="00C22725"/>
    <w:rsid w:val="00C22950"/>
    <w:rsid w:val="00C229D9"/>
    <w:rsid w:val="00C22A2A"/>
    <w:rsid w:val="00C22C7B"/>
    <w:rsid w:val="00C22F12"/>
    <w:rsid w:val="00C2305C"/>
    <w:rsid w:val="00C2329B"/>
    <w:rsid w:val="00C232F0"/>
    <w:rsid w:val="00C233D0"/>
    <w:rsid w:val="00C234A2"/>
    <w:rsid w:val="00C2380D"/>
    <w:rsid w:val="00C23847"/>
    <w:rsid w:val="00C23A7F"/>
    <w:rsid w:val="00C23E51"/>
    <w:rsid w:val="00C23EEE"/>
    <w:rsid w:val="00C23F25"/>
    <w:rsid w:val="00C240E7"/>
    <w:rsid w:val="00C24162"/>
    <w:rsid w:val="00C24216"/>
    <w:rsid w:val="00C24569"/>
    <w:rsid w:val="00C24AD3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46A"/>
    <w:rsid w:val="00C26A4F"/>
    <w:rsid w:val="00C26BEC"/>
    <w:rsid w:val="00C26C06"/>
    <w:rsid w:val="00C26EBA"/>
    <w:rsid w:val="00C26F26"/>
    <w:rsid w:val="00C27175"/>
    <w:rsid w:val="00C271AE"/>
    <w:rsid w:val="00C278F6"/>
    <w:rsid w:val="00C2796E"/>
    <w:rsid w:val="00C27A2E"/>
    <w:rsid w:val="00C27F9B"/>
    <w:rsid w:val="00C30008"/>
    <w:rsid w:val="00C302BD"/>
    <w:rsid w:val="00C305DD"/>
    <w:rsid w:val="00C30BF7"/>
    <w:rsid w:val="00C31013"/>
    <w:rsid w:val="00C3140F"/>
    <w:rsid w:val="00C31921"/>
    <w:rsid w:val="00C31A5B"/>
    <w:rsid w:val="00C31AB7"/>
    <w:rsid w:val="00C31EC5"/>
    <w:rsid w:val="00C32176"/>
    <w:rsid w:val="00C322D7"/>
    <w:rsid w:val="00C328E4"/>
    <w:rsid w:val="00C32A02"/>
    <w:rsid w:val="00C32A16"/>
    <w:rsid w:val="00C32EA6"/>
    <w:rsid w:val="00C33356"/>
    <w:rsid w:val="00C33E55"/>
    <w:rsid w:val="00C33F76"/>
    <w:rsid w:val="00C341B8"/>
    <w:rsid w:val="00C344DC"/>
    <w:rsid w:val="00C34ABD"/>
    <w:rsid w:val="00C34BB1"/>
    <w:rsid w:val="00C351DF"/>
    <w:rsid w:val="00C353CF"/>
    <w:rsid w:val="00C353DC"/>
    <w:rsid w:val="00C358A5"/>
    <w:rsid w:val="00C35A9A"/>
    <w:rsid w:val="00C35B62"/>
    <w:rsid w:val="00C35F0A"/>
    <w:rsid w:val="00C35F43"/>
    <w:rsid w:val="00C360CA"/>
    <w:rsid w:val="00C36387"/>
    <w:rsid w:val="00C363A9"/>
    <w:rsid w:val="00C364A5"/>
    <w:rsid w:val="00C36603"/>
    <w:rsid w:val="00C369A4"/>
    <w:rsid w:val="00C36C55"/>
    <w:rsid w:val="00C36E91"/>
    <w:rsid w:val="00C36EA5"/>
    <w:rsid w:val="00C37088"/>
    <w:rsid w:val="00C3715E"/>
    <w:rsid w:val="00C3772A"/>
    <w:rsid w:val="00C379F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44F"/>
    <w:rsid w:val="00C41D3C"/>
    <w:rsid w:val="00C42402"/>
    <w:rsid w:val="00C427D6"/>
    <w:rsid w:val="00C428A5"/>
    <w:rsid w:val="00C42B09"/>
    <w:rsid w:val="00C42EE4"/>
    <w:rsid w:val="00C42F96"/>
    <w:rsid w:val="00C430EE"/>
    <w:rsid w:val="00C4315C"/>
    <w:rsid w:val="00C43257"/>
    <w:rsid w:val="00C43292"/>
    <w:rsid w:val="00C43295"/>
    <w:rsid w:val="00C432EC"/>
    <w:rsid w:val="00C43629"/>
    <w:rsid w:val="00C43801"/>
    <w:rsid w:val="00C4383F"/>
    <w:rsid w:val="00C438BB"/>
    <w:rsid w:val="00C43A90"/>
    <w:rsid w:val="00C43AD9"/>
    <w:rsid w:val="00C43DE8"/>
    <w:rsid w:val="00C440B0"/>
    <w:rsid w:val="00C44372"/>
    <w:rsid w:val="00C4467E"/>
    <w:rsid w:val="00C447A0"/>
    <w:rsid w:val="00C4497D"/>
    <w:rsid w:val="00C44A07"/>
    <w:rsid w:val="00C44B8C"/>
    <w:rsid w:val="00C44BDC"/>
    <w:rsid w:val="00C44E3E"/>
    <w:rsid w:val="00C450A5"/>
    <w:rsid w:val="00C45163"/>
    <w:rsid w:val="00C45BFB"/>
    <w:rsid w:val="00C45DCE"/>
    <w:rsid w:val="00C46085"/>
    <w:rsid w:val="00C460FC"/>
    <w:rsid w:val="00C46D15"/>
    <w:rsid w:val="00C46D3C"/>
    <w:rsid w:val="00C46F6E"/>
    <w:rsid w:val="00C47127"/>
    <w:rsid w:val="00C4768C"/>
    <w:rsid w:val="00C47AA0"/>
    <w:rsid w:val="00C47ED0"/>
    <w:rsid w:val="00C500A8"/>
    <w:rsid w:val="00C503C8"/>
    <w:rsid w:val="00C508BC"/>
    <w:rsid w:val="00C50C7D"/>
    <w:rsid w:val="00C50F29"/>
    <w:rsid w:val="00C50FF9"/>
    <w:rsid w:val="00C5116D"/>
    <w:rsid w:val="00C511CC"/>
    <w:rsid w:val="00C51353"/>
    <w:rsid w:val="00C51A6A"/>
    <w:rsid w:val="00C51D33"/>
    <w:rsid w:val="00C520A5"/>
    <w:rsid w:val="00C521F4"/>
    <w:rsid w:val="00C52889"/>
    <w:rsid w:val="00C528D2"/>
    <w:rsid w:val="00C52D5A"/>
    <w:rsid w:val="00C52D70"/>
    <w:rsid w:val="00C52E8B"/>
    <w:rsid w:val="00C5303A"/>
    <w:rsid w:val="00C53CA1"/>
    <w:rsid w:val="00C53CFC"/>
    <w:rsid w:val="00C53DE5"/>
    <w:rsid w:val="00C53FEF"/>
    <w:rsid w:val="00C54518"/>
    <w:rsid w:val="00C54B14"/>
    <w:rsid w:val="00C54BBD"/>
    <w:rsid w:val="00C55455"/>
    <w:rsid w:val="00C55C04"/>
    <w:rsid w:val="00C55E15"/>
    <w:rsid w:val="00C55F0F"/>
    <w:rsid w:val="00C569EE"/>
    <w:rsid w:val="00C56C58"/>
    <w:rsid w:val="00C56CCC"/>
    <w:rsid w:val="00C56CE4"/>
    <w:rsid w:val="00C56F6D"/>
    <w:rsid w:val="00C574AE"/>
    <w:rsid w:val="00C57B3F"/>
    <w:rsid w:val="00C57E8C"/>
    <w:rsid w:val="00C60320"/>
    <w:rsid w:val="00C60477"/>
    <w:rsid w:val="00C607FA"/>
    <w:rsid w:val="00C60A63"/>
    <w:rsid w:val="00C60A94"/>
    <w:rsid w:val="00C60B27"/>
    <w:rsid w:val="00C60ED3"/>
    <w:rsid w:val="00C61626"/>
    <w:rsid w:val="00C617D3"/>
    <w:rsid w:val="00C61B31"/>
    <w:rsid w:val="00C61BB0"/>
    <w:rsid w:val="00C624FC"/>
    <w:rsid w:val="00C62A70"/>
    <w:rsid w:val="00C62A78"/>
    <w:rsid w:val="00C62B48"/>
    <w:rsid w:val="00C62BAA"/>
    <w:rsid w:val="00C62E08"/>
    <w:rsid w:val="00C631CA"/>
    <w:rsid w:val="00C634AE"/>
    <w:rsid w:val="00C6352A"/>
    <w:rsid w:val="00C635CC"/>
    <w:rsid w:val="00C63B29"/>
    <w:rsid w:val="00C63D29"/>
    <w:rsid w:val="00C63E6A"/>
    <w:rsid w:val="00C6403F"/>
    <w:rsid w:val="00C6405D"/>
    <w:rsid w:val="00C644F0"/>
    <w:rsid w:val="00C64538"/>
    <w:rsid w:val="00C6482F"/>
    <w:rsid w:val="00C64E85"/>
    <w:rsid w:val="00C64FE6"/>
    <w:rsid w:val="00C65B2D"/>
    <w:rsid w:val="00C65C5D"/>
    <w:rsid w:val="00C65DA0"/>
    <w:rsid w:val="00C65EC2"/>
    <w:rsid w:val="00C66083"/>
    <w:rsid w:val="00C664A2"/>
    <w:rsid w:val="00C6656A"/>
    <w:rsid w:val="00C666E9"/>
    <w:rsid w:val="00C6671F"/>
    <w:rsid w:val="00C667A3"/>
    <w:rsid w:val="00C6688A"/>
    <w:rsid w:val="00C66AC3"/>
    <w:rsid w:val="00C66BDD"/>
    <w:rsid w:val="00C66C03"/>
    <w:rsid w:val="00C66C2F"/>
    <w:rsid w:val="00C67057"/>
    <w:rsid w:val="00C67158"/>
    <w:rsid w:val="00C6724A"/>
    <w:rsid w:val="00C6794C"/>
    <w:rsid w:val="00C67BAC"/>
    <w:rsid w:val="00C67C38"/>
    <w:rsid w:val="00C70383"/>
    <w:rsid w:val="00C70731"/>
    <w:rsid w:val="00C70E47"/>
    <w:rsid w:val="00C71104"/>
    <w:rsid w:val="00C711E5"/>
    <w:rsid w:val="00C716F1"/>
    <w:rsid w:val="00C71C57"/>
    <w:rsid w:val="00C71DF2"/>
    <w:rsid w:val="00C71EA7"/>
    <w:rsid w:val="00C72178"/>
    <w:rsid w:val="00C72816"/>
    <w:rsid w:val="00C729C9"/>
    <w:rsid w:val="00C72B1D"/>
    <w:rsid w:val="00C730CB"/>
    <w:rsid w:val="00C731FC"/>
    <w:rsid w:val="00C7329F"/>
    <w:rsid w:val="00C73314"/>
    <w:rsid w:val="00C73586"/>
    <w:rsid w:val="00C73627"/>
    <w:rsid w:val="00C73782"/>
    <w:rsid w:val="00C73B8D"/>
    <w:rsid w:val="00C73F9C"/>
    <w:rsid w:val="00C74107"/>
    <w:rsid w:val="00C74430"/>
    <w:rsid w:val="00C745E5"/>
    <w:rsid w:val="00C74740"/>
    <w:rsid w:val="00C74830"/>
    <w:rsid w:val="00C75031"/>
    <w:rsid w:val="00C752ED"/>
    <w:rsid w:val="00C754A0"/>
    <w:rsid w:val="00C754FF"/>
    <w:rsid w:val="00C7593A"/>
    <w:rsid w:val="00C75D4B"/>
    <w:rsid w:val="00C76330"/>
    <w:rsid w:val="00C76932"/>
    <w:rsid w:val="00C76976"/>
    <w:rsid w:val="00C76D32"/>
    <w:rsid w:val="00C76E8A"/>
    <w:rsid w:val="00C76E9B"/>
    <w:rsid w:val="00C77134"/>
    <w:rsid w:val="00C772D2"/>
    <w:rsid w:val="00C778A2"/>
    <w:rsid w:val="00C77965"/>
    <w:rsid w:val="00C779FD"/>
    <w:rsid w:val="00C77E68"/>
    <w:rsid w:val="00C8034B"/>
    <w:rsid w:val="00C8056E"/>
    <w:rsid w:val="00C80C77"/>
    <w:rsid w:val="00C80D90"/>
    <w:rsid w:val="00C80EE4"/>
    <w:rsid w:val="00C8104E"/>
    <w:rsid w:val="00C8117A"/>
    <w:rsid w:val="00C811F2"/>
    <w:rsid w:val="00C81245"/>
    <w:rsid w:val="00C81320"/>
    <w:rsid w:val="00C81347"/>
    <w:rsid w:val="00C813C2"/>
    <w:rsid w:val="00C815D0"/>
    <w:rsid w:val="00C81B05"/>
    <w:rsid w:val="00C82179"/>
    <w:rsid w:val="00C8228A"/>
    <w:rsid w:val="00C824E1"/>
    <w:rsid w:val="00C83607"/>
    <w:rsid w:val="00C836EE"/>
    <w:rsid w:val="00C839F2"/>
    <w:rsid w:val="00C83ADF"/>
    <w:rsid w:val="00C83AEE"/>
    <w:rsid w:val="00C83B2A"/>
    <w:rsid w:val="00C83D33"/>
    <w:rsid w:val="00C83F12"/>
    <w:rsid w:val="00C8427A"/>
    <w:rsid w:val="00C842BA"/>
    <w:rsid w:val="00C849A4"/>
    <w:rsid w:val="00C84A7D"/>
    <w:rsid w:val="00C84B88"/>
    <w:rsid w:val="00C84CAA"/>
    <w:rsid w:val="00C84F1F"/>
    <w:rsid w:val="00C853B8"/>
    <w:rsid w:val="00C8550D"/>
    <w:rsid w:val="00C85531"/>
    <w:rsid w:val="00C85563"/>
    <w:rsid w:val="00C85610"/>
    <w:rsid w:val="00C85AC7"/>
    <w:rsid w:val="00C85B0B"/>
    <w:rsid w:val="00C85DAD"/>
    <w:rsid w:val="00C85E93"/>
    <w:rsid w:val="00C8628E"/>
    <w:rsid w:val="00C86875"/>
    <w:rsid w:val="00C86DDF"/>
    <w:rsid w:val="00C874D1"/>
    <w:rsid w:val="00C87B2C"/>
    <w:rsid w:val="00C87BA6"/>
    <w:rsid w:val="00C87F07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217"/>
    <w:rsid w:val="00C92840"/>
    <w:rsid w:val="00C9309C"/>
    <w:rsid w:val="00C932AA"/>
    <w:rsid w:val="00C93301"/>
    <w:rsid w:val="00C934E0"/>
    <w:rsid w:val="00C93680"/>
    <w:rsid w:val="00C939EE"/>
    <w:rsid w:val="00C941B9"/>
    <w:rsid w:val="00C945DB"/>
    <w:rsid w:val="00C94A2F"/>
    <w:rsid w:val="00C94B76"/>
    <w:rsid w:val="00C94BDC"/>
    <w:rsid w:val="00C94BF9"/>
    <w:rsid w:val="00C94CF0"/>
    <w:rsid w:val="00C95005"/>
    <w:rsid w:val="00C95240"/>
    <w:rsid w:val="00C954C8"/>
    <w:rsid w:val="00C9557C"/>
    <w:rsid w:val="00C9579D"/>
    <w:rsid w:val="00C95983"/>
    <w:rsid w:val="00C95A9A"/>
    <w:rsid w:val="00C961CA"/>
    <w:rsid w:val="00C96242"/>
    <w:rsid w:val="00C9644D"/>
    <w:rsid w:val="00C96454"/>
    <w:rsid w:val="00C96501"/>
    <w:rsid w:val="00C96747"/>
    <w:rsid w:val="00C96897"/>
    <w:rsid w:val="00C96D3D"/>
    <w:rsid w:val="00C97075"/>
    <w:rsid w:val="00C97276"/>
    <w:rsid w:val="00C972B2"/>
    <w:rsid w:val="00C97C47"/>
    <w:rsid w:val="00CA0704"/>
    <w:rsid w:val="00CA08DA"/>
    <w:rsid w:val="00CA08FF"/>
    <w:rsid w:val="00CA0CE8"/>
    <w:rsid w:val="00CA0FB8"/>
    <w:rsid w:val="00CA107A"/>
    <w:rsid w:val="00CA10BE"/>
    <w:rsid w:val="00CA14FD"/>
    <w:rsid w:val="00CA15F3"/>
    <w:rsid w:val="00CA2056"/>
    <w:rsid w:val="00CA2294"/>
    <w:rsid w:val="00CA239F"/>
    <w:rsid w:val="00CA2680"/>
    <w:rsid w:val="00CA2D2C"/>
    <w:rsid w:val="00CA2D83"/>
    <w:rsid w:val="00CA3312"/>
    <w:rsid w:val="00CA3B74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656"/>
    <w:rsid w:val="00CA6716"/>
    <w:rsid w:val="00CA6B37"/>
    <w:rsid w:val="00CA73D4"/>
    <w:rsid w:val="00CA7483"/>
    <w:rsid w:val="00CA77DC"/>
    <w:rsid w:val="00CA77F6"/>
    <w:rsid w:val="00CA7FB2"/>
    <w:rsid w:val="00CB00F3"/>
    <w:rsid w:val="00CB031D"/>
    <w:rsid w:val="00CB036A"/>
    <w:rsid w:val="00CB03B0"/>
    <w:rsid w:val="00CB040C"/>
    <w:rsid w:val="00CB072B"/>
    <w:rsid w:val="00CB07A9"/>
    <w:rsid w:val="00CB0979"/>
    <w:rsid w:val="00CB0C53"/>
    <w:rsid w:val="00CB0D2E"/>
    <w:rsid w:val="00CB0D34"/>
    <w:rsid w:val="00CB10CB"/>
    <w:rsid w:val="00CB1678"/>
    <w:rsid w:val="00CB176E"/>
    <w:rsid w:val="00CB1C4E"/>
    <w:rsid w:val="00CB1C53"/>
    <w:rsid w:val="00CB1CC3"/>
    <w:rsid w:val="00CB1D4A"/>
    <w:rsid w:val="00CB1FD2"/>
    <w:rsid w:val="00CB225B"/>
    <w:rsid w:val="00CB2391"/>
    <w:rsid w:val="00CB2444"/>
    <w:rsid w:val="00CB2A98"/>
    <w:rsid w:val="00CB2AA5"/>
    <w:rsid w:val="00CB2E78"/>
    <w:rsid w:val="00CB2E9C"/>
    <w:rsid w:val="00CB2EAD"/>
    <w:rsid w:val="00CB3064"/>
    <w:rsid w:val="00CB3818"/>
    <w:rsid w:val="00CB38D4"/>
    <w:rsid w:val="00CB3A96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ADF"/>
    <w:rsid w:val="00CB7CCD"/>
    <w:rsid w:val="00CC0045"/>
    <w:rsid w:val="00CC02AE"/>
    <w:rsid w:val="00CC0511"/>
    <w:rsid w:val="00CC07E9"/>
    <w:rsid w:val="00CC091B"/>
    <w:rsid w:val="00CC1342"/>
    <w:rsid w:val="00CC1418"/>
    <w:rsid w:val="00CC172D"/>
    <w:rsid w:val="00CC178F"/>
    <w:rsid w:val="00CC18C0"/>
    <w:rsid w:val="00CC1939"/>
    <w:rsid w:val="00CC1F80"/>
    <w:rsid w:val="00CC1FD7"/>
    <w:rsid w:val="00CC23EB"/>
    <w:rsid w:val="00CC27B0"/>
    <w:rsid w:val="00CC2A2C"/>
    <w:rsid w:val="00CC4160"/>
    <w:rsid w:val="00CC42D4"/>
    <w:rsid w:val="00CC4364"/>
    <w:rsid w:val="00CC472C"/>
    <w:rsid w:val="00CC4A40"/>
    <w:rsid w:val="00CC4E16"/>
    <w:rsid w:val="00CC4FC4"/>
    <w:rsid w:val="00CC5628"/>
    <w:rsid w:val="00CC5ABF"/>
    <w:rsid w:val="00CC64E3"/>
    <w:rsid w:val="00CC6A0B"/>
    <w:rsid w:val="00CC6B93"/>
    <w:rsid w:val="00CC6D93"/>
    <w:rsid w:val="00CC6FD5"/>
    <w:rsid w:val="00CC7258"/>
    <w:rsid w:val="00CC727E"/>
    <w:rsid w:val="00CC7712"/>
    <w:rsid w:val="00CC774A"/>
    <w:rsid w:val="00CC7DDA"/>
    <w:rsid w:val="00CD03D3"/>
    <w:rsid w:val="00CD0423"/>
    <w:rsid w:val="00CD054D"/>
    <w:rsid w:val="00CD06A0"/>
    <w:rsid w:val="00CD0D04"/>
    <w:rsid w:val="00CD1551"/>
    <w:rsid w:val="00CD16A5"/>
    <w:rsid w:val="00CD179A"/>
    <w:rsid w:val="00CD1AF1"/>
    <w:rsid w:val="00CD1AFB"/>
    <w:rsid w:val="00CD1B50"/>
    <w:rsid w:val="00CD2030"/>
    <w:rsid w:val="00CD2536"/>
    <w:rsid w:val="00CD2A6B"/>
    <w:rsid w:val="00CD307F"/>
    <w:rsid w:val="00CD3369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6121"/>
    <w:rsid w:val="00CD6228"/>
    <w:rsid w:val="00CD6347"/>
    <w:rsid w:val="00CD634D"/>
    <w:rsid w:val="00CD6784"/>
    <w:rsid w:val="00CD684E"/>
    <w:rsid w:val="00CD69E9"/>
    <w:rsid w:val="00CD6E49"/>
    <w:rsid w:val="00CD6FB6"/>
    <w:rsid w:val="00CD704E"/>
    <w:rsid w:val="00CD7420"/>
    <w:rsid w:val="00CD76A8"/>
    <w:rsid w:val="00CD799F"/>
    <w:rsid w:val="00CD7A68"/>
    <w:rsid w:val="00CE0118"/>
    <w:rsid w:val="00CE0137"/>
    <w:rsid w:val="00CE057D"/>
    <w:rsid w:val="00CE0BA7"/>
    <w:rsid w:val="00CE0D2B"/>
    <w:rsid w:val="00CE0E02"/>
    <w:rsid w:val="00CE107A"/>
    <w:rsid w:val="00CE1468"/>
    <w:rsid w:val="00CE15A4"/>
    <w:rsid w:val="00CE16B9"/>
    <w:rsid w:val="00CE19D0"/>
    <w:rsid w:val="00CE1D09"/>
    <w:rsid w:val="00CE25C8"/>
    <w:rsid w:val="00CE27DA"/>
    <w:rsid w:val="00CE2942"/>
    <w:rsid w:val="00CE2DFC"/>
    <w:rsid w:val="00CE2F78"/>
    <w:rsid w:val="00CE2FAA"/>
    <w:rsid w:val="00CE3298"/>
    <w:rsid w:val="00CE36EF"/>
    <w:rsid w:val="00CE3783"/>
    <w:rsid w:val="00CE3839"/>
    <w:rsid w:val="00CE3B18"/>
    <w:rsid w:val="00CE3BBB"/>
    <w:rsid w:val="00CE3F9F"/>
    <w:rsid w:val="00CE3FC3"/>
    <w:rsid w:val="00CE45BD"/>
    <w:rsid w:val="00CE48FD"/>
    <w:rsid w:val="00CE4C13"/>
    <w:rsid w:val="00CE552B"/>
    <w:rsid w:val="00CE570B"/>
    <w:rsid w:val="00CE572E"/>
    <w:rsid w:val="00CE5F95"/>
    <w:rsid w:val="00CE631A"/>
    <w:rsid w:val="00CE6441"/>
    <w:rsid w:val="00CE65F6"/>
    <w:rsid w:val="00CE6822"/>
    <w:rsid w:val="00CE6913"/>
    <w:rsid w:val="00CE6AB1"/>
    <w:rsid w:val="00CE6ACB"/>
    <w:rsid w:val="00CE6D09"/>
    <w:rsid w:val="00CE72DC"/>
    <w:rsid w:val="00CE7403"/>
    <w:rsid w:val="00CE757F"/>
    <w:rsid w:val="00CE79AB"/>
    <w:rsid w:val="00CE7A3C"/>
    <w:rsid w:val="00CF0065"/>
    <w:rsid w:val="00CF0105"/>
    <w:rsid w:val="00CF01E9"/>
    <w:rsid w:val="00CF099B"/>
    <w:rsid w:val="00CF0D9C"/>
    <w:rsid w:val="00CF0E4D"/>
    <w:rsid w:val="00CF1081"/>
    <w:rsid w:val="00CF109E"/>
    <w:rsid w:val="00CF17F0"/>
    <w:rsid w:val="00CF180F"/>
    <w:rsid w:val="00CF19C6"/>
    <w:rsid w:val="00CF1B55"/>
    <w:rsid w:val="00CF1E9A"/>
    <w:rsid w:val="00CF213F"/>
    <w:rsid w:val="00CF230D"/>
    <w:rsid w:val="00CF2767"/>
    <w:rsid w:val="00CF2A98"/>
    <w:rsid w:val="00CF39E0"/>
    <w:rsid w:val="00CF3A66"/>
    <w:rsid w:val="00CF4349"/>
    <w:rsid w:val="00CF43C6"/>
    <w:rsid w:val="00CF454F"/>
    <w:rsid w:val="00CF475F"/>
    <w:rsid w:val="00CF48A5"/>
    <w:rsid w:val="00CF4A57"/>
    <w:rsid w:val="00CF4B22"/>
    <w:rsid w:val="00CF4ED1"/>
    <w:rsid w:val="00CF5489"/>
    <w:rsid w:val="00CF5F6B"/>
    <w:rsid w:val="00CF62B8"/>
    <w:rsid w:val="00CF66E9"/>
    <w:rsid w:val="00CF6B84"/>
    <w:rsid w:val="00CF6DDB"/>
    <w:rsid w:val="00CF7111"/>
    <w:rsid w:val="00CF7452"/>
    <w:rsid w:val="00CF7615"/>
    <w:rsid w:val="00CF7796"/>
    <w:rsid w:val="00CF7823"/>
    <w:rsid w:val="00CF78DA"/>
    <w:rsid w:val="00CF7A96"/>
    <w:rsid w:val="00CF7D22"/>
    <w:rsid w:val="00CF7F0B"/>
    <w:rsid w:val="00D003F8"/>
    <w:rsid w:val="00D0052C"/>
    <w:rsid w:val="00D00B02"/>
    <w:rsid w:val="00D00E04"/>
    <w:rsid w:val="00D01037"/>
    <w:rsid w:val="00D010A0"/>
    <w:rsid w:val="00D01540"/>
    <w:rsid w:val="00D01615"/>
    <w:rsid w:val="00D016E7"/>
    <w:rsid w:val="00D018DB"/>
    <w:rsid w:val="00D01AFE"/>
    <w:rsid w:val="00D01B9F"/>
    <w:rsid w:val="00D01BA0"/>
    <w:rsid w:val="00D02124"/>
    <w:rsid w:val="00D02292"/>
    <w:rsid w:val="00D022EE"/>
    <w:rsid w:val="00D0239E"/>
    <w:rsid w:val="00D0267B"/>
    <w:rsid w:val="00D02757"/>
    <w:rsid w:val="00D02851"/>
    <w:rsid w:val="00D02A5B"/>
    <w:rsid w:val="00D02B68"/>
    <w:rsid w:val="00D02B8B"/>
    <w:rsid w:val="00D02E26"/>
    <w:rsid w:val="00D02E9E"/>
    <w:rsid w:val="00D02FB7"/>
    <w:rsid w:val="00D0303D"/>
    <w:rsid w:val="00D0345B"/>
    <w:rsid w:val="00D035D9"/>
    <w:rsid w:val="00D03823"/>
    <w:rsid w:val="00D03D55"/>
    <w:rsid w:val="00D03D97"/>
    <w:rsid w:val="00D040CD"/>
    <w:rsid w:val="00D04613"/>
    <w:rsid w:val="00D04AF3"/>
    <w:rsid w:val="00D04C4B"/>
    <w:rsid w:val="00D04CB3"/>
    <w:rsid w:val="00D04D9F"/>
    <w:rsid w:val="00D05845"/>
    <w:rsid w:val="00D05C77"/>
    <w:rsid w:val="00D05CDE"/>
    <w:rsid w:val="00D06286"/>
    <w:rsid w:val="00D06784"/>
    <w:rsid w:val="00D06790"/>
    <w:rsid w:val="00D06796"/>
    <w:rsid w:val="00D067C5"/>
    <w:rsid w:val="00D06827"/>
    <w:rsid w:val="00D06D80"/>
    <w:rsid w:val="00D06DC6"/>
    <w:rsid w:val="00D07581"/>
    <w:rsid w:val="00D07739"/>
    <w:rsid w:val="00D078A1"/>
    <w:rsid w:val="00D07BCA"/>
    <w:rsid w:val="00D10531"/>
    <w:rsid w:val="00D1055D"/>
    <w:rsid w:val="00D10769"/>
    <w:rsid w:val="00D11348"/>
    <w:rsid w:val="00D114EA"/>
    <w:rsid w:val="00D1152B"/>
    <w:rsid w:val="00D1154A"/>
    <w:rsid w:val="00D11642"/>
    <w:rsid w:val="00D116C7"/>
    <w:rsid w:val="00D118ED"/>
    <w:rsid w:val="00D11C62"/>
    <w:rsid w:val="00D11D08"/>
    <w:rsid w:val="00D12450"/>
    <w:rsid w:val="00D12481"/>
    <w:rsid w:val="00D12514"/>
    <w:rsid w:val="00D12941"/>
    <w:rsid w:val="00D12E60"/>
    <w:rsid w:val="00D137EC"/>
    <w:rsid w:val="00D137F5"/>
    <w:rsid w:val="00D13AC5"/>
    <w:rsid w:val="00D13BDC"/>
    <w:rsid w:val="00D13C39"/>
    <w:rsid w:val="00D13D2F"/>
    <w:rsid w:val="00D13E32"/>
    <w:rsid w:val="00D13FAF"/>
    <w:rsid w:val="00D13FC1"/>
    <w:rsid w:val="00D14237"/>
    <w:rsid w:val="00D142C5"/>
    <w:rsid w:val="00D148EB"/>
    <w:rsid w:val="00D149CF"/>
    <w:rsid w:val="00D14A15"/>
    <w:rsid w:val="00D14C59"/>
    <w:rsid w:val="00D14C7F"/>
    <w:rsid w:val="00D14E5F"/>
    <w:rsid w:val="00D14F7D"/>
    <w:rsid w:val="00D14FA3"/>
    <w:rsid w:val="00D14FB2"/>
    <w:rsid w:val="00D1563D"/>
    <w:rsid w:val="00D157A1"/>
    <w:rsid w:val="00D15B00"/>
    <w:rsid w:val="00D15B6C"/>
    <w:rsid w:val="00D15C72"/>
    <w:rsid w:val="00D161BB"/>
    <w:rsid w:val="00D164EA"/>
    <w:rsid w:val="00D164FD"/>
    <w:rsid w:val="00D16754"/>
    <w:rsid w:val="00D167BD"/>
    <w:rsid w:val="00D16827"/>
    <w:rsid w:val="00D16AE5"/>
    <w:rsid w:val="00D16E89"/>
    <w:rsid w:val="00D17548"/>
    <w:rsid w:val="00D17604"/>
    <w:rsid w:val="00D17A20"/>
    <w:rsid w:val="00D17A85"/>
    <w:rsid w:val="00D17B1A"/>
    <w:rsid w:val="00D17BED"/>
    <w:rsid w:val="00D17CC6"/>
    <w:rsid w:val="00D17E0C"/>
    <w:rsid w:val="00D17E48"/>
    <w:rsid w:val="00D17F57"/>
    <w:rsid w:val="00D20403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870"/>
    <w:rsid w:val="00D219FB"/>
    <w:rsid w:val="00D21ADC"/>
    <w:rsid w:val="00D21EFF"/>
    <w:rsid w:val="00D228C8"/>
    <w:rsid w:val="00D228E4"/>
    <w:rsid w:val="00D22A8A"/>
    <w:rsid w:val="00D22DD2"/>
    <w:rsid w:val="00D23105"/>
    <w:rsid w:val="00D23380"/>
    <w:rsid w:val="00D233EC"/>
    <w:rsid w:val="00D23801"/>
    <w:rsid w:val="00D23A28"/>
    <w:rsid w:val="00D24035"/>
    <w:rsid w:val="00D242AB"/>
    <w:rsid w:val="00D2440E"/>
    <w:rsid w:val="00D24784"/>
    <w:rsid w:val="00D24CA3"/>
    <w:rsid w:val="00D24DAB"/>
    <w:rsid w:val="00D24F45"/>
    <w:rsid w:val="00D2516D"/>
    <w:rsid w:val="00D251AC"/>
    <w:rsid w:val="00D257FD"/>
    <w:rsid w:val="00D25AEC"/>
    <w:rsid w:val="00D25AF1"/>
    <w:rsid w:val="00D25B2F"/>
    <w:rsid w:val="00D25B6B"/>
    <w:rsid w:val="00D25C43"/>
    <w:rsid w:val="00D25CC0"/>
    <w:rsid w:val="00D25E77"/>
    <w:rsid w:val="00D25F2E"/>
    <w:rsid w:val="00D2608B"/>
    <w:rsid w:val="00D2623C"/>
    <w:rsid w:val="00D2699A"/>
    <w:rsid w:val="00D26A86"/>
    <w:rsid w:val="00D27300"/>
    <w:rsid w:val="00D274CE"/>
    <w:rsid w:val="00D27724"/>
    <w:rsid w:val="00D2772C"/>
    <w:rsid w:val="00D27D36"/>
    <w:rsid w:val="00D27D9D"/>
    <w:rsid w:val="00D27E10"/>
    <w:rsid w:val="00D27E9B"/>
    <w:rsid w:val="00D3011C"/>
    <w:rsid w:val="00D3037E"/>
    <w:rsid w:val="00D30454"/>
    <w:rsid w:val="00D305AC"/>
    <w:rsid w:val="00D3067A"/>
    <w:rsid w:val="00D30789"/>
    <w:rsid w:val="00D307A6"/>
    <w:rsid w:val="00D30892"/>
    <w:rsid w:val="00D30BF9"/>
    <w:rsid w:val="00D314BD"/>
    <w:rsid w:val="00D318B4"/>
    <w:rsid w:val="00D31910"/>
    <w:rsid w:val="00D31D33"/>
    <w:rsid w:val="00D31FFD"/>
    <w:rsid w:val="00D32074"/>
    <w:rsid w:val="00D3210D"/>
    <w:rsid w:val="00D3217F"/>
    <w:rsid w:val="00D32376"/>
    <w:rsid w:val="00D323B1"/>
    <w:rsid w:val="00D326DD"/>
    <w:rsid w:val="00D3277A"/>
    <w:rsid w:val="00D329D1"/>
    <w:rsid w:val="00D32BF9"/>
    <w:rsid w:val="00D32DD5"/>
    <w:rsid w:val="00D32E91"/>
    <w:rsid w:val="00D3307E"/>
    <w:rsid w:val="00D3356D"/>
    <w:rsid w:val="00D33635"/>
    <w:rsid w:val="00D33685"/>
    <w:rsid w:val="00D3396F"/>
    <w:rsid w:val="00D33A40"/>
    <w:rsid w:val="00D33DBD"/>
    <w:rsid w:val="00D341C9"/>
    <w:rsid w:val="00D3447D"/>
    <w:rsid w:val="00D345AF"/>
    <w:rsid w:val="00D3488B"/>
    <w:rsid w:val="00D34A20"/>
    <w:rsid w:val="00D34A8C"/>
    <w:rsid w:val="00D34AF6"/>
    <w:rsid w:val="00D34E78"/>
    <w:rsid w:val="00D35127"/>
    <w:rsid w:val="00D35B0B"/>
    <w:rsid w:val="00D35F32"/>
    <w:rsid w:val="00D361DE"/>
    <w:rsid w:val="00D3683D"/>
    <w:rsid w:val="00D36954"/>
    <w:rsid w:val="00D369D6"/>
    <w:rsid w:val="00D369DE"/>
    <w:rsid w:val="00D36A99"/>
    <w:rsid w:val="00D36BBA"/>
    <w:rsid w:val="00D36F56"/>
    <w:rsid w:val="00D37427"/>
    <w:rsid w:val="00D374C6"/>
    <w:rsid w:val="00D3793E"/>
    <w:rsid w:val="00D37E78"/>
    <w:rsid w:val="00D37FB2"/>
    <w:rsid w:val="00D4024B"/>
    <w:rsid w:val="00D404C7"/>
    <w:rsid w:val="00D40506"/>
    <w:rsid w:val="00D40BA0"/>
    <w:rsid w:val="00D40FC3"/>
    <w:rsid w:val="00D414C3"/>
    <w:rsid w:val="00D415A5"/>
    <w:rsid w:val="00D41A6A"/>
    <w:rsid w:val="00D41D1F"/>
    <w:rsid w:val="00D42027"/>
    <w:rsid w:val="00D420E0"/>
    <w:rsid w:val="00D4233A"/>
    <w:rsid w:val="00D423E8"/>
    <w:rsid w:val="00D42573"/>
    <w:rsid w:val="00D42A1E"/>
    <w:rsid w:val="00D43015"/>
    <w:rsid w:val="00D432C9"/>
    <w:rsid w:val="00D43897"/>
    <w:rsid w:val="00D438C4"/>
    <w:rsid w:val="00D43B76"/>
    <w:rsid w:val="00D43DDA"/>
    <w:rsid w:val="00D43E3F"/>
    <w:rsid w:val="00D442CC"/>
    <w:rsid w:val="00D442F0"/>
    <w:rsid w:val="00D4446B"/>
    <w:rsid w:val="00D44B3D"/>
    <w:rsid w:val="00D44DF3"/>
    <w:rsid w:val="00D44E49"/>
    <w:rsid w:val="00D45047"/>
    <w:rsid w:val="00D45108"/>
    <w:rsid w:val="00D453A0"/>
    <w:rsid w:val="00D4540A"/>
    <w:rsid w:val="00D4541B"/>
    <w:rsid w:val="00D456A7"/>
    <w:rsid w:val="00D45872"/>
    <w:rsid w:val="00D45A0C"/>
    <w:rsid w:val="00D462F6"/>
    <w:rsid w:val="00D464D7"/>
    <w:rsid w:val="00D46569"/>
    <w:rsid w:val="00D46640"/>
    <w:rsid w:val="00D46787"/>
    <w:rsid w:val="00D4691A"/>
    <w:rsid w:val="00D46C4C"/>
    <w:rsid w:val="00D474F1"/>
    <w:rsid w:val="00D47C4A"/>
    <w:rsid w:val="00D47C9F"/>
    <w:rsid w:val="00D47D2E"/>
    <w:rsid w:val="00D47EA9"/>
    <w:rsid w:val="00D50542"/>
    <w:rsid w:val="00D508B4"/>
    <w:rsid w:val="00D50A9A"/>
    <w:rsid w:val="00D50C79"/>
    <w:rsid w:val="00D50CE9"/>
    <w:rsid w:val="00D50F43"/>
    <w:rsid w:val="00D51635"/>
    <w:rsid w:val="00D5163B"/>
    <w:rsid w:val="00D51B31"/>
    <w:rsid w:val="00D51BA4"/>
    <w:rsid w:val="00D51C76"/>
    <w:rsid w:val="00D51E05"/>
    <w:rsid w:val="00D51F18"/>
    <w:rsid w:val="00D520B5"/>
    <w:rsid w:val="00D526A3"/>
    <w:rsid w:val="00D526F3"/>
    <w:rsid w:val="00D52DA3"/>
    <w:rsid w:val="00D52DE4"/>
    <w:rsid w:val="00D52E44"/>
    <w:rsid w:val="00D52E5A"/>
    <w:rsid w:val="00D53537"/>
    <w:rsid w:val="00D5360E"/>
    <w:rsid w:val="00D53B2D"/>
    <w:rsid w:val="00D53D6D"/>
    <w:rsid w:val="00D542DB"/>
    <w:rsid w:val="00D544EE"/>
    <w:rsid w:val="00D546CE"/>
    <w:rsid w:val="00D549A2"/>
    <w:rsid w:val="00D54E49"/>
    <w:rsid w:val="00D54E9E"/>
    <w:rsid w:val="00D54EBF"/>
    <w:rsid w:val="00D551C8"/>
    <w:rsid w:val="00D552EB"/>
    <w:rsid w:val="00D55972"/>
    <w:rsid w:val="00D55B13"/>
    <w:rsid w:val="00D55B78"/>
    <w:rsid w:val="00D55BCB"/>
    <w:rsid w:val="00D55CDD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49B"/>
    <w:rsid w:val="00D57AED"/>
    <w:rsid w:val="00D57BD3"/>
    <w:rsid w:val="00D57BD9"/>
    <w:rsid w:val="00D57E16"/>
    <w:rsid w:val="00D57FAE"/>
    <w:rsid w:val="00D6014E"/>
    <w:rsid w:val="00D60210"/>
    <w:rsid w:val="00D60255"/>
    <w:rsid w:val="00D602E2"/>
    <w:rsid w:val="00D60327"/>
    <w:rsid w:val="00D60414"/>
    <w:rsid w:val="00D6063B"/>
    <w:rsid w:val="00D60768"/>
    <w:rsid w:val="00D60BB3"/>
    <w:rsid w:val="00D61233"/>
    <w:rsid w:val="00D61830"/>
    <w:rsid w:val="00D61A5B"/>
    <w:rsid w:val="00D61B85"/>
    <w:rsid w:val="00D61F15"/>
    <w:rsid w:val="00D624A9"/>
    <w:rsid w:val="00D6280A"/>
    <w:rsid w:val="00D6289E"/>
    <w:rsid w:val="00D62A13"/>
    <w:rsid w:val="00D62A27"/>
    <w:rsid w:val="00D630E7"/>
    <w:rsid w:val="00D63377"/>
    <w:rsid w:val="00D640BA"/>
    <w:rsid w:val="00D6444B"/>
    <w:rsid w:val="00D64618"/>
    <w:rsid w:val="00D64C56"/>
    <w:rsid w:val="00D65108"/>
    <w:rsid w:val="00D6531C"/>
    <w:rsid w:val="00D654B4"/>
    <w:rsid w:val="00D654CD"/>
    <w:rsid w:val="00D658F6"/>
    <w:rsid w:val="00D65A49"/>
    <w:rsid w:val="00D65C19"/>
    <w:rsid w:val="00D65C1C"/>
    <w:rsid w:val="00D66008"/>
    <w:rsid w:val="00D662FC"/>
    <w:rsid w:val="00D66381"/>
    <w:rsid w:val="00D66410"/>
    <w:rsid w:val="00D66472"/>
    <w:rsid w:val="00D66597"/>
    <w:rsid w:val="00D6679A"/>
    <w:rsid w:val="00D66D20"/>
    <w:rsid w:val="00D66F17"/>
    <w:rsid w:val="00D66F26"/>
    <w:rsid w:val="00D672A3"/>
    <w:rsid w:val="00D6744F"/>
    <w:rsid w:val="00D67827"/>
    <w:rsid w:val="00D67A9E"/>
    <w:rsid w:val="00D67B55"/>
    <w:rsid w:val="00D67CAF"/>
    <w:rsid w:val="00D67D58"/>
    <w:rsid w:val="00D700E5"/>
    <w:rsid w:val="00D70900"/>
    <w:rsid w:val="00D70D36"/>
    <w:rsid w:val="00D70E28"/>
    <w:rsid w:val="00D71B77"/>
    <w:rsid w:val="00D71D1D"/>
    <w:rsid w:val="00D71E7D"/>
    <w:rsid w:val="00D7200D"/>
    <w:rsid w:val="00D7230F"/>
    <w:rsid w:val="00D725CA"/>
    <w:rsid w:val="00D72718"/>
    <w:rsid w:val="00D72C8E"/>
    <w:rsid w:val="00D72FB8"/>
    <w:rsid w:val="00D7374B"/>
    <w:rsid w:val="00D738C4"/>
    <w:rsid w:val="00D73DFA"/>
    <w:rsid w:val="00D73F06"/>
    <w:rsid w:val="00D741F4"/>
    <w:rsid w:val="00D74420"/>
    <w:rsid w:val="00D74822"/>
    <w:rsid w:val="00D74895"/>
    <w:rsid w:val="00D74A87"/>
    <w:rsid w:val="00D74C14"/>
    <w:rsid w:val="00D7517B"/>
    <w:rsid w:val="00D755DE"/>
    <w:rsid w:val="00D7587B"/>
    <w:rsid w:val="00D75ADC"/>
    <w:rsid w:val="00D75B80"/>
    <w:rsid w:val="00D75CE3"/>
    <w:rsid w:val="00D76186"/>
    <w:rsid w:val="00D76320"/>
    <w:rsid w:val="00D76403"/>
    <w:rsid w:val="00D76513"/>
    <w:rsid w:val="00D7678D"/>
    <w:rsid w:val="00D768A4"/>
    <w:rsid w:val="00D76AB6"/>
    <w:rsid w:val="00D76BE7"/>
    <w:rsid w:val="00D76C33"/>
    <w:rsid w:val="00D76DD2"/>
    <w:rsid w:val="00D770BC"/>
    <w:rsid w:val="00D771E9"/>
    <w:rsid w:val="00D77447"/>
    <w:rsid w:val="00D7771F"/>
    <w:rsid w:val="00D77726"/>
    <w:rsid w:val="00D77800"/>
    <w:rsid w:val="00D77DB1"/>
    <w:rsid w:val="00D807EA"/>
    <w:rsid w:val="00D8081F"/>
    <w:rsid w:val="00D80898"/>
    <w:rsid w:val="00D80B6A"/>
    <w:rsid w:val="00D80C8B"/>
    <w:rsid w:val="00D80DF6"/>
    <w:rsid w:val="00D8114A"/>
    <w:rsid w:val="00D81316"/>
    <w:rsid w:val="00D817F1"/>
    <w:rsid w:val="00D81833"/>
    <w:rsid w:val="00D818F2"/>
    <w:rsid w:val="00D825BC"/>
    <w:rsid w:val="00D82676"/>
    <w:rsid w:val="00D82706"/>
    <w:rsid w:val="00D830B3"/>
    <w:rsid w:val="00D8312E"/>
    <w:rsid w:val="00D83630"/>
    <w:rsid w:val="00D8371D"/>
    <w:rsid w:val="00D83A9F"/>
    <w:rsid w:val="00D83B48"/>
    <w:rsid w:val="00D8414C"/>
    <w:rsid w:val="00D841A5"/>
    <w:rsid w:val="00D844B1"/>
    <w:rsid w:val="00D8469F"/>
    <w:rsid w:val="00D84D02"/>
    <w:rsid w:val="00D84D91"/>
    <w:rsid w:val="00D84DE3"/>
    <w:rsid w:val="00D84E4D"/>
    <w:rsid w:val="00D84F62"/>
    <w:rsid w:val="00D85375"/>
    <w:rsid w:val="00D8546E"/>
    <w:rsid w:val="00D8603D"/>
    <w:rsid w:val="00D865D1"/>
    <w:rsid w:val="00D865DD"/>
    <w:rsid w:val="00D86C20"/>
    <w:rsid w:val="00D86DD4"/>
    <w:rsid w:val="00D87CFA"/>
    <w:rsid w:val="00D87F18"/>
    <w:rsid w:val="00D87F1F"/>
    <w:rsid w:val="00D90046"/>
    <w:rsid w:val="00D901DF"/>
    <w:rsid w:val="00D9038D"/>
    <w:rsid w:val="00D90852"/>
    <w:rsid w:val="00D90898"/>
    <w:rsid w:val="00D90998"/>
    <w:rsid w:val="00D909BB"/>
    <w:rsid w:val="00D90BEF"/>
    <w:rsid w:val="00D90CE0"/>
    <w:rsid w:val="00D90DA0"/>
    <w:rsid w:val="00D90EB1"/>
    <w:rsid w:val="00D9111B"/>
    <w:rsid w:val="00D9127E"/>
    <w:rsid w:val="00D9174D"/>
    <w:rsid w:val="00D917C7"/>
    <w:rsid w:val="00D917EB"/>
    <w:rsid w:val="00D9184F"/>
    <w:rsid w:val="00D91D92"/>
    <w:rsid w:val="00D920C6"/>
    <w:rsid w:val="00D92529"/>
    <w:rsid w:val="00D92870"/>
    <w:rsid w:val="00D92A2B"/>
    <w:rsid w:val="00D92AB8"/>
    <w:rsid w:val="00D92B67"/>
    <w:rsid w:val="00D92F08"/>
    <w:rsid w:val="00D93743"/>
    <w:rsid w:val="00D93A59"/>
    <w:rsid w:val="00D9412D"/>
    <w:rsid w:val="00D9420E"/>
    <w:rsid w:val="00D945F5"/>
    <w:rsid w:val="00D94BD0"/>
    <w:rsid w:val="00D94BFE"/>
    <w:rsid w:val="00D9558B"/>
    <w:rsid w:val="00D95F5F"/>
    <w:rsid w:val="00D95FDA"/>
    <w:rsid w:val="00D9617C"/>
    <w:rsid w:val="00D96398"/>
    <w:rsid w:val="00D966E1"/>
    <w:rsid w:val="00D9680D"/>
    <w:rsid w:val="00D96917"/>
    <w:rsid w:val="00D96924"/>
    <w:rsid w:val="00D96BC9"/>
    <w:rsid w:val="00D96C41"/>
    <w:rsid w:val="00D96F24"/>
    <w:rsid w:val="00D97340"/>
    <w:rsid w:val="00D973C9"/>
    <w:rsid w:val="00D9756F"/>
    <w:rsid w:val="00D9781A"/>
    <w:rsid w:val="00D97883"/>
    <w:rsid w:val="00D979C9"/>
    <w:rsid w:val="00D97ECD"/>
    <w:rsid w:val="00D97FFA"/>
    <w:rsid w:val="00DA0067"/>
    <w:rsid w:val="00DA041C"/>
    <w:rsid w:val="00DA06F9"/>
    <w:rsid w:val="00DA0A6D"/>
    <w:rsid w:val="00DA0CAA"/>
    <w:rsid w:val="00DA0EFB"/>
    <w:rsid w:val="00DA0F4A"/>
    <w:rsid w:val="00DA1342"/>
    <w:rsid w:val="00DA1613"/>
    <w:rsid w:val="00DA1868"/>
    <w:rsid w:val="00DA18EE"/>
    <w:rsid w:val="00DA18FC"/>
    <w:rsid w:val="00DA1A4B"/>
    <w:rsid w:val="00DA2074"/>
    <w:rsid w:val="00DA2241"/>
    <w:rsid w:val="00DA238B"/>
    <w:rsid w:val="00DA240D"/>
    <w:rsid w:val="00DA2675"/>
    <w:rsid w:val="00DA26BA"/>
    <w:rsid w:val="00DA27D7"/>
    <w:rsid w:val="00DA29C5"/>
    <w:rsid w:val="00DA2A9B"/>
    <w:rsid w:val="00DA2AEB"/>
    <w:rsid w:val="00DA2D86"/>
    <w:rsid w:val="00DA2F37"/>
    <w:rsid w:val="00DA301E"/>
    <w:rsid w:val="00DA330A"/>
    <w:rsid w:val="00DA36EF"/>
    <w:rsid w:val="00DA3922"/>
    <w:rsid w:val="00DA4300"/>
    <w:rsid w:val="00DA453C"/>
    <w:rsid w:val="00DA51E1"/>
    <w:rsid w:val="00DA5781"/>
    <w:rsid w:val="00DA5AAB"/>
    <w:rsid w:val="00DA5B18"/>
    <w:rsid w:val="00DA5D32"/>
    <w:rsid w:val="00DA5E80"/>
    <w:rsid w:val="00DA5F70"/>
    <w:rsid w:val="00DA608C"/>
    <w:rsid w:val="00DA663C"/>
    <w:rsid w:val="00DA671A"/>
    <w:rsid w:val="00DA6858"/>
    <w:rsid w:val="00DA716C"/>
    <w:rsid w:val="00DA7233"/>
    <w:rsid w:val="00DA7266"/>
    <w:rsid w:val="00DA7496"/>
    <w:rsid w:val="00DA7846"/>
    <w:rsid w:val="00DA7904"/>
    <w:rsid w:val="00DA7A9F"/>
    <w:rsid w:val="00DA7AFF"/>
    <w:rsid w:val="00DA7CBB"/>
    <w:rsid w:val="00DA7EC2"/>
    <w:rsid w:val="00DA7F06"/>
    <w:rsid w:val="00DB0380"/>
    <w:rsid w:val="00DB083D"/>
    <w:rsid w:val="00DB0862"/>
    <w:rsid w:val="00DB08FA"/>
    <w:rsid w:val="00DB1495"/>
    <w:rsid w:val="00DB14BD"/>
    <w:rsid w:val="00DB1637"/>
    <w:rsid w:val="00DB19E7"/>
    <w:rsid w:val="00DB1A54"/>
    <w:rsid w:val="00DB1B72"/>
    <w:rsid w:val="00DB1CD7"/>
    <w:rsid w:val="00DB2086"/>
    <w:rsid w:val="00DB20D1"/>
    <w:rsid w:val="00DB24A2"/>
    <w:rsid w:val="00DB2651"/>
    <w:rsid w:val="00DB2768"/>
    <w:rsid w:val="00DB28A2"/>
    <w:rsid w:val="00DB28B4"/>
    <w:rsid w:val="00DB2A12"/>
    <w:rsid w:val="00DB2A1C"/>
    <w:rsid w:val="00DB30B1"/>
    <w:rsid w:val="00DB31FF"/>
    <w:rsid w:val="00DB33C7"/>
    <w:rsid w:val="00DB39BE"/>
    <w:rsid w:val="00DB3AD0"/>
    <w:rsid w:val="00DB3DC6"/>
    <w:rsid w:val="00DB3ECD"/>
    <w:rsid w:val="00DB4207"/>
    <w:rsid w:val="00DB43AC"/>
    <w:rsid w:val="00DB4717"/>
    <w:rsid w:val="00DB4B21"/>
    <w:rsid w:val="00DB4BC2"/>
    <w:rsid w:val="00DB4BD4"/>
    <w:rsid w:val="00DB4E30"/>
    <w:rsid w:val="00DB51E8"/>
    <w:rsid w:val="00DB52C9"/>
    <w:rsid w:val="00DB5806"/>
    <w:rsid w:val="00DB59DB"/>
    <w:rsid w:val="00DB5B0F"/>
    <w:rsid w:val="00DB5B94"/>
    <w:rsid w:val="00DB5D62"/>
    <w:rsid w:val="00DB60A0"/>
    <w:rsid w:val="00DB6278"/>
    <w:rsid w:val="00DB68D5"/>
    <w:rsid w:val="00DB6CC7"/>
    <w:rsid w:val="00DB6D7D"/>
    <w:rsid w:val="00DB7087"/>
    <w:rsid w:val="00DB7178"/>
    <w:rsid w:val="00DB7320"/>
    <w:rsid w:val="00DB734F"/>
    <w:rsid w:val="00DB75E7"/>
    <w:rsid w:val="00DB76A4"/>
    <w:rsid w:val="00DB777B"/>
    <w:rsid w:val="00DB78E8"/>
    <w:rsid w:val="00DB79D5"/>
    <w:rsid w:val="00DB79E4"/>
    <w:rsid w:val="00DB7C03"/>
    <w:rsid w:val="00DB7F45"/>
    <w:rsid w:val="00DB7F7B"/>
    <w:rsid w:val="00DB7F8E"/>
    <w:rsid w:val="00DC00E8"/>
    <w:rsid w:val="00DC0CC3"/>
    <w:rsid w:val="00DC0E3D"/>
    <w:rsid w:val="00DC0F8C"/>
    <w:rsid w:val="00DC12C8"/>
    <w:rsid w:val="00DC1C61"/>
    <w:rsid w:val="00DC2232"/>
    <w:rsid w:val="00DC2611"/>
    <w:rsid w:val="00DC343C"/>
    <w:rsid w:val="00DC3597"/>
    <w:rsid w:val="00DC360B"/>
    <w:rsid w:val="00DC36E8"/>
    <w:rsid w:val="00DC3B0F"/>
    <w:rsid w:val="00DC3F3D"/>
    <w:rsid w:val="00DC41A5"/>
    <w:rsid w:val="00DC4508"/>
    <w:rsid w:val="00DC4AC6"/>
    <w:rsid w:val="00DC4F30"/>
    <w:rsid w:val="00DC509C"/>
    <w:rsid w:val="00DC5134"/>
    <w:rsid w:val="00DC56F0"/>
    <w:rsid w:val="00DC570A"/>
    <w:rsid w:val="00DC5BC4"/>
    <w:rsid w:val="00DC5C5A"/>
    <w:rsid w:val="00DC5C68"/>
    <w:rsid w:val="00DC5D8F"/>
    <w:rsid w:val="00DC6A70"/>
    <w:rsid w:val="00DC6AB5"/>
    <w:rsid w:val="00DC6CD0"/>
    <w:rsid w:val="00DC6EC8"/>
    <w:rsid w:val="00DC6F31"/>
    <w:rsid w:val="00DC7004"/>
    <w:rsid w:val="00DC703A"/>
    <w:rsid w:val="00DC7070"/>
    <w:rsid w:val="00DC72FE"/>
    <w:rsid w:val="00DC7BF7"/>
    <w:rsid w:val="00DC7FFD"/>
    <w:rsid w:val="00DD0277"/>
    <w:rsid w:val="00DD0698"/>
    <w:rsid w:val="00DD096E"/>
    <w:rsid w:val="00DD0C66"/>
    <w:rsid w:val="00DD1129"/>
    <w:rsid w:val="00DD15C7"/>
    <w:rsid w:val="00DD179F"/>
    <w:rsid w:val="00DD1802"/>
    <w:rsid w:val="00DD1B11"/>
    <w:rsid w:val="00DD1B33"/>
    <w:rsid w:val="00DD1B59"/>
    <w:rsid w:val="00DD1CE2"/>
    <w:rsid w:val="00DD23D3"/>
    <w:rsid w:val="00DD263E"/>
    <w:rsid w:val="00DD2F5E"/>
    <w:rsid w:val="00DD371B"/>
    <w:rsid w:val="00DD4238"/>
    <w:rsid w:val="00DD461A"/>
    <w:rsid w:val="00DD4AE9"/>
    <w:rsid w:val="00DD4F6E"/>
    <w:rsid w:val="00DD5140"/>
    <w:rsid w:val="00DD575B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882"/>
    <w:rsid w:val="00DD697B"/>
    <w:rsid w:val="00DD6D82"/>
    <w:rsid w:val="00DD744D"/>
    <w:rsid w:val="00DD7594"/>
    <w:rsid w:val="00DD7749"/>
    <w:rsid w:val="00DD786C"/>
    <w:rsid w:val="00DD7A38"/>
    <w:rsid w:val="00DD7B43"/>
    <w:rsid w:val="00DD7B5E"/>
    <w:rsid w:val="00DD7BE9"/>
    <w:rsid w:val="00DD7D55"/>
    <w:rsid w:val="00DD7DCE"/>
    <w:rsid w:val="00DD7E6D"/>
    <w:rsid w:val="00DD7F2D"/>
    <w:rsid w:val="00DE0129"/>
    <w:rsid w:val="00DE026F"/>
    <w:rsid w:val="00DE0452"/>
    <w:rsid w:val="00DE045E"/>
    <w:rsid w:val="00DE074F"/>
    <w:rsid w:val="00DE0772"/>
    <w:rsid w:val="00DE1064"/>
    <w:rsid w:val="00DE1240"/>
    <w:rsid w:val="00DE1258"/>
    <w:rsid w:val="00DE15DB"/>
    <w:rsid w:val="00DE1852"/>
    <w:rsid w:val="00DE1AA5"/>
    <w:rsid w:val="00DE1BCD"/>
    <w:rsid w:val="00DE1C68"/>
    <w:rsid w:val="00DE1E1F"/>
    <w:rsid w:val="00DE1F76"/>
    <w:rsid w:val="00DE1FB3"/>
    <w:rsid w:val="00DE1FE2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247"/>
    <w:rsid w:val="00DE4327"/>
    <w:rsid w:val="00DE44F0"/>
    <w:rsid w:val="00DE4567"/>
    <w:rsid w:val="00DE489E"/>
    <w:rsid w:val="00DE490A"/>
    <w:rsid w:val="00DE4958"/>
    <w:rsid w:val="00DE4978"/>
    <w:rsid w:val="00DE4A0A"/>
    <w:rsid w:val="00DE4A94"/>
    <w:rsid w:val="00DE4AA0"/>
    <w:rsid w:val="00DE4AAF"/>
    <w:rsid w:val="00DE4C9A"/>
    <w:rsid w:val="00DE4CAF"/>
    <w:rsid w:val="00DE4DF8"/>
    <w:rsid w:val="00DE5039"/>
    <w:rsid w:val="00DE52FF"/>
    <w:rsid w:val="00DE5414"/>
    <w:rsid w:val="00DE563D"/>
    <w:rsid w:val="00DE5B1E"/>
    <w:rsid w:val="00DE5BAE"/>
    <w:rsid w:val="00DE62A2"/>
    <w:rsid w:val="00DE7267"/>
    <w:rsid w:val="00DE74A8"/>
    <w:rsid w:val="00DE74F5"/>
    <w:rsid w:val="00DE7566"/>
    <w:rsid w:val="00DE7A7E"/>
    <w:rsid w:val="00DE7BA3"/>
    <w:rsid w:val="00DE7D4D"/>
    <w:rsid w:val="00DE7E46"/>
    <w:rsid w:val="00DF0577"/>
    <w:rsid w:val="00DF066D"/>
    <w:rsid w:val="00DF0737"/>
    <w:rsid w:val="00DF07B4"/>
    <w:rsid w:val="00DF08AC"/>
    <w:rsid w:val="00DF0C37"/>
    <w:rsid w:val="00DF0C88"/>
    <w:rsid w:val="00DF107B"/>
    <w:rsid w:val="00DF10A6"/>
    <w:rsid w:val="00DF135C"/>
    <w:rsid w:val="00DF18FC"/>
    <w:rsid w:val="00DF2078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3C61"/>
    <w:rsid w:val="00DF3D0D"/>
    <w:rsid w:val="00DF3F3A"/>
    <w:rsid w:val="00DF4023"/>
    <w:rsid w:val="00DF404D"/>
    <w:rsid w:val="00DF4194"/>
    <w:rsid w:val="00DF4364"/>
    <w:rsid w:val="00DF499D"/>
    <w:rsid w:val="00DF4E2C"/>
    <w:rsid w:val="00DF4E34"/>
    <w:rsid w:val="00DF4EBA"/>
    <w:rsid w:val="00DF4F1B"/>
    <w:rsid w:val="00DF51A8"/>
    <w:rsid w:val="00DF5ACC"/>
    <w:rsid w:val="00DF5B3F"/>
    <w:rsid w:val="00DF5CAC"/>
    <w:rsid w:val="00DF5CF7"/>
    <w:rsid w:val="00DF5DC3"/>
    <w:rsid w:val="00DF6022"/>
    <w:rsid w:val="00DF6141"/>
    <w:rsid w:val="00DF677A"/>
    <w:rsid w:val="00DF69E4"/>
    <w:rsid w:val="00DF6A93"/>
    <w:rsid w:val="00DF6AC3"/>
    <w:rsid w:val="00DF744D"/>
    <w:rsid w:val="00DF75EC"/>
    <w:rsid w:val="00DF770C"/>
    <w:rsid w:val="00DF78E1"/>
    <w:rsid w:val="00DF798F"/>
    <w:rsid w:val="00DF79B3"/>
    <w:rsid w:val="00DF79E1"/>
    <w:rsid w:val="00DF7D56"/>
    <w:rsid w:val="00DF7DBE"/>
    <w:rsid w:val="00E002D6"/>
    <w:rsid w:val="00E00A7C"/>
    <w:rsid w:val="00E00BF6"/>
    <w:rsid w:val="00E00E87"/>
    <w:rsid w:val="00E00E96"/>
    <w:rsid w:val="00E010D7"/>
    <w:rsid w:val="00E0133D"/>
    <w:rsid w:val="00E01721"/>
    <w:rsid w:val="00E0199E"/>
    <w:rsid w:val="00E019ED"/>
    <w:rsid w:val="00E01B31"/>
    <w:rsid w:val="00E01E09"/>
    <w:rsid w:val="00E0231C"/>
    <w:rsid w:val="00E02392"/>
    <w:rsid w:val="00E025BF"/>
    <w:rsid w:val="00E02967"/>
    <w:rsid w:val="00E029FE"/>
    <w:rsid w:val="00E0312F"/>
    <w:rsid w:val="00E03337"/>
    <w:rsid w:val="00E03889"/>
    <w:rsid w:val="00E03BA3"/>
    <w:rsid w:val="00E03BA8"/>
    <w:rsid w:val="00E03F33"/>
    <w:rsid w:val="00E0429D"/>
    <w:rsid w:val="00E04B7C"/>
    <w:rsid w:val="00E04C48"/>
    <w:rsid w:val="00E0511E"/>
    <w:rsid w:val="00E051C5"/>
    <w:rsid w:val="00E0584B"/>
    <w:rsid w:val="00E058F4"/>
    <w:rsid w:val="00E05C97"/>
    <w:rsid w:val="00E05D02"/>
    <w:rsid w:val="00E05DA6"/>
    <w:rsid w:val="00E05F35"/>
    <w:rsid w:val="00E05FF2"/>
    <w:rsid w:val="00E06065"/>
    <w:rsid w:val="00E060E7"/>
    <w:rsid w:val="00E0668C"/>
    <w:rsid w:val="00E066F2"/>
    <w:rsid w:val="00E06A81"/>
    <w:rsid w:val="00E06B51"/>
    <w:rsid w:val="00E0739E"/>
    <w:rsid w:val="00E07611"/>
    <w:rsid w:val="00E07772"/>
    <w:rsid w:val="00E07901"/>
    <w:rsid w:val="00E079C6"/>
    <w:rsid w:val="00E100A0"/>
    <w:rsid w:val="00E10AE7"/>
    <w:rsid w:val="00E10B9A"/>
    <w:rsid w:val="00E10BFA"/>
    <w:rsid w:val="00E110E9"/>
    <w:rsid w:val="00E1133A"/>
    <w:rsid w:val="00E11392"/>
    <w:rsid w:val="00E11428"/>
    <w:rsid w:val="00E116C6"/>
    <w:rsid w:val="00E116D4"/>
    <w:rsid w:val="00E1178F"/>
    <w:rsid w:val="00E11EE1"/>
    <w:rsid w:val="00E12030"/>
    <w:rsid w:val="00E121D2"/>
    <w:rsid w:val="00E1239C"/>
    <w:rsid w:val="00E124D0"/>
    <w:rsid w:val="00E1262D"/>
    <w:rsid w:val="00E1273C"/>
    <w:rsid w:val="00E128A2"/>
    <w:rsid w:val="00E12AD1"/>
    <w:rsid w:val="00E13137"/>
    <w:rsid w:val="00E13181"/>
    <w:rsid w:val="00E13207"/>
    <w:rsid w:val="00E134FE"/>
    <w:rsid w:val="00E13958"/>
    <w:rsid w:val="00E13B0C"/>
    <w:rsid w:val="00E1434A"/>
    <w:rsid w:val="00E14600"/>
    <w:rsid w:val="00E1466B"/>
    <w:rsid w:val="00E146CF"/>
    <w:rsid w:val="00E146F0"/>
    <w:rsid w:val="00E1488A"/>
    <w:rsid w:val="00E14BED"/>
    <w:rsid w:val="00E14C28"/>
    <w:rsid w:val="00E14E30"/>
    <w:rsid w:val="00E15048"/>
    <w:rsid w:val="00E15606"/>
    <w:rsid w:val="00E15893"/>
    <w:rsid w:val="00E15ACE"/>
    <w:rsid w:val="00E15BA6"/>
    <w:rsid w:val="00E15C2B"/>
    <w:rsid w:val="00E15D59"/>
    <w:rsid w:val="00E15F9F"/>
    <w:rsid w:val="00E15FFB"/>
    <w:rsid w:val="00E1633F"/>
    <w:rsid w:val="00E16392"/>
    <w:rsid w:val="00E16406"/>
    <w:rsid w:val="00E1687E"/>
    <w:rsid w:val="00E16BAF"/>
    <w:rsid w:val="00E1734B"/>
    <w:rsid w:val="00E17599"/>
    <w:rsid w:val="00E17711"/>
    <w:rsid w:val="00E17C22"/>
    <w:rsid w:val="00E17CD3"/>
    <w:rsid w:val="00E17D0F"/>
    <w:rsid w:val="00E20112"/>
    <w:rsid w:val="00E20504"/>
    <w:rsid w:val="00E20528"/>
    <w:rsid w:val="00E20531"/>
    <w:rsid w:val="00E20D19"/>
    <w:rsid w:val="00E20D6C"/>
    <w:rsid w:val="00E20F03"/>
    <w:rsid w:val="00E20FA3"/>
    <w:rsid w:val="00E210C4"/>
    <w:rsid w:val="00E211F7"/>
    <w:rsid w:val="00E21488"/>
    <w:rsid w:val="00E217A2"/>
    <w:rsid w:val="00E217B2"/>
    <w:rsid w:val="00E21B26"/>
    <w:rsid w:val="00E2207F"/>
    <w:rsid w:val="00E220B0"/>
    <w:rsid w:val="00E22126"/>
    <w:rsid w:val="00E2260D"/>
    <w:rsid w:val="00E23501"/>
    <w:rsid w:val="00E23556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939"/>
    <w:rsid w:val="00E25B7C"/>
    <w:rsid w:val="00E25DDB"/>
    <w:rsid w:val="00E261ED"/>
    <w:rsid w:val="00E262C5"/>
    <w:rsid w:val="00E26325"/>
    <w:rsid w:val="00E263A0"/>
    <w:rsid w:val="00E267BF"/>
    <w:rsid w:val="00E26F14"/>
    <w:rsid w:val="00E26FAD"/>
    <w:rsid w:val="00E271DE"/>
    <w:rsid w:val="00E27242"/>
    <w:rsid w:val="00E275E3"/>
    <w:rsid w:val="00E27664"/>
    <w:rsid w:val="00E27927"/>
    <w:rsid w:val="00E27C12"/>
    <w:rsid w:val="00E27EBF"/>
    <w:rsid w:val="00E27F00"/>
    <w:rsid w:val="00E27F70"/>
    <w:rsid w:val="00E301A0"/>
    <w:rsid w:val="00E3021E"/>
    <w:rsid w:val="00E302AD"/>
    <w:rsid w:val="00E30431"/>
    <w:rsid w:val="00E304D8"/>
    <w:rsid w:val="00E304EB"/>
    <w:rsid w:val="00E306F8"/>
    <w:rsid w:val="00E30763"/>
    <w:rsid w:val="00E30EF7"/>
    <w:rsid w:val="00E3187A"/>
    <w:rsid w:val="00E31FA1"/>
    <w:rsid w:val="00E32086"/>
    <w:rsid w:val="00E321C2"/>
    <w:rsid w:val="00E323FC"/>
    <w:rsid w:val="00E3273D"/>
    <w:rsid w:val="00E329D0"/>
    <w:rsid w:val="00E32C08"/>
    <w:rsid w:val="00E330AD"/>
    <w:rsid w:val="00E33576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2A"/>
    <w:rsid w:val="00E34B80"/>
    <w:rsid w:val="00E34CC9"/>
    <w:rsid w:val="00E34CDE"/>
    <w:rsid w:val="00E34DDA"/>
    <w:rsid w:val="00E34EE9"/>
    <w:rsid w:val="00E35017"/>
    <w:rsid w:val="00E3590B"/>
    <w:rsid w:val="00E36ADF"/>
    <w:rsid w:val="00E36B53"/>
    <w:rsid w:val="00E3705A"/>
    <w:rsid w:val="00E37456"/>
    <w:rsid w:val="00E37585"/>
    <w:rsid w:val="00E37D3A"/>
    <w:rsid w:val="00E4050C"/>
    <w:rsid w:val="00E40652"/>
    <w:rsid w:val="00E40942"/>
    <w:rsid w:val="00E40A18"/>
    <w:rsid w:val="00E40C44"/>
    <w:rsid w:val="00E40C48"/>
    <w:rsid w:val="00E4159F"/>
    <w:rsid w:val="00E41666"/>
    <w:rsid w:val="00E4193A"/>
    <w:rsid w:val="00E4196A"/>
    <w:rsid w:val="00E419F3"/>
    <w:rsid w:val="00E41B64"/>
    <w:rsid w:val="00E41E78"/>
    <w:rsid w:val="00E41F4B"/>
    <w:rsid w:val="00E4203F"/>
    <w:rsid w:val="00E422B5"/>
    <w:rsid w:val="00E425C5"/>
    <w:rsid w:val="00E42854"/>
    <w:rsid w:val="00E428F6"/>
    <w:rsid w:val="00E42A4F"/>
    <w:rsid w:val="00E42C35"/>
    <w:rsid w:val="00E42E41"/>
    <w:rsid w:val="00E42EE0"/>
    <w:rsid w:val="00E4320C"/>
    <w:rsid w:val="00E432D2"/>
    <w:rsid w:val="00E4344F"/>
    <w:rsid w:val="00E4384C"/>
    <w:rsid w:val="00E43ACE"/>
    <w:rsid w:val="00E43E70"/>
    <w:rsid w:val="00E441B5"/>
    <w:rsid w:val="00E4452F"/>
    <w:rsid w:val="00E447D5"/>
    <w:rsid w:val="00E4492C"/>
    <w:rsid w:val="00E44995"/>
    <w:rsid w:val="00E449C7"/>
    <w:rsid w:val="00E44A8A"/>
    <w:rsid w:val="00E4532F"/>
    <w:rsid w:val="00E45452"/>
    <w:rsid w:val="00E45461"/>
    <w:rsid w:val="00E454D4"/>
    <w:rsid w:val="00E4557B"/>
    <w:rsid w:val="00E45816"/>
    <w:rsid w:val="00E460C8"/>
    <w:rsid w:val="00E4620E"/>
    <w:rsid w:val="00E46367"/>
    <w:rsid w:val="00E463D1"/>
    <w:rsid w:val="00E469D5"/>
    <w:rsid w:val="00E46B25"/>
    <w:rsid w:val="00E46CD5"/>
    <w:rsid w:val="00E46DF0"/>
    <w:rsid w:val="00E46EF3"/>
    <w:rsid w:val="00E471D6"/>
    <w:rsid w:val="00E473F4"/>
    <w:rsid w:val="00E47502"/>
    <w:rsid w:val="00E500D9"/>
    <w:rsid w:val="00E503CA"/>
    <w:rsid w:val="00E504BE"/>
    <w:rsid w:val="00E505F4"/>
    <w:rsid w:val="00E505FC"/>
    <w:rsid w:val="00E50778"/>
    <w:rsid w:val="00E508B7"/>
    <w:rsid w:val="00E50FBC"/>
    <w:rsid w:val="00E518D0"/>
    <w:rsid w:val="00E51AB5"/>
    <w:rsid w:val="00E51C9F"/>
    <w:rsid w:val="00E51DDF"/>
    <w:rsid w:val="00E51DFD"/>
    <w:rsid w:val="00E5231A"/>
    <w:rsid w:val="00E52345"/>
    <w:rsid w:val="00E52626"/>
    <w:rsid w:val="00E52763"/>
    <w:rsid w:val="00E53075"/>
    <w:rsid w:val="00E531E2"/>
    <w:rsid w:val="00E5323D"/>
    <w:rsid w:val="00E53948"/>
    <w:rsid w:val="00E53A12"/>
    <w:rsid w:val="00E53AB2"/>
    <w:rsid w:val="00E53C11"/>
    <w:rsid w:val="00E53C31"/>
    <w:rsid w:val="00E53DED"/>
    <w:rsid w:val="00E5411A"/>
    <w:rsid w:val="00E54129"/>
    <w:rsid w:val="00E543D7"/>
    <w:rsid w:val="00E546E0"/>
    <w:rsid w:val="00E547B6"/>
    <w:rsid w:val="00E54DF5"/>
    <w:rsid w:val="00E553BC"/>
    <w:rsid w:val="00E55509"/>
    <w:rsid w:val="00E55B9C"/>
    <w:rsid w:val="00E55C2F"/>
    <w:rsid w:val="00E55EC9"/>
    <w:rsid w:val="00E5619A"/>
    <w:rsid w:val="00E5629F"/>
    <w:rsid w:val="00E5635F"/>
    <w:rsid w:val="00E563AE"/>
    <w:rsid w:val="00E56582"/>
    <w:rsid w:val="00E565DD"/>
    <w:rsid w:val="00E565EC"/>
    <w:rsid w:val="00E565F4"/>
    <w:rsid w:val="00E568D9"/>
    <w:rsid w:val="00E56B30"/>
    <w:rsid w:val="00E56D49"/>
    <w:rsid w:val="00E56DA4"/>
    <w:rsid w:val="00E56E35"/>
    <w:rsid w:val="00E57005"/>
    <w:rsid w:val="00E57091"/>
    <w:rsid w:val="00E570AE"/>
    <w:rsid w:val="00E574A2"/>
    <w:rsid w:val="00E57B6E"/>
    <w:rsid w:val="00E6007A"/>
    <w:rsid w:val="00E60616"/>
    <w:rsid w:val="00E60B3B"/>
    <w:rsid w:val="00E60BDC"/>
    <w:rsid w:val="00E60DD3"/>
    <w:rsid w:val="00E60E82"/>
    <w:rsid w:val="00E61029"/>
    <w:rsid w:val="00E61462"/>
    <w:rsid w:val="00E61498"/>
    <w:rsid w:val="00E6177F"/>
    <w:rsid w:val="00E61DB1"/>
    <w:rsid w:val="00E61EA6"/>
    <w:rsid w:val="00E61EC6"/>
    <w:rsid w:val="00E621D5"/>
    <w:rsid w:val="00E62BF6"/>
    <w:rsid w:val="00E62C85"/>
    <w:rsid w:val="00E62F89"/>
    <w:rsid w:val="00E630A4"/>
    <w:rsid w:val="00E632A2"/>
    <w:rsid w:val="00E63424"/>
    <w:rsid w:val="00E63437"/>
    <w:rsid w:val="00E6376A"/>
    <w:rsid w:val="00E637C8"/>
    <w:rsid w:val="00E638B2"/>
    <w:rsid w:val="00E63D29"/>
    <w:rsid w:val="00E6416A"/>
    <w:rsid w:val="00E641CD"/>
    <w:rsid w:val="00E647AB"/>
    <w:rsid w:val="00E64877"/>
    <w:rsid w:val="00E64A96"/>
    <w:rsid w:val="00E64CEA"/>
    <w:rsid w:val="00E64D8F"/>
    <w:rsid w:val="00E64ED0"/>
    <w:rsid w:val="00E64F86"/>
    <w:rsid w:val="00E65708"/>
    <w:rsid w:val="00E6575A"/>
    <w:rsid w:val="00E6594B"/>
    <w:rsid w:val="00E65B70"/>
    <w:rsid w:val="00E65F7E"/>
    <w:rsid w:val="00E660D8"/>
    <w:rsid w:val="00E66288"/>
    <w:rsid w:val="00E662CD"/>
    <w:rsid w:val="00E664AE"/>
    <w:rsid w:val="00E6662C"/>
    <w:rsid w:val="00E66827"/>
    <w:rsid w:val="00E669AB"/>
    <w:rsid w:val="00E66FCC"/>
    <w:rsid w:val="00E67427"/>
    <w:rsid w:val="00E676F1"/>
    <w:rsid w:val="00E67860"/>
    <w:rsid w:val="00E67CFD"/>
    <w:rsid w:val="00E67DE9"/>
    <w:rsid w:val="00E70088"/>
    <w:rsid w:val="00E705FE"/>
    <w:rsid w:val="00E7064C"/>
    <w:rsid w:val="00E7074B"/>
    <w:rsid w:val="00E709BF"/>
    <w:rsid w:val="00E70C7F"/>
    <w:rsid w:val="00E70D14"/>
    <w:rsid w:val="00E70EA0"/>
    <w:rsid w:val="00E71096"/>
    <w:rsid w:val="00E716DD"/>
    <w:rsid w:val="00E71765"/>
    <w:rsid w:val="00E7186E"/>
    <w:rsid w:val="00E71AE2"/>
    <w:rsid w:val="00E71AF5"/>
    <w:rsid w:val="00E7236A"/>
    <w:rsid w:val="00E72592"/>
    <w:rsid w:val="00E7270A"/>
    <w:rsid w:val="00E72812"/>
    <w:rsid w:val="00E728A1"/>
    <w:rsid w:val="00E72EB3"/>
    <w:rsid w:val="00E7307D"/>
    <w:rsid w:val="00E73271"/>
    <w:rsid w:val="00E734C7"/>
    <w:rsid w:val="00E735DA"/>
    <w:rsid w:val="00E73BE5"/>
    <w:rsid w:val="00E73F5C"/>
    <w:rsid w:val="00E74214"/>
    <w:rsid w:val="00E74762"/>
    <w:rsid w:val="00E74AA2"/>
    <w:rsid w:val="00E74B6D"/>
    <w:rsid w:val="00E74D52"/>
    <w:rsid w:val="00E74D95"/>
    <w:rsid w:val="00E7527D"/>
    <w:rsid w:val="00E75855"/>
    <w:rsid w:val="00E758BB"/>
    <w:rsid w:val="00E75D63"/>
    <w:rsid w:val="00E7609C"/>
    <w:rsid w:val="00E767F9"/>
    <w:rsid w:val="00E76C5B"/>
    <w:rsid w:val="00E77A57"/>
    <w:rsid w:val="00E80278"/>
    <w:rsid w:val="00E80499"/>
    <w:rsid w:val="00E80724"/>
    <w:rsid w:val="00E807BC"/>
    <w:rsid w:val="00E80945"/>
    <w:rsid w:val="00E80A85"/>
    <w:rsid w:val="00E80E3F"/>
    <w:rsid w:val="00E814F5"/>
    <w:rsid w:val="00E815DB"/>
    <w:rsid w:val="00E819A1"/>
    <w:rsid w:val="00E819F0"/>
    <w:rsid w:val="00E81B70"/>
    <w:rsid w:val="00E81CD5"/>
    <w:rsid w:val="00E820E0"/>
    <w:rsid w:val="00E82322"/>
    <w:rsid w:val="00E82484"/>
    <w:rsid w:val="00E82556"/>
    <w:rsid w:val="00E82D19"/>
    <w:rsid w:val="00E830E2"/>
    <w:rsid w:val="00E832D1"/>
    <w:rsid w:val="00E836CF"/>
    <w:rsid w:val="00E837DC"/>
    <w:rsid w:val="00E83809"/>
    <w:rsid w:val="00E83A40"/>
    <w:rsid w:val="00E844D6"/>
    <w:rsid w:val="00E84629"/>
    <w:rsid w:val="00E84687"/>
    <w:rsid w:val="00E84688"/>
    <w:rsid w:val="00E8470D"/>
    <w:rsid w:val="00E8475C"/>
    <w:rsid w:val="00E847C9"/>
    <w:rsid w:val="00E84908"/>
    <w:rsid w:val="00E84EB8"/>
    <w:rsid w:val="00E85288"/>
    <w:rsid w:val="00E852EC"/>
    <w:rsid w:val="00E85558"/>
    <w:rsid w:val="00E859B8"/>
    <w:rsid w:val="00E85A95"/>
    <w:rsid w:val="00E85CBE"/>
    <w:rsid w:val="00E85EE6"/>
    <w:rsid w:val="00E85F06"/>
    <w:rsid w:val="00E86146"/>
    <w:rsid w:val="00E861C4"/>
    <w:rsid w:val="00E86503"/>
    <w:rsid w:val="00E86566"/>
    <w:rsid w:val="00E86641"/>
    <w:rsid w:val="00E866C4"/>
    <w:rsid w:val="00E8673E"/>
    <w:rsid w:val="00E868C6"/>
    <w:rsid w:val="00E871CE"/>
    <w:rsid w:val="00E875F5"/>
    <w:rsid w:val="00E87D8F"/>
    <w:rsid w:val="00E90345"/>
    <w:rsid w:val="00E903F5"/>
    <w:rsid w:val="00E905D8"/>
    <w:rsid w:val="00E906F6"/>
    <w:rsid w:val="00E90724"/>
    <w:rsid w:val="00E90988"/>
    <w:rsid w:val="00E90A23"/>
    <w:rsid w:val="00E910F0"/>
    <w:rsid w:val="00E91B1C"/>
    <w:rsid w:val="00E91BC3"/>
    <w:rsid w:val="00E91BF5"/>
    <w:rsid w:val="00E91C42"/>
    <w:rsid w:val="00E91EDB"/>
    <w:rsid w:val="00E92527"/>
    <w:rsid w:val="00E927A6"/>
    <w:rsid w:val="00E92A0B"/>
    <w:rsid w:val="00E92A93"/>
    <w:rsid w:val="00E933BD"/>
    <w:rsid w:val="00E93620"/>
    <w:rsid w:val="00E93ACF"/>
    <w:rsid w:val="00E93E4F"/>
    <w:rsid w:val="00E941E0"/>
    <w:rsid w:val="00E944F8"/>
    <w:rsid w:val="00E94B95"/>
    <w:rsid w:val="00E951D5"/>
    <w:rsid w:val="00E95418"/>
    <w:rsid w:val="00E95517"/>
    <w:rsid w:val="00E9567F"/>
    <w:rsid w:val="00E95761"/>
    <w:rsid w:val="00E95832"/>
    <w:rsid w:val="00E959A0"/>
    <w:rsid w:val="00E95A69"/>
    <w:rsid w:val="00E95A73"/>
    <w:rsid w:val="00E95E8F"/>
    <w:rsid w:val="00E95EC4"/>
    <w:rsid w:val="00E9652A"/>
    <w:rsid w:val="00E965C3"/>
    <w:rsid w:val="00E96897"/>
    <w:rsid w:val="00E96918"/>
    <w:rsid w:val="00E969FC"/>
    <w:rsid w:val="00E96BCD"/>
    <w:rsid w:val="00E96C47"/>
    <w:rsid w:val="00E96DE6"/>
    <w:rsid w:val="00E96FD8"/>
    <w:rsid w:val="00E97045"/>
    <w:rsid w:val="00E973CF"/>
    <w:rsid w:val="00E97489"/>
    <w:rsid w:val="00E976A8"/>
    <w:rsid w:val="00E97851"/>
    <w:rsid w:val="00E97880"/>
    <w:rsid w:val="00E97B8E"/>
    <w:rsid w:val="00E97DA3"/>
    <w:rsid w:val="00E97E70"/>
    <w:rsid w:val="00EA0038"/>
    <w:rsid w:val="00EA088B"/>
    <w:rsid w:val="00EA0ADE"/>
    <w:rsid w:val="00EA0AE7"/>
    <w:rsid w:val="00EA0CE1"/>
    <w:rsid w:val="00EA1086"/>
    <w:rsid w:val="00EA10B1"/>
    <w:rsid w:val="00EA1BA6"/>
    <w:rsid w:val="00EA1E61"/>
    <w:rsid w:val="00EA20D4"/>
    <w:rsid w:val="00EA270C"/>
    <w:rsid w:val="00EA281B"/>
    <w:rsid w:val="00EA2AE4"/>
    <w:rsid w:val="00EA2B47"/>
    <w:rsid w:val="00EA2BBE"/>
    <w:rsid w:val="00EA2E2F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C13"/>
    <w:rsid w:val="00EA4F3E"/>
    <w:rsid w:val="00EA4FC7"/>
    <w:rsid w:val="00EA4FEE"/>
    <w:rsid w:val="00EA5717"/>
    <w:rsid w:val="00EA57EA"/>
    <w:rsid w:val="00EA58F7"/>
    <w:rsid w:val="00EA5CB5"/>
    <w:rsid w:val="00EA5CF4"/>
    <w:rsid w:val="00EA6351"/>
    <w:rsid w:val="00EA6548"/>
    <w:rsid w:val="00EA6573"/>
    <w:rsid w:val="00EA67AD"/>
    <w:rsid w:val="00EA6CF3"/>
    <w:rsid w:val="00EA72D8"/>
    <w:rsid w:val="00EA72FC"/>
    <w:rsid w:val="00EA7303"/>
    <w:rsid w:val="00EA7ACC"/>
    <w:rsid w:val="00EA7E45"/>
    <w:rsid w:val="00EB04DA"/>
    <w:rsid w:val="00EB09B9"/>
    <w:rsid w:val="00EB0C2C"/>
    <w:rsid w:val="00EB0C7C"/>
    <w:rsid w:val="00EB0E75"/>
    <w:rsid w:val="00EB0F35"/>
    <w:rsid w:val="00EB1714"/>
    <w:rsid w:val="00EB19FB"/>
    <w:rsid w:val="00EB2310"/>
    <w:rsid w:val="00EB2587"/>
    <w:rsid w:val="00EB2721"/>
    <w:rsid w:val="00EB29E8"/>
    <w:rsid w:val="00EB2B78"/>
    <w:rsid w:val="00EB2EDA"/>
    <w:rsid w:val="00EB2F62"/>
    <w:rsid w:val="00EB30BE"/>
    <w:rsid w:val="00EB30E8"/>
    <w:rsid w:val="00EB3404"/>
    <w:rsid w:val="00EB3599"/>
    <w:rsid w:val="00EB3934"/>
    <w:rsid w:val="00EB3957"/>
    <w:rsid w:val="00EB3BA9"/>
    <w:rsid w:val="00EB3C52"/>
    <w:rsid w:val="00EB3DDB"/>
    <w:rsid w:val="00EB3F79"/>
    <w:rsid w:val="00EB41F5"/>
    <w:rsid w:val="00EB4457"/>
    <w:rsid w:val="00EB45F6"/>
    <w:rsid w:val="00EB47DC"/>
    <w:rsid w:val="00EB4992"/>
    <w:rsid w:val="00EB4EF2"/>
    <w:rsid w:val="00EB4F1A"/>
    <w:rsid w:val="00EB50B2"/>
    <w:rsid w:val="00EB5799"/>
    <w:rsid w:val="00EB5C6E"/>
    <w:rsid w:val="00EB60F7"/>
    <w:rsid w:val="00EB6530"/>
    <w:rsid w:val="00EB659F"/>
    <w:rsid w:val="00EB65AE"/>
    <w:rsid w:val="00EB70AD"/>
    <w:rsid w:val="00EB76F7"/>
    <w:rsid w:val="00EB77B7"/>
    <w:rsid w:val="00EB793B"/>
    <w:rsid w:val="00EB7C5B"/>
    <w:rsid w:val="00EB7C76"/>
    <w:rsid w:val="00EB7CB1"/>
    <w:rsid w:val="00EC001D"/>
    <w:rsid w:val="00EC01B9"/>
    <w:rsid w:val="00EC04E1"/>
    <w:rsid w:val="00EC0569"/>
    <w:rsid w:val="00EC0614"/>
    <w:rsid w:val="00EC0715"/>
    <w:rsid w:val="00EC084B"/>
    <w:rsid w:val="00EC084D"/>
    <w:rsid w:val="00EC0C7B"/>
    <w:rsid w:val="00EC0D1F"/>
    <w:rsid w:val="00EC1658"/>
    <w:rsid w:val="00EC1725"/>
    <w:rsid w:val="00EC1877"/>
    <w:rsid w:val="00EC195F"/>
    <w:rsid w:val="00EC1C35"/>
    <w:rsid w:val="00EC1DA5"/>
    <w:rsid w:val="00EC1F63"/>
    <w:rsid w:val="00EC22A5"/>
    <w:rsid w:val="00EC358F"/>
    <w:rsid w:val="00EC3CFC"/>
    <w:rsid w:val="00EC3F0C"/>
    <w:rsid w:val="00EC4347"/>
    <w:rsid w:val="00EC47AB"/>
    <w:rsid w:val="00EC498D"/>
    <w:rsid w:val="00EC52C3"/>
    <w:rsid w:val="00EC57EB"/>
    <w:rsid w:val="00EC5B2A"/>
    <w:rsid w:val="00EC5C49"/>
    <w:rsid w:val="00EC5CA3"/>
    <w:rsid w:val="00EC5E45"/>
    <w:rsid w:val="00EC5ED6"/>
    <w:rsid w:val="00EC608C"/>
    <w:rsid w:val="00EC61C2"/>
    <w:rsid w:val="00EC61FC"/>
    <w:rsid w:val="00EC62D2"/>
    <w:rsid w:val="00EC6658"/>
    <w:rsid w:val="00EC66E8"/>
    <w:rsid w:val="00EC69B8"/>
    <w:rsid w:val="00EC6A5C"/>
    <w:rsid w:val="00EC6DE5"/>
    <w:rsid w:val="00EC7092"/>
    <w:rsid w:val="00EC7E97"/>
    <w:rsid w:val="00ED0557"/>
    <w:rsid w:val="00ED0CF0"/>
    <w:rsid w:val="00ED0D6E"/>
    <w:rsid w:val="00ED0DA8"/>
    <w:rsid w:val="00ED10FA"/>
    <w:rsid w:val="00ED1407"/>
    <w:rsid w:val="00ED17CE"/>
    <w:rsid w:val="00ED1A74"/>
    <w:rsid w:val="00ED1E07"/>
    <w:rsid w:val="00ED21EF"/>
    <w:rsid w:val="00ED2A29"/>
    <w:rsid w:val="00ED2B62"/>
    <w:rsid w:val="00ED311F"/>
    <w:rsid w:val="00ED34D4"/>
    <w:rsid w:val="00ED3ADF"/>
    <w:rsid w:val="00ED3D84"/>
    <w:rsid w:val="00ED3D87"/>
    <w:rsid w:val="00ED3E53"/>
    <w:rsid w:val="00ED41DC"/>
    <w:rsid w:val="00ED42FF"/>
    <w:rsid w:val="00ED4B38"/>
    <w:rsid w:val="00ED556E"/>
    <w:rsid w:val="00ED58B3"/>
    <w:rsid w:val="00ED59A5"/>
    <w:rsid w:val="00ED5A2E"/>
    <w:rsid w:val="00ED5BDC"/>
    <w:rsid w:val="00ED5CAB"/>
    <w:rsid w:val="00ED5E6C"/>
    <w:rsid w:val="00ED5E80"/>
    <w:rsid w:val="00ED6315"/>
    <w:rsid w:val="00ED6342"/>
    <w:rsid w:val="00ED6A10"/>
    <w:rsid w:val="00ED6C28"/>
    <w:rsid w:val="00ED6E12"/>
    <w:rsid w:val="00ED720B"/>
    <w:rsid w:val="00ED747F"/>
    <w:rsid w:val="00ED74FB"/>
    <w:rsid w:val="00ED766C"/>
    <w:rsid w:val="00ED76FB"/>
    <w:rsid w:val="00ED7895"/>
    <w:rsid w:val="00ED78A3"/>
    <w:rsid w:val="00ED7C00"/>
    <w:rsid w:val="00ED7E1E"/>
    <w:rsid w:val="00ED7F2B"/>
    <w:rsid w:val="00EE05C2"/>
    <w:rsid w:val="00EE06A6"/>
    <w:rsid w:val="00EE0D01"/>
    <w:rsid w:val="00EE0EA6"/>
    <w:rsid w:val="00EE11DC"/>
    <w:rsid w:val="00EE124D"/>
    <w:rsid w:val="00EE14BD"/>
    <w:rsid w:val="00EE184C"/>
    <w:rsid w:val="00EE1B3D"/>
    <w:rsid w:val="00EE1B7B"/>
    <w:rsid w:val="00EE1C02"/>
    <w:rsid w:val="00EE2358"/>
    <w:rsid w:val="00EE2793"/>
    <w:rsid w:val="00EE27F6"/>
    <w:rsid w:val="00EE296D"/>
    <w:rsid w:val="00EE2A6C"/>
    <w:rsid w:val="00EE2A79"/>
    <w:rsid w:val="00EE30EE"/>
    <w:rsid w:val="00EE3121"/>
    <w:rsid w:val="00EE324B"/>
    <w:rsid w:val="00EE349C"/>
    <w:rsid w:val="00EE3788"/>
    <w:rsid w:val="00EE37BC"/>
    <w:rsid w:val="00EE3AC2"/>
    <w:rsid w:val="00EE3C6D"/>
    <w:rsid w:val="00EE3DE2"/>
    <w:rsid w:val="00EE4028"/>
    <w:rsid w:val="00EE4551"/>
    <w:rsid w:val="00EE4999"/>
    <w:rsid w:val="00EE4C6E"/>
    <w:rsid w:val="00EE4E97"/>
    <w:rsid w:val="00EE4F89"/>
    <w:rsid w:val="00EE5135"/>
    <w:rsid w:val="00EE53A9"/>
    <w:rsid w:val="00EE558C"/>
    <w:rsid w:val="00EE5754"/>
    <w:rsid w:val="00EE5783"/>
    <w:rsid w:val="00EE6019"/>
    <w:rsid w:val="00EE61BE"/>
    <w:rsid w:val="00EE626A"/>
    <w:rsid w:val="00EE6946"/>
    <w:rsid w:val="00EE696B"/>
    <w:rsid w:val="00EE6DA3"/>
    <w:rsid w:val="00EE6DE6"/>
    <w:rsid w:val="00EE7904"/>
    <w:rsid w:val="00EE790F"/>
    <w:rsid w:val="00EE7BA5"/>
    <w:rsid w:val="00EE7C75"/>
    <w:rsid w:val="00EE7CCF"/>
    <w:rsid w:val="00EE7F7B"/>
    <w:rsid w:val="00EF057C"/>
    <w:rsid w:val="00EF0A1B"/>
    <w:rsid w:val="00EF1142"/>
    <w:rsid w:val="00EF1AC7"/>
    <w:rsid w:val="00EF1D14"/>
    <w:rsid w:val="00EF23A1"/>
    <w:rsid w:val="00EF2627"/>
    <w:rsid w:val="00EF2755"/>
    <w:rsid w:val="00EF3218"/>
    <w:rsid w:val="00EF334E"/>
    <w:rsid w:val="00EF34D2"/>
    <w:rsid w:val="00EF359E"/>
    <w:rsid w:val="00EF3B45"/>
    <w:rsid w:val="00EF429C"/>
    <w:rsid w:val="00EF42FB"/>
    <w:rsid w:val="00EF4668"/>
    <w:rsid w:val="00EF4685"/>
    <w:rsid w:val="00EF4799"/>
    <w:rsid w:val="00EF4852"/>
    <w:rsid w:val="00EF4AEB"/>
    <w:rsid w:val="00EF4E9C"/>
    <w:rsid w:val="00EF4FEE"/>
    <w:rsid w:val="00EF542B"/>
    <w:rsid w:val="00EF56AA"/>
    <w:rsid w:val="00EF57DA"/>
    <w:rsid w:val="00EF6703"/>
    <w:rsid w:val="00EF6873"/>
    <w:rsid w:val="00EF6902"/>
    <w:rsid w:val="00EF6F24"/>
    <w:rsid w:val="00EF7132"/>
    <w:rsid w:val="00EF7143"/>
    <w:rsid w:val="00EF73BD"/>
    <w:rsid w:val="00EF78DB"/>
    <w:rsid w:val="00EF7C7D"/>
    <w:rsid w:val="00F0055F"/>
    <w:rsid w:val="00F00604"/>
    <w:rsid w:val="00F0080B"/>
    <w:rsid w:val="00F00BE1"/>
    <w:rsid w:val="00F00DF6"/>
    <w:rsid w:val="00F01122"/>
    <w:rsid w:val="00F011EC"/>
    <w:rsid w:val="00F01572"/>
    <w:rsid w:val="00F015B1"/>
    <w:rsid w:val="00F01B31"/>
    <w:rsid w:val="00F02322"/>
    <w:rsid w:val="00F02428"/>
    <w:rsid w:val="00F02B5D"/>
    <w:rsid w:val="00F02D9C"/>
    <w:rsid w:val="00F02EA4"/>
    <w:rsid w:val="00F02ED9"/>
    <w:rsid w:val="00F036AE"/>
    <w:rsid w:val="00F03781"/>
    <w:rsid w:val="00F037D5"/>
    <w:rsid w:val="00F038A9"/>
    <w:rsid w:val="00F038D5"/>
    <w:rsid w:val="00F03AB6"/>
    <w:rsid w:val="00F03AB9"/>
    <w:rsid w:val="00F03CD6"/>
    <w:rsid w:val="00F03F08"/>
    <w:rsid w:val="00F03F4E"/>
    <w:rsid w:val="00F03FB7"/>
    <w:rsid w:val="00F0439A"/>
    <w:rsid w:val="00F048BB"/>
    <w:rsid w:val="00F048EF"/>
    <w:rsid w:val="00F04DF5"/>
    <w:rsid w:val="00F05445"/>
    <w:rsid w:val="00F0597B"/>
    <w:rsid w:val="00F05C54"/>
    <w:rsid w:val="00F06479"/>
    <w:rsid w:val="00F066CF"/>
    <w:rsid w:val="00F06958"/>
    <w:rsid w:val="00F07002"/>
    <w:rsid w:val="00F07241"/>
    <w:rsid w:val="00F07571"/>
    <w:rsid w:val="00F076C5"/>
    <w:rsid w:val="00F0784A"/>
    <w:rsid w:val="00F07C50"/>
    <w:rsid w:val="00F07E96"/>
    <w:rsid w:val="00F10546"/>
    <w:rsid w:val="00F10B0A"/>
    <w:rsid w:val="00F113CF"/>
    <w:rsid w:val="00F11537"/>
    <w:rsid w:val="00F11B1A"/>
    <w:rsid w:val="00F120D9"/>
    <w:rsid w:val="00F124BE"/>
    <w:rsid w:val="00F125DE"/>
    <w:rsid w:val="00F12638"/>
    <w:rsid w:val="00F126FB"/>
    <w:rsid w:val="00F12863"/>
    <w:rsid w:val="00F12A36"/>
    <w:rsid w:val="00F12A9F"/>
    <w:rsid w:val="00F12E56"/>
    <w:rsid w:val="00F1308B"/>
    <w:rsid w:val="00F13137"/>
    <w:rsid w:val="00F1339B"/>
    <w:rsid w:val="00F1372F"/>
    <w:rsid w:val="00F13A2F"/>
    <w:rsid w:val="00F13F88"/>
    <w:rsid w:val="00F14577"/>
    <w:rsid w:val="00F14C13"/>
    <w:rsid w:val="00F14CE8"/>
    <w:rsid w:val="00F15471"/>
    <w:rsid w:val="00F15FBF"/>
    <w:rsid w:val="00F17174"/>
    <w:rsid w:val="00F172D0"/>
    <w:rsid w:val="00F173CB"/>
    <w:rsid w:val="00F178F8"/>
    <w:rsid w:val="00F17939"/>
    <w:rsid w:val="00F17C9A"/>
    <w:rsid w:val="00F17DD6"/>
    <w:rsid w:val="00F20740"/>
    <w:rsid w:val="00F211B8"/>
    <w:rsid w:val="00F211DE"/>
    <w:rsid w:val="00F218ED"/>
    <w:rsid w:val="00F21A9F"/>
    <w:rsid w:val="00F21CEA"/>
    <w:rsid w:val="00F21D2A"/>
    <w:rsid w:val="00F21E63"/>
    <w:rsid w:val="00F21E86"/>
    <w:rsid w:val="00F2213B"/>
    <w:rsid w:val="00F2254A"/>
    <w:rsid w:val="00F2276D"/>
    <w:rsid w:val="00F22B7B"/>
    <w:rsid w:val="00F22B8E"/>
    <w:rsid w:val="00F22C15"/>
    <w:rsid w:val="00F22DC5"/>
    <w:rsid w:val="00F22EDB"/>
    <w:rsid w:val="00F2303B"/>
    <w:rsid w:val="00F2304F"/>
    <w:rsid w:val="00F23124"/>
    <w:rsid w:val="00F23423"/>
    <w:rsid w:val="00F2349D"/>
    <w:rsid w:val="00F23570"/>
    <w:rsid w:val="00F23B96"/>
    <w:rsid w:val="00F23F06"/>
    <w:rsid w:val="00F23F7D"/>
    <w:rsid w:val="00F23FC5"/>
    <w:rsid w:val="00F23FF4"/>
    <w:rsid w:val="00F2421D"/>
    <w:rsid w:val="00F24232"/>
    <w:rsid w:val="00F2486E"/>
    <w:rsid w:val="00F24C5A"/>
    <w:rsid w:val="00F24D30"/>
    <w:rsid w:val="00F24DF1"/>
    <w:rsid w:val="00F24E8D"/>
    <w:rsid w:val="00F25177"/>
    <w:rsid w:val="00F2526C"/>
    <w:rsid w:val="00F2538F"/>
    <w:rsid w:val="00F25420"/>
    <w:rsid w:val="00F256A5"/>
    <w:rsid w:val="00F2586C"/>
    <w:rsid w:val="00F25DA8"/>
    <w:rsid w:val="00F2604B"/>
    <w:rsid w:val="00F261F0"/>
    <w:rsid w:val="00F2659D"/>
    <w:rsid w:val="00F265C5"/>
    <w:rsid w:val="00F26686"/>
    <w:rsid w:val="00F26807"/>
    <w:rsid w:val="00F27170"/>
    <w:rsid w:val="00F27319"/>
    <w:rsid w:val="00F274A5"/>
    <w:rsid w:val="00F27BB8"/>
    <w:rsid w:val="00F30016"/>
    <w:rsid w:val="00F300F4"/>
    <w:rsid w:val="00F3013E"/>
    <w:rsid w:val="00F3058F"/>
    <w:rsid w:val="00F30878"/>
    <w:rsid w:val="00F30A3E"/>
    <w:rsid w:val="00F30C02"/>
    <w:rsid w:val="00F30C40"/>
    <w:rsid w:val="00F30CE5"/>
    <w:rsid w:val="00F30E85"/>
    <w:rsid w:val="00F30FDC"/>
    <w:rsid w:val="00F311BB"/>
    <w:rsid w:val="00F313D1"/>
    <w:rsid w:val="00F3144A"/>
    <w:rsid w:val="00F317DB"/>
    <w:rsid w:val="00F318A7"/>
    <w:rsid w:val="00F31900"/>
    <w:rsid w:val="00F31C75"/>
    <w:rsid w:val="00F31F4C"/>
    <w:rsid w:val="00F31FA1"/>
    <w:rsid w:val="00F32203"/>
    <w:rsid w:val="00F3233C"/>
    <w:rsid w:val="00F32369"/>
    <w:rsid w:val="00F32543"/>
    <w:rsid w:val="00F33050"/>
    <w:rsid w:val="00F33277"/>
    <w:rsid w:val="00F33286"/>
    <w:rsid w:val="00F333D8"/>
    <w:rsid w:val="00F339D7"/>
    <w:rsid w:val="00F33C2D"/>
    <w:rsid w:val="00F33CE0"/>
    <w:rsid w:val="00F33EF9"/>
    <w:rsid w:val="00F3402A"/>
    <w:rsid w:val="00F340CD"/>
    <w:rsid w:val="00F340D2"/>
    <w:rsid w:val="00F34143"/>
    <w:rsid w:val="00F3417F"/>
    <w:rsid w:val="00F341B5"/>
    <w:rsid w:val="00F341CC"/>
    <w:rsid w:val="00F342DC"/>
    <w:rsid w:val="00F3481A"/>
    <w:rsid w:val="00F34A3B"/>
    <w:rsid w:val="00F34BFE"/>
    <w:rsid w:val="00F34E67"/>
    <w:rsid w:val="00F35095"/>
    <w:rsid w:val="00F353E6"/>
    <w:rsid w:val="00F35664"/>
    <w:rsid w:val="00F35C54"/>
    <w:rsid w:val="00F35E63"/>
    <w:rsid w:val="00F35FC7"/>
    <w:rsid w:val="00F364CF"/>
    <w:rsid w:val="00F366EE"/>
    <w:rsid w:val="00F368CB"/>
    <w:rsid w:val="00F369A8"/>
    <w:rsid w:val="00F36AE4"/>
    <w:rsid w:val="00F36B6C"/>
    <w:rsid w:val="00F36BCA"/>
    <w:rsid w:val="00F36C9C"/>
    <w:rsid w:val="00F36D10"/>
    <w:rsid w:val="00F36DE3"/>
    <w:rsid w:val="00F370DC"/>
    <w:rsid w:val="00F37265"/>
    <w:rsid w:val="00F37487"/>
    <w:rsid w:val="00F37566"/>
    <w:rsid w:val="00F377FC"/>
    <w:rsid w:val="00F3780A"/>
    <w:rsid w:val="00F37C18"/>
    <w:rsid w:val="00F37E5B"/>
    <w:rsid w:val="00F40400"/>
    <w:rsid w:val="00F4046C"/>
    <w:rsid w:val="00F40508"/>
    <w:rsid w:val="00F406D5"/>
    <w:rsid w:val="00F409C2"/>
    <w:rsid w:val="00F40CAB"/>
    <w:rsid w:val="00F40D09"/>
    <w:rsid w:val="00F40D6A"/>
    <w:rsid w:val="00F41968"/>
    <w:rsid w:val="00F4272C"/>
    <w:rsid w:val="00F42739"/>
    <w:rsid w:val="00F429E5"/>
    <w:rsid w:val="00F432BF"/>
    <w:rsid w:val="00F432C6"/>
    <w:rsid w:val="00F43470"/>
    <w:rsid w:val="00F4352E"/>
    <w:rsid w:val="00F43536"/>
    <w:rsid w:val="00F437B6"/>
    <w:rsid w:val="00F438A7"/>
    <w:rsid w:val="00F43911"/>
    <w:rsid w:val="00F43960"/>
    <w:rsid w:val="00F43C3C"/>
    <w:rsid w:val="00F446D1"/>
    <w:rsid w:val="00F4470C"/>
    <w:rsid w:val="00F44B59"/>
    <w:rsid w:val="00F44BB8"/>
    <w:rsid w:val="00F4537F"/>
    <w:rsid w:val="00F45617"/>
    <w:rsid w:val="00F457B8"/>
    <w:rsid w:val="00F459C7"/>
    <w:rsid w:val="00F45A48"/>
    <w:rsid w:val="00F45D8C"/>
    <w:rsid w:val="00F460A1"/>
    <w:rsid w:val="00F46155"/>
    <w:rsid w:val="00F46234"/>
    <w:rsid w:val="00F4631A"/>
    <w:rsid w:val="00F46601"/>
    <w:rsid w:val="00F468CA"/>
    <w:rsid w:val="00F46B76"/>
    <w:rsid w:val="00F46D40"/>
    <w:rsid w:val="00F46EA6"/>
    <w:rsid w:val="00F47658"/>
    <w:rsid w:val="00F47BE4"/>
    <w:rsid w:val="00F47C5C"/>
    <w:rsid w:val="00F50173"/>
    <w:rsid w:val="00F5022D"/>
    <w:rsid w:val="00F5051A"/>
    <w:rsid w:val="00F5068E"/>
    <w:rsid w:val="00F50A8A"/>
    <w:rsid w:val="00F50BFA"/>
    <w:rsid w:val="00F50D27"/>
    <w:rsid w:val="00F510A6"/>
    <w:rsid w:val="00F513B1"/>
    <w:rsid w:val="00F515BE"/>
    <w:rsid w:val="00F515CA"/>
    <w:rsid w:val="00F516C2"/>
    <w:rsid w:val="00F51D20"/>
    <w:rsid w:val="00F51EDD"/>
    <w:rsid w:val="00F52BF1"/>
    <w:rsid w:val="00F52DAC"/>
    <w:rsid w:val="00F530D0"/>
    <w:rsid w:val="00F53166"/>
    <w:rsid w:val="00F5335D"/>
    <w:rsid w:val="00F53808"/>
    <w:rsid w:val="00F53A12"/>
    <w:rsid w:val="00F53C60"/>
    <w:rsid w:val="00F53F51"/>
    <w:rsid w:val="00F54158"/>
    <w:rsid w:val="00F54856"/>
    <w:rsid w:val="00F54FE1"/>
    <w:rsid w:val="00F551EB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431"/>
    <w:rsid w:val="00F56967"/>
    <w:rsid w:val="00F56AF3"/>
    <w:rsid w:val="00F56AFC"/>
    <w:rsid w:val="00F56C7C"/>
    <w:rsid w:val="00F56CB9"/>
    <w:rsid w:val="00F572E1"/>
    <w:rsid w:val="00F57650"/>
    <w:rsid w:val="00F5767F"/>
    <w:rsid w:val="00F5789B"/>
    <w:rsid w:val="00F579FC"/>
    <w:rsid w:val="00F57AD6"/>
    <w:rsid w:val="00F57FD9"/>
    <w:rsid w:val="00F601CA"/>
    <w:rsid w:val="00F60277"/>
    <w:rsid w:val="00F6065E"/>
    <w:rsid w:val="00F60860"/>
    <w:rsid w:val="00F6089D"/>
    <w:rsid w:val="00F60C74"/>
    <w:rsid w:val="00F60DEE"/>
    <w:rsid w:val="00F61342"/>
    <w:rsid w:val="00F61602"/>
    <w:rsid w:val="00F6161C"/>
    <w:rsid w:val="00F61841"/>
    <w:rsid w:val="00F61A57"/>
    <w:rsid w:val="00F61DE6"/>
    <w:rsid w:val="00F61E93"/>
    <w:rsid w:val="00F61F46"/>
    <w:rsid w:val="00F623EC"/>
    <w:rsid w:val="00F62773"/>
    <w:rsid w:val="00F62975"/>
    <w:rsid w:val="00F62B95"/>
    <w:rsid w:val="00F62BC8"/>
    <w:rsid w:val="00F62FE5"/>
    <w:rsid w:val="00F6359C"/>
    <w:rsid w:val="00F63727"/>
    <w:rsid w:val="00F637C9"/>
    <w:rsid w:val="00F63B7A"/>
    <w:rsid w:val="00F63DDA"/>
    <w:rsid w:val="00F64243"/>
    <w:rsid w:val="00F644C7"/>
    <w:rsid w:val="00F648B2"/>
    <w:rsid w:val="00F64CE6"/>
    <w:rsid w:val="00F64CF8"/>
    <w:rsid w:val="00F64DD3"/>
    <w:rsid w:val="00F64F51"/>
    <w:rsid w:val="00F654E8"/>
    <w:rsid w:val="00F65529"/>
    <w:rsid w:val="00F65ACB"/>
    <w:rsid w:val="00F65AE2"/>
    <w:rsid w:val="00F65EAC"/>
    <w:rsid w:val="00F6607F"/>
    <w:rsid w:val="00F66122"/>
    <w:rsid w:val="00F66351"/>
    <w:rsid w:val="00F665D5"/>
    <w:rsid w:val="00F666FD"/>
    <w:rsid w:val="00F667C5"/>
    <w:rsid w:val="00F66B54"/>
    <w:rsid w:val="00F66EC1"/>
    <w:rsid w:val="00F67099"/>
    <w:rsid w:val="00F672F1"/>
    <w:rsid w:val="00F67302"/>
    <w:rsid w:val="00F67600"/>
    <w:rsid w:val="00F677AF"/>
    <w:rsid w:val="00F67A00"/>
    <w:rsid w:val="00F67A35"/>
    <w:rsid w:val="00F67B5F"/>
    <w:rsid w:val="00F67B7D"/>
    <w:rsid w:val="00F67F9F"/>
    <w:rsid w:val="00F67FC4"/>
    <w:rsid w:val="00F7059C"/>
    <w:rsid w:val="00F706B5"/>
    <w:rsid w:val="00F70895"/>
    <w:rsid w:val="00F7113E"/>
    <w:rsid w:val="00F71419"/>
    <w:rsid w:val="00F71AD6"/>
    <w:rsid w:val="00F721D8"/>
    <w:rsid w:val="00F72212"/>
    <w:rsid w:val="00F72357"/>
    <w:rsid w:val="00F723D2"/>
    <w:rsid w:val="00F72620"/>
    <w:rsid w:val="00F72E0A"/>
    <w:rsid w:val="00F7307E"/>
    <w:rsid w:val="00F73154"/>
    <w:rsid w:val="00F733CC"/>
    <w:rsid w:val="00F73709"/>
    <w:rsid w:val="00F73930"/>
    <w:rsid w:val="00F73B70"/>
    <w:rsid w:val="00F74088"/>
    <w:rsid w:val="00F74118"/>
    <w:rsid w:val="00F74217"/>
    <w:rsid w:val="00F746A3"/>
    <w:rsid w:val="00F749B5"/>
    <w:rsid w:val="00F74BBB"/>
    <w:rsid w:val="00F74BC3"/>
    <w:rsid w:val="00F74F06"/>
    <w:rsid w:val="00F75684"/>
    <w:rsid w:val="00F759AD"/>
    <w:rsid w:val="00F75B58"/>
    <w:rsid w:val="00F75BDF"/>
    <w:rsid w:val="00F763C6"/>
    <w:rsid w:val="00F7642A"/>
    <w:rsid w:val="00F765E8"/>
    <w:rsid w:val="00F76851"/>
    <w:rsid w:val="00F769C0"/>
    <w:rsid w:val="00F76EE1"/>
    <w:rsid w:val="00F77084"/>
    <w:rsid w:val="00F772AD"/>
    <w:rsid w:val="00F7768D"/>
    <w:rsid w:val="00F77B00"/>
    <w:rsid w:val="00F77E2A"/>
    <w:rsid w:val="00F77F57"/>
    <w:rsid w:val="00F804B5"/>
    <w:rsid w:val="00F80A71"/>
    <w:rsid w:val="00F80C67"/>
    <w:rsid w:val="00F80E81"/>
    <w:rsid w:val="00F80F3C"/>
    <w:rsid w:val="00F8124E"/>
    <w:rsid w:val="00F81421"/>
    <w:rsid w:val="00F81526"/>
    <w:rsid w:val="00F81717"/>
    <w:rsid w:val="00F8187E"/>
    <w:rsid w:val="00F81886"/>
    <w:rsid w:val="00F81A8E"/>
    <w:rsid w:val="00F81EF6"/>
    <w:rsid w:val="00F8200C"/>
    <w:rsid w:val="00F823C1"/>
    <w:rsid w:val="00F82B09"/>
    <w:rsid w:val="00F82F09"/>
    <w:rsid w:val="00F83237"/>
    <w:rsid w:val="00F834BC"/>
    <w:rsid w:val="00F83841"/>
    <w:rsid w:val="00F839E0"/>
    <w:rsid w:val="00F83A6F"/>
    <w:rsid w:val="00F83B54"/>
    <w:rsid w:val="00F84393"/>
    <w:rsid w:val="00F84498"/>
    <w:rsid w:val="00F844B0"/>
    <w:rsid w:val="00F84B88"/>
    <w:rsid w:val="00F85244"/>
    <w:rsid w:val="00F855AA"/>
    <w:rsid w:val="00F856F0"/>
    <w:rsid w:val="00F85AF0"/>
    <w:rsid w:val="00F85D77"/>
    <w:rsid w:val="00F85E39"/>
    <w:rsid w:val="00F863C8"/>
    <w:rsid w:val="00F86A5E"/>
    <w:rsid w:val="00F86D88"/>
    <w:rsid w:val="00F87444"/>
    <w:rsid w:val="00F87A92"/>
    <w:rsid w:val="00F87FA5"/>
    <w:rsid w:val="00F87FA7"/>
    <w:rsid w:val="00F9002C"/>
    <w:rsid w:val="00F90255"/>
    <w:rsid w:val="00F902B6"/>
    <w:rsid w:val="00F90898"/>
    <w:rsid w:val="00F911DD"/>
    <w:rsid w:val="00F914C8"/>
    <w:rsid w:val="00F914EA"/>
    <w:rsid w:val="00F91839"/>
    <w:rsid w:val="00F91CC0"/>
    <w:rsid w:val="00F91F34"/>
    <w:rsid w:val="00F928CE"/>
    <w:rsid w:val="00F92DE4"/>
    <w:rsid w:val="00F92EAE"/>
    <w:rsid w:val="00F92EEE"/>
    <w:rsid w:val="00F9351B"/>
    <w:rsid w:val="00F936B8"/>
    <w:rsid w:val="00F94205"/>
    <w:rsid w:val="00F945B2"/>
    <w:rsid w:val="00F945E2"/>
    <w:rsid w:val="00F9473C"/>
    <w:rsid w:val="00F947A1"/>
    <w:rsid w:val="00F95119"/>
    <w:rsid w:val="00F95541"/>
    <w:rsid w:val="00F9580B"/>
    <w:rsid w:val="00F95B0B"/>
    <w:rsid w:val="00F95F58"/>
    <w:rsid w:val="00F963E1"/>
    <w:rsid w:val="00F96D98"/>
    <w:rsid w:val="00F9721B"/>
    <w:rsid w:val="00F9722F"/>
    <w:rsid w:val="00F972C8"/>
    <w:rsid w:val="00F97338"/>
    <w:rsid w:val="00F9754A"/>
    <w:rsid w:val="00F977CB"/>
    <w:rsid w:val="00F977E3"/>
    <w:rsid w:val="00F97854"/>
    <w:rsid w:val="00F978EC"/>
    <w:rsid w:val="00F97C49"/>
    <w:rsid w:val="00FA01B1"/>
    <w:rsid w:val="00FA0633"/>
    <w:rsid w:val="00FA0926"/>
    <w:rsid w:val="00FA0942"/>
    <w:rsid w:val="00FA0AC9"/>
    <w:rsid w:val="00FA0D4D"/>
    <w:rsid w:val="00FA12CC"/>
    <w:rsid w:val="00FA188C"/>
    <w:rsid w:val="00FA1CD2"/>
    <w:rsid w:val="00FA1FF2"/>
    <w:rsid w:val="00FA2910"/>
    <w:rsid w:val="00FA2948"/>
    <w:rsid w:val="00FA29F4"/>
    <w:rsid w:val="00FA2B04"/>
    <w:rsid w:val="00FA2CAA"/>
    <w:rsid w:val="00FA3206"/>
    <w:rsid w:val="00FA3291"/>
    <w:rsid w:val="00FA362D"/>
    <w:rsid w:val="00FA38D2"/>
    <w:rsid w:val="00FA3D25"/>
    <w:rsid w:val="00FA3D8C"/>
    <w:rsid w:val="00FA3E51"/>
    <w:rsid w:val="00FA403D"/>
    <w:rsid w:val="00FA40A3"/>
    <w:rsid w:val="00FA427F"/>
    <w:rsid w:val="00FA444D"/>
    <w:rsid w:val="00FA45CD"/>
    <w:rsid w:val="00FA4810"/>
    <w:rsid w:val="00FA4AD4"/>
    <w:rsid w:val="00FA4C3B"/>
    <w:rsid w:val="00FA4D76"/>
    <w:rsid w:val="00FA52BF"/>
    <w:rsid w:val="00FA5975"/>
    <w:rsid w:val="00FA5989"/>
    <w:rsid w:val="00FA5A62"/>
    <w:rsid w:val="00FA5B17"/>
    <w:rsid w:val="00FA6330"/>
    <w:rsid w:val="00FA6410"/>
    <w:rsid w:val="00FA6443"/>
    <w:rsid w:val="00FA6924"/>
    <w:rsid w:val="00FA69D3"/>
    <w:rsid w:val="00FA6AFF"/>
    <w:rsid w:val="00FA6C90"/>
    <w:rsid w:val="00FA7125"/>
    <w:rsid w:val="00FA7131"/>
    <w:rsid w:val="00FA7CFF"/>
    <w:rsid w:val="00FA7DF7"/>
    <w:rsid w:val="00FB01CC"/>
    <w:rsid w:val="00FB02FB"/>
    <w:rsid w:val="00FB08F9"/>
    <w:rsid w:val="00FB0B21"/>
    <w:rsid w:val="00FB0C3E"/>
    <w:rsid w:val="00FB10B0"/>
    <w:rsid w:val="00FB1350"/>
    <w:rsid w:val="00FB16CA"/>
    <w:rsid w:val="00FB1AE6"/>
    <w:rsid w:val="00FB2203"/>
    <w:rsid w:val="00FB2578"/>
    <w:rsid w:val="00FB26BD"/>
    <w:rsid w:val="00FB2C23"/>
    <w:rsid w:val="00FB2DE1"/>
    <w:rsid w:val="00FB3106"/>
    <w:rsid w:val="00FB3325"/>
    <w:rsid w:val="00FB33FA"/>
    <w:rsid w:val="00FB35CC"/>
    <w:rsid w:val="00FB3866"/>
    <w:rsid w:val="00FB386A"/>
    <w:rsid w:val="00FB3959"/>
    <w:rsid w:val="00FB3966"/>
    <w:rsid w:val="00FB3B56"/>
    <w:rsid w:val="00FB3BA6"/>
    <w:rsid w:val="00FB3E00"/>
    <w:rsid w:val="00FB417B"/>
    <w:rsid w:val="00FB4260"/>
    <w:rsid w:val="00FB4411"/>
    <w:rsid w:val="00FB4413"/>
    <w:rsid w:val="00FB4635"/>
    <w:rsid w:val="00FB4D65"/>
    <w:rsid w:val="00FB5001"/>
    <w:rsid w:val="00FB56CA"/>
    <w:rsid w:val="00FB5954"/>
    <w:rsid w:val="00FB5B4B"/>
    <w:rsid w:val="00FB5B5B"/>
    <w:rsid w:val="00FB5BD1"/>
    <w:rsid w:val="00FB5EDF"/>
    <w:rsid w:val="00FB60A1"/>
    <w:rsid w:val="00FB6695"/>
    <w:rsid w:val="00FB689B"/>
    <w:rsid w:val="00FB6963"/>
    <w:rsid w:val="00FB7222"/>
    <w:rsid w:val="00FB7397"/>
    <w:rsid w:val="00FB798A"/>
    <w:rsid w:val="00FB7B35"/>
    <w:rsid w:val="00FC012F"/>
    <w:rsid w:val="00FC0253"/>
    <w:rsid w:val="00FC05FC"/>
    <w:rsid w:val="00FC060B"/>
    <w:rsid w:val="00FC085C"/>
    <w:rsid w:val="00FC0CDF"/>
    <w:rsid w:val="00FC0D3E"/>
    <w:rsid w:val="00FC0D7C"/>
    <w:rsid w:val="00FC1208"/>
    <w:rsid w:val="00FC1337"/>
    <w:rsid w:val="00FC1411"/>
    <w:rsid w:val="00FC163A"/>
    <w:rsid w:val="00FC16FB"/>
    <w:rsid w:val="00FC17D5"/>
    <w:rsid w:val="00FC183A"/>
    <w:rsid w:val="00FC19F5"/>
    <w:rsid w:val="00FC237D"/>
    <w:rsid w:val="00FC28D1"/>
    <w:rsid w:val="00FC2AC9"/>
    <w:rsid w:val="00FC2C28"/>
    <w:rsid w:val="00FC2C37"/>
    <w:rsid w:val="00FC2EA2"/>
    <w:rsid w:val="00FC330D"/>
    <w:rsid w:val="00FC333B"/>
    <w:rsid w:val="00FC356C"/>
    <w:rsid w:val="00FC35A0"/>
    <w:rsid w:val="00FC3D1C"/>
    <w:rsid w:val="00FC3D46"/>
    <w:rsid w:val="00FC44D7"/>
    <w:rsid w:val="00FC47D6"/>
    <w:rsid w:val="00FC50EA"/>
    <w:rsid w:val="00FC51C4"/>
    <w:rsid w:val="00FC51D7"/>
    <w:rsid w:val="00FC5656"/>
    <w:rsid w:val="00FC5661"/>
    <w:rsid w:val="00FC5964"/>
    <w:rsid w:val="00FC5B5D"/>
    <w:rsid w:val="00FC5BAE"/>
    <w:rsid w:val="00FC5F53"/>
    <w:rsid w:val="00FC5F90"/>
    <w:rsid w:val="00FC6104"/>
    <w:rsid w:val="00FC6135"/>
    <w:rsid w:val="00FC64F3"/>
    <w:rsid w:val="00FC6527"/>
    <w:rsid w:val="00FC66AD"/>
    <w:rsid w:val="00FC6AE5"/>
    <w:rsid w:val="00FC72E0"/>
    <w:rsid w:val="00FC7533"/>
    <w:rsid w:val="00FC78AF"/>
    <w:rsid w:val="00FC7AED"/>
    <w:rsid w:val="00FC7BEF"/>
    <w:rsid w:val="00FD052C"/>
    <w:rsid w:val="00FD055D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B92"/>
    <w:rsid w:val="00FD2E55"/>
    <w:rsid w:val="00FD2FA9"/>
    <w:rsid w:val="00FD305C"/>
    <w:rsid w:val="00FD3146"/>
    <w:rsid w:val="00FD31D2"/>
    <w:rsid w:val="00FD3319"/>
    <w:rsid w:val="00FD3572"/>
    <w:rsid w:val="00FD36D4"/>
    <w:rsid w:val="00FD3792"/>
    <w:rsid w:val="00FD395D"/>
    <w:rsid w:val="00FD3B6F"/>
    <w:rsid w:val="00FD3E12"/>
    <w:rsid w:val="00FD4073"/>
    <w:rsid w:val="00FD40CF"/>
    <w:rsid w:val="00FD4192"/>
    <w:rsid w:val="00FD5043"/>
    <w:rsid w:val="00FD510B"/>
    <w:rsid w:val="00FD5269"/>
    <w:rsid w:val="00FD52F8"/>
    <w:rsid w:val="00FD5328"/>
    <w:rsid w:val="00FD5360"/>
    <w:rsid w:val="00FD54CC"/>
    <w:rsid w:val="00FD5914"/>
    <w:rsid w:val="00FD5D1D"/>
    <w:rsid w:val="00FD5F6C"/>
    <w:rsid w:val="00FD65AD"/>
    <w:rsid w:val="00FD696E"/>
    <w:rsid w:val="00FD6B34"/>
    <w:rsid w:val="00FD6C6D"/>
    <w:rsid w:val="00FD6C8C"/>
    <w:rsid w:val="00FD6DBB"/>
    <w:rsid w:val="00FD725D"/>
    <w:rsid w:val="00FD7529"/>
    <w:rsid w:val="00FD795C"/>
    <w:rsid w:val="00FD7A8D"/>
    <w:rsid w:val="00FE034F"/>
    <w:rsid w:val="00FE06A2"/>
    <w:rsid w:val="00FE0CE6"/>
    <w:rsid w:val="00FE0D6F"/>
    <w:rsid w:val="00FE0DFB"/>
    <w:rsid w:val="00FE0E38"/>
    <w:rsid w:val="00FE0E39"/>
    <w:rsid w:val="00FE0FBC"/>
    <w:rsid w:val="00FE1077"/>
    <w:rsid w:val="00FE1162"/>
    <w:rsid w:val="00FE1630"/>
    <w:rsid w:val="00FE169D"/>
    <w:rsid w:val="00FE190A"/>
    <w:rsid w:val="00FE1B04"/>
    <w:rsid w:val="00FE1FCA"/>
    <w:rsid w:val="00FE20BE"/>
    <w:rsid w:val="00FE2575"/>
    <w:rsid w:val="00FE2739"/>
    <w:rsid w:val="00FE28C8"/>
    <w:rsid w:val="00FE2C3A"/>
    <w:rsid w:val="00FE2E81"/>
    <w:rsid w:val="00FE33B0"/>
    <w:rsid w:val="00FE36BA"/>
    <w:rsid w:val="00FE378C"/>
    <w:rsid w:val="00FE39E1"/>
    <w:rsid w:val="00FE3B19"/>
    <w:rsid w:val="00FE3F02"/>
    <w:rsid w:val="00FE422E"/>
    <w:rsid w:val="00FE4449"/>
    <w:rsid w:val="00FE4B22"/>
    <w:rsid w:val="00FE4CFC"/>
    <w:rsid w:val="00FE5751"/>
    <w:rsid w:val="00FE5E92"/>
    <w:rsid w:val="00FE5F93"/>
    <w:rsid w:val="00FE62CD"/>
    <w:rsid w:val="00FE6871"/>
    <w:rsid w:val="00FE6899"/>
    <w:rsid w:val="00FE6B65"/>
    <w:rsid w:val="00FE6D96"/>
    <w:rsid w:val="00FE6F3B"/>
    <w:rsid w:val="00FE71CB"/>
    <w:rsid w:val="00FE75F0"/>
    <w:rsid w:val="00FE777C"/>
    <w:rsid w:val="00FE792B"/>
    <w:rsid w:val="00FE79EF"/>
    <w:rsid w:val="00FE7BC3"/>
    <w:rsid w:val="00FE7BCD"/>
    <w:rsid w:val="00FE7C74"/>
    <w:rsid w:val="00FE7DFD"/>
    <w:rsid w:val="00FF013B"/>
    <w:rsid w:val="00FF025A"/>
    <w:rsid w:val="00FF06B8"/>
    <w:rsid w:val="00FF0874"/>
    <w:rsid w:val="00FF088B"/>
    <w:rsid w:val="00FF0A4D"/>
    <w:rsid w:val="00FF0AC4"/>
    <w:rsid w:val="00FF0BF4"/>
    <w:rsid w:val="00FF0D1C"/>
    <w:rsid w:val="00FF0E3B"/>
    <w:rsid w:val="00FF10AF"/>
    <w:rsid w:val="00FF1304"/>
    <w:rsid w:val="00FF133E"/>
    <w:rsid w:val="00FF1386"/>
    <w:rsid w:val="00FF140F"/>
    <w:rsid w:val="00FF1476"/>
    <w:rsid w:val="00FF18BB"/>
    <w:rsid w:val="00FF1A3F"/>
    <w:rsid w:val="00FF1AF3"/>
    <w:rsid w:val="00FF1E46"/>
    <w:rsid w:val="00FF209F"/>
    <w:rsid w:val="00FF2151"/>
    <w:rsid w:val="00FF2237"/>
    <w:rsid w:val="00FF22C2"/>
    <w:rsid w:val="00FF23FB"/>
    <w:rsid w:val="00FF2A04"/>
    <w:rsid w:val="00FF2C03"/>
    <w:rsid w:val="00FF30BA"/>
    <w:rsid w:val="00FF3298"/>
    <w:rsid w:val="00FF334E"/>
    <w:rsid w:val="00FF34C8"/>
    <w:rsid w:val="00FF35BB"/>
    <w:rsid w:val="00FF3880"/>
    <w:rsid w:val="00FF394B"/>
    <w:rsid w:val="00FF407F"/>
    <w:rsid w:val="00FF40CC"/>
    <w:rsid w:val="00FF465F"/>
    <w:rsid w:val="00FF4BC9"/>
    <w:rsid w:val="00FF4EB5"/>
    <w:rsid w:val="00FF5893"/>
    <w:rsid w:val="00FF5F7D"/>
    <w:rsid w:val="00FF6062"/>
    <w:rsid w:val="00FF6076"/>
    <w:rsid w:val="00FF636B"/>
    <w:rsid w:val="00FF6518"/>
    <w:rsid w:val="00FF6684"/>
    <w:rsid w:val="00FF66BB"/>
    <w:rsid w:val="00FF675D"/>
    <w:rsid w:val="00FF6779"/>
    <w:rsid w:val="00FF6F14"/>
    <w:rsid w:val="00FF6FE2"/>
    <w:rsid w:val="00FF772A"/>
    <w:rsid w:val="00FF7C62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219101D-B118-449B-BDB2-9E6FA965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C14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rsid w:val="00431367"/>
    <w:rPr>
      <w:color w:val="666666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14F3"/>
    <w:rPr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3A14F3"/>
    <w:rPr>
      <w:lang w:eastAsia="en-US"/>
    </w:rPr>
  </w:style>
  <w:style w:type="character" w:styleId="Refdenotadefim">
    <w:name w:val="endnote reference"/>
    <w:uiPriority w:val="99"/>
    <w:semiHidden/>
    <w:unhideWhenUsed/>
    <w:rsid w:val="003A14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F3C61"/>
    <w:pPr>
      <w:ind w:left="720"/>
      <w:contextualSpacing/>
    </w:pPr>
  </w:style>
  <w:style w:type="paragraph" w:styleId="Reviso">
    <w:name w:val="Revision"/>
    <w:hidden/>
    <w:uiPriority w:val="99"/>
    <w:semiHidden/>
    <w:rsid w:val="00297DF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9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2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7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83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4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7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96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799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11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94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546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7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9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08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53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90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665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862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63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53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04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388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830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998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105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09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1556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268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5246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0895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289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6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72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15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38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86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5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60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83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81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4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404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826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65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74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307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281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026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230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7321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3823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ntas.tcu.gov.br/juris/SvlProxyHighlight?base=ACORDAO&amp;ano=2011&amp;numero=392&amp;colegiado=P" TargetMode="External"/><Relationship Id="rId18" Type="http://schemas.openxmlformats.org/officeDocument/2006/relationships/hyperlink" Target="https://www.planalto.gov.br/ccivil_03/_ato2015-2018/2015/lei/l13190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ontas.tcu.gov.br/juris/SvlProxyHighlight?base=ACORDAO&amp;ano=2011&amp;numero=392&amp;colegiado=P" TargetMode="External"/><Relationship Id="rId17" Type="http://schemas.openxmlformats.org/officeDocument/2006/relationships/hyperlink" Target="https://contas.tcu.gov.br/juris/SvlProxyHighlight?base=ACORDAO&amp;ano=2015&amp;numero=10051&amp;colegiado=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ntas.tcu.gov.br/juris/SvlProxyHighlight?base=ACORDAO&amp;ano=2011&amp;numero=392&amp;colegiado=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ProxyHighlight?base=ACORDAO&amp;ano=2011&amp;numero=392&amp;colegiado=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tas.tcu.gov.br/juris/SvlProxyHighlight?base=ACORDAO&amp;ano=2015&amp;numero=10051&amp;colegiado=2" TargetMode="External"/><Relationship Id="rId10" Type="http://schemas.openxmlformats.org/officeDocument/2006/relationships/hyperlink" Target="https://contas.tcu.gov.br/juris/SvlProxyHighlight?base=ACORDAO&amp;ano=2015&amp;numero=2899&amp;colegiado=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ProxyHighlight?base=ACORDAO&amp;ano=2015&amp;numero=44&amp;colegiado=P" TargetMode="External"/><Relationship Id="rId14" Type="http://schemas.openxmlformats.org/officeDocument/2006/relationships/hyperlink" Target="https://contas.tcu.gov.br/juris/SvlProxyHighlight?base=ACORDAO&amp;ano=2011&amp;numero=392&amp;colegiado=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A385E-F7FC-4FB1-8887-28F3E051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1852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11833</CharactersWithSpaces>
  <SharedDoc>false</SharedDoc>
  <HLinks>
    <vt:vector size="42" baseType="variant">
      <vt:variant>
        <vt:i4>7602203</vt:i4>
      </vt:variant>
      <vt:variant>
        <vt:i4>18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6750325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6750325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-120352&amp;texto=2b2532384e554d41434f5244414f253341323230352b4f522b4e554d52454c4143414f253341323230352532392b414e442b2b2532384e554d414e4f41434f5244414f253341323031342b4f522b4e554d414e4f52454c4143414f253341323031342532392b414e442b2b434f4c45474941444f253341253232534547554e44412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-120292&amp;texto=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2490464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-120383&amp;texto=2b2532384e554d41434f5244414f253341313331342b4f522b4e554d52454c4143414f253341313331342532392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-120278&amp;texto=2b2532384e554d41434f5244414f253341313330392b4f522b4e554d52454c4143414f253341313330392532392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Porto</dc:creator>
  <cp:lastModifiedBy>Sergio Ricardo de Mendonca Salustiano</cp:lastModifiedBy>
  <cp:revision>15</cp:revision>
  <cp:lastPrinted>2015-11-23T13:42:00Z</cp:lastPrinted>
  <dcterms:created xsi:type="dcterms:W3CDTF">2015-11-23T17:04:00Z</dcterms:created>
  <dcterms:modified xsi:type="dcterms:W3CDTF">2015-11-23T18:40:00Z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1334462700</vt:i4>
  </property>
</Properties>
</file>