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9A" w:rsidRDefault="0035499A" w:rsidP="00E46CEB">
      <w:pPr>
        <w:jc w:val="center"/>
        <w:rPr>
          <w:szCs w:val="24"/>
        </w:rPr>
      </w:pPr>
    </w:p>
    <w:p w:rsidR="00AD3C90" w:rsidRPr="00556CD4" w:rsidRDefault="0035499A" w:rsidP="004F1ECF">
      <w:pPr>
        <w:jc w:val="center"/>
        <w:rPr>
          <w:b/>
          <w:sz w:val="22"/>
        </w:rPr>
      </w:pPr>
      <w:r w:rsidRPr="00556CD4">
        <w:rPr>
          <w:b/>
          <w:sz w:val="22"/>
        </w:rPr>
        <w:t xml:space="preserve">Número </w:t>
      </w:r>
      <w:r w:rsidR="00431E71" w:rsidRPr="00556CD4">
        <w:rPr>
          <w:b/>
          <w:sz w:val="22"/>
        </w:rPr>
        <w:t>275</w:t>
      </w:r>
    </w:p>
    <w:p w:rsidR="00513988" w:rsidRPr="00556CD4" w:rsidRDefault="00513988" w:rsidP="004F1ECF">
      <w:pPr>
        <w:jc w:val="both"/>
        <w:rPr>
          <w:sz w:val="22"/>
        </w:rPr>
      </w:pPr>
    </w:p>
    <w:p w:rsidR="0035499A" w:rsidRPr="00556CD4" w:rsidRDefault="0035499A" w:rsidP="004F1ECF">
      <w:pPr>
        <w:jc w:val="center"/>
        <w:rPr>
          <w:b/>
          <w:sz w:val="22"/>
        </w:rPr>
      </w:pPr>
      <w:r w:rsidRPr="00556CD4">
        <w:rPr>
          <w:b/>
          <w:sz w:val="22"/>
        </w:rPr>
        <w:t xml:space="preserve">Sessões: </w:t>
      </w:r>
      <w:r w:rsidR="004F1ECF">
        <w:rPr>
          <w:b/>
          <w:sz w:val="22"/>
        </w:rPr>
        <w:t>23 e 24</w:t>
      </w:r>
      <w:r w:rsidR="000403CF" w:rsidRPr="00556CD4">
        <w:rPr>
          <w:b/>
          <w:sz w:val="22"/>
        </w:rPr>
        <w:t>/Fevereiro/2016</w:t>
      </w:r>
    </w:p>
    <w:p w:rsidR="0035499A" w:rsidRPr="00556CD4" w:rsidRDefault="0035499A" w:rsidP="004F1ECF">
      <w:pPr>
        <w:jc w:val="center"/>
        <w:rPr>
          <w:b/>
          <w:sz w:val="22"/>
        </w:rPr>
      </w:pPr>
    </w:p>
    <w:p w:rsidR="005617EF" w:rsidRPr="00556CD4" w:rsidRDefault="005617EF" w:rsidP="004F1ECF">
      <w:pPr>
        <w:spacing w:after="200"/>
        <w:jc w:val="both"/>
        <w:rPr>
          <w:sz w:val="22"/>
        </w:rPr>
      </w:pPr>
      <w:r w:rsidRPr="00556CD4">
        <w:rPr>
          <w:sz w:val="22"/>
        </w:rPr>
        <w:t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links disponíveis. As informações aqui apresentadas não são repositórios oficiais de jurisprudência.</w:t>
      </w:r>
    </w:p>
    <w:p w:rsidR="0035499A" w:rsidRPr="00556CD4" w:rsidRDefault="0035499A" w:rsidP="0035499A">
      <w:pPr>
        <w:jc w:val="both"/>
        <w:rPr>
          <w:sz w:val="22"/>
        </w:rPr>
      </w:pPr>
    </w:p>
    <w:p w:rsidR="004318F3" w:rsidRPr="004F1ECF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35499A" w:rsidRPr="004F1ECF" w:rsidRDefault="009772F2" w:rsidP="00107C4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  <w:r w:rsidRPr="004F1ECF">
        <w:rPr>
          <w:b/>
          <w:sz w:val="22"/>
        </w:rPr>
        <w:t>SU</w:t>
      </w:r>
      <w:r w:rsidR="004318F3" w:rsidRPr="004F1ECF">
        <w:rPr>
          <w:b/>
          <w:sz w:val="22"/>
        </w:rPr>
        <w:t>M</w:t>
      </w:r>
      <w:r w:rsidRPr="004F1ECF">
        <w:rPr>
          <w:b/>
          <w:sz w:val="22"/>
        </w:rPr>
        <w:t>Á</w:t>
      </w:r>
      <w:r w:rsidR="004A3622" w:rsidRPr="004F1ECF">
        <w:rPr>
          <w:b/>
          <w:sz w:val="22"/>
        </w:rPr>
        <w:t>RIO</w:t>
      </w:r>
    </w:p>
    <w:p w:rsidR="0016073A" w:rsidRPr="004F1ECF" w:rsidRDefault="0016073A">
      <w:pPr>
        <w:rPr>
          <w:sz w:val="22"/>
        </w:rPr>
        <w:sectPr w:rsidR="0016073A" w:rsidRPr="004F1ECF" w:rsidSect="00AA3E05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F94AD7" w:rsidRPr="004F1ECF" w:rsidRDefault="00443597" w:rsidP="004F1ECF">
      <w:pPr>
        <w:spacing w:after="60"/>
        <w:jc w:val="both"/>
        <w:rPr>
          <w:b/>
          <w:sz w:val="22"/>
        </w:rPr>
      </w:pPr>
      <w:r w:rsidRPr="004F1ECF">
        <w:rPr>
          <w:b/>
          <w:sz w:val="22"/>
        </w:rPr>
        <w:lastRenderedPageBreak/>
        <w:t>Plenário</w:t>
      </w:r>
    </w:p>
    <w:p w:rsidR="0016073A" w:rsidRPr="004F1ECF" w:rsidRDefault="0016073A" w:rsidP="004F1ECF">
      <w:pPr>
        <w:spacing w:after="60"/>
        <w:jc w:val="both"/>
        <w:rPr>
          <w:sz w:val="22"/>
        </w:rPr>
        <w:sectPr w:rsidR="0016073A" w:rsidRPr="004F1ECF" w:rsidSect="006F632A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714851" w:rsidRPr="004F1ECF" w:rsidRDefault="00443597" w:rsidP="004F1ECF">
      <w:pPr>
        <w:spacing w:after="60"/>
        <w:jc w:val="both"/>
        <w:rPr>
          <w:sz w:val="22"/>
        </w:rPr>
        <w:sectPr w:rsidR="00714851" w:rsidRPr="004F1ECF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  <w:r w:rsidRPr="004F1ECF">
        <w:rPr>
          <w:sz w:val="22"/>
        </w:rPr>
        <w:lastRenderedPageBreak/>
        <w:t xml:space="preserve">1. As sanções de </w:t>
      </w:r>
      <w:r w:rsidRPr="004F1ECF">
        <w:rPr>
          <w:sz w:val="22"/>
        </w:rPr>
        <w:t>declaração de inidoneidade impostas pelo TCU (art. 46 da Lei 8.443/92) alcançam as licitações e contratações diretas promovidas por estados e municípios cujos objetos sejam custeados por recursos de transferências voluntárias da União.</w:t>
      </w:r>
    </w:p>
    <w:p w:rsidR="002B7F5E" w:rsidRDefault="00443597" w:rsidP="004F1ECF">
      <w:pPr>
        <w:spacing w:after="60"/>
        <w:jc w:val="both"/>
        <w:rPr>
          <w:sz w:val="22"/>
        </w:rPr>
      </w:pPr>
      <w:r w:rsidRPr="004F1ECF">
        <w:rPr>
          <w:sz w:val="22"/>
        </w:rPr>
        <w:lastRenderedPageBreak/>
        <w:t xml:space="preserve">2. </w:t>
      </w:r>
      <w:r w:rsidRPr="004F1ECF">
        <w:rPr>
          <w:b/>
          <w:sz w:val="22"/>
        </w:rPr>
        <w:t>SÚMULA TCU 289:</w:t>
      </w:r>
      <w:r w:rsidRPr="004F1ECF">
        <w:rPr>
          <w:sz w:val="22"/>
        </w:rPr>
        <w:t xml:space="preserve"> A exigência de índices contábeis de capacidade financeira, a exemplo dos de liquidez, deve estar justificada no processo da licitação, conter parâmetros atualizados de mercado e atender às características do</w:t>
      </w:r>
      <w:r w:rsidRPr="004F1ECF">
        <w:rPr>
          <w:sz w:val="22"/>
        </w:rPr>
        <w:t xml:space="preserve"> objeto licitado, sendo vedado o uso de índice cuja fórmula inclua rentabilidade ou lucratividade.</w:t>
      </w:r>
    </w:p>
    <w:p w:rsidR="004F1ECF" w:rsidRPr="004F1ECF" w:rsidRDefault="004F1ECF" w:rsidP="004F1ECF">
      <w:pPr>
        <w:spacing w:after="60"/>
        <w:jc w:val="both"/>
        <w:rPr>
          <w:sz w:val="22"/>
        </w:rPr>
      </w:pPr>
    </w:p>
    <w:p w:rsidR="0016073A" w:rsidRPr="004F1ECF" w:rsidRDefault="0016073A">
      <w:pPr>
        <w:rPr>
          <w:sz w:val="22"/>
        </w:rPr>
        <w:sectPr w:rsidR="0016073A" w:rsidRPr="004F1ECF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4318F3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rFonts w:ascii="Arial" w:hAnsi="Arial" w:cs="Arial"/>
          <w:b/>
          <w:sz w:val="18"/>
          <w:szCs w:val="18"/>
        </w:rPr>
      </w:pPr>
    </w:p>
    <w:p w:rsidR="0016073A" w:rsidRDefault="0016073A">
      <w:pPr>
        <w:sectPr w:rsidR="0016073A" w:rsidSect="00EE3E91">
          <w:footerReference w:type="default" r:id="rId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927CB7" w:rsidRDefault="00443597" w:rsidP="00692853">
      <w:pPr>
        <w:jc w:val="center"/>
        <w:rPr>
          <w:b/>
        </w:rPr>
      </w:pPr>
      <w:r w:rsidRPr="004D0B45">
        <w:rPr>
          <w:b/>
        </w:rPr>
        <w:lastRenderedPageBreak/>
        <w:t>PLENÁRIO</w:t>
      </w:r>
    </w:p>
    <w:p w:rsidR="00EA6425" w:rsidRPr="00C474BD" w:rsidRDefault="00443597" w:rsidP="00692853">
      <w:pPr>
        <w:jc w:val="center"/>
        <w:rPr>
          <w:b/>
        </w:rPr>
      </w:pPr>
    </w:p>
    <w:p w:rsidR="0016073A" w:rsidRDefault="0016073A">
      <w:pPr>
        <w:sectPr w:rsidR="0016073A" w:rsidSect="003D3DA9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4F1ECF" w:rsidRDefault="00443597" w:rsidP="004F1ECF">
      <w:pPr>
        <w:widowControl w:val="0"/>
        <w:autoSpaceDE w:val="0"/>
        <w:autoSpaceDN w:val="0"/>
        <w:jc w:val="both"/>
        <w:rPr>
          <w:b/>
          <w:sz w:val="22"/>
        </w:rPr>
      </w:pPr>
      <w:r w:rsidRPr="004F1ECF">
        <w:rPr>
          <w:b/>
          <w:sz w:val="22"/>
        </w:rPr>
        <w:lastRenderedPageBreak/>
        <w:t>1</w:t>
      </w:r>
      <w:r w:rsidRPr="004F1ECF">
        <w:rPr>
          <w:b/>
          <w:sz w:val="22"/>
        </w:rPr>
        <w:t>. As sanções de declaração de</w:t>
      </w:r>
      <w:r w:rsidRPr="004F1ECF">
        <w:rPr>
          <w:b/>
          <w:sz w:val="22"/>
        </w:rPr>
        <w:t xml:space="preserve"> inidoneidade impostas pelo TCU (art. 46 da Lei 8.443/92) alcançam as licitações e contratações diretas promovidas por estados e municípios cujos objetos sejam custeados por recursos de transferências voluntárias da União.</w:t>
      </w:r>
    </w:p>
    <w:p w:rsidR="007323B1" w:rsidRPr="00626FF0" w:rsidRDefault="00443597" w:rsidP="004F1ECF">
      <w:pPr>
        <w:widowControl w:val="0"/>
        <w:autoSpaceDE w:val="0"/>
        <w:autoSpaceDN w:val="0"/>
        <w:jc w:val="both"/>
        <w:rPr>
          <w:rFonts w:ascii="Segoe UI WPC" w:hAnsi="Segoe UI WPC"/>
          <w:color w:val="282828"/>
          <w:sz w:val="21"/>
          <w:szCs w:val="23"/>
        </w:rPr>
      </w:pPr>
      <w:r w:rsidRPr="004F1ECF">
        <w:rPr>
          <w:sz w:val="22"/>
        </w:rPr>
        <w:t>O Plenário apreciou processo admi</w:t>
      </w:r>
      <w:r w:rsidRPr="004F1ECF">
        <w:rPr>
          <w:sz w:val="22"/>
        </w:rPr>
        <w:t>nistrativo que, entre outras questões, discutiu o alcance material dos efeitos da declaração de inidoneidade proferida pelo TCU, com fundamento no art. 46 da Lei 8.443/92: “Art. 46. Verificada a ocorrência de fraude comprovada à licitação, o Tribunal decla</w:t>
      </w:r>
      <w:r w:rsidRPr="004F1ECF">
        <w:rPr>
          <w:sz w:val="22"/>
        </w:rPr>
        <w:t>rará a inidoneidade do licitante fraudador para participar, por até cinco anos, de licitação na Administração Pública Federal”. Segundo o relator, apreensão superficial do dispositivo pode conduzir ao entendimento de que os procedimentos licitatórios em re</w:t>
      </w:r>
      <w:r w:rsidRPr="004F1ECF">
        <w:rPr>
          <w:sz w:val="22"/>
        </w:rPr>
        <w:t>lação aos quais o infrator é temporariamente declarado inidôneo seriam somente os promovidos por órgãos e entidades da Administração Pública Federal, a abranger as unidades subalternas e despersonalizadas da Administração Pública Direta, bem como aqueles e</w:t>
      </w:r>
      <w:r w:rsidRPr="004F1ECF">
        <w:rPr>
          <w:sz w:val="22"/>
        </w:rPr>
        <w:t xml:space="preserve">ntes vinculados e dotados de personalidade jurídica da Administração Pública Indireta (Fundações, Autarquias, Empresas Públicas e Sociedades de Economia Mista). Contudo, segundo o relator, é de se repudiar </w:t>
      </w:r>
      <w:r w:rsidRPr="005E1A43">
        <w:rPr>
          <w:i/>
          <w:sz w:val="22"/>
        </w:rPr>
        <w:t>“leitura estrita da expressão ‘licitação na Admini</w:t>
      </w:r>
      <w:r w:rsidRPr="005E1A43">
        <w:rPr>
          <w:i/>
          <w:sz w:val="22"/>
        </w:rPr>
        <w:t>stração Pública Federal’, já que a norma sancionadora abrange todos os processos licitatórios em que agentes públicos de outras unidades federativas atuam como longa manus da União, na execução de políticas nacionais de alcance local e regional ou em regim</w:t>
      </w:r>
      <w:r w:rsidRPr="005E1A43">
        <w:rPr>
          <w:i/>
          <w:sz w:val="22"/>
        </w:rPr>
        <w:t>e de mútua cooperação”</w:t>
      </w:r>
      <w:r w:rsidRPr="004F1ECF">
        <w:rPr>
          <w:sz w:val="22"/>
        </w:rPr>
        <w:t xml:space="preserve">. Ressaltou o relator que, no caso das transferências voluntárias da União, realizadas por meio de convênios, contratos de repasse, acordos e instrumentos congêneres, a União é a titular da totalidade dos direitos de crédito sobre os </w:t>
      </w:r>
      <w:r w:rsidRPr="004F1ECF">
        <w:rPr>
          <w:sz w:val="22"/>
        </w:rPr>
        <w:t xml:space="preserve">recursos repassados, de maneira que a licitação realizada continua sendo federal e o seu realizador, para todos os efeitos, responde perante à União, como se dela funcionário fosse, até mesmo para efeitos criminais. Conforme asseverou, </w:t>
      </w:r>
      <w:r w:rsidRPr="005E1A43">
        <w:rPr>
          <w:i/>
          <w:sz w:val="22"/>
        </w:rPr>
        <w:t>“esse entendimento é</w:t>
      </w:r>
      <w:r w:rsidRPr="005E1A43">
        <w:rPr>
          <w:i/>
          <w:sz w:val="22"/>
        </w:rPr>
        <w:t xml:space="preserve"> o único que se harmoniza com o plexo de competências constitucionais deferidas ao Controle Externo, de titularidade do Congresso Nacional e exercido com o auxílio desta Corte de Contas”</w:t>
      </w:r>
      <w:r w:rsidRPr="004F1ECF">
        <w:rPr>
          <w:sz w:val="22"/>
        </w:rPr>
        <w:t>, pois se insere entre as prerrogativas do controle externo da União a</w:t>
      </w:r>
      <w:r w:rsidRPr="004F1ECF">
        <w:rPr>
          <w:sz w:val="22"/>
        </w:rPr>
        <w:t xml:space="preserve"> fiscalização da aplicação de recursos repassados voluntariamente pela União a estados e municípios (artigo 71, inciso VI, da Constituição Federal). Da mesma forma, pontuou, </w:t>
      </w:r>
      <w:r w:rsidRPr="005E1A43">
        <w:rPr>
          <w:i/>
          <w:sz w:val="22"/>
        </w:rPr>
        <w:t xml:space="preserve">“no caso de crime, responde o administrador </w:t>
      </w:r>
      <w:r w:rsidRPr="005E1A43">
        <w:rPr>
          <w:i/>
          <w:sz w:val="22"/>
        </w:rPr>
        <w:lastRenderedPageBreak/>
        <w:t>desonesto no âmbito da justiça federal</w:t>
      </w:r>
      <w:r w:rsidRPr="005E1A43">
        <w:rPr>
          <w:i/>
          <w:sz w:val="22"/>
        </w:rPr>
        <w:t xml:space="preserve"> e, não, da justiça estadual, como no caso de os recursos aplicados serem da titularidade do ente federativo estadual ou municipal”</w:t>
      </w:r>
      <w:r w:rsidRPr="004F1ECF">
        <w:rPr>
          <w:sz w:val="22"/>
        </w:rPr>
        <w:t>.  Observou, ademais, ser inconcebível que o licitante seja declarado inidôneo pelo TCU, por ter fraudado licitação promovida</w:t>
      </w:r>
      <w:r w:rsidRPr="004F1ECF">
        <w:rPr>
          <w:sz w:val="22"/>
        </w:rPr>
        <w:t xml:space="preserve"> por determinado ente da federação ou por agente privado, no âmbito de transferência voluntária da União, e esse impedimento não se aplique às outras licitações que venham a ser promovidas por esse mesmo convenente em outros repasses voluntários de recurso</w:t>
      </w:r>
      <w:r w:rsidRPr="004F1ECF">
        <w:rPr>
          <w:sz w:val="22"/>
        </w:rPr>
        <w:t>s federais. Além disso, consignou o relator que a extensão da aplicação da sanção de declaração de inidoneidade a licitantes de participarem de licitações promovidas por estados e municípios, realizadas no âmbito de transferências voluntárias da União, tam</w:t>
      </w:r>
      <w:r w:rsidRPr="004F1ECF">
        <w:rPr>
          <w:sz w:val="22"/>
        </w:rPr>
        <w:t>bém se fundamenta na teoria dos “poderes implícitos”, princípio basilar da hermenêutica constitucional. Por fim, deixou assente que o termo licitações deve ser compreendido em sentido amplo, a abranger contratações diretas, em consonância com o entendiment</w:t>
      </w:r>
      <w:r w:rsidRPr="004F1ECF">
        <w:rPr>
          <w:sz w:val="22"/>
        </w:rPr>
        <w:t xml:space="preserve">o adotado no </w:t>
      </w:r>
      <w:hyperlink r:id="rId10" w:history="1">
        <w:r w:rsidR="00626FF0" w:rsidRPr="00626FF0">
          <w:rPr>
            <w:rStyle w:val="Hyperlink"/>
            <w:rFonts w:eastAsiaTheme="majorEastAsia"/>
            <w:sz w:val="22"/>
            <w:szCs w:val="23"/>
            <w:u w:val="none"/>
            <w:shd w:val="clear" w:color="auto" w:fill="FFFFFF"/>
          </w:rPr>
          <w:t>Acórdão 100/2003 Plenário</w:t>
        </w:r>
      </w:hyperlink>
      <w:bookmarkStart w:id="0" w:name="_GoBack"/>
      <w:bookmarkEnd w:id="0"/>
      <w:r w:rsidRPr="004F1ECF">
        <w:rPr>
          <w:sz w:val="22"/>
        </w:rPr>
        <w:t xml:space="preserve">. Nessa esteira, o Colegiado seguiu o voto do relator, firmando o seguinte entendimento: </w:t>
      </w:r>
      <w:r w:rsidRPr="005E1A43">
        <w:rPr>
          <w:i/>
          <w:sz w:val="22"/>
        </w:rPr>
        <w:t>“as sanções de declaração de inidoneidade impostas pelo TCU alcançam as licitações e contratações diretas, promovidas por estados</w:t>
      </w:r>
      <w:r w:rsidRPr="005E1A43">
        <w:rPr>
          <w:i/>
          <w:sz w:val="22"/>
        </w:rPr>
        <w:t xml:space="preserve"> e municípios, cujos objetos sejam custeados por recursos oriundos de transferências voluntárias da União”</w:t>
      </w:r>
      <w:r w:rsidRPr="004F1ECF">
        <w:rPr>
          <w:sz w:val="22"/>
        </w:rPr>
        <w:t>.</w:t>
      </w:r>
      <w:r w:rsidRPr="004F1ECF">
        <w:rPr>
          <w:sz w:val="22"/>
        </w:rPr>
        <w:t xml:space="preserve"> </w:t>
      </w:r>
      <w:hyperlink r:id="rId11" w:history="1">
        <w:r w:rsidRPr="00FA0452">
          <w:rPr>
            <w:rStyle w:val="Hyperlink"/>
            <w:b/>
            <w:sz w:val="22"/>
            <w:u w:val="none"/>
          </w:rPr>
          <w:t>Acórdão 348/2016 Plenário</w:t>
        </w:r>
      </w:hyperlink>
      <w:r w:rsidRPr="004F1ECF">
        <w:rPr>
          <w:b/>
          <w:sz w:val="22"/>
        </w:rPr>
        <w:t xml:space="preserve">, </w:t>
      </w:r>
      <w:r w:rsidRPr="004F1ECF">
        <w:rPr>
          <w:b/>
          <w:sz w:val="22"/>
        </w:rPr>
        <w:t xml:space="preserve">Administrativo, Relator </w:t>
      </w:r>
      <w:r w:rsidRPr="004F1ECF">
        <w:rPr>
          <w:b/>
          <w:sz w:val="22"/>
        </w:rPr>
        <w:t>Ministro Walton Alencar Rodrigues.</w:t>
      </w:r>
    </w:p>
    <w:p w:rsidR="009751AE" w:rsidRPr="004F1ECF" w:rsidRDefault="00443597" w:rsidP="004F1ECF">
      <w:pPr>
        <w:widowControl w:val="0"/>
        <w:autoSpaceDE w:val="0"/>
        <w:autoSpaceDN w:val="0"/>
        <w:jc w:val="both"/>
        <w:rPr>
          <w:sz w:val="22"/>
        </w:rPr>
      </w:pPr>
    </w:p>
    <w:p w:rsidR="0016073A" w:rsidRPr="004F1ECF" w:rsidRDefault="0016073A" w:rsidP="004F1ECF">
      <w:pPr>
        <w:jc w:val="both"/>
        <w:rPr>
          <w:sz w:val="22"/>
        </w:rPr>
        <w:sectPr w:rsidR="0016073A" w:rsidRPr="004F1ECF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4F1ECF" w:rsidRDefault="00443597" w:rsidP="004F1ECF">
      <w:pPr>
        <w:widowControl w:val="0"/>
        <w:autoSpaceDE w:val="0"/>
        <w:autoSpaceDN w:val="0"/>
        <w:jc w:val="both"/>
        <w:rPr>
          <w:b/>
          <w:sz w:val="22"/>
        </w:rPr>
      </w:pPr>
      <w:r w:rsidRPr="004F1ECF">
        <w:rPr>
          <w:b/>
          <w:sz w:val="22"/>
        </w:rPr>
        <w:lastRenderedPageBreak/>
        <w:t>2</w:t>
      </w:r>
      <w:r w:rsidRPr="004F1ECF">
        <w:rPr>
          <w:b/>
          <w:sz w:val="22"/>
        </w:rPr>
        <w:t xml:space="preserve">. SÚMULA TCU 289: A exigência de índices contábeis de capacidade financeira, a exemplo dos de liquidez, deve estar justificada no processo da licitação, conter </w:t>
      </w:r>
      <w:r w:rsidRPr="004F1ECF">
        <w:rPr>
          <w:b/>
          <w:sz w:val="22"/>
        </w:rPr>
        <w:t>parâmetros atualizados de mercado e atender às características do objeto licitado, sendo vedado o uso de índice cuja fórmula inclua rentabilidade ou lucratividade.</w:t>
      </w:r>
    </w:p>
    <w:p w:rsidR="007323B1" w:rsidRPr="004F1ECF" w:rsidRDefault="00443597" w:rsidP="007B0D2D">
      <w:pPr>
        <w:autoSpaceDE w:val="0"/>
        <w:autoSpaceDN w:val="0"/>
        <w:adjustRightInd w:val="0"/>
        <w:jc w:val="both"/>
        <w:rPr>
          <w:b/>
          <w:sz w:val="22"/>
        </w:rPr>
      </w:pPr>
      <w:r w:rsidRPr="004F1ECF">
        <w:rPr>
          <w:sz w:val="22"/>
        </w:rPr>
        <w:t>Processo de natureza administrativa apreciou a</w:t>
      </w:r>
      <w:r w:rsidR="00615BDE">
        <w:rPr>
          <w:sz w:val="22"/>
        </w:rPr>
        <w:t>nteprojeto de súmula acerca da exigência de índices contábeis</w:t>
      </w:r>
      <w:r w:rsidR="000971D6">
        <w:rPr>
          <w:sz w:val="22"/>
        </w:rPr>
        <w:t xml:space="preserve"> de capacidade financeira</w:t>
      </w:r>
      <w:r w:rsidR="00615BDE">
        <w:rPr>
          <w:sz w:val="22"/>
        </w:rPr>
        <w:t xml:space="preserve"> em licitações. Na tramitação regimental, o processo recebeu pareceres da Consultoria Jurídica do TCU</w:t>
      </w:r>
      <w:r w:rsidR="000971D6">
        <w:rPr>
          <w:sz w:val="22"/>
        </w:rPr>
        <w:t>, da Secretaria de Licitações, Contratos e Patrimônio e da Diretoria de Jurisprudência da Secretaria das Sessões do Tribunal. As unidades técnicas opinaram pela conveniência e oportunidade da aprovaç</w:t>
      </w:r>
      <w:r w:rsidR="005B2697">
        <w:rPr>
          <w:sz w:val="22"/>
        </w:rPr>
        <w:t>ão do anteprojeto de</w:t>
      </w:r>
      <w:r w:rsidR="000971D6">
        <w:rPr>
          <w:sz w:val="22"/>
        </w:rPr>
        <w:t xml:space="preserve"> s</w:t>
      </w:r>
      <w:r w:rsidR="007B0D2D">
        <w:rPr>
          <w:sz w:val="22"/>
        </w:rPr>
        <w:t>úmula, o</w:t>
      </w:r>
      <w:r w:rsidR="000971D6">
        <w:rPr>
          <w:sz w:val="22"/>
        </w:rPr>
        <w:t xml:space="preserve"> qual reflete o entendimento predominante do TCU</w:t>
      </w:r>
      <w:r w:rsidR="005B2697">
        <w:rPr>
          <w:sz w:val="22"/>
        </w:rPr>
        <w:t>, há muito consolidado, e</w:t>
      </w:r>
      <w:r w:rsidR="000971D6">
        <w:rPr>
          <w:sz w:val="22"/>
        </w:rPr>
        <w:t xml:space="preserve"> está s</w:t>
      </w:r>
      <w:r w:rsidR="007B0D2D">
        <w:rPr>
          <w:sz w:val="22"/>
        </w:rPr>
        <w:t>uportado</w:t>
      </w:r>
      <w:r w:rsidR="005B2697">
        <w:rPr>
          <w:sz w:val="22"/>
        </w:rPr>
        <w:t xml:space="preserve"> em dispositivos constitucionais, legais e regimentais que tratam do tema </w:t>
      </w:r>
      <w:r w:rsidR="005B2697" w:rsidRPr="00615BDE">
        <w:rPr>
          <w:sz w:val="22"/>
        </w:rPr>
        <w:t>qu</w:t>
      </w:r>
      <w:r w:rsidR="007B0D2D">
        <w:rPr>
          <w:sz w:val="22"/>
        </w:rPr>
        <w:t>alificação econômico-financeira</w:t>
      </w:r>
      <w:r w:rsidR="005B2697" w:rsidRPr="00615BDE">
        <w:rPr>
          <w:sz w:val="22"/>
        </w:rPr>
        <w:t xml:space="preserve"> para fins de habilitação em procedimento licitatório, a partir de aplicação de índices contábeis, em especial os de liquidez. </w:t>
      </w:r>
      <w:r w:rsidR="005B2697">
        <w:rPr>
          <w:sz w:val="22"/>
        </w:rPr>
        <w:t>Apontaram ainda a importância de a futura súmula contribuir para que sejam evitadas exigências inapropriadas de índice cont</w:t>
      </w:r>
      <w:r w:rsidR="007B0D2D">
        <w:rPr>
          <w:sz w:val="22"/>
        </w:rPr>
        <w:t>ábeis que resultem em</w:t>
      </w:r>
      <w:r w:rsidR="005B2697">
        <w:rPr>
          <w:sz w:val="22"/>
        </w:rPr>
        <w:t xml:space="preserve"> restrição ao caráter competitivo dos procedimentos licitatórios. </w:t>
      </w:r>
      <w:r w:rsidR="007B0D2D">
        <w:rPr>
          <w:sz w:val="22"/>
        </w:rPr>
        <w:t xml:space="preserve">Após a apreciação das sugestões apresentadas por outros membros do Tribunal, </w:t>
      </w:r>
      <w:r w:rsidRPr="004F1ECF">
        <w:rPr>
          <w:sz w:val="22"/>
        </w:rPr>
        <w:t xml:space="preserve">acolheu o Plenário a proposta do relator, aprovando o texto final sugerido, consubstanciado, com a seguinte forma, na Súmula 289 da Jurisprudência do TCU: </w:t>
      </w:r>
      <w:r w:rsidRPr="007B0D2D">
        <w:rPr>
          <w:i/>
          <w:sz w:val="22"/>
        </w:rPr>
        <w:t>“A exigência de índices contábeis de capacidade financeira, a exemplo dos de liquidez, deve es</w:t>
      </w:r>
      <w:r w:rsidRPr="007B0D2D">
        <w:rPr>
          <w:i/>
          <w:sz w:val="22"/>
        </w:rPr>
        <w:t>tar justificada no processo da licitação, conter parâmetros atualizados de mercado e atender às características do objeto licitado, sendo vedado o uso de índice cuja fórmula inclua</w:t>
      </w:r>
      <w:r w:rsidR="00FA0452" w:rsidRPr="007B0D2D">
        <w:rPr>
          <w:i/>
          <w:sz w:val="22"/>
        </w:rPr>
        <w:t xml:space="preserve"> rentabilidade ou lucratividade</w:t>
      </w:r>
      <w:r w:rsidRPr="007B0D2D">
        <w:rPr>
          <w:i/>
          <w:sz w:val="22"/>
        </w:rPr>
        <w:t>”</w:t>
      </w:r>
      <w:r w:rsidR="00FA0452">
        <w:rPr>
          <w:sz w:val="22"/>
        </w:rPr>
        <w:t>.</w:t>
      </w:r>
      <w:r w:rsidRPr="004F1ECF">
        <w:rPr>
          <w:sz w:val="22"/>
        </w:rPr>
        <w:t xml:space="preserve"> </w:t>
      </w:r>
      <w:hyperlink r:id="rId12" w:history="1">
        <w:r w:rsidRPr="00FA0452">
          <w:rPr>
            <w:rStyle w:val="Hyperlink"/>
            <w:b/>
            <w:sz w:val="22"/>
            <w:u w:val="none"/>
          </w:rPr>
          <w:t>Acórdão 354/2016 Plenário</w:t>
        </w:r>
      </w:hyperlink>
      <w:r w:rsidRPr="004F1ECF">
        <w:rPr>
          <w:b/>
          <w:sz w:val="22"/>
        </w:rPr>
        <w:t xml:space="preserve">, </w:t>
      </w:r>
      <w:r w:rsidRPr="004F1ECF">
        <w:rPr>
          <w:b/>
          <w:sz w:val="22"/>
        </w:rPr>
        <w:t xml:space="preserve">Administrativo, Relator </w:t>
      </w:r>
      <w:r w:rsidRPr="004F1ECF">
        <w:rPr>
          <w:b/>
          <w:sz w:val="22"/>
        </w:rPr>
        <w:t>Ministro José Múcio Monteiro.</w:t>
      </w:r>
    </w:p>
    <w:p w:rsidR="009751AE" w:rsidRPr="006E008E" w:rsidRDefault="00443597" w:rsidP="00BF0515">
      <w:pPr>
        <w:widowControl w:val="0"/>
        <w:autoSpaceDE w:val="0"/>
        <w:autoSpaceDN w:val="0"/>
        <w:jc w:val="both"/>
        <w:rPr>
          <w:sz w:val="22"/>
        </w:rPr>
      </w:pPr>
    </w:p>
    <w:p w:rsidR="0016073A" w:rsidRDefault="0016073A"/>
    <w:p w:rsidR="00F65F22" w:rsidRDefault="00F65F22">
      <w:pPr>
        <w:sectPr w:rsidR="00F65F22" w:rsidSect="00EE3E91">
          <w:footerReference w:type="default" r:id="rId13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C97756" w:rsidRPr="008C7BE6" w:rsidRDefault="00443597" w:rsidP="002678F1">
      <w:pPr>
        <w:pStyle w:val="enter-3pt"/>
        <w:tabs>
          <w:tab w:val="left" w:pos="2590"/>
        </w:tabs>
        <w:spacing w:after="20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lastRenderedPageBreak/>
        <w:t>Elaboração: Dire</w:t>
      </w:r>
      <w:r w:rsidRPr="008C7BE6">
        <w:rPr>
          <w:rFonts w:ascii="Arial" w:hAnsi="Arial" w:cs="Arial"/>
          <w:b/>
          <w:i/>
          <w:sz w:val="18"/>
          <w:szCs w:val="18"/>
        </w:rPr>
        <w:t>toria de Jurisprudência - Secretaria das Sessões</w:t>
      </w:r>
    </w:p>
    <w:p w:rsidR="00C03330" w:rsidRPr="00AA6697" w:rsidRDefault="00443597" w:rsidP="002678F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 xml:space="preserve">Contato: </w:t>
      </w:r>
      <w:hyperlink r:id="rId14" w:history="1">
        <w:r w:rsidRPr="00C97756">
          <w:rPr>
            <w:rStyle w:val="Hyperlink"/>
            <w:rFonts w:ascii="Arial" w:hAnsi="Arial" w:cs="Arial"/>
            <w:i/>
            <w:sz w:val="18"/>
            <w:szCs w:val="18"/>
          </w:rPr>
          <w:t>infojuris@tcu.gov.br</w:t>
        </w:r>
      </w:hyperlink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sectPr w:rsidR="00C03330" w:rsidRPr="00AA6697" w:rsidSect="00E41618">
      <w:footerReference w:type="default" r:id="rId15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97" w:rsidRDefault="00443597" w:rsidP="00ED5179">
      <w:r>
        <w:separator/>
      </w:r>
    </w:p>
  </w:endnote>
  <w:endnote w:type="continuationSeparator" w:id="0">
    <w:p w:rsidR="00443597" w:rsidRDefault="00443597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WP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FF0">
      <w:rPr>
        <w:noProof/>
      </w:rPr>
      <w:t>1</w:t>
    </w:r>
    <w:r>
      <w:fldChar w:fldCharType="end"/>
    </w:r>
  </w:p>
  <w:p w:rsidR="009C1CD2" w:rsidRDefault="009C1CD2" w:rsidP="00D702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FF0">
      <w:rPr>
        <w:noProof/>
      </w:rPr>
      <w:t>2</w:t>
    </w:r>
    <w:r>
      <w:fldChar w:fldCharType="end"/>
    </w:r>
  </w:p>
  <w:p w:rsidR="009C1CD2" w:rsidRDefault="009C1CD2" w:rsidP="00D70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0D2D">
      <w:rPr>
        <w:noProof/>
      </w:rPr>
      <w:t>3</w:t>
    </w:r>
    <w:r>
      <w:fldChar w:fldCharType="end"/>
    </w:r>
  </w:p>
  <w:p w:rsidR="009C1CD2" w:rsidRDefault="009C1CD2" w:rsidP="00D702D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7" w:rsidRDefault="0044359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5F8A">
      <w:rPr>
        <w:noProof/>
      </w:rPr>
      <w:t>3</w:t>
    </w:r>
    <w:r>
      <w:fldChar w:fldCharType="end"/>
    </w:r>
  </w:p>
  <w:p w:rsidR="00AA6697" w:rsidRDefault="00443597" w:rsidP="00AA6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97" w:rsidRDefault="00443597" w:rsidP="00ED5179">
      <w:r>
        <w:separator/>
      </w:r>
    </w:p>
  </w:footnote>
  <w:footnote w:type="continuationSeparator" w:id="0">
    <w:p w:rsidR="00443597" w:rsidRDefault="00443597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Pr="0035499A" w:rsidRDefault="008B5C28" w:rsidP="0093720C">
    <w:pPr>
      <w:pStyle w:val="Cabealho"/>
      <w:spacing w:after="100" w:afterAutospacing="1"/>
    </w:pPr>
    <w:r w:rsidRPr="008B5C28">
      <w:rPr>
        <w:b/>
        <w:i/>
        <w:noProof/>
        <w:sz w:val="22"/>
        <w:lang w:eastAsia="pt-BR"/>
      </w:rPr>
      <w:drawing>
        <wp:inline distT="0" distB="0" distL="0" distR="0">
          <wp:extent cx="6086475" cy="760730"/>
          <wp:effectExtent l="0" t="0" r="0" b="0"/>
          <wp:docPr id="2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7433"/>
    <w:rsid w:val="00035ABF"/>
    <w:rsid w:val="000362D8"/>
    <w:rsid w:val="000403CF"/>
    <w:rsid w:val="00055FCC"/>
    <w:rsid w:val="00082F24"/>
    <w:rsid w:val="000971D6"/>
    <w:rsid w:val="000F2444"/>
    <w:rsid w:val="00107C47"/>
    <w:rsid w:val="00115F8A"/>
    <w:rsid w:val="0013773E"/>
    <w:rsid w:val="0016073A"/>
    <w:rsid w:val="00167319"/>
    <w:rsid w:val="00171F4E"/>
    <w:rsid w:val="00177D47"/>
    <w:rsid w:val="001A0F92"/>
    <w:rsid w:val="001A4CB9"/>
    <w:rsid w:val="001D00C5"/>
    <w:rsid w:val="001D00FE"/>
    <w:rsid w:val="001D6FAA"/>
    <w:rsid w:val="001F4538"/>
    <w:rsid w:val="002046AF"/>
    <w:rsid w:val="0020622A"/>
    <w:rsid w:val="00234034"/>
    <w:rsid w:val="002466B7"/>
    <w:rsid w:val="00256B0C"/>
    <w:rsid w:val="00295550"/>
    <w:rsid w:val="002961A3"/>
    <w:rsid w:val="002C67CE"/>
    <w:rsid w:val="002D3139"/>
    <w:rsid w:val="002D3A2F"/>
    <w:rsid w:val="002E380E"/>
    <w:rsid w:val="00306884"/>
    <w:rsid w:val="00321872"/>
    <w:rsid w:val="00327A3D"/>
    <w:rsid w:val="00344ECE"/>
    <w:rsid w:val="0035499A"/>
    <w:rsid w:val="003768EE"/>
    <w:rsid w:val="003C5A0B"/>
    <w:rsid w:val="003C5E3B"/>
    <w:rsid w:val="003E35D7"/>
    <w:rsid w:val="003F3644"/>
    <w:rsid w:val="003F6210"/>
    <w:rsid w:val="004238A5"/>
    <w:rsid w:val="004318F3"/>
    <w:rsid w:val="00431E71"/>
    <w:rsid w:val="0043308E"/>
    <w:rsid w:val="00443597"/>
    <w:rsid w:val="0048449D"/>
    <w:rsid w:val="004A2DDF"/>
    <w:rsid w:val="004A3622"/>
    <w:rsid w:val="004B4A6D"/>
    <w:rsid w:val="004C3808"/>
    <w:rsid w:val="004F1ECF"/>
    <w:rsid w:val="00513988"/>
    <w:rsid w:val="00525994"/>
    <w:rsid w:val="005264AF"/>
    <w:rsid w:val="00532988"/>
    <w:rsid w:val="00545F83"/>
    <w:rsid w:val="00556CD4"/>
    <w:rsid w:val="00557A83"/>
    <w:rsid w:val="005612CC"/>
    <w:rsid w:val="005617EF"/>
    <w:rsid w:val="00564AC4"/>
    <w:rsid w:val="00572E3F"/>
    <w:rsid w:val="005A1B4B"/>
    <w:rsid w:val="005A2E89"/>
    <w:rsid w:val="005B2697"/>
    <w:rsid w:val="005E1A43"/>
    <w:rsid w:val="006006C2"/>
    <w:rsid w:val="00615BDE"/>
    <w:rsid w:val="00626FF0"/>
    <w:rsid w:val="00632AA6"/>
    <w:rsid w:val="006539EA"/>
    <w:rsid w:val="006779C0"/>
    <w:rsid w:val="00686128"/>
    <w:rsid w:val="006F1289"/>
    <w:rsid w:val="006F1D2A"/>
    <w:rsid w:val="00703C89"/>
    <w:rsid w:val="00714851"/>
    <w:rsid w:val="00732A0F"/>
    <w:rsid w:val="007404E0"/>
    <w:rsid w:val="00791535"/>
    <w:rsid w:val="007A008F"/>
    <w:rsid w:val="007A6ECE"/>
    <w:rsid w:val="007B032E"/>
    <w:rsid w:val="007B0D2D"/>
    <w:rsid w:val="007D2F66"/>
    <w:rsid w:val="007E09D4"/>
    <w:rsid w:val="008048F0"/>
    <w:rsid w:val="00824B9C"/>
    <w:rsid w:val="00837598"/>
    <w:rsid w:val="00842D06"/>
    <w:rsid w:val="008659BF"/>
    <w:rsid w:val="00874F87"/>
    <w:rsid w:val="00881A7C"/>
    <w:rsid w:val="00891E61"/>
    <w:rsid w:val="008B5C28"/>
    <w:rsid w:val="008C06E3"/>
    <w:rsid w:val="008C5387"/>
    <w:rsid w:val="008C7BE6"/>
    <w:rsid w:val="008D43AA"/>
    <w:rsid w:val="008E095E"/>
    <w:rsid w:val="008F0439"/>
    <w:rsid w:val="008F73E2"/>
    <w:rsid w:val="00924297"/>
    <w:rsid w:val="00934A42"/>
    <w:rsid w:val="00935B2B"/>
    <w:rsid w:val="0093720C"/>
    <w:rsid w:val="00942C93"/>
    <w:rsid w:val="0095776C"/>
    <w:rsid w:val="009772F2"/>
    <w:rsid w:val="00991087"/>
    <w:rsid w:val="009B0538"/>
    <w:rsid w:val="009C1CD2"/>
    <w:rsid w:val="009D4C43"/>
    <w:rsid w:val="009D60F6"/>
    <w:rsid w:val="009E41D1"/>
    <w:rsid w:val="00A205EC"/>
    <w:rsid w:val="00A22D1E"/>
    <w:rsid w:val="00A306A8"/>
    <w:rsid w:val="00A83C33"/>
    <w:rsid w:val="00A9242D"/>
    <w:rsid w:val="00AA3E05"/>
    <w:rsid w:val="00AA4BD9"/>
    <w:rsid w:val="00AA6A32"/>
    <w:rsid w:val="00AB7BF8"/>
    <w:rsid w:val="00AC6714"/>
    <w:rsid w:val="00AD2975"/>
    <w:rsid w:val="00AD3C90"/>
    <w:rsid w:val="00AF1E2C"/>
    <w:rsid w:val="00B12E89"/>
    <w:rsid w:val="00B17FDA"/>
    <w:rsid w:val="00B41043"/>
    <w:rsid w:val="00B526D3"/>
    <w:rsid w:val="00B91CBF"/>
    <w:rsid w:val="00BD1D53"/>
    <w:rsid w:val="00BD3B05"/>
    <w:rsid w:val="00BD55F7"/>
    <w:rsid w:val="00BE719D"/>
    <w:rsid w:val="00BF2730"/>
    <w:rsid w:val="00BF581A"/>
    <w:rsid w:val="00C013E3"/>
    <w:rsid w:val="00C04BE2"/>
    <w:rsid w:val="00C16F38"/>
    <w:rsid w:val="00C23E2C"/>
    <w:rsid w:val="00C35594"/>
    <w:rsid w:val="00C43825"/>
    <w:rsid w:val="00C473AD"/>
    <w:rsid w:val="00C714EE"/>
    <w:rsid w:val="00C72771"/>
    <w:rsid w:val="00C85CAC"/>
    <w:rsid w:val="00C92822"/>
    <w:rsid w:val="00C96FBD"/>
    <w:rsid w:val="00CD3717"/>
    <w:rsid w:val="00CD5906"/>
    <w:rsid w:val="00CE382D"/>
    <w:rsid w:val="00D048E4"/>
    <w:rsid w:val="00D05033"/>
    <w:rsid w:val="00D1244C"/>
    <w:rsid w:val="00D31C0A"/>
    <w:rsid w:val="00D501DA"/>
    <w:rsid w:val="00D702D9"/>
    <w:rsid w:val="00D75CE4"/>
    <w:rsid w:val="00DA2CAF"/>
    <w:rsid w:val="00DC4B60"/>
    <w:rsid w:val="00DD065C"/>
    <w:rsid w:val="00DD5873"/>
    <w:rsid w:val="00DD607D"/>
    <w:rsid w:val="00DD6C20"/>
    <w:rsid w:val="00DF244B"/>
    <w:rsid w:val="00DF5181"/>
    <w:rsid w:val="00DF69E6"/>
    <w:rsid w:val="00E027B1"/>
    <w:rsid w:val="00E145EE"/>
    <w:rsid w:val="00E46CEB"/>
    <w:rsid w:val="00E55A1D"/>
    <w:rsid w:val="00E65DBA"/>
    <w:rsid w:val="00E73B12"/>
    <w:rsid w:val="00E90600"/>
    <w:rsid w:val="00E93506"/>
    <w:rsid w:val="00EA61D7"/>
    <w:rsid w:val="00ED5179"/>
    <w:rsid w:val="00EE70E9"/>
    <w:rsid w:val="00F0239A"/>
    <w:rsid w:val="00F05C62"/>
    <w:rsid w:val="00F1352A"/>
    <w:rsid w:val="00F26DD0"/>
    <w:rsid w:val="00F65F22"/>
    <w:rsid w:val="00F819A7"/>
    <w:rsid w:val="00FA0452"/>
    <w:rsid w:val="00FB590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0B4C58-9F42-42E0-8E6B-4F72777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5499A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customStyle="1" w:styleId="TCU-Epgraf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 w:themeColor="accent1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customStyle="1" w:styleId="Default">
    <w:name w:val="Default"/>
    <w:rsid w:val="004A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customStyle="1" w:styleId="enter-3pt">
    <w:name w:val="enter-3pt"/>
    <w:basedOn w:val="Normal"/>
    <w:rsid w:val="0048449D"/>
    <w:pPr>
      <w:autoSpaceDE w:val="0"/>
      <w:autoSpaceDN w:val="0"/>
      <w:adjustRightInd w:val="0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3622"/>
    <w:pPr>
      <w:spacing w:after="120" w:line="480" w:lineRule="auto"/>
      <w:ind w:left="1134"/>
      <w:jc w:val="both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A362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ntas.tcu.gov.br/juris/SvlProxyHighlight?base=ACORDAO&amp;ano=2016&amp;numero=354&amp;colegiado=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ProxyHighlight?base=ACORDAO&amp;ano=2016&amp;numero=348&amp;colegiado=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contas.tcu.gov.br/juris/SvlProxyHighlight?base=ACORDAO&amp;ano=2003&amp;numero=100&amp;colegiado=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nfojuris@tcu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33653D7-1BDF-4289-B34A-ACCA7C2C32F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1200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Duarte do Nascimento</dc:creator>
  <cp:keywords/>
  <dc:description/>
  <cp:lastModifiedBy>Sergio Ricardo de Mendonca Salustiano</cp:lastModifiedBy>
  <cp:revision>13</cp:revision>
  <dcterms:created xsi:type="dcterms:W3CDTF">2016-03-15T21:54:00Z</dcterms:created>
  <dcterms:modified xsi:type="dcterms:W3CDTF">2016-03-15T22:57:00Z</dcterms:modified>
</cp:coreProperties>
</file>