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0" w:rsidRPr="00556CD4" w:rsidRDefault="0035499A" w:rsidP="00E46CEB">
      <w:pPr>
        <w:jc w:val="center"/>
        <w:rPr>
          <w:b/>
          <w:sz w:val="22"/>
        </w:rPr>
      </w:pPr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276</w:t>
      </w:r>
    </w:p>
    <w:p w:rsidR="00513988" w:rsidRPr="00556CD4" w:rsidRDefault="00513988" w:rsidP="00AD3C90">
      <w:pPr>
        <w:jc w:val="both"/>
        <w:rPr>
          <w:sz w:val="22"/>
        </w:rPr>
      </w:pPr>
    </w:p>
    <w:p w:rsidR="0035499A" w:rsidRPr="00556CD4" w:rsidRDefault="0035499A" w:rsidP="0035499A">
      <w:pPr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</w:t>
      </w:r>
      <w:r w:rsidR="00C31718">
        <w:rPr>
          <w:b/>
          <w:sz w:val="22"/>
        </w:rPr>
        <w:t>1º e 2/</w:t>
      </w:r>
      <w:r w:rsidR="000403CF" w:rsidRPr="00556CD4">
        <w:rPr>
          <w:b/>
          <w:sz w:val="22"/>
        </w:rPr>
        <w:t>Março/2016</w:t>
      </w:r>
    </w:p>
    <w:p w:rsidR="0035499A" w:rsidRPr="00556CD4" w:rsidRDefault="0035499A" w:rsidP="0035499A">
      <w:pPr>
        <w:jc w:val="center"/>
        <w:rPr>
          <w:b/>
          <w:sz w:val="22"/>
        </w:rPr>
      </w:pPr>
    </w:p>
    <w:p w:rsidR="005617EF" w:rsidRPr="00556CD4" w:rsidRDefault="005617EF" w:rsidP="001A4CB9">
      <w:pPr>
        <w:spacing w:after="200" w:line="276" w:lineRule="auto"/>
        <w:jc w:val="both"/>
        <w:rPr>
          <w:sz w:val="22"/>
        </w:rPr>
      </w:pPr>
      <w:r w:rsidRPr="00556CD4">
        <w:rPr>
          <w:sz w:val="22"/>
        </w:rPr>
        <w:t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repositórios oficiais de jurisprudência.</w:t>
      </w:r>
    </w:p>
    <w:p w:rsidR="0035499A" w:rsidRPr="00556CD4" w:rsidRDefault="0035499A" w:rsidP="0035499A">
      <w:pPr>
        <w:jc w:val="both"/>
        <w:rPr>
          <w:sz w:val="22"/>
        </w:rPr>
      </w:pPr>
    </w:p>
    <w:p w:rsidR="004318F3" w:rsidRPr="00556CD4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107C47" w:rsidRDefault="009772F2" w:rsidP="00107C4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  <w:r w:rsidRPr="00556CD4">
        <w:rPr>
          <w:b/>
          <w:sz w:val="22"/>
        </w:rPr>
        <w:t>SU</w:t>
      </w:r>
      <w:r w:rsidR="004318F3" w:rsidRPr="00556CD4">
        <w:rPr>
          <w:b/>
          <w:sz w:val="22"/>
        </w:rPr>
        <w:t>M</w:t>
      </w:r>
      <w:r w:rsidRPr="00556CD4">
        <w:rPr>
          <w:b/>
          <w:sz w:val="22"/>
        </w:rPr>
        <w:t>Á</w:t>
      </w:r>
      <w:r w:rsidR="004A3622" w:rsidRPr="00556CD4">
        <w:rPr>
          <w:b/>
          <w:sz w:val="22"/>
        </w:rPr>
        <w:t>RIO</w:t>
      </w:r>
    </w:p>
    <w:p w:rsidR="00213252" w:rsidRDefault="00213252">
      <w:pPr>
        <w:sectPr w:rsidR="00213252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787C70" w:rsidRPr="00787C70" w:rsidRDefault="00E91B5E" w:rsidP="00C31718">
      <w:pPr>
        <w:spacing w:after="60"/>
        <w:jc w:val="both"/>
        <w:rPr>
          <w:b/>
          <w:sz w:val="22"/>
        </w:rPr>
        <w:sectPr w:rsidR="00787C70" w:rsidRPr="00787C70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C31718">
        <w:rPr>
          <w:b/>
          <w:sz w:val="22"/>
        </w:rPr>
        <w:lastRenderedPageBreak/>
        <w:t>Plenário</w:t>
      </w:r>
    </w:p>
    <w:p w:rsidR="00787C70" w:rsidRDefault="00787C70" w:rsidP="00C31718">
      <w:pPr>
        <w:spacing w:after="60"/>
        <w:jc w:val="both"/>
        <w:rPr>
          <w:sz w:val="22"/>
        </w:rPr>
      </w:pPr>
      <w:r>
        <w:rPr>
          <w:sz w:val="22"/>
        </w:rPr>
        <w:lastRenderedPageBreak/>
        <w:t>1</w:t>
      </w:r>
      <w:r w:rsidRPr="00C31718">
        <w:rPr>
          <w:sz w:val="22"/>
        </w:rPr>
        <w:t>. É lícito a Administração exigir, como critério de aceitação das propostas, que os produtos de informática ofertados pelos licitantes cumpram os requisitos técnicos previstos na Portaria Inmetro 170/2012. Todavia, não pode ser exigida a certificação correspondente, pois constitui modalidade voluntária de certificação, cuja emissão depende de requerimento do fabricante dos produtos, o qual não tem obrigação legal de fazê-lo.</w:t>
      </w:r>
    </w:p>
    <w:p w:rsidR="002B7F5E" w:rsidRPr="00C31718" w:rsidRDefault="00787C70" w:rsidP="00C31718">
      <w:pPr>
        <w:spacing w:after="60"/>
        <w:jc w:val="both"/>
        <w:rPr>
          <w:sz w:val="22"/>
        </w:rPr>
      </w:pPr>
      <w:r>
        <w:rPr>
          <w:sz w:val="22"/>
        </w:rPr>
        <w:t>2</w:t>
      </w:r>
      <w:r w:rsidR="00E91B5E" w:rsidRPr="00C31718">
        <w:rPr>
          <w:sz w:val="22"/>
        </w:rPr>
        <w:t>. Na contratação de serviços de manutenção preventiva e corretiva de equipamentos médico-hospitalares, é ilegal a exigência, para fins de habilitação jurídica, de autorização de funcionamento expedida pela Anvisa.</w:t>
      </w:r>
    </w:p>
    <w:p w:rsidR="00213252" w:rsidRPr="00C31718" w:rsidRDefault="00213252" w:rsidP="00C31718">
      <w:pPr>
        <w:spacing w:after="60"/>
        <w:jc w:val="both"/>
        <w:rPr>
          <w:sz w:val="22"/>
        </w:rPr>
        <w:sectPr w:rsidR="00213252" w:rsidRPr="00C31718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C31718" w:rsidRDefault="00787C70" w:rsidP="00C31718">
      <w:pPr>
        <w:spacing w:after="60"/>
        <w:jc w:val="both"/>
        <w:rPr>
          <w:sz w:val="22"/>
        </w:rPr>
      </w:pPr>
      <w:r>
        <w:rPr>
          <w:sz w:val="22"/>
        </w:rPr>
        <w:lastRenderedPageBreak/>
        <w:t>3</w:t>
      </w:r>
      <w:r w:rsidR="00E91B5E" w:rsidRPr="00C31718">
        <w:rPr>
          <w:sz w:val="22"/>
        </w:rPr>
        <w:t>. Na contratação de serviços de manutenção preventiva e corretiva de equipamentos médico-hospitalares, é ilegal a exigência de certificação com base na Resolução 59/2000, emitida pela Anvisa, que estabelece as “boas práticas de fabricação de produtos médicos”.</w:t>
      </w:r>
    </w:p>
    <w:p w:rsidR="00213252" w:rsidRPr="00C31718" w:rsidRDefault="00213252" w:rsidP="00C31718">
      <w:pPr>
        <w:spacing w:after="60"/>
        <w:jc w:val="both"/>
        <w:rPr>
          <w:sz w:val="22"/>
        </w:rPr>
        <w:sectPr w:rsidR="00213252" w:rsidRPr="00C31718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C31718" w:rsidRDefault="00E91B5E" w:rsidP="00C31718">
      <w:pPr>
        <w:spacing w:after="60"/>
        <w:jc w:val="both"/>
        <w:rPr>
          <w:sz w:val="22"/>
        </w:rPr>
      </w:pPr>
      <w:r w:rsidRPr="00C31718">
        <w:rPr>
          <w:sz w:val="22"/>
        </w:rPr>
        <w:lastRenderedPageBreak/>
        <w:t>4. Em regra, o pregão é a modalidade de licitação adequada para a concessão remunerada de uso de bens públicos, com critério de julgamento pela maior oferta em lances sucessivos.</w:t>
      </w:r>
    </w:p>
    <w:p w:rsidR="00213252" w:rsidRDefault="00213252" w:rsidP="00C31718">
      <w:pPr>
        <w:spacing w:after="60"/>
        <w:jc w:val="both"/>
        <w:rPr>
          <w:sz w:val="22"/>
        </w:rPr>
      </w:pPr>
    </w:p>
    <w:p w:rsidR="00C31718" w:rsidRPr="00C31718" w:rsidRDefault="00C31718" w:rsidP="00C31718">
      <w:pPr>
        <w:spacing w:after="60"/>
        <w:jc w:val="both"/>
        <w:rPr>
          <w:sz w:val="22"/>
        </w:rPr>
        <w:sectPr w:rsidR="00C31718" w:rsidRPr="00C31718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213252" w:rsidRDefault="00213252">
      <w:pPr>
        <w:sectPr w:rsidR="00213252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Pr="00C31718" w:rsidRDefault="00E91B5E" w:rsidP="00692853">
      <w:pPr>
        <w:jc w:val="center"/>
        <w:rPr>
          <w:b/>
          <w:sz w:val="22"/>
        </w:rPr>
      </w:pPr>
      <w:r w:rsidRPr="00C31718">
        <w:rPr>
          <w:b/>
          <w:sz w:val="22"/>
        </w:rPr>
        <w:lastRenderedPageBreak/>
        <w:t>PLENÁRIO</w:t>
      </w:r>
    </w:p>
    <w:p w:rsidR="00EA6425" w:rsidRPr="00C31718" w:rsidRDefault="006E2C09" w:rsidP="00692853">
      <w:pPr>
        <w:jc w:val="center"/>
        <w:rPr>
          <w:b/>
          <w:sz w:val="22"/>
        </w:rPr>
      </w:pPr>
    </w:p>
    <w:p w:rsidR="00213252" w:rsidRPr="00C31718" w:rsidRDefault="00213252">
      <w:pPr>
        <w:rPr>
          <w:sz w:val="22"/>
        </w:rPr>
        <w:sectPr w:rsidR="00213252" w:rsidRPr="00C31718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787C70" w:rsidRPr="00C31718" w:rsidRDefault="00787C70" w:rsidP="00787C70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lastRenderedPageBreak/>
        <w:t>1</w:t>
      </w:r>
      <w:r w:rsidRPr="00C31718">
        <w:rPr>
          <w:b/>
          <w:sz w:val="22"/>
        </w:rPr>
        <w:t>. É lícito a Administração exigir, como critério de aceitação das propostas, que os produtos de informática ofertados pelos licitantes cumpram os requisitos técnicos previstos na Portaria Inmetro 170/2012. Todavia, não pode ser exigida a certificação correspondente, pois constitui modalidade voluntária de certificação, cuja emissão depende de requerimento do fabricante dos produtos, o qual não tem obrigação legal de fazê-lo.</w:t>
      </w:r>
    </w:p>
    <w:p w:rsidR="00787C70" w:rsidRPr="00C36ED1" w:rsidRDefault="00787C70" w:rsidP="00787C70">
      <w:pPr>
        <w:widowControl w:val="0"/>
        <w:autoSpaceDE w:val="0"/>
        <w:autoSpaceDN w:val="0"/>
        <w:jc w:val="both"/>
        <w:rPr>
          <w:rFonts w:ascii="Segoe UI WPC" w:hAnsi="Segoe UI WPC"/>
          <w:color w:val="282828"/>
          <w:sz w:val="21"/>
          <w:szCs w:val="23"/>
        </w:rPr>
      </w:pPr>
      <w:r w:rsidRPr="00C31718">
        <w:rPr>
          <w:sz w:val="22"/>
        </w:rPr>
        <w:t xml:space="preserve">Pedido de Reexame, em sede de representação, questionou acórdão do TCU que considerara ilegal a exigência de certificação na forma da Portaria Inmetro 170/2012. No caso concreto, a exigência da referida certificação fora feita a título de documentação técnica a ser apresentada pelo proponente primeiro classificado, não se tratando, portanto, de exigência para habilitação. Reconheceu o relator que </w:t>
      </w:r>
      <w:r w:rsidRPr="00C25539">
        <w:rPr>
          <w:i/>
          <w:sz w:val="22"/>
        </w:rPr>
        <w:t>“há precedentes neste Tribunal que consubstanciam o entendimento de que a exigência de apresentação de certificações com base na Portaria 170 do Inmetro e no Decreto 7.174/10 é permitida em licitações como requisito dos bens a serem adquiridos, e não como critério de habilitação”</w:t>
      </w:r>
      <w:r w:rsidRPr="00C31718">
        <w:rPr>
          <w:sz w:val="22"/>
        </w:rPr>
        <w:t xml:space="preserve">, a exemplo dos </w:t>
      </w:r>
      <w:hyperlink r:id="rId10" w:history="1">
        <w:r w:rsidR="000B14FC" w:rsidRPr="000B14FC">
          <w:rPr>
            <w:rStyle w:val="Hyperlink"/>
            <w:rFonts w:eastAsiaTheme="majorEastAsia"/>
            <w:sz w:val="22"/>
            <w:szCs w:val="23"/>
            <w:u w:val="none"/>
            <w:shd w:val="clear" w:color="auto" w:fill="FFFFFF"/>
          </w:rPr>
          <w:t>Acórdãos 1225/2014</w:t>
        </w:r>
      </w:hyperlink>
      <w:r w:rsidR="000B14FC">
        <w:rPr>
          <w:rFonts w:eastAsiaTheme="majorEastAsia"/>
          <w:color w:val="1F497D"/>
          <w:sz w:val="22"/>
          <w:szCs w:val="23"/>
          <w:shd w:val="clear" w:color="auto" w:fill="FFFFFF"/>
        </w:rPr>
        <w:t xml:space="preserve"> </w:t>
      </w:r>
      <w:r w:rsidR="000B14FC" w:rsidRPr="000B14FC">
        <w:rPr>
          <w:rFonts w:eastAsiaTheme="majorEastAsia"/>
          <w:sz w:val="22"/>
          <w:szCs w:val="23"/>
          <w:shd w:val="clear" w:color="auto" w:fill="FFFFFF"/>
        </w:rPr>
        <w:t>e</w:t>
      </w:r>
      <w:r w:rsidR="000B14FC">
        <w:rPr>
          <w:rFonts w:eastAsiaTheme="majorEastAsia"/>
          <w:sz w:val="22"/>
          <w:szCs w:val="23"/>
          <w:shd w:val="clear" w:color="auto" w:fill="FFFFFF"/>
        </w:rPr>
        <w:t xml:space="preserve"> </w:t>
      </w:r>
      <w:hyperlink r:id="rId11" w:history="1">
        <w:r w:rsidR="000B14FC" w:rsidRPr="000B14FC">
          <w:rPr>
            <w:rStyle w:val="Hyperlink"/>
            <w:rFonts w:eastAsiaTheme="majorEastAsia"/>
            <w:sz w:val="22"/>
            <w:szCs w:val="23"/>
            <w:u w:val="none"/>
            <w:shd w:val="clear" w:color="auto" w:fill="FFFFFF"/>
          </w:rPr>
          <w:t>165/2015 Plenário</w:t>
        </w:r>
      </w:hyperlink>
      <w:r w:rsidRPr="00C31718">
        <w:rPr>
          <w:sz w:val="22"/>
        </w:rPr>
        <w:t xml:space="preserve">. No entanto, ponderou o relator que a exigência de documentação técnica feita no edital </w:t>
      </w:r>
      <w:r w:rsidRPr="00C25539">
        <w:rPr>
          <w:i/>
          <w:sz w:val="22"/>
        </w:rPr>
        <w:t>“pelo menos em tese, pode constituir óbice para competitividade do certame. Isso se dá pelo fato de que, apesar do fato de a emissão do documento não estar vinculada a nenhuma instituição certificadora específica, e de se ter como objetivo a demonstração da adequação técnica do objeto ofertado, o estabelecimento da exigência de certificação de adequação técnica segundo normas do Inmetro, como único meio de comprovação do cumprimento dos requisitos do produto, a meu ver, pode representar uma restrição indevida do universo potencial de licitantes”</w:t>
      </w:r>
      <w:r w:rsidRPr="00C31718">
        <w:rPr>
          <w:sz w:val="22"/>
        </w:rPr>
        <w:t xml:space="preserve">. Frisou o relator que </w:t>
      </w:r>
      <w:r w:rsidRPr="00C25539">
        <w:rPr>
          <w:i/>
          <w:sz w:val="22"/>
        </w:rPr>
        <w:t xml:space="preserve">“a Portaria nº 170, de 10 de abril de 2012, estabeleceu, sob a modalidade de certificação voluntária, os requisitos técnicos para </w:t>
      </w:r>
      <w:r w:rsidRPr="00C25539">
        <w:rPr>
          <w:i/>
          <w:sz w:val="22"/>
        </w:rPr>
        <w:lastRenderedPageBreak/>
        <w:t>produtos de informática, uma vez que tal avaliação de conformidade tem como única finalidade informar e atrair o consumidor. Efetivamente, não se trata de uma certificação compulsória (obrigatória), pois não é resultante do exercício do poder de polícia da autarquia. Logo, é razoável que a Administração exija dos licitantes que os produtos por eles ofertados cumpram os requisitos técnicos previstos na referida norma, mas não podem ser obrigados a apresentar a certificação correspondente, pois ela é emitida por requerimento do fabricante, que não tem nenhuma obrigação legal de fazê-lo”</w:t>
      </w:r>
      <w:r w:rsidRPr="00C31718">
        <w:rPr>
          <w:sz w:val="22"/>
        </w:rPr>
        <w:t xml:space="preserve">. Conhecendo do Pedido de Reexame, o ministro relator votou pela negativa de provimento, sendo seguido pelo Plenário. </w:t>
      </w:r>
      <w:hyperlink r:id="rId12" w:history="1">
        <w:r w:rsidRPr="00C31718">
          <w:rPr>
            <w:rStyle w:val="Hyperlink"/>
            <w:b/>
            <w:sz w:val="22"/>
            <w:u w:val="none"/>
          </w:rPr>
          <w:t>Acórdão 445/2016 Plenário</w:t>
        </w:r>
      </w:hyperlink>
      <w:r w:rsidRPr="00C31718">
        <w:rPr>
          <w:b/>
          <w:sz w:val="22"/>
        </w:rPr>
        <w:t>, Pedido de Reexame, Relator Ministro Raimundo Carreiro.</w:t>
      </w:r>
    </w:p>
    <w:p w:rsidR="00787C70" w:rsidRDefault="00787C70" w:rsidP="00BF0515">
      <w:pPr>
        <w:widowControl w:val="0"/>
        <w:autoSpaceDE w:val="0"/>
        <w:autoSpaceDN w:val="0"/>
        <w:jc w:val="both"/>
        <w:rPr>
          <w:b/>
          <w:sz w:val="22"/>
        </w:rPr>
      </w:pPr>
    </w:p>
    <w:p w:rsidR="0016227F" w:rsidRPr="00C31718" w:rsidRDefault="00787C70" w:rsidP="00BF0515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t>2</w:t>
      </w:r>
      <w:r w:rsidR="00E91B5E" w:rsidRPr="00C31718">
        <w:rPr>
          <w:b/>
          <w:sz w:val="22"/>
        </w:rPr>
        <w:t>. Na contratação de serviços de manutenção preventiva e corretiva de equipamentos médico-hospitalares, é ilegal a exigência, para fins de habilitação jurídica, de autorização de funcionamento expedida pela Anvisa.</w:t>
      </w:r>
    </w:p>
    <w:p w:rsidR="007323B1" w:rsidRPr="00C31718" w:rsidRDefault="00E91B5E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C31718">
        <w:rPr>
          <w:sz w:val="22"/>
        </w:rPr>
        <w:t xml:space="preserve">Representação formulada por unidade técnica do TCU apontara possíveis irregularidades em pregão eletrônico realizado pelo Hospital Universitário Maria Aparecida Pedrossian, vinculado à Universidade Federal de Mato Grosso do Sul (HU/UFMS), destinado à contratação de empresa prestadora de serviços de manutenção corretiva e preventiva de equipamentos médico-hospitalares. Entre outras irregularidades apuradas, foi aberto o contraditório para que os responsáveis apresentassem justificativas à exigência, para fins de habilitação jurídica, de autorização de funcionamento expedida pela Anvisa. Analisando as razões apresentadas, anotou o relator que as cláusulas </w:t>
      </w:r>
      <w:r w:rsidRPr="00804C7B">
        <w:rPr>
          <w:sz w:val="22"/>
        </w:rPr>
        <w:t>restritivas</w:t>
      </w:r>
      <w:r w:rsidRPr="00C25539">
        <w:rPr>
          <w:i/>
          <w:sz w:val="22"/>
        </w:rPr>
        <w:t xml:space="preserve"> “não visavam a garantir a qualidade dos serviços, pois ou exigiam qualificações que não estavam diretamente ligadas à natureza dos serviços, como no caso da RDC 59/2000 e da autorização de funcionamento da Anvisa”</w:t>
      </w:r>
      <w:r w:rsidRPr="00C31718">
        <w:rPr>
          <w:sz w:val="22"/>
        </w:rPr>
        <w:t xml:space="preserve">. Nesse sentido, fez reproduzir em seu voto excerto da instrução promovida pela unidade técnica representante, que analisa os aspectos centrais do ponto impugnado. Relembrou a unidade instrutiva que </w:t>
      </w:r>
      <w:r w:rsidRPr="00C25539">
        <w:rPr>
          <w:i/>
          <w:sz w:val="22"/>
        </w:rPr>
        <w:t>“a Lei 8.666/1993 admite a possibilidade de se exigir, a título de habilitação jurídica, ‘ato de registro ou autorização para funcionamento expedido pelo órgão competente, quando a atividade ass</w:t>
      </w:r>
      <w:r w:rsidR="00C25539">
        <w:rPr>
          <w:i/>
          <w:sz w:val="22"/>
        </w:rPr>
        <w:t>im o exigir</w:t>
      </w:r>
      <w:r w:rsidRPr="00C25539">
        <w:rPr>
          <w:i/>
          <w:sz w:val="22"/>
        </w:rPr>
        <w:t xml:space="preserve"> (art. 28, inc.</w:t>
      </w:r>
      <w:r w:rsidR="00C25539">
        <w:rPr>
          <w:i/>
          <w:sz w:val="22"/>
        </w:rPr>
        <w:t xml:space="preserve"> </w:t>
      </w:r>
      <w:proofErr w:type="gramStart"/>
      <w:r w:rsidRPr="00C25539">
        <w:rPr>
          <w:i/>
          <w:sz w:val="22"/>
        </w:rPr>
        <w:t>V)</w:t>
      </w:r>
      <w:r w:rsidR="00C25539">
        <w:rPr>
          <w:i/>
          <w:sz w:val="22"/>
        </w:rPr>
        <w:t>’</w:t>
      </w:r>
      <w:proofErr w:type="gramEnd"/>
      <w:r w:rsidRPr="00C25539">
        <w:rPr>
          <w:i/>
          <w:sz w:val="22"/>
        </w:rPr>
        <w:t>”</w:t>
      </w:r>
      <w:r w:rsidRPr="00C31718">
        <w:rPr>
          <w:sz w:val="22"/>
        </w:rPr>
        <w:t xml:space="preserve">. Não obstante, prosseguiu, </w:t>
      </w:r>
      <w:r w:rsidRPr="000F534D">
        <w:rPr>
          <w:i/>
          <w:sz w:val="22"/>
        </w:rPr>
        <w:t>“o serviço licitado – manutenção de equipamentos médico-hospitalares – não demanda autorização de funcionamento a ser expedida pela ANVISA, tal como exigido no instrumento convocatório”</w:t>
      </w:r>
      <w:r w:rsidRPr="00C31718">
        <w:rPr>
          <w:sz w:val="22"/>
        </w:rPr>
        <w:t xml:space="preserve">. Isso porque, </w:t>
      </w:r>
      <w:r w:rsidRPr="000F534D">
        <w:rPr>
          <w:i/>
          <w:sz w:val="22"/>
        </w:rPr>
        <w:t>“dentre as atividades que se sujeitam ao regime de vigilância sanitária e que, portanto, demandam a referida autorização de funcionamento expedida pela Anvisa, de acordo com o previsto no art. 7°, inc. VII, da Lei 9.782/1999, encontram-se a ‘fabricação, distribuição e importação dos produtos mencionados no art. 8º desta Lei e de comercialização de medicamentos’”</w:t>
      </w:r>
      <w:r w:rsidRPr="00C31718">
        <w:rPr>
          <w:sz w:val="22"/>
        </w:rPr>
        <w:t xml:space="preserve">. Assim, concluiu a unidade instrutiva, </w:t>
      </w:r>
      <w:r w:rsidRPr="000F534D">
        <w:rPr>
          <w:i/>
          <w:sz w:val="22"/>
        </w:rPr>
        <w:t>“empresas que se dediquem às atividades de fabricação, distribuição e importação de equipamentos e materiais médico-hospitalares estão condicionadas à prévia autorização de funcionamento de competência da Anvisa, sendo certo que o objeto licitado – serviço de manutenção preventiva e corretiva de equipamentos médico-hospitalares – não demanda tal autorização, posto não ter sido listado no rol constante da legislação supramencionada”</w:t>
      </w:r>
      <w:r w:rsidRPr="00C31718">
        <w:rPr>
          <w:sz w:val="22"/>
        </w:rPr>
        <w:t xml:space="preserve">. Com tal balizamento, acatou o Plenário a proposta do relator para julgar procedente a Representação e, no ponto, rejeitar as razões de justificativa apresentadas pelos responsáveis. </w:t>
      </w:r>
      <w:hyperlink r:id="rId13" w:history="1">
        <w:r w:rsidRPr="00C31718">
          <w:rPr>
            <w:rStyle w:val="Hyperlink"/>
            <w:b/>
            <w:sz w:val="22"/>
            <w:u w:val="none"/>
          </w:rPr>
          <w:t>Acórdão 434/2016 Plenário</w:t>
        </w:r>
      </w:hyperlink>
      <w:r w:rsidRPr="00C31718">
        <w:rPr>
          <w:b/>
          <w:sz w:val="22"/>
        </w:rPr>
        <w:t>, Representação, Relator Ministro Bruno Dantas.</w:t>
      </w:r>
    </w:p>
    <w:p w:rsidR="009751AE" w:rsidRPr="00C31718" w:rsidRDefault="006E2C09" w:rsidP="00BF0515">
      <w:pPr>
        <w:widowControl w:val="0"/>
        <w:autoSpaceDE w:val="0"/>
        <w:autoSpaceDN w:val="0"/>
        <w:jc w:val="both"/>
        <w:rPr>
          <w:sz w:val="22"/>
        </w:rPr>
      </w:pPr>
    </w:p>
    <w:p w:rsidR="00213252" w:rsidRPr="00C31718" w:rsidRDefault="00213252">
      <w:pPr>
        <w:rPr>
          <w:sz w:val="22"/>
        </w:rPr>
        <w:sectPr w:rsidR="00213252" w:rsidRPr="00C31718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C31718" w:rsidRDefault="00787C70" w:rsidP="00BF0515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lastRenderedPageBreak/>
        <w:t>3</w:t>
      </w:r>
      <w:r w:rsidR="00E91B5E" w:rsidRPr="00C31718">
        <w:rPr>
          <w:b/>
          <w:sz w:val="22"/>
        </w:rPr>
        <w:t>. Na contratação de serviços de manutenção preventiva e corretiva de equipamentos médico-hospitalares, é ilegal a exigência de certificação com base na Resolução 59/2000, emitida pela Anvisa, que estabelece as “boas práticas de fabricação de produtos médicos”.</w:t>
      </w:r>
    </w:p>
    <w:p w:rsidR="00213252" w:rsidRPr="00787C70" w:rsidRDefault="00E91B5E" w:rsidP="00787C70">
      <w:pPr>
        <w:widowControl w:val="0"/>
        <w:autoSpaceDE w:val="0"/>
        <w:autoSpaceDN w:val="0"/>
        <w:jc w:val="both"/>
        <w:rPr>
          <w:b/>
          <w:sz w:val="22"/>
        </w:rPr>
        <w:sectPr w:rsidR="00213252" w:rsidRPr="00787C70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  <w:r w:rsidRPr="00C31718">
        <w:rPr>
          <w:sz w:val="22"/>
        </w:rPr>
        <w:t xml:space="preserve">Ainda na Representação que apontara possíveis irregularidades em pregão eletrônico realizado pelo Hospital Universitário Maria Aparecida Pedrossian, vinculado à Universidade Federal de Mato Grosso do Sul (HU/UFMS), os responsáveis também foram instados a apresentar justificativas quanto à exigência, para fins de qualificação técnica, de certificação com base na Resolução 59/2000, da Diretoria Colegiada da Anvisa (RDC 59/2000), que estabeleceu requisitos para “boas práticas de fabricação de produtos médicos”. Conforme mencionado, anotou o relator em preliminar que as cláusulas restritivas </w:t>
      </w:r>
      <w:r w:rsidRPr="00CE1509">
        <w:rPr>
          <w:i/>
          <w:sz w:val="22"/>
        </w:rPr>
        <w:t>“não visavam a garantir a qualidade dos serviços, pois ou exigiam qualificações que não estavam diretamente ligadas à natureza dos serviços, como no caso da RDC 59/2000 e da autorização de funcionamento da Anvisa”</w:t>
      </w:r>
      <w:r w:rsidRPr="00C31718">
        <w:rPr>
          <w:sz w:val="22"/>
        </w:rPr>
        <w:t xml:space="preserve">. Na instrução promovida pela unidade técnica, em excerto reproduzido pelo relator no seu voto, consignou-se inicialmente que </w:t>
      </w:r>
      <w:r w:rsidRPr="00CE1509">
        <w:rPr>
          <w:i/>
          <w:sz w:val="22"/>
        </w:rPr>
        <w:t xml:space="preserve">“a exigência em questão, a despeito de ter sido elencada em seção do edital referente aos procedimentos a serem observados por ocasião do envio da proposta de preços no sistema eletrônico em que se processou a licitação em epígrafe, trata-se, na realidade, de </w:t>
      </w:r>
      <w:r w:rsidRPr="00CE1509">
        <w:rPr>
          <w:i/>
          <w:sz w:val="22"/>
        </w:rPr>
        <w:lastRenderedPageBreak/>
        <w:t>requisito de qualificação técnica, posto ter por objetivo avaliar a aptidão técnica de a licitante vir cumprir, a contento, as futuras obrigações contratuais, de modo a bem executar o objeto do contrato”</w:t>
      </w:r>
      <w:r w:rsidRPr="00C31718">
        <w:rPr>
          <w:sz w:val="22"/>
        </w:rPr>
        <w:t xml:space="preserve">. Nessa seara, prosseguiu, </w:t>
      </w:r>
      <w:r w:rsidRPr="00CE1509">
        <w:rPr>
          <w:i/>
          <w:sz w:val="22"/>
        </w:rPr>
        <w:t xml:space="preserve">“a Lei 8.666/1993, em seu art. 30, inc. IV, admite a possibilidade de ser exigida dos licitantes, a título de qualificação técnica, ‘prova de atendimento de requisitos previstos em lei especial, quando for o caso’, sendo que a correta exegese do termo ‘lei especial’ conduz ao entendimento de que ‘... deve ser entendida no sentido lato, englobando inclusive regulamentos executivos’ (Acórdão 1.157/2005 – 1ª Câmara. Relator: Ministro Valmir </w:t>
      </w:r>
      <w:proofErr w:type="gramStart"/>
      <w:r w:rsidRPr="00CE1509">
        <w:rPr>
          <w:i/>
          <w:sz w:val="22"/>
        </w:rPr>
        <w:t>Campelo)”</w:t>
      </w:r>
      <w:proofErr w:type="gramEnd"/>
      <w:r w:rsidRPr="00C31718">
        <w:rPr>
          <w:sz w:val="22"/>
        </w:rPr>
        <w:t xml:space="preserve">. Examinando o teor da Resolução 59/2000, observou a unidade instrutiva que </w:t>
      </w:r>
      <w:r w:rsidRPr="00CE1509">
        <w:rPr>
          <w:i/>
          <w:sz w:val="22"/>
        </w:rPr>
        <w:t>“se sujeitam ao cumprimento das denominadas ‘Boas Práticas de Fabricação de Produtos Médicos’ os fornecedores, bem como estabelecimentos que armazenem, distribuam ou comercializem produtos médicos, ao passo que o objeto do certame em foco restringe-se à prestação de serviço de manutenção preventiva e corretiva de equipamentos médico-hospitalares”</w:t>
      </w:r>
      <w:r w:rsidRPr="00C31718">
        <w:rPr>
          <w:sz w:val="22"/>
        </w:rPr>
        <w:t xml:space="preserve">. Assim, concluiu, </w:t>
      </w:r>
      <w:r w:rsidRPr="00CE1509">
        <w:rPr>
          <w:i/>
          <w:sz w:val="22"/>
        </w:rPr>
        <w:t>“ainda que o mencionado ato normativo se enquadre no conceito de ‘lei especial’ previsto no art. 30, inc. IV, do Estatuto de Licitações e Contratos, a exigência de certificação, no caso concreto, mostrou-se desarrazoada e impertinente para o específico objeto do contrato”</w:t>
      </w:r>
      <w:r w:rsidRPr="00C31718">
        <w:rPr>
          <w:sz w:val="22"/>
        </w:rPr>
        <w:t>. Com tal balizamento, acatou o Plenário a proposta do relator para julgar procedente a Representação e, no ponto, rejeitar as razões de justificativa apresentadas pelos responsáveis.</w:t>
      </w:r>
      <w:r w:rsidR="00C31718">
        <w:rPr>
          <w:sz w:val="22"/>
        </w:rPr>
        <w:t xml:space="preserve"> </w:t>
      </w:r>
      <w:hyperlink r:id="rId14" w:history="1">
        <w:r w:rsidRPr="00C31718">
          <w:rPr>
            <w:rStyle w:val="Hyperlink"/>
            <w:b/>
            <w:sz w:val="22"/>
            <w:u w:val="none"/>
          </w:rPr>
          <w:t>Acórdão 434/2016 Plenário</w:t>
        </w:r>
      </w:hyperlink>
      <w:r w:rsidRPr="00C31718">
        <w:rPr>
          <w:b/>
          <w:sz w:val="22"/>
        </w:rPr>
        <w:t>, Representação, Relator Ministro Bruno Dantas.</w:t>
      </w:r>
    </w:p>
    <w:p w:rsidR="00213252" w:rsidRPr="00C31718" w:rsidRDefault="00213252">
      <w:pPr>
        <w:rPr>
          <w:sz w:val="22"/>
        </w:rPr>
        <w:sectPr w:rsidR="00213252" w:rsidRPr="00C31718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C31718" w:rsidRDefault="00E91B5E" w:rsidP="00BF0515">
      <w:pPr>
        <w:widowControl w:val="0"/>
        <w:autoSpaceDE w:val="0"/>
        <w:autoSpaceDN w:val="0"/>
        <w:jc w:val="both"/>
        <w:rPr>
          <w:b/>
          <w:sz w:val="22"/>
        </w:rPr>
      </w:pPr>
      <w:r w:rsidRPr="00C31718">
        <w:rPr>
          <w:b/>
          <w:sz w:val="22"/>
        </w:rPr>
        <w:lastRenderedPageBreak/>
        <w:t>4. Em regra, o pregão é a modalidade de licitação adequada para a concessão remunerada de uso de bens públicos, com critério de julgamento pela maior oferta em lances sucessivos.</w:t>
      </w:r>
    </w:p>
    <w:p w:rsidR="004318F3" w:rsidRPr="00735591" w:rsidRDefault="00E91B5E" w:rsidP="00C31718">
      <w:pPr>
        <w:widowControl w:val="0"/>
        <w:autoSpaceDE w:val="0"/>
        <w:autoSpaceDN w:val="0"/>
        <w:jc w:val="both"/>
        <w:rPr>
          <w:rFonts w:ascii="Segoe UI WPC" w:hAnsi="Segoe UI WPC"/>
          <w:color w:val="282828"/>
          <w:sz w:val="21"/>
          <w:szCs w:val="23"/>
        </w:rPr>
      </w:pPr>
      <w:r w:rsidRPr="00C31718">
        <w:rPr>
          <w:sz w:val="22"/>
        </w:rPr>
        <w:t xml:space="preserve">Empresa licitante formulou Representação, com pedido de medida cautelar, em face de indícios de irregularidades no âmbito de convite promovido pelo 23º Batalhão de Caçadores do Exército/CE, cujo objeto fora a concessão administrativa de uso de imóvel público para funcionamento de lanchonete. Após examinar as irregularidades aventadas pela licitante e concluir pela procedência da Representação, o relator consignou não ser o caso de se determinar a anulação do contrato, mostrando-se suficiente a proposta do titular da unidade técnica no sentido de que o ajuste não fosse prorrogado. Ademais das irregularidades veiculadas na Representação, observou o relator que, no tocante ao novo certame a ser realizado para cessão de uso de imóvel para funcionamento de lanchonete, </w:t>
      </w:r>
      <w:r w:rsidRPr="000A4473">
        <w:rPr>
          <w:i/>
          <w:sz w:val="22"/>
        </w:rPr>
        <w:t>“a jurisprudência deste Tribunal é no sentido de que a modalidade de licitação que melhor se coaduna à situação em tela é a realização de pregão, não devendo o órgão se valer, indevidamente, de certames na modalidade convite para aquisição de bens e serviços comuns, por se tratar de um meio que permite viabilizar o direcionamento dos resultados nesses certames licitatórios”</w:t>
      </w:r>
      <w:r w:rsidRPr="00C31718">
        <w:rPr>
          <w:sz w:val="22"/>
        </w:rPr>
        <w:t xml:space="preserve">. Nessa linha, citou o </w:t>
      </w:r>
      <w:hyperlink r:id="rId15" w:history="1">
        <w:r w:rsidR="00735591" w:rsidRPr="00735591">
          <w:rPr>
            <w:rStyle w:val="Hyperlink"/>
            <w:rFonts w:eastAsiaTheme="majorEastAsia"/>
            <w:sz w:val="22"/>
            <w:szCs w:val="23"/>
            <w:u w:val="none"/>
            <w:shd w:val="clear" w:color="auto" w:fill="FFFFFF"/>
          </w:rPr>
          <w:t>Acórdão 2050/2014 Plenário</w:t>
        </w:r>
      </w:hyperlink>
      <w:r w:rsidRPr="00C31718">
        <w:rPr>
          <w:sz w:val="22"/>
        </w:rPr>
        <w:t xml:space="preserve">, que reproduzira exaustivo exame da matéria procedido no </w:t>
      </w:r>
      <w:hyperlink r:id="rId16" w:history="1">
        <w:r w:rsidR="00735591" w:rsidRPr="00735591">
          <w:rPr>
            <w:rStyle w:val="Hyperlink"/>
            <w:rFonts w:eastAsiaTheme="majorEastAsia"/>
            <w:sz w:val="22"/>
            <w:szCs w:val="23"/>
            <w:u w:val="none"/>
            <w:shd w:val="clear" w:color="auto" w:fill="FFFFFF"/>
          </w:rPr>
          <w:t>Acórdão 2844/2010 Plenário</w:t>
        </w:r>
      </w:hyperlink>
      <w:bookmarkStart w:id="0" w:name="_GoBack"/>
      <w:bookmarkEnd w:id="0"/>
      <w:r w:rsidRPr="00C31718">
        <w:rPr>
          <w:sz w:val="22"/>
        </w:rPr>
        <w:t xml:space="preserve">, destacando serem conhecidas </w:t>
      </w:r>
      <w:r w:rsidRPr="000A4473">
        <w:rPr>
          <w:i/>
          <w:sz w:val="22"/>
        </w:rPr>
        <w:t>“as inúmeras vantagens comparativas da modalidade pregão para a Administração Pública em termos de proporcionar maior eficiência, transparência e competitividade”</w:t>
      </w:r>
      <w:r w:rsidRPr="00C31718">
        <w:rPr>
          <w:sz w:val="22"/>
        </w:rPr>
        <w:t xml:space="preserve"> e a existência de </w:t>
      </w:r>
      <w:r w:rsidRPr="000A4473">
        <w:rPr>
          <w:i/>
          <w:sz w:val="22"/>
        </w:rPr>
        <w:t>“inúmeros precedentes, na utilização do pregão para a concessão de áreas públicas, por parte de diversos órgãos da Administração, como os Tribunais Regionais Federais (Pregão 07/2008, TRF da 1ª Região), o Ministério Público Federal (Pregão 41/2007) e a Procuradoria da República no Distrito Federal (Pregão 01/2008)”</w:t>
      </w:r>
      <w:r w:rsidRPr="00C31718">
        <w:rPr>
          <w:sz w:val="22"/>
        </w:rPr>
        <w:t xml:space="preserve">. A respeito da peculiaridade de que contratos dessa natureza geram receita para a Administração Pública, ressaltara-se na ocasião do citado precedente que </w:t>
      </w:r>
      <w:r w:rsidRPr="000A4473">
        <w:rPr>
          <w:i/>
          <w:sz w:val="22"/>
        </w:rPr>
        <w:t>“a adoção do critério de julgamento pela maior oferta, em lances sucessivos, nada mais é que a adequada aplicação da lei ao caso concreto, ajustando-a à natureza do objeto do certame, restando assegurada a escolha da proposta mais vantajosa que, conjuntamente com a isonomia de todos os interessados, constituem as finalidades primeiras de todo procedimento licitatório”</w:t>
      </w:r>
      <w:r w:rsidRPr="00C31718">
        <w:rPr>
          <w:sz w:val="22"/>
        </w:rPr>
        <w:t xml:space="preserve">. Assim, acompanhando o voto do relator, o Plenário decidiu pela procedência da Representação e por determinar ao 23º Batalhão de Caçadores do Exército/CE que se abstenha de prorrogar o contrato, e </w:t>
      </w:r>
      <w:r w:rsidRPr="000A4473">
        <w:rPr>
          <w:i/>
          <w:sz w:val="22"/>
        </w:rPr>
        <w:t>“em futuro certame que, porventura, venha a realizar com o mesmo objeto, adote a modalidade pregão, em consonância com o entendimento jurisprudencial desta Corte de Contas”</w:t>
      </w:r>
      <w:r w:rsidRPr="00C31718">
        <w:rPr>
          <w:sz w:val="22"/>
        </w:rPr>
        <w:t xml:space="preserve">. </w:t>
      </w:r>
      <w:hyperlink r:id="rId17" w:history="1">
        <w:r w:rsidRPr="00C31718">
          <w:rPr>
            <w:rStyle w:val="Hyperlink"/>
            <w:b/>
            <w:sz w:val="22"/>
            <w:u w:val="none"/>
          </w:rPr>
          <w:t>Acórdão 478/2016 Plenário</w:t>
        </w:r>
      </w:hyperlink>
      <w:r w:rsidRPr="00C31718">
        <w:rPr>
          <w:b/>
          <w:sz w:val="22"/>
        </w:rPr>
        <w:t xml:space="preserve">, Representação, Relator Ministro-Substituto Marcos </w:t>
      </w:r>
      <w:proofErr w:type="spellStart"/>
      <w:r w:rsidRPr="00C31718">
        <w:rPr>
          <w:b/>
          <w:sz w:val="22"/>
        </w:rPr>
        <w:t>Bemquerer</w:t>
      </w:r>
      <w:proofErr w:type="spellEnd"/>
      <w:r w:rsidRPr="00C31718">
        <w:rPr>
          <w:b/>
          <w:sz w:val="22"/>
        </w:rPr>
        <w:t>.</w:t>
      </w:r>
    </w:p>
    <w:p w:rsidR="00C31718" w:rsidRDefault="00C31718" w:rsidP="00C31718">
      <w:pPr>
        <w:widowControl w:val="0"/>
        <w:autoSpaceDE w:val="0"/>
        <w:autoSpaceDN w:val="0"/>
        <w:jc w:val="both"/>
        <w:rPr>
          <w:b/>
          <w:sz w:val="22"/>
        </w:rPr>
      </w:pPr>
    </w:p>
    <w:p w:rsidR="00C31718" w:rsidRDefault="00C31718" w:rsidP="00C31718">
      <w:pPr>
        <w:widowControl w:val="0"/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213252" w:rsidRDefault="00213252">
      <w:pPr>
        <w:sectPr w:rsidR="00213252" w:rsidSect="00EE3E91">
          <w:footerReference w:type="default" r:id="rId1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E91B5E" w:rsidP="002678F1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lastRenderedPageBreak/>
        <w:t>Elaboração: Diretoria de Jurisprudência - Secretaria das Sessões</w:t>
      </w:r>
    </w:p>
    <w:p w:rsidR="00C03330" w:rsidRPr="00AA6697" w:rsidRDefault="00E91B5E" w:rsidP="002678F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19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20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09" w:rsidRDefault="006E2C09" w:rsidP="00ED5179">
      <w:r>
        <w:separator/>
      </w:r>
    </w:p>
  </w:endnote>
  <w:endnote w:type="continuationSeparator" w:id="0">
    <w:p w:rsidR="006E2C09" w:rsidRDefault="006E2C09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WP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6ED1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91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91">
      <w:rPr>
        <w:noProof/>
      </w:rPr>
      <w:t>4</w:t>
    </w:r>
    <w:r>
      <w:fldChar w:fldCharType="end"/>
    </w:r>
  </w:p>
  <w:p w:rsidR="009C1CD2" w:rsidRDefault="009C1CD2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E91B5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91">
      <w:rPr>
        <w:noProof/>
      </w:rPr>
      <w:t>4</w:t>
    </w:r>
    <w:r>
      <w:fldChar w:fldCharType="end"/>
    </w:r>
  </w:p>
  <w:p w:rsidR="00AA6697" w:rsidRDefault="006E2C09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09" w:rsidRDefault="006E2C09" w:rsidP="00ED5179">
      <w:r>
        <w:separator/>
      </w:r>
    </w:p>
  </w:footnote>
  <w:footnote w:type="continuationSeparator" w:id="0">
    <w:p w:rsidR="006E2C09" w:rsidRDefault="006E2C09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82F24"/>
    <w:rsid w:val="000A4473"/>
    <w:rsid w:val="000B14FC"/>
    <w:rsid w:val="000F2444"/>
    <w:rsid w:val="000F534D"/>
    <w:rsid w:val="00107C47"/>
    <w:rsid w:val="0013773E"/>
    <w:rsid w:val="00167319"/>
    <w:rsid w:val="00171F4E"/>
    <w:rsid w:val="00177D47"/>
    <w:rsid w:val="001A0F92"/>
    <w:rsid w:val="001A4CB9"/>
    <w:rsid w:val="001D00C5"/>
    <w:rsid w:val="001D00FE"/>
    <w:rsid w:val="001D6FAA"/>
    <w:rsid w:val="001F4538"/>
    <w:rsid w:val="002046AF"/>
    <w:rsid w:val="0020622A"/>
    <w:rsid w:val="00213252"/>
    <w:rsid w:val="00234034"/>
    <w:rsid w:val="002466B7"/>
    <w:rsid w:val="00256B0C"/>
    <w:rsid w:val="00295550"/>
    <w:rsid w:val="002961A3"/>
    <w:rsid w:val="002C67CE"/>
    <w:rsid w:val="002D3139"/>
    <w:rsid w:val="002D3A2F"/>
    <w:rsid w:val="002E380E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72E3F"/>
    <w:rsid w:val="005A1B4B"/>
    <w:rsid w:val="005A2E89"/>
    <w:rsid w:val="006006C2"/>
    <w:rsid w:val="00632AA6"/>
    <w:rsid w:val="006539EA"/>
    <w:rsid w:val="006779C0"/>
    <w:rsid w:val="00686128"/>
    <w:rsid w:val="006E2C09"/>
    <w:rsid w:val="006F1289"/>
    <w:rsid w:val="006F1D2A"/>
    <w:rsid w:val="00703C89"/>
    <w:rsid w:val="00732A0F"/>
    <w:rsid w:val="00735591"/>
    <w:rsid w:val="007404E0"/>
    <w:rsid w:val="00787C70"/>
    <w:rsid w:val="00791535"/>
    <w:rsid w:val="007A008F"/>
    <w:rsid w:val="007A6ECE"/>
    <w:rsid w:val="007B032E"/>
    <w:rsid w:val="007E09D4"/>
    <w:rsid w:val="008048F0"/>
    <w:rsid w:val="00804C7B"/>
    <w:rsid w:val="00824B9C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772F2"/>
    <w:rsid w:val="00991087"/>
    <w:rsid w:val="009B0538"/>
    <w:rsid w:val="009C1CD2"/>
    <w:rsid w:val="009D4C43"/>
    <w:rsid w:val="009D60F6"/>
    <w:rsid w:val="009E41D1"/>
    <w:rsid w:val="00A205EC"/>
    <w:rsid w:val="00A22D1E"/>
    <w:rsid w:val="00A306A8"/>
    <w:rsid w:val="00A83C33"/>
    <w:rsid w:val="00A9242D"/>
    <w:rsid w:val="00AA3E05"/>
    <w:rsid w:val="00AA4BD9"/>
    <w:rsid w:val="00AA6A32"/>
    <w:rsid w:val="00AB7BF8"/>
    <w:rsid w:val="00AC6714"/>
    <w:rsid w:val="00AD3C90"/>
    <w:rsid w:val="00AF1E2C"/>
    <w:rsid w:val="00B12E89"/>
    <w:rsid w:val="00B17FDA"/>
    <w:rsid w:val="00B41043"/>
    <w:rsid w:val="00B526D3"/>
    <w:rsid w:val="00B91CBF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25539"/>
    <w:rsid w:val="00C31718"/>
    <w:rsid w:val="00C35594"/>
    <w:rsid w:val="00C36ED1"/>
    <w:rsid w:val="00C43825"/>
    <w:rsid w:val="00C473AD"/>
    <w:rsid w:val="00C714EE"/>
    <w:rsid w:val="00C72771"/>
    <w:rsid w:val="00C85CAC"/>
    <w:rsid w:val="00C92822"/>
    <w:rsid w:val="00C96FBD"/>
    <w:rsid w:val="00CD3717"/>
    <w:rsid w:val="00CD5906"/>
    <w:rsid w:val="00CE1509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27AD5"/>
    <w:rsid w:val="00E46CEB"/>
    <w:rsid w:val="00E55A1D"/>
    <w:rsid w:val="00E65DBA"/>
    <w:rsid w:val="00E73B12"/>
    <w:rsid w:val="00E90600"/>
    <w:rsid w:val="00E91B5E"/>
    <w:rsid w:val="00E93506"/>
    <w:rsid w:val="00EA61D7"/>
    <w:rsid w:val="00ED5179"/>
    <w:rsid w:val="00EE70E9"/>
    <w:rsid w:val="00F0239A"/>
    <w:rsid w:val="00F05C62"/>
    <w:rsid w:val="00F26DD0"/>
    <w:rsid w:val="00F819A7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tas.tcu.gov.br/juris/SvlProxyHighlight?base=ACORDAO&amp;ano=2016&amp;numero=434&amp;colegiado=P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6&amp;numero=445&amp;colegiado=P" TargetMode="External"/><Relationship Id="rId17" Type="http://schemas.openxmlformats.org/officeDocument/2006/relationships/hyperlink" Target="https://contas.tcu.gov.br/juris/SvlProxyHighlight?base=ACORDAO&amp;ano=2016&amp;numero=478&amp;colegiado=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as.tcu.gov.br/juris/SvlProxyHighlight?base=ACORDAO&amp;ano=2010&amp;numero=2844&amp;colegiado=P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5&amp;numero=165&amp;colegiado=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as.tcu.gov.br/juris/SvlProxyHighlight?base=ACORDAO&amp;ano=2014&amp;numero=2050&amp;colegiado=P" TargetMode="External"/><Relationship Id="rId10" Type="http://schemas.openxmlformats.org/officeDocument/2006/relationships/hyperlink" Target="https://contas.tcu.gov.br/juris/SvlProxyHighlight?base=ACORDAO&amp;ano=2014&amp;numero=1225&amp;colegiado=P" TargetMode="External"/><Relationship Id="rId19" Type="http://schemas.openxmlformats.org/officeDocument/2006/relationships/hyperlink" Target="mailto:infojuris@tcu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contas.tcu.gov.br/juris/SvlProxyHighlight?base=ACORDAO&amp;ano=2016&amp;numero=434&amp;colegiado=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E77AE5-86AC-4B4D-A231-55E29DE3274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2253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Sergio Ricardo de Mendonca Salustiano</cp:lastModifiedBy>
  <cp:revision>14</cp:revision>
  <dcterms:created xsi:type="dcterms:W3CDTF">2016-03-22T16:16:00Z</dcterms:created>
  <dcterms:modified xsi:type="dcterms:W3CDTF">2016-03-22T21:23:00Z</dcterms:modified>
</cp:coreProperties>
</file>