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9A" w:rsidRDefault="0035499A" w:rsidP="00E46CEB">
      <w:pPr>
        <w:jc w:val="center"/>
        <w:rPr>
          <w:szCs w:val="24"/>
        </w:rPr>
      </w:pPr>
    </w:p>
    <w:p w:rsidR="00AD3C90" w:rsidRPr="00556CD4" w:rsidRDefault="0035499A" w:rsidP="00E46CEB">
      <w:pPr>
        <w:jc w:val="center"/>
        <w:rPr>
          <w:b/>
          <w:sz w:val="22"/>
        </w:rPr>
      </w:pPr>
      <w:r w:rsidRPr="00556CD4">
        <w:rPr>
          <w:b/>
          <w:sz w:val="22"/>
        </w:rPr>
        <w:t xml:space="preserve">Número </w:t>
      </w:r>
      <w:r w:rsidR="00431E71" w:rsidRPr="00556CD4">
        <w:rPr>
          <w:b/>
          <w:sz w:val="22"/>
        </w:rPr>
        <w:t>283</w:t>
      </w:r>
    </w:p>
    <w:p w:rsidR="00513988" w:rsidRPr="00556CD4" w:rsidRDefault="00513988" w:rsidP="00AD3C90">
      <w:pPr>
        <w:jc w:val="both"/>
        <w:rPr>
          <w:sz w:val="22"/>
        </w:rPr>
      </w:pPr>
    </w:p>
    <w:p w:rsidR="0035499A" w:rsidRPr="00556CD4" w:rsidRDefault="0035499A" w:rsidP="0035499A">
      <w:pPr>
        <w:jc w:val="center"/>
        <w:rPr>
          <w:b/>
          <w:sz w:val="22"/>
        </w:rPr>
      </w:pPr>
      <w:r w:rsidRPr="00556CD4">
        <w:rPr>
          <w:b/>
          <w:sz w:val="22"/>
        </w:rPr>
        <w:t xml:space="preserve">Sessões: </w:t>
      </w:r>
      <w:r w:rsidR="00A16437">
        <w:rPr>
          <w:b/>
          <w:sz w:val="22"/>
        </w:rPr>
        <w:t xml:space="preserve">19 e </w:t>
      </w:r>
      <w:r w:rsidR="000403CF" w:rsidRPr="00556CD4">
        <w:rPr>
          <w:b/>
          <w:sz w:val="22"/>
        </w:rPr>
        <w:t>20/Abril/2016</w:t>
      </w:r>
    </w:p>
    <w:p w:rsidR="0035499A" w:rsidRPr="00556CD4" w:rsidRDefault="0035499A" w:rsidP="0035499A">
      <w:pPr>
        <w:jc w:val="center"/>
        <w:rPr>
          <w:b/>
          <w:sz w:val="22"/>
        </w:rPr>
      </w:pPr>
    </w:p>
    <w:p w:rsidR="005617EF" w:rsidRPr="00556CD4" w:rsidRDefault="005617EF" w:rsidP="001A4CB9">
      <w:pPr>
        <w:spacing w:after="200" w:line="276" w:lineRule="auto"/>
        <w:jc w:val="both"/>
        <w:rPr>
          <w:sz w:val="22"/>
        </w:rPr>
      </w:pPr>
      <w:r w:rsidRPr="00556CD4">
        <w:rPr>
          <w:sz w:val="22"/>
        </w:rPr>
        <w:t xml:space="preserve">Este Informativo contém informações sintéticas de decisões proferidas pelos Colegiados do TCU, relativas à área de Licitação e Contratos, que receberam indicação de relevância sob o prisma jurisprudencial no período acima indicado. O objetivo é facilitar ao interessado o acompanhamento dos acórdãos mais importantes do Tribunal na área. Para aprofundamento, o leitor pode acessar o inteiro teor das deliberações por meio dos links disponíveis. As informações aqui apresentadas não são </w:t>
      </w:r>
      <w:proofErr w:type="gramStart"/>
      <w:r w:rsidRPr="00556CD4">
        <w:rPr>
          <w:sz w:val="22"/>
        </w:rPr>
        <w:t>repositórios</w:t>
      </w:r>
      <w:proofErr w:type="gramEnd"/>
      <w:r w:rsidRPr="00556CD4">
        <w:rPr>
          <w:sz w:val="22"/>
        </w:rPr>
        <w:t xml:space="preserve"> oficiais de jurisprudência.</w:t>
      </w:r>
    </w:p>
    <w:p w:rsidR="0035499A" w:rsidRPr="00556CD4" w:rsidRDefault="0035499A" w:rsidP="0035499A">
      <w:pPr>
        <w:jc w:val="both"/>
        <w:rPr>
          <w:sz w:val="22"/>
        </w:rPr>
      </w:pPr>
    </w:p>
    <w:p w:rsidR="004318F3" w:rsidRPr="00556CD4" w:rsidRDefault="004318F3" w:rsidP="004318F3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b/>
          <w:sz w:val="22"/>
        </w:rPr>
      </w:pPr>
    </w:p>
    <w:p w:rsidR="0035499A" w:rsidRPr="00107C47" w:rsidRDefault="009772F2" w:rsidP="00107C47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b/>
          <w:sz w:val="22"/>
        </w:rPr>
      </w:pPr>
      <w:r w:rsidRPr="00556CD4">
        <w:rPr>
          <w:b/>
          <w:sz w:val="22"/>
        </w:rPr>
        <w:t>SU</w:t>
      </w:r>
      <w:r w:rsidR="004318F3" w:rsidRPr="00556CD4">
        <w:rPr>
          <w:b/>
          <w:sz w:val="22"/>
        </w:rPr>
        <w:t>M</w:t>
      </w:r>
      <w:r w:rsidRPr="00556CD4">
        <w:rPr>
          <w:b/>
          <w:sz w:val="22"/>
        </w:rPr>
        <w:t>Á</w:t>
      </w:r>
      <w:r w:rsidR="004A3622" w:rsidRPr="00556CD4">
        <w:rPr>
          <w:b/>
          <w:sz w:val="22"/>
        </w:rPr>
        <w:t>RIO</w:t>
      </w:r>
    </w:p>
    <w:p w:rsidR="00A079F4" w:rsidRDefault="00A079F4">
      <w:pPr>
        <w:sectPr w:rsidR="00A079F4" w:rsidSect="00AA3E05">
          <w:headerReference w:type="default" r:id="rId7"/>
          <w:footerReference w:type="default" r:id="rId8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F94AD7" w:rsidRPr="00BB401B" w:rsidRDefault="00825E71" w:rsidP="00BB401B">
      <w:pPr>
        <w:spacing w:after="120"/>
        <w:rPr>
          <w:b/>
          <w:sz w:val="22"/>
        </w:rPr>
      </w:pPr>
      <w:r w:rsidRPr="00BB401B">
        <w:rPr>
          <w:b/>
          <w:sz w:val="22"/>
        </w:rPr>
        <w:t>Plenário</w:t>
      </w:r>
    </w:p>
    <w:p w:rsidR="00A079F4" w:rsidRPr="00BB401B" w:rsidRDefault="00A079F4" w:rsidP="00BB401B">
      <w:pPr>
        <w:spacing w:after="120"/>
        <w:rPr>
          <w:sz w:val="22"/>
        </w:rPr>
        <w:sectPr w:rsidR="00A079F4" w:rsidRPr="00BB401B" w:rsidSect="006F632A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2B7F5E" w:rsidRPr="00BB401B" w:rsidRDefault="00825E71" w:rsidP="00BB401B">
      <w:pPr>
        <w:spacing w:after="120"/>
        <w:jc w:val="both"/>
        <w:rPr>
          <w:sz w:val="22"/>
        </w:rPr>
      </w:pPr>
      <w:r w:rsidRPr="00BB401B">
        <w:rPr>
          <w:sz w:val="22"/>
        </w:rPr>
        <w:t>1. A cessão das áreas comerciais de centrais públicas de abastecimento de gêneros alimentícios deve observar as normas atinentes à concessão remunerada de uso de bem público, utilizando-se na licitação, preferencialmente, a modalidade pregão eletrônico.</w:t>
      </w:r>
    </w:p>
    <w:p w:rsidR="00A079F4" w:rsidRPr="00BB401B" w:rsidRDefault="00A079F4" w:rsidP="00BB401B">
      <w:pPr>
        <w:spacing w:after="120"/>
        <w:rPr>
          <w:sz w:val="22"/>
        </w:rPr>
        <w:sectPr w:rsidR="00A079F4" w:rsidRPr="00BB401B" w:rsidSect="00BC63C7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2B7F5E" w:rsidRPr="00BB401B" w:rsidRDefault="00825E71" w:rsidP="00BB401B">
      <w:pPr>
        <w:spacing w:after="120"/>
        <w:jc w:val="both"/>
        <w:rPr>
          <w:sz w:val="22"/>
        </w:rPr>
      </w:pPr>
      <w:r w:rsidRPr="00BB401B">
        <w:rPr>
          <w:sz w:val="22"/>
        </w:rPr>
        <w:t>2. Nas concessões rodoviárias, deve-se estabelecer de forma expressa na minuta do contrato que a conclusão das obras somente ocorre quando o projeto executivo estiver efetivamente implantado, de modo a evitar que a concessionária, visando a antecipação do atingimento de metas e da cobrança do pedágio, entregue a obra de forma incompleta, apenas com os elementos indispensáveis à abertura do tráfego.</w:t>
      </w:r>
    </w:p>
    <w:p w:rsidR="00A079F4" w:rsidRPr="00BB401B" w:rsidRDefault="00A079F4" w:rsidP="00BB401B">
      <w:pPr>
        <w:spacing w:after="120"/>
        <w:rPr>
          <w:sz w:val="22"/>
        </w:rPr>
        <w:sectPr w:rsidR="00A079F4" w:rsidRPr="00BB401B" w:rsidSect="00BC63C7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2B7F5E" w:rsidRPr="00BB401B" w:rsidRDefault="00825E71" w:rsidP="00BB401B">
      <w:pPr>
        <w:spacing w:after="120"/>
        <w:jc w:val="both"/>
        <w:rPr>
          <w:sz w:val="22"/>
        </w:rPr>
      </w:pPr>
      <w:r w:rsidRPr="00BB401B">
        <w:rPr>
          <w:sz w:val="22"/>
        </w:rPr>
        <w:t>3. É indevida a inclusão de parcela a título reserva técnica nas planilhas de custos e formação de preços dos contratos de limpeza e conservação, sem que haja justificativa e memória de cálculo que demonstrem sua adequação.</w:t>
      </w:r>
    </w:p>
    <w:p w:rsidR="00A079F4" w:rsidRPr="00BB401B" w:rsidRDefault="00A079F4" w:rsidP="00BB401B">
      <w:pPr>
        <w:spacing w:after="120"/>
        <w:rPr>
          <w:sz w:val="22"/>
        </w:rPr>
        <w:sectPr w:rsidR="00A079F4" w:rsidRPr="00BB401B" w:rsidSect="00BC63C7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4318F3" w:rsidRDefault="004318F3" w:rsidP="004318F3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rFonts w:ascii="Arial" w:hAnsi="Arial" w:cs="Arial"/>
          <w:b/>
          <w:sz w:val="18"/>
          <w:szCs w:val="18"/>
        </w:rPr>
      </w:pPr>
    </w:p>
    <w:p w:rsidR="00A079F4" w:rsidRDefault="00A079F4">
      <w:pPr>
        <w:sectPr w:rsidR="00A079F4" w:rsidSect="00EE3E91">
          <w:footerReference w:type="default" r:id="rId9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927CB7" w:rsidRDefault="00825E71" w:rsidP="00692853">
      <w:pPr>
        <w:jc w:val="center"/>
        <w:rPr>
          <w:b/>
        </w:rPr>
      </w:pPr>
      <w:r w:rsidRPr="004D0B45">
        <w:rPr>
          <w:b/>
        </w:rPr>
        <w:t>PLENÁRIO</w:t>
      </w:r>
    </w:p>
    <w:p w:rsidR="00EA6425" w:rsidRPr="00C474BD" w:rsidRDefault="001F7087" w:rsidP="00692853">
      <w:pPr>
        <w:jc w:val="center"/>
        <w:rPr>
          <w:b/>
        </w:rPr>
      </w:pPr>
    </w:p>
    <w:p w:rsidR="00A079F4" w:rsidRDefault="00A079F4">
      <w:pPr>
        <w:sectPr w:rsidR="00A079F4" w:rsidSect="003D3DA9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16227F" w:rsidRPr="00F56D3F" w:rsidRDefault="00825E71" w:rsidP="00BF0515">
      <w:pPr>
        <w:widowControl w:val="0"/>
        <w:autoSpaceDE w:val="0"/>
        <w:autoSpaceDN w:val="0"/>
        <w:jc w:val="both"/>
        <w:rPr>
          <w:b/>
          <w:sz w:val="22"/>
        </w:rPr>
      </w:pPr>
      <w:r w:rsidRPr="00F56D3F">
        <w:rPr>
          <w:b/>
          <w:sz w:val="22"/>
        </w:rPr>
        <w:t>1. A cessão das áreas comerciais de centrais públicas de abastecimento de gêneros alimentícios deve observar as normas atinentes à concessão remunerada de uso de bem público, utilizando-se na licitação, preferencialmente, a modalidade pregão eletrônico.</w:t>
      </w:r>
    </w:p>
    <w:p w:rsidR="007323B1" w:rsidRPr="00B069F5" w:rsidRDefault="00825E71" w:rsidP="00BF0515">
      <w:pPr>
        <w:widowControl w:val="0"/>
        <w:autoSpaceDE w:val="0"/>
        <w:autoSpaceDN w:val="0"/>
        <w:jc w:val="both"/>
        <w:rPr>
          <w:b/>
          <w:sz w:val="22"/>
        </w:rPr>
      </w:pPr>
      <w:r w:rsidRPr="00B069F5">
        <w:rPr>
          <w:sz w:val="22"/>
        </w:rPr>
        <w:t>Submeteram-se a julgamento pedidos de reexame</w:t>
      </w:r>
      <w:r w:rsidR="005359F7" w:rsidRPr="00B069F5">
        <w:rPr>
          <w:sz w:val="22"/>
        </w:rPr>
        <w:t xml:space="preserve"> interpostos conjuntamente</w:t>
      </w:r>
      <w:r w:rsidRPr="00B069F5">
        <w:rPr>
          <w:sz w:val="22"/>
        </w:rPr>
        <w:t xml:space="preserve"> que impugnavam os itens 9.1.4.1 do </w:t>
      </w:r>
      <w:hyperlink r:id="rId10" w:history="1">
        <w:r w:rsidRPr="00B069F5">
          <w:rPr>
            <w:rStyle w:val="Hyperlink"/>
            <w:rFonts w:eastAsiaTheme="majorEastAsia"/>
            <w:sz w:val="22"/>
            <w:u w:val="none"/>
            <w:shd w:val="clear" w:color="auto" w:fill="FFFFFF"/>
          </w:rPr>
          <w:t>Acórdão</w:t>
        </w:r>
        <w:r w:rsidRPr="00B069F5">
          <w:rPr>
            <w:rStyle w:val="Hyperlink"/>
            <w:sz w:val="22"/>
            <w:u w:val="none"/>
          </w:rPr>
          <w:t xml:space="preserve"> </w:t>
        </w:r>
        <w:r w:rsidRPr="00B069F5">
          <w:rPr>
            <w:rStyle w:val="Hyperlink"/>
            <w:rFonts w:eastAsiaTheme="majorEastAsia"/>
            <w:sz w:val="22"/>
            <w:u w:val="none"/>
            <w:shd w:val="clear" w:color="auto" w:fill="FFFFFF"/>
          </w:rPr>
          <w:t>2.050/2014</w:t>
        </w:r>
      </w:hyperlink>
      <w:r w:rsidRPr="00B069F5">
        <w:rPr>
          <w:sz w:val="22"/>
        </w:rPr>
        <w:t xml:space="preserve"> e 9.3 do </w:t>
      </w:r>
      <w:hyperlink r:id="rId11" w:history="1">
        <w:r w:rsidRPr="00B069F5">
          <w:rPr>
            <w:rStyle w:val="Hyperlink"/>
            <w:rFonts w:eastAsiaTheme="majorEastAsia"/>
            <w:sz w:val="22"/>
            <w:u w:val="none"/>
            <w:shd w:val="clear" w:color="auto" w:fill="FFFFFF"/>
          </w:rPr>
          <w:t>Acórdão 289/2015</w:t>
        </w:r>
      </w:hyperlink>
      <w:r w:rsidRPr="00B069F5">
        <w:rPr>
          <w:sz w:val="22"/>
        </w:rPr>
        <w:t>, ambos do Plenário. O primeiro comando questionado determinara à Companhia de Armazéns Gerais do Entreposto de São Paulo (Ceagesp) que, nas futuras licitações para cessão das áreas do entreposto da cidade de São Paulo, observasse “</w:t>
      </w:r>
      <w:r w:rsidRPr="00B069F5">
        <w:rPr>
          <w:i/>
          <w:sz w:val="22"/>
        </w:rPr>
        <w:t>as normas atinentes à concessão remunerada de uso, notadamente aquelas inscritas no Capitulo III do Título I do Decreto-lei 9.760/1946 e na Seção VI do Capítulo I da Lei 9.636/1998</w:t>
      </w:r>
      <w:r w:rsidRPr="00B069F5">
        <w:rPr>
          <w:sz w:val="22"/>
        </w:rPr>
        <w:t xml:space="preserve">”. O segundo recomendara à Ceagesp que, nas referidas licitações, utilizasse a modalidade pregão eletrônico, substituindo-a pela presencial enquanto não houvesse possibilidade técnica de uso daquela modalidade. Sustentaram os recorrentes, entre outras razões, que se deveria conceder maior liberdade ao poder concedente, dada a especificidade do setor e a possibilidade de alteração do cenário normativo-regulatório, motivo pelo qual as disposições que regem a concessão remunerada de uso não deveriam ser aplicadas às áreas dos entrepostos da Ceagesp, tampouco se poderia utilizar, necessariamente, a modalidade pregão. O relator, concordando com a análise da unidade técnica, observou que no voto condutor do </w:t>
      </w:r>
      <w:hyperlink r:id="rId12" w:history="1">
        <w:r w:rsidRPr="00B069F5">
          <w:rPr>
            <w:rStyle w:val="Hyperlink"/>
            <w:rFonts w:eastAsiaTheme="majorEastAsia"/>
            <w:sz w:val="22"/>
            <w:u w:val="none"/>
            <w:shd w:val="clear" w:color="auto" w:fill="FFFFFF"/>
          </w:rPr>
          <w:t>Acórdão 2.050/2014</w:t>
        </w:r>
      </w:hyperlink>
      <w:r w:rsidR="00A15136" w:rsidRPr="00B069F5">
        <w:rPr>
          <w:rStyle w:val="Hyperlink"/>
          <w:rFonts w:eastAsiaTheme="majorEastAsia"/>
          <w:sz w:val="22"/>
          <w:u w:val="none"/>
          <w:shd w:val="clear" w:color="auto" w:fill="FFFFFF"/>
        </w:rPr>
        <w:t xml:space="preserve"> Plenário</w:t>
      </w:r>
      <w:r w:rsidRPr="00B069F5">
        <w:rPr>
          <w:sz w:val="22"/>
        </w:rPr>
        <w:t xml:space="preserve"> foram realizadas “</w:t>
      </w:r>
      <w:r w:rsidRPr="00B069F5">
        <w:rPr>
          <w:i/>
          <w:sz w:val="22"/>
        </w:rPr>
        <w:t>detidas análises a respeito dos regramentos que se aplicariam à matéria: concessão, permissão ou outro</w:t>
      </w:r>
      <w:r w:rsidRPr="00B069F5">
        <w:rPr>
          <w:sz w:val="22"/>
        </w:rPr>
        <w:t xml:space="preserve">”, e que se utilizara como paradigma o </w:t>
      </w:r>
      <w:hyperlink r:id="rId13" w:history="1">
        <w:r w:rsidRPr="00B069F5">
          <w:rPr>
            <w:rStyle w:val="Hyperlink"/>
            <w:rFonts w:eastAsiaTheme="majorEastAsia"/>
            <w:sz w:val="22"/>
            <w:u w:val="none"/>
            <w:shd w:val="clear" w:color="auto" w:fill="FFFFFF"/>
          </w:rPr>
          <w:t>Acórdão 1.398/2007</w:t>
        </w:r>
        <w:r w:rsidRPr="00B069F5">
          <w:rPr>
            <w:rStyle w:val="Hyperlink"/>
            <w:sz w:val="22"/>
            <w:u w:val="none"/>
          </w:rPr>
          <w:t xml:space="preserve"> </w:t>
        </w:r>
        <w:r w:rsidRPr="00B069F5">
          <w:rPr>
            <w:rStyle w:val="Hyperlink"/>
            <w:rFonts w:eastAsiaTheme="majorEastAsia"/>
            <w:sz w:val="22"/>
            <w:u w:val="none"/>
            <w:shd w:val="clear" w:color="auto" w:fill="FFFFFF"/>
          </w:rPr>
          <w:t>Plenário</w:t>
        </w:r>
      </w:hyperlink>
      <w:r w:rsidRPr="00B069F5">
        <w:rPr>
          <w:sz w:val="22"/>
        </w:rPr>
        <w:t xml:space="preserve">, por meio do qual o Tribunal havia determinado à </w:t>
      </w:r>
      <w:proofErr w:type="spellStart"/>
      <w:r w:rsidRPr="00B069F5">
        <w:rPr>
          <w:sz w:val="22"/>
        </w:rPr>
        <w:t>CeasaMinas</w:t>
      </w:r>
      <w:proofErr w:type="spellEnd"/>
      <w:r w:rsidRPr="00B069F5">
        <w:rPr>
          <w:sz w:val="22"/>
        </w:rPr>
        <w:t xml:space="preserve">, entidade com perfil </w:t>
      </w:r>
      <w:proofErr w:type="spellStart"/>
      <w:r w:rsidRPr="00B069F5">
        <w:rPr>
          <w:sz w:val="22"/>
        </w:rPr>
        <w:t>sócio-econômico</w:t>
      </w:r>
      <w:proofErr w:type="spellEnd"/>
      <w:r w:rsidRPr="00B069F5">
        <w:rPr>
          <w:sz w:val="22"/>
        </w:rPr>
        <w:t xml:space="preserve"> nitidamente similar ao da Ceagesp, a adaptação de todas as contratações à concessão de uso de bem público. Quanto à adoção da modalidade </w:t>
      </w:r>
      <w:r w:rsidRPr="00B069F5">
        <w:rPr>
          <w:sz w:val="22"/>
        </w:rPr>
        <w:lastRenderedPageBreak/>
        <w:t>pregão, considerou o relator ser o instrumento que melhor se adéqua ao caso “</w:t>
      </w:r>
      <w:r w:rsidRPr="00B069F5">
        <w:rPr>
          <w:i/>
          <w:sz w:val="22"/>
        </w:rPr>
        <w:t>haja vista a grande celeridade que o propicia às contratações públicas</w:t>
      </w:r>
      <w:r w:rsidRPr="00B069F5">
        <w:rPr>
          <w:sz w:val="22"/>
        </w:rPr>
        <w:t>” o que não impediria a utilização pela companhia de outra modalidade licitatória, devidamente motivada e observados os princípios que regem a administração pública, dentre os quais a economicidade e a isonomia. Acolhendo as razões do relator, o Plenário negou provimento ao</w:t>
      </w:r>
      <w:r w:rsidR="00755657" w:rsidRPr="00B069F5">
        <w:rPr>
          <w:sz w:val="22"/>
        </w:rPr>
        <w:t>s</w:t>
      </w:r>
      <w:r w:rsidRPr="00B069F5">
        <w:rPr>
          <w:sz w:val="22"/>
        </w:rPr>
        <w:t xml:space="preserve"> recurso</w:t>
      </w:r>
      <w:r w:rsidR="00755657" w:rsidRPr="00B069F5">
        <w:rPr>
          <w:sz w:val="22"/>
        </w:rPr>
        <w:t>s</w:t>
      </w:r>
      <w:r w:rsidRPr="00B069F5">
        <w:rPr>
          <w:sz w:val="22"/>
        </w:rPr>
        <w:t xml:space="preserve">, sem prejuízo de corrigir erro material de modo que, no citado item 9.1.4.1 do </w:t>
      </w:r>
      <w:hyperlink r:id="rId14" w:history="1">
        <w:r w:rsidRPr="00B069F5">
          <w:rPr>
            <w:rStyle w:val="Hyperlink"/>
            <w:rFonts w:eastAsiaTheme="majorEastAsia"/>
            <w:sz w:val="22"/>
            <w:u w:val="none"/>
            <w:shd w:val="clear" w:color="auto" w:fill="FFFFFF"/>
          </w:rPr>
          <w:t>Acórdão 2.050/2014</w:t>
        </w:r>
      </w:hyperlink>
      <w:r w:rsidRPr="00B069F5">
        <w:rPr>
          <w:sz w:val="22"/>
        </w:rPr>
        <w:t xml:space="preserve">, constasse “Título II”, em </w:t>
      </w:r>
      <w:r w:rsidR="007855F7" w:rsidRPr="00B069F5">
        <w:rPr>
          <w:sz w:val="22"/>
        </w:rPr>
        <w:t>vez</w:t>
      </w:r>
      <w:r w:rsidRPr="00B069F5">
        <w:rPr>
          <w:sz w:val="22"/>
        </w:rPr>
        <w:t xml:space="preserve"> de “Título I”. </w:t>
      </w:r>
      <w:hyperlink r:id="rId15" w:history="1">
        <w:r w:rsidRPr="00B069F5">
          <w:rPr>
            <w:rStyle w:val="Hyperlink"/>
            <w:b/>
            <w:sz w:val="22"/>
            <w:u w:val="none"/>
          </w:rPr>
          <w:t>Acórdão 919/2016 Plenário</w:t>
        </w:r>
      </w:hyperlink>
      <w:r w:rsidRPr="00B069F5">
        <w:rPr>
          <w:b/>
          <w:sz w:val="22"/>
        </w:rPr>
        <w:t>, Pedido de Reexame, Relator Ministro Vital do Rêgo.</w:t>
      </w:r>
    </w:p>
    <w:p w:rsidR="009751AE" w:rsidRPr="006E008E" w:rsidRDefault="001F7087" w:rsidP="00BF0515">
      <w:pPr>
        <w:widowControl w:val="0"/>
        <w:autoSpaceDE w:val="0"/>
        <w:autoSpaceDN w:val="0"/>
        <w:jc w:val="both"/>
        <w:rPr>
          <w:sz w:val="22"/>
        </w:rPr>
      </w:pPr>
    </w:p>
    <w:p w:rsidR="00A079F4" w:rsidRDefault="00A079F4">
      <w:pPr>
        <w:sectPr w:rsidR="00A079F4" w:rsidSect="000B08D2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16227F" w:rsidRPr="00F56D3F" w:rsidRDefault="00825E71" w:rsidP="00BF0515">
      <w:pPr>
        <w:widowControl w:val="0"/>
        <w:autoSpaceDE w:val="0"/>
        <w:autoSpaceDN w:val="0"/>
        <w:jc w:val="both"/>
        <w:rPr>
          <w:b/>
          <w:sz w:val="22"/>
        </w:rPr>
      </w:pPr>
      <w:r w:rsidRPr="00F56D3F">
        <w:rPr>
          <w:b/>
          <w:sz w:val="22"/>
        </w:rPr>
        <w:t>2. Nas concessões rodoviárias, deve-se estabelecer de forma expressa na minuta do contrato que a conclusão das obras somente ocorre quando o projeto executivo estiver efetivamente implantado, de modo a evitar que a concessionária, visando a antecipação do atingimento de metas e da cobrança do pedágio, entregue a obra de forma incompleta, apenas com os elementos indispensáveis à abertura do tráfego.</w:t>
      </w:r>
    </w:p>
    <w:p w:rsidR="007323B1" w:rsidRDefault="00A16437" w:rsidP="00BF0515">
      <w:pPr>
        <w:widowControl w:val="0"/>
        <w:autoSpaceDE w:val="0"/>
        <w:autoSpaceDN w:val="0"/>
        <w:jc w:val="both"/>
        <w:rPr>
          <w:b/>
          <w:sz w:val="22"/>
        </w:rPr>
      </w:pPr>
      <w:r>
        <w:rPr>
          <w:sz w:val="22"/>
        </w:rPr>
        <w:t>N</w:t>
      </w:r>
      <w:r w:rsidR="00825E71" w:rsidRPr="00C65A4F">
        <w:rPr>
          <w:sz w:val="22"/>
        </w:rPr>
        <w:t xml:space="preserve">a apreciação do primeiro estágio do acompanhamento do processo de outorga de concessão </w:t>
      </w:r>
      <w:r>
        <w:rPr>
          <w:sz w:val="22"/>
        </w:rPr>
        <w:t xml:space="preserve">de trechos </w:t>
      </w:r>
      <w:r w:rsidR="00825E71" w:rsidRPr="00C65A4F">
        <w:rPr>
          <w:sz w:val="22"/>
        </w:rPr>
        <w:t xml:space="preserve">da rodovia BR-364/365/GO/MG, o relator analisou a necessidade de o poder concedente esclarecer de forma inequívoca na minuta contratual que a conclusão das obras ocorre somente quando o projeto executivo apresentado pela concessionária e avaliado pela ANTT estiver efetivamente implantado. Analisada a argumentação da agência reguladora, o relator destacou a existência de </w:t>
      </w:r>
      <w:proofErr w:type="spellStart"/>
      <w:r w:rsidR="00825E71" w:rsidRPr="00C65A4F">
        <w:rPr>
          <w:sz w:val="22"/>
        </w:rPr>
        <w:t>subcláusula</w:t>
      </w:r>
      <w:proofErr w:type="spellEnd"/>
      <w:r w:rsidR="00825E71" w:rsidRPr="00C65A4F">
        <w:rPr>
          <w:sz w:val="22"/>
        </w:rPr>
        <w:t xml:space="preserve"> na minuta do contrato estabelecendo que “</w:t>
      </w:r>
      <w:r w:rsidR="00825E71" w:rsidRPr="00BB401B">
        <w:rPr>
          <w:i/>
          <w:sz w:val="22"/>
        </w:rPr>
        <w:t>as obras de duplicação e respectivas melhorias deverão estar concluídas e em operação nos prazos e nas condições estabelecidas no PER, observados o escopo, os parâmetros técnicos e os parâmetros de desempenho previstos</w:t>
      </w:r>
      <w:r w:rsidR="00825E71" w:rsidRPr="00C65A4F">
        <w:rPr>
          <w:sz w:val="22"/>
        </w:rPr>
        <w:t>”.  E continuou: “</w:t>
      </w:r>
      <w:r w:rsidR="00825E71" w:rsidRPr="00BB401B">
        <w:rPr>
          <w:i/>
          <w:sz w:val="22"/>
        </w:rPr>
        <w:t xml:space="preserve">Essa </w:t>
      </w:r>
      <w:proofErr w:type="spellStart"/>
      <w:r w:rsidR="00825E71" w:rsidRPr="00BB401B">
        <w:rPr>
          <w:i/>
          <w:sz w:val="22"/>
        </w:rPr>
        <w:t>subcláusula</w:t>
      </w:r>
      <w:proofErr w:type="spellEnd"/>
      <w:r w:rsidR="00825E71" w:rsidRPr="00BB401B">
        <w:rPr>
          <w:i/>
          <w:sz w:val="22"/>
        </w:rPr>
        <w:t xml:space="preserve"> também traz parâmetros de desempenho a serem observados para o recebimento das obras e serviços e que deverão ser observados para que sejam consideradas atendidas as metas de duplicação, motivo pelo qual a redação contratual deve ser explícita nesse sentido a fim de dirimir questionamentos futuros</w:t>
      </w:r>
      <w:r w:rsidR="00825E71" w:rsidRPr="00C65A4F">
        <w:rPr>
          <w:sz w:val="22"/>
        </w:rPr>
        <w:t>”. Apesar de tais dispositivos indicarem a conclusão das obras para todos os efeitos contratuais, verificou-se em outras fiscalizações realizadas que “</w:t>
      </w:r>
      <w:r w:rsidR="00825E71" w:rsidRPr="00BB401B">
        <w:rPr>
          <w:i/>
          <w:sz w:val="22"/>
        </w:rPr>
        <w:t xml:space="preserve">as empresas, em busca de anteciparem as metas de duplicação e acelerarem a cobrança de pedágio, entregam as obras de forma incompleta, apenas com os elementos indispensáveis à abertura ao tráfego, deixando de lado outros componentes da rodovia, tais como dispositivos de proteção (defensas e barreiras) e de drenagem (sarjetas e </w:t>
      </w:r>
      <w:proofErr w:type="gramStart"/>
      <w:r w:rsidR="00825E71" w:rsidRPr="00BB401B">
        <w:rPr>
          <w:i/>
          <w:sz w:val="22"/>
        </w:rPr>
        <w:t>valetas)</w:t>
      </w:r>
      <w:r w:rsidR="00825E71" w:rsidRPr="00C65A4F">
        <w:rPr>
          <w:sz w:val="22"/>
        </w:rPr>
        <w:t>”</w:t>
      </w:r>
      <w:proofErr w:type="gramEnd"/>
      <w:r w:rsidR="00825E71" w:rsidRPr="00C65A4F">
        <w:rPr>
          <w:sz w:val="22"/>
        </w:rPr>
        <w:t>. Desse modo, observou o relator, “</w:t>
      </w:r>
      <w:r w:rsidR="00825E71" w:rsidRPr="00BB401B">
        <w:rPr>
          <w:i/>
          <w:sz w:val="22"/>
        </w:rPr>
        <w:t>sem projetos mais detalhados, a agência pode ter dificuldade para atestar a própria implementação desses projetos, o escopo, os parâmetros técnicos e os parâmetros de desempenho previstos contratualmente para as obras</w:t>
      </w:r>
      <w:r w:rsidR="00825E71" w:rsidRPr="00C65A4F">
        <w:rPr>
          <w:sz w:val="22"/>
        </w:rPr>
        <w:t>”. Tal situação resulta em ganhos indevidos para as empresas, “</w:t>
      </w:r>
      <w:r w:rsidR="00825E71" w:rsidRPr="00BB401B">
        <w:rPr>
          <w:i/>
          <w:sz w:val="22"/>
        </w:rPr>
        <w:t>que adiantam artificialmente o início da cobrança de pedágio e, ainda, se credenciam ao recebimento de bonificação por presumida antecipação das metas anuais</w:t>
      </w:r>
      <w:r w:rsidR="00825E71" w:rsidRPr="00C65A4F">
        <w:rPr>
          <w:sz w:val="22"/>
        </w:rPr>
        <w:t>”. Diante de tal quadro, acompanhando as conclusões do relator, o Plenário endereçou determinação à ANTT para que, previamente à publicação do edital de concessão da rodovia BR-364/365/GO/MG, esclareça, na minuta do contrato, de forma inequívoca, que a conclusão das obras somente ocorre quando o projeto executivo apresentado pela concessionária e avaliado pela agência estiver efetivamente implantado.</w:t>
      </w:r>
      <w:r w:rsidR="00825E71">
        <w:rPr>
          <w:sz w:val="22"/>
        </w:rPr>
        <w:t xml:space="preserve"> </w:t>
      </w:r>
      <w:hyperlink r:id="rId16" w:history="1">
        <w:r w:rsidR="00825E71" w:rsidRPr="00BB401B">
          <w:rPr>
            <w:rStyle w:val="Hyperlink"/>
            <w:b/>
            <w:sz w:val="22"/>
            <w:u w:val="none"/>
          </w:rPr>
          <w:t>Acórdão 943/2016 Plenário</w:t>
        </w:r>
      </w:hyperlink>
      <w:r w:rsidR="00825E71" w:rsidRPr="00C65A4F">
        <w:rPr>
          <w:b/>
          <w:sz w:val="22"/>
        </w:rPr>
        <w:t xml:space="preserve">, Desestatização, Relator Ministro Augusto </w:t>
      </w:r>
      <w:proofErr w:type="spellStart"/>
      <w:r w:rsidR="00825E71" w:rsidRPr="00C65A4F">
        <w:rPr>
          <w:b/>
          <w:sz w:val="22"/>
        </w:rPr>
        <w:t>Nardes</w:t>
      </w:r>
      <w:proofErr w:type="spellEnd"/>
      <w:r w:rsidR="00825E71" w:rsidRPr="00C65A4F">
        <w:rPr>
          <w:b/>
          <w:sz w:val="22"/>
        </w:rPr>
        <w:t>.</w:t>
      </w:r>
    </w:p>
    <w:p w:rsidR="009751AE" w:rsidRPr="006E008E" w:rsidRDefault="001F7087" w:rsidP="00BF0515">
      <w:pPr>
        <w:widowControl w:val="0"/>
        <w:autoSpaceDE w:val="0"/>
        <w:autoSpaceDN w:val="0"/>
        <w:jc w:val="both"/>
        <w:rPr>
          <w:sz w:val="22"/>
        </w:rPr>
      </w:pPr>
    </w:p>
    <w:p w:rsidR="00A079F4" w:rsidRDefault="00A079F4">
      <w:pPr>
        <w:sectPr w:rsidR="00A079F4" w:rsidSect="000B08D2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16227F" w:rsidRPr="00F56D3F" w:rsidRDefault="00825E71" w:rsidP="00BF0515">
      <w:pPr>
        <w:widowControl w:val="0"/>
        <w:autoSpaceDE w:val="0"/>
        <w:autoSpaceDN w:val="0"/>
        <w:jc w:val="both"/>
        <w:rPr>
          <w:b/>
          <w:sz w:val="22"/>
        </w:rPr>
      </w:pPr>
      <w:r w:rsidRPr="00F56D3F">
        <w:rPr>
          <w:b/>
          <w:sz w:val="22"/>
        </w:rPr>
        <w:t>3. É indevida a inclusão de parcela a título reserva técnica nas planilhas de custos e formação de preços dos contratos de limpeza e conservação, sem que haja justificativa e memória de cálculo que demonstrem sua adequação.</w:t>
      </w:r>
    </w:p>
    <w:p w:rsidR="007323B1" w:rsidRDefault="00825E71" w:rsidP="00BF0515">
      <w:pPr>
        <w:widowControl w:val="0"/>
        <w:autoSpaceDE w:val="0"/>
        <w:autoSpaceDN w:val="0"/>
        <w:jc w:val="both"/>
        <w:rPr>
          <w:b/>
          <w:sz w:val="22"/>
        </w:rPr>
      </w:pPr>
      <w:r w:rsidRPr="00C65A4F">
        <w:rPr>
          <w:sz w:val="22"/>
        </w:rPr>
        <w:t>Em auditoria integrante dos trabalhos de Fiscalização de Orientação Centralizada (FOC) – Governança e Gestão das Aquisições, foram observadas falhas na contratação da prestação de serviços de limpeza e conservação pela Fiocruz, dentre as quais a inclusão indevida de valor referente a reserva técnica. Ao analisar as respostas às oitivas, a unidade técnica consignou que, a despeito dos argumentos apresentados, “</w:t>
      </w:r>
      <w:r w:rsidRPr="00BB401B">
        <w:rPr>
          <w:i/>
          <w:sz w:val="22"/>
        </w:rPr>
        <w:t>a jurisprudência desta Corte tem se consolidado no sentido de que a inclusão, na planilha de custos e formação de preços, de parcela para ‘reserva técnica’ somente é admitida se estiver acompanhada de justificativa e memória de cálculo</w:t>
      </w:r>
      <w:r w:rsidRPr="00C65A4F">
        <w:rPr>
          <w:sz w:val="22"/>
        </w:rPr>
        <w:t xml:space="preserve">”, e, no caso analisado, não constava do processo licitatório demonstrativo que amparasse a inclusão dessa parcela na planilha de custos e formação de preços, tampouco </w:t>
      </w:r>
      <w:r w:rsidR="00A501B0">
        <w:rPr>
          <w:sz w:val="22"/>
        </w:rPr>
        <w:t xml:space="preserve">foi apresentada, por ocasião das oitivas, </w:t>
      </w:r>
      <w:r w:rsidRPr="00C65A4F">
        <w:rPr>
          <w:sz w:val="22"/>
        </w:rPr>
        <w:t xml:space="preserve">memória de cálculo que comprovasse a adequação dos valores. O relator considerou adequada a análise da unidade técnica, ante a falta de justificativas </w:t>
      </w:r>
      <w:bookmarkStart w:id="0" w:name="_GoBack"/>
      <w:bookmarkEnd w:id="0"/>
      <w:r w:rsidRPr="00C65A4F">
        <w:rPr>
          <w:sz w:val="22"/>
        </w:rPr>
        <w:t xml:space="preserve">para a inclusão da reserva técnica, embora não tenha acolhido as determinações propostas, reputando adequado, em seu lugar, dar ciência à Fiocruz </w:t>
      </w:r>
      <w:r w:rsidR="00BB401B">
        <w:rPr>
          <w:sz w:val="22"/>
        </w:rPr>
        <w:t xml:space="preserve">de </w:t>
      </w:r>
      <w:r w:rsidRPr="00C65A4F">
        <w:rPr>
          <w:sz w:val="22"/>
        </w:rPr>
        <w:t xml:space="preserve">que </w:t>
      </w:r>
      <w:r w:rsidR="00A16437">
        <w:rPr>
          <w:sz w:val="22"/>
        </w:rPr>
        <w:t>“</w:t>
      </w:r>
      <w:r w:rsidRPr="00A16437">
        <w:rPr>
          <w:i/>
          <w:sz w:val="22"/>
        </w:rPr>
        <w:t>é indevida a inclusão na planilha de custos e formação de preços dos contratos de limpeza e conservação, a exemplo do ocorrido no Contrato 92/2010-Dirac, de parcela a título reserva técnica, conforme jurisprudência desta Corte</w:t>
      </w:r>
      <w:r w:rsidRPr="00C65A4F">
        <w:rPr>
          <w:sz w:val="22"/>
        </w:rPr>
        <w:t xml:space="preserve"> </w:t>
      </w:r>
      <w:r w:rsidRPr="00E25111">
        <w:rPr>
          <w:i/>
          <w:sz w:val="22"/>
        </w:rPr>
        <w:t xml:space="preserve">(e.g., </w:t>
      </w:r>
      <w:hyperlink r:id="rId17" w:history="1">
        <w:r w:rsidRPr="00E25111">
          <w:rPr>
            <w:rStyle w:val="Hyperlink"/>
            <w:rFonts w:eastAsiaTheme="majorEastAsia"/>
            <w:i/>
            <w:sz w:val="22"/>
            <w:u w:val="none"/>
            <w:shd w:val="clear" w:color="auto" w:fill="FFFFFF"/>
          </w:rPr>
          <w:t>Acórdão 3.166/2011-2ª Câmara</w:t>
        </w:r>
      </w:hyperlink>
      <w:r w:rsidRPr="00E25111">
        <w:rPr>
          <w:i/>
          <w:sz w:val="22"/>
        </w:rPr>
        <w:t>)</w:t>
      </w:r>
      <w:r w:rsidR="00E25111">
        <w:rPr>
          <w:sz w:val="22"/>
        </w:rPr>
        <w:t xml:space="preserve">”, proposta acolhida </w:t>
      </w:r>
      <w:r w:rsidR="00E25111">
        <w:rPr>
          <w:sz w:val="22"/>
        </w:rPr>
        <w:lastRenderedPageBreak/>
        <w:t>pelo Colegiado</w:t>
      </w:r>
      <w:r w:rsidRPr="00C65A4F">
        <w:rPr>
          <w:sz w:val="22"/>
        </w:rPr>
        <w:t>.</w:t>
      </w:r>
      <w:r>
        <w:rPr>
          <w:sz w:val="22"/>
        </w:rPr>
        <w:t xml:space="preserve"> </w:t>
      </w:r>
      <w:hyperlink r:id="rId18" w:history="1">
        <w:r w:rsidRPr="00BB401B">
          <w:rPr>
            <w:rStyle w:val="Hyperlink"/>
            <w:b/>
            <w:sz w:val="22"/>
            <w:u w:val="none"/>
          </w:rPr>
          <w:t>Acórdão 953/2016 Plenário</w:t>
        </w:r>
      </w:hyperlink>
      <w:r w:rsidRPr="00C65A4F">
        <w:rPr>
          <w:b/>
          <w:sz w:val="22"/>
        </w:rPr>
        <w:t xml:space="preserve">, Auditoria, Relator Ministro-Substituto Augusto </w:t>
      </w:r>
      <w:proofErr w:type="spellStart"/>
      <w:r w:rsidRPr="00C65A4F">
        <w:rPr>
          <w:b/>
          <w:sz w:val="22"/>
        </w:rPr>
        <w:t>Sherman</w:t>
      </w:r>
      <w:proofErr w:type="spellEnd"/>
      <w:r w:rsidRPr="00C65A4F">
        <w:rPr>
          <w:b/>
          <w:sz w:val="22"/>
        </w:rPr>
        <w:t>.</w:t>
      </w:r>
    </w:p>
    <w:p w:rsidR="009751AE" w:rsidRPr="006E008E" w:rsidRDefault="001F7087" w:rsidP="00BF0515">
      <w:pPr>
        <w:widowControl w:val="0"/>
        <w:autoSpaceDE w:val="0"/>
        <w:autoSpaceDN w:val="0"/>
        <w:jc w:val="both"/>
        <w:rPr>
          <w:sz w:val="22"/>
        </w:rPr>
      </w:pPr>
    </w:p>
    <w:p w:rsidR="00A079F4" w:rsidRDefault="00A079F4">
      <w:pPr>
        <w:sectPr w:rsidR="00A079F4" w:rsidSect="000B08D2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4318F3" w:rsidRDefault="004318F3" w:rsidP="004318F3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rFonts w:ascii="Arial" w:hAnsi="Arial" w:cs="Arial"/>
          <w:b/>
          <w:sz w:val="18"/>
          <w:szCs w:val="18"/>
        </w:rPr>
      </w:pPr>
    </w:p>
    <w:p w:rsidR="00A079F4" w:rsidRDefault="00A079F4">
      <w:pPr>
        <w:sectPr w:rsidR="00A079F4" w:rsidSect="00EE3E91">
          <w:footerReference w:type="default" r:id="rId19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C97756" w:rsidRPr="008C7BE6" w:rsidRDefault="00825E71" w:rsidP="002678F1">
      <w:pPr>
        <w:pStyle w:val="enter-3pt"/>
        <w:tabs>
          <w:tab w:val="left" w:pos="2590"/>
        </w:tabs>
        <w:spacing w:after="200"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8C7BE6">
        <w:rPr>
          <w:rFonts w:ascii="Arial" w:hAnsi="Arial" w:cs="Arial"/>
          <w:b/>
          <w:i/>
          <w:sz w:val="18"/>
          <w:szCs w:val="18"/>
        </w:rPr>
        <w:t>Elaboração: Diretoria de Jurisprudência - Secretaria das Sessões</w:t>
      </w:r>
    </w:p>
    <w:p w:rsidR="00C03330" w:rsidRPr="00AA6697" w:rsidRDefault="00825E71" w:rsidP="002678F1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  <w:r w:rsidRPr="008C7BE6">
        <w:rPr>
          <w:rFonts w:ascii="Arial" w:hAnsi="Arial" w:cs="Arial"/>
          <w:b/>
          <w:i/>
          <w:sz w:val="18"/>
          <w:szCs w:val="18"/>
        </w:rPr>
        <w:t xml:space="preserve">Contato: </w:t>
      </w:r>
      <w:hyperlink r:id="rId20" w:history="1">
        <w:r w:rsidRPr="00C97756">
          <w:rPr>
            <w:rStyle w:val="Hyperlink"/>
            <w:rFonts w:ascii="Arial" w:hAnsi="Arial" w:cs="Arial"/>
            <w:i/>
            <w:sz w:val="18"/>
            <w:szCs w:val="18"/>
          </w:rPr>
          <w:t>infojuris@tcu.gov.br</w:t>
        </w:r>
      </w:hyperlink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</w:p>
    <w:sectPr w:rsidR="00C03330" w:rsidRPr="00AA6697" w:rsidSect="00E41618">
      <w:footerReference w:type="default" r:id="rId21"/>
      <w:type w:val="continuous"/>
      <w:pgSz w:w="11906" w:h="16838" w:code="9"/>
      <w:pgMar w:top="1440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87" w:rsidRDefault="001F7087" w:rsidP="00ED5179">
      <w:r>
        <w:separator/>
      </w:r>
    </w:p>
  </w:endnote>
  <w:endnote w:type="continuationSeparator" w:id="0">
    <w:p w:rsidR="001F7087" w:rsidRDefault="001F7087" w:rsidP="00ED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69F5">
      <w:rPr>
        <w:noProof/>
      </w:rPr>
      <w:t>1</w:t>
    </w:r>
    <w:r>
      <w:fldChar w:fldCharType="end"/>
    </w:r>
  </w:p>
  <w:p w:rsidR="009C1CD2" w:rsidRDefault="009C1CD2" w:rsidP="00D702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69F5">
      <w:rPr>
        <w:noProof/>
      </w:rPr>
      <w:t>3</w:t>
    </w:r>
    <w:r>
      <w:fldChar w:fldCharType="end"/>
    </w:r>
  </w:p>
  <w:p w:rsidR="009C1CD2" w:rsidRDefault="009C1CD2" w:rsidP="00D702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401B">
      <w:rPr>
        <w:noProof/>
      </w:rPr>
      <w:t>3</w:t>
    </w:r>
    <w:r>
      <w:fldChar w:fldCharType="end"/>
    </w:r>
  </w:p>
  <w:p w:rsidR="009C1CD2" w:rsidRDefault="009C1CD2" w:rsidP="00D702D9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97" w:rsidRDefault="00825E7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A6697" w:rsidRDefault="001F7087" w:rsidP="00AA66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87" w:rsidRDefault="001F7087" w:rsidP="00ED5179">
      <w:r>
        <w:separator/>
      </w:r>
    </w:p>
  </w:footnote>
  <w:footnote w:type="continuationSeparator" w:id="0">
    <w:p w:rsidR="001F7087" w:rsidRDefault="001F7087" w:rsidP="00ED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6" w:rsidRPr="0035499A" w:rsidRDefault="008B5C28" w:rsidP="0093720C">
    <w:pPr>
      <w:pStyle w:val="Cabealho"/>
      <w:spacing w:after="100" w:afterAutospacing="1"/>
    </w:pPr>
    <w:r w:rsidRPr="008B5C28">
      <w:rPr>
        <w:b/>
        <w:i/>
        <w:noProof/>
        <w:sz w:val="22"/>
        <w:lang w:eastAsia="pt-BR"/>
      </w:rPr>
      <w:drawing>
        <wp:inline distT="0" distB="0" distL="0" distR="0">
          <wp:extent cx="6086475" cy="760730"/>
          <wp:effectExtent l="0" t="0" r="0" b="0"/>
          <wp:docPr id="2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79"/>
    <w:rsid w:val="00007433"/>
    <w:rsid w:val="00035ABF"/>
    <w:rsid w:val="000362D8"/>
    <w:rsid w:val="000403CF"/>
    <w:rsid w:val="00055FCC"/>
    <w:rsid w:val="00082F24"/>
    <w:rsid w:val="000F2444"/>
    <w:rsid w:val="00107C47"/>
    <w:rsid w:val="0013773E"/>
    <w:rsid w:val="00167319"/>
    <w:rsid w:val="00171F4E"/>
    <w:rsid w:val="00177D47"/>
    <w:rsid w:val="001A0F92"/>
    <w:rsid w:val="001A4CB9"/>
    <w:rsid w:val="001D00C5"/>
    <w:rsid w:val="001D00FE"/>
    <w:rsid w:val="001D6FAA"/>
    <w:rsid w:val="001F4538"/>
    <w:rsid w:val="001F7087"/>
    <w:rsid w:val="002046AF"/>
    <w:rsid w:val="0020622A"/>
    <w:rsid w:val="00234034"/>
    <w:rsid w:val="002466B7"/>
    <w:rsid w:val="00256B0C"/>
    <w:rsid w:val="00295550"/>
    <w:rsid w:val="002961A3"/>
    <w:rsid w:val="002C67CE"/>
    <w:rsid w:val="002D3139"/>
    <w:rsid w:val="002D3A2F"/>
    <w:rsid w:val="002E380E"/>
    <w:rsid w:val="002F7137"/>
    <w:rsid w:val="00306884"/>
    <w:rsid w:val="00321872"/>
    <w:rsid w:val="00327A3D"/>
    <w:rsid w:val="00344ECE"/>
    <w:rsid w:val="0035499A"/>
    <w:rsid w:val="003C5A0B"/>
    <w:rsid w:val="003C5E3B"/>
    <w:rsid w:val="003E35D7"/>
    <w:rsid w:val="003F3644"/>
    <w:rsid w:val="003F6210"/>
    <w:rsid w:val="004238A5"/>
    <w:rsid w:val="004318F3"/>
    <w:rsid w:val="00431E71"/>
    <w:rsid w:val="0043308E"/>
    <w:rsid w:val="0048449D"/>
    <w:rsid w:val="004A2DDF"/>
    <w:rsid w:val="004A3622"/>
    <w:rsid w:val="004B4A6D"/>
    <w:rsid w:val="004C3808"/>
    <w:rsid w:val="00513988"/>
    <w:rsid w:val="00525994"/>
    <w:rsid w:val="005264AF"/>
    <w:rsid w:val="00532988"/>
    <w:rsid w:val="005359F7"/>
    <w:rsid w:val="00545F83"/>
    <w:rsid w:val="00556CD4"/>
    <w:rsid w:val="00557A83"/>
    <w:rsid w:val="005612CC"/>
    <w:rsid w:val="005617EF"/>
    <w:rsid w:val="00572E3F"/>
    <w:rsid w:val="005A1B4B"/>
    <w:rsid w:val="005A2E89"/>
    <w:rsid w:val="006006C2"/>
    <w:rsid w:val="00632AA6"/>
    <w:rsid w:val="006539EA"/>
    <w:rsid w:val="006779C0"/>
    <w:rsid w:val="00686128"/>
    <w:rsid w:val="006F1289"/>
    <w:rsid w:val="006F1D2A"/>
    <w:rsid w:val="00703C89"/>
    <w:rsid w:val="00732A0F"/>
    <w:rsid w:val="007404E0"/>
    <w:rsid w:val="00755657"/>
    <w:rsid w:val="007855F7"/>
    <w:rsid w:val="00791535"/>
    <w:rsid w:val="007A008F"/>
    <w:rsid w:val="007A6ECE"/>
    <w:rsid w:val="007B032E"/>
    <w:rsid w:val="007E09D4"/>
    <w:rsid w:val="008048F0"/>
    <w:rsid w:val="00812762"/>
    <w:rsid w:val="00824B9C"/>
    <w:rsid w:val="00825E71"/>
    <w:rsid w:val="00837598"/>
    <w:rsid w:val="00842D06"/>
    <w:rsid w:val="008659BF"/>
    <w:rsid w:val="00874F87"/>
    <w:rsid w:val="00881A7C"/>
    <w:rsid w:val="00891E61"/>
    <w:rsid w:val="008B5C28"/>
    <w:rsid w:val="008C06E3"/>
    <w:rsid w:val="008C5387"/>
    <w:rsid w:val="008C7BE6"/>
    <w:rsid w:val="008D43AA"/>
    <w:rsid w:val="008E095E"/>
    <w:rsid w:val="008F0439"/>
    <w:rsid w:val="008F73E2"/>
    <w:rsid w:val="00924297"/>
    <w:rsid w:val="00934A42"/>
    <w:rsid w:val="00935B2B"/>
    <w:rsid w:val="0093720C"/>
    <w:rsid w:val="00942C93"/>
    <w:rsid w:val="0095776C"/>
    <w:rsid w:val="00965FA9"/>
    <w:rsid w:val="009772F2"/>
    <w:rsid w:val="00991087"/>
    <w:rsid w:val="009B0538"/>
    <w:rsid w:val="009C1CD2"/>
    <w:rsid w:val="009D4C43"/>
    <w:rsid w:val="009D60F6"/>
    <w:rsid w:val="009E41D1"/>
    <w:rsid w:val="00A079F4"/>
    <w:rsid w:val="00A15136"/>
    <w:rsid w:val="00A16437"/>
    <w:rsid w:val="00A205EC"/>
    <w:rsid w:val="00A22D1E"/>
    <w:rsid w:val="00A306A8"/>
    <w:rsid w:val="00A501B0"/>
    <w:rsid w:val="00A83C33"/>
    <w:rsid w:val="00A9242D"/>
    <w:rsid w:val="00AA196A"/>
    <w:rsid w:val="00AA3E05"/>
    <w:rsid w:val="00AA4BD9"/>
    <w:rsid w:val="00AA6A32"/>
    <w:rsid w:val="00AB7BF8"/>
    <w:rsid w:val="00AC6714"/>
    <w:rsid w:val="00AD3C90"/>
    <w:rsid w:val="00AF1E2C"/>
    <w:rsid w:val="00B069F5"/>
    <w:rsid w:val="00B12E89"/>
    <w:rsid w:val="00B17FDA"/>
    <w:rsid w:val="00B41043"/>
    <w:rsid w:val="00B526D3"/>
    <w:rsid w:val="00B91CBF"/>
    <w:rsid w:val="00BB401B"/>
    <w:rsid w:val="00BD1D53"/>
    <w:rsid w:val="00BD3B05"/>
    <w:rsid w:val="00BD55F7"/>
    <w:rsid w:val="00BE719D"/>
    <w:rsid w:val="00BF2730"/>
    <w:rsid w:val="00BF581A"/>
    <w:rsid w:val="00C013E3"/>
    <w:rsid w:val="00C04BE2"/>
    <w:rsid w:val="00C16F38"/>
    <w:rsid w:val="00C23E2C"/>
    <w:rsid w:val="00C35594"/>
    <w:rsid w:val="00C43825"/>
    <w:rsid w:val="00C473AD"/>
    <w:rsid w:val="00C714EE"/>
    <w:rsid w:val="00C72771"/>
    <w:rsid w:val="00C85CAC"/>
    <w:rsid w:val="00C92822"/>
    <w:rsid w:val="00C96FBD"/>
    <w:rsid w:val="00CD3717"/>
    <w:rsid w:val="00CD5906"/>
    <w:rsid w:val="00CE382D"/>
    <w:rsid w:val="00D048E4"/>
    <w:rsid w:val="00D05033"/>
    <w:rsid w:val="00D1244C"/>
    <w:rsid w:val="00D31C0A"/>
    <w:rsid w:val="00D501DA"/>
    <w:rsid w:val="00D702D9"/>
    <w:rsid w:val="00D75CE4"/>
    <w:rsid w:val="00DA2CAF"/>
    <w:rsid w:val="00DC4B60"/>
    <w:rsid w:val="00DD065C"/>
    <w:rsid w:val="00DD5873"/>
    <w:rsid w:val="00DD607D"/>
    <w:rsid w:val="00DD6C20"/>
    <w:rsid w:val="00DF244B"/>
    <w:rsid w:val="00DF5181"/>
    <w:rsid w:val="00DF69E6"/>
    <w:rsid w:val="00E027B1"/>
    <w:rsid w:val="00E145EE"/>
    <w:rsid w:val="00E25111"/>
    <w:rsid w:val="00E46CEB"/>
    <w:rsid w:val="00E55A1D"/>
    <w:rsid w:val="00E65DBA"/>
    <w:rsid w:val="00E73B12"/>
    <w:rsid w:val="00E90600"/>
    <w:rsid w:val="00E93506"/>
    <w:rsid w:val="00EA61D7"/>
    <w:rsid w:val="00ED5179"/>
    <w:rsid w:val="00EE70E9"/>
    <w:rsid w:val="00F0239A"/>
    <w:rsid w:val="00F05C62"/>
    <w:rsid w:val="00F26DD0"/>
    <w:rsid w:val="00F819A7"/>
    <w:rsid w:val="00FB590D"/>
    <w:rsid w:val="00FF383F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60B4C58-9F42-42E0-8E6B-4F727770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3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F2730"/>
    <w:pPr>
      <w:keepNext/>
      <w:keepLines/>
      <w:outlineLvl w:val="0"/>
    </w:pPr>
    <w:rPr>
      <w:rFonts w:eastAsiaTheme="majorEastAsia"/>
      <w:b/>
      <w:bCs/>
      <w:color w:val="365F91" w:themeColor="accent1" w:themeShade="BF"/>
      <w:szCs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499A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F273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5499A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D517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D517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1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5179"/>
    <w:rPr>
      <w:rFonts w:ascii="Tahoma" w:hAnsi="Tahoma" w:cs="Tahoma"/>
      <w:sz w:val="16"/>
      <w:szCs w:val="16"/>
    </w:rPr>
  </w:style>
  <w:style w:type="paragraph" w:customStyle="1" w:styleId="TCU-Epgrafe">
    <w:name w:val="TCU - Epígrafe"/>
    <w:basedOn w:val="Normal"/>
    <w:rsid w:val="00BF2730"/>
    <w:pPr>
      <w:ind w:left="2835"/>
      <w:jc w:val="both"/>
    </w:pPr>
    <w:rPr>
      <w:szCs w:val="20"/>
      <w:lang w:eastAsia="pt-BR"/>
    </w:rPr>
  </w:style>
  <w:style w:type="paragraph" w:styleId="SemEspaamento">
    <w:name w:val="No Spacing"/>
    <w:uiPriority w:val="1"/>
    <w:qFormat/>
    <w:rsid w:val="00BF273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BF2730"/>
    <w:pPr>
      <w:pBdr>
        <w:bottom w:val="single" w:sz="8" w:space="4" w:color="4F81BD" w:themeColor="accent1"/>
      </w:pBdr>
      <w:contextualSpacing/>
    </w:pPr>
    <w:rPr>
      <w:rFonts w:eastAsiaTheme="majorEastAsia"/>
      <w:color w:val="17365D" w:themeColor="text2" w:themeShade="BF"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locked/>
    <w:rsid w:val="00BF273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2730"/>
    <w:pPr>
      <w:numPr>
        <w:ilvl w:val="1"/>
      </w:numPr>
    </w:pPr>
    <w:rPr>
      <w:rFonts w:eastAsiaTheme="majorEastAsia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BF273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customStyle="1" w:styleId="TCU-Centralizado">
    <w:name w:val="TCU - Centralizado"/>
    <w:basedOn w:val="Normal"/>
    <w:qFormat/>
    <w:rsid w:val="009E41D1"/>
    <w:pPr>
      <w:jc w:val="center"/>
    </w:pPr>
    <w:rPr>
      <w:szCs w:val="24"/>
    </w:rPr>
  </w:style>
  <w:style w:type="paragraph" w:customStyle="1" w:styleId="TCU-RelVoto-1">
    <w:name w:val="TCU - Rel/Voto - 1º §"/>
    <w:basedOn w:val="Normal"/>
    <w:qFormat/>
    <w:rsid w:val="009E41D1"/>
    <w:pPr>
      <w:spacing w:after="160"/>
      <w:ind w:firstLine="1134"/>
      <w:jc w:val="both"/>
    </w:pPr>
  </w:style>
  <w:style w:type="paragraph" w:customStyle="1" w:styleId="TCU-Ac-item9-">
    <w:name w:val="TCU - Ac - item 9 - §§"/>
    <w:basedOn w:val="TCU-RelVoto-1"/>
    <w:qFormat/>
    <w:rsid w:val="009E41D1"/>
    <w:pPr>
      <w:spacing w:after="0"/>
    </w:pPr>
  </w:style>
  <w:style w:type="paragraph" w:customStyle="1" w:styleId="TCU-RelVoto-demais">
    <w:name w:val="TCU - Rel/Voto - demais §§"/>
    <w:basedOn w:val="Normal"/>
    <w:qFormat/>
    <w:rsid w:val="009E41D1"/>
    <w:pPr>
      <w:tabs>
        <w:tab w:val="left" w:pos="1134"/>
      </w:tabs>
      <w:spacing w:after="160"/>
      <w:jc w:val="both"/>
    </w:pPr>
  </w:style>
  <w:style w:type="paragraph" w:customStyle="1" w:styleId="TCU-Ac-itens1a8">
    <w:name w:val="TCU -   Ac - itens 1 a 8"/>
    <w:basedOn w:val="TCU-RelVoto-demais"/>
    <w:qFormat/>
    <w:rsid w:val="009E41D1"/>
    <w:pPr>
      <w:spacing w:after="0"/>
    </w:pPr>
  </w:style>
  <w:style w:type="paragraph" w:customStyle="1" w:styleId="TCU-Sumrio">
    <w:name w:val="TCU - Sumário"/>
    <w:basedOn w:val="Normal"/>
    <w:qFormat/>
    <w:rsid w:val="009E41D1"/>
    <w:pPr>
      <w:ind w:left="5103"/>
      <w:jc w:val="both"/>
    </w:pPr>
    <w:rPr>
      <w:b/>
    </w:rPr>
  </w:style>
  <w:style w:type="paragraph" w:customStyle="1" w:styleId="TCU-Transcrio">
    <w:name w:val="TCU - Transcrição"/>
    <w:basedOn w:val="Normal"/>
    <w:qFormat/>
    <w:rsid w:val="009E41D1"/>
    <w:pPr>
      <w:spacing w:after="120"/>
      <w:ind w:left="284" w:firstLine="567"/>
      <w:jc w:val="both"/>
    </w:pPr>
    <w:rPr>
      <w:i/>
    </w:rPr>
  </w:style>
  <w:style w:type="paragraph" w:customStyle="1" w:styleId="TCU-Ac-item9-1Linha">
    <w:name w:val="TCU -  Ac - item 9 - 1ª Linha"/>
    <w:basedOn w:val="TCU-RelVoto-demais"/>
    <w:qFormat/>
    <w:rsid w:val="0013773E"/>
  </w:style>
  <w:style w:type="paragraph" w:customStyle="1" w:styleId="Default">
    <w:name w:val="Default"/>
    <w:rsid w:val="004A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4A2DDF"/>
    <w:pPr>
      <w:tabs>
        <w:tab w:val="left" w:pos="1134"/>
      </w:tabs>
      <w:spacing w:before="120"/>
      <w:ind w:left="1134"/>
      <w:jc w:val="both"/>
    </w:pPr>
    <w:rPr>
      <w:iCs/>
      <w:color w:val="000000"/>
      <w:sz w:val="22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locked/>
    <w:rsid w:val="004A2DDF"/>
    <w:rPr>
      <w:rFonts w:ascii="Times New Roman" w:hAnsi="Times New Roman" w:cs="Times New Roman"/>
      <w:iCs/>
      <w:color w:val="000000"/>
      <w:sz w:val="20"/>
      <w:szCs w:val="20"/>
      <w:lang w:val="x-none" w:eastAsia="pt-BR"/>
    </w:rPr>
  </w:style>
  <w:style w:type="paragraph" w:styleId="NormalWeb">
    <w:name w:val="Normal (Web)"/>
    <w:basedOn w:val="Normal"/>
    <w:uiPriority w:val="99"/>
    <w:unhideWhenUsed/>
    <w:rsid w:val="00E73B12"/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499A"/>
    <w:rPr>
      <w:rFonts w:cs="Times New Roman"/>
      <w:color w:val="0000FF"/>
      <w:u w:val="single"/>
    </w:rPr>
  </w:style>
  <w:style w:type="paragraph" w:customStyle="1" w:styleId="enter-3pt">
    <w:name w:val="enter-3pt"/>
    <w:basedOn w:val="Normal"/>
    <w:rsid w:val="0048449D"/>
    <w:pPr>
      <w:autoSpaceDE w:val="0"/>
      <w:autoSpaceDN w:val="0"/>
      <w:adjustRightInd w:val="0"/>
      <w:spacing w:line="60" w:lineRule="atLeast"/>
      <w:jc w:val="both"/>
    </w:pPr>
    <w:rPr>
      <w:sz w:val="8"/>
      <w:szCs w:val="8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A3622"/>
    <w:pPr>
      <w:spacing w:after="120" w:line="480" w:lineRule="auto"/>
      <w:ind w:left="1134"/>
      <w:jc w:val="both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A3622"/>
    <w:rPr>
      <w:rFonts w:ascii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4A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ontas.tcu.gov.br/juris/SvlProxyHighlight?base=ACORDAO&amp;ano=2007&amp;numero=1398&amp;colegiado=P" TargetMode="External"/><Relationship Id="rId18" Type="http://schemas.openxmlformats.org/officeDocument/2006/relationships/hyperlink" Target="https://contas.tcu.gov.br/juris/SvlProxyHighlight?base=ACORDAO&amp;ano=2016&amp;numero=953&amp;colegiado=P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hyperlink" Target="https://contas.tcu.gov.br/juris/SvlProxyHighlight?base=ACORDAO&amp;ano=2014&amp;numero=2050&amp;colegiado=P" TargetMode="External"/><Relationship Id="rId17" Type="http://schemas.openxmlformats.org/officeDocument/2006/relationships/hyperlink" Target="https://contas.tcu.gov.br/juris/SvlProxyHighlight?base=ACORDAO&amp;ano=2011&amp;numero=3166&amp;colegiado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tas.tcu.gov.br/juris/SvlProxyHighlight?base=ACORDAO&amp;ano=2016&amp;numero=943&amp;colegiado=P" TargetMode="External"/><Relationship Id="rId20" Type="http://schemas.openxmlformats.org/officeDocument/2006/relationships/hyperlink" Target="mailto:infojuris@tcu.gov.b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ntas.tcu.gov.br/juris/SvlProxyHighlight?base=ACORDAO&amp;ano=2015&amp;numero=289&amp;colegiado=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tas.tcu.gov.br/juris/SvlProxyHighlight?base=ACORDAO&amp;ano=2016&amp;numero=919&amp;colegiado=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ntas.tcu.gov.br/juris/SvlProxyHighlight?base=ACORDAO&amp;ano=2014&amp;numero=2050&amp;colegiado=P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contas.tcu.gov.br/juris/SvlProxyHighlight?base=ACORDAO&amp;ano=2014&amp;numero=2050&amp;colegiado=P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F7E8BF7-E68B-44CB-BE88-B56EF87409C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1558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Duarte do Nascimento</dc:creator>
  <cp:keywords/>
  <dc:description/>
  <cp:lastModifiedBy>Victor de Oliveira Meyer Nascimento</cp:lastModifiedBy>
  <cp:revision>9</cp:revision>
  <cp:lastPrinted>2016-05-10T21:22:00Z</cp:lastPrinted>
  <dcterms:created xsi:type="dcterms:W3CDTF">2016-05-10T21:17:00Z</dcterms:created>
  <dcterms:modified xsi:type="dcterms:W3CDTF">2016-05-10T22:07:00Z</dcterms:modified>
</cp:coreProperties>
</file>