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9A" w:rsidRDefault="0035499A" w:rsidP="00E46CEB">
      <w:pPr>
        <w:jc w:val="center"/>
        <w:rPr>
          <w:szCs w:val="24"/>
        </w:rPr>
      </w:pPr>
    </w:p>
    <w:p w:rsidR="00AD3C90" w:rsidRPr="00556CD4" w:rsidRDefault="0035499A" w:rsidP="00A6785F">
      <w:pPr>
        <w:spacing w:after="120"/>
        <w:jc w:val="center"/>
        <w:rPr>
          <w:b/>
          <w:sz w:val="22"/>
        </w:rPr>
      </w:pPr>
      <w:r w:rsidRPr="00556CD4">
        <w:rPr>
          <w:b/>
          <w:sz w:val="22"/>
        </w:rPr>
        <w:t xml:space="preserve">Número </w:t>
      </w:r>
      <w:r w:rsidR="00431E71" w:rsidRPr="00556CD4">
        <w:rPr>
          <w:b/>
          <w:sz w:val="22"/>
        </w:rPr>
        <w:t>284</w:t>
      </w:r>
    </w:p>
    <w:p w:rsidR="0035499A" w:rsidRPr="00556CD4" w:rsidRDefault="0035499A" w:rsidP="00A6785F">
      <w:pPr>
        <w:spacing w:after="120"/>
        <w:jc w:val="center"/>
        <w:rPr>
          <w:b/>
          <w:sz w:val="22"/>
        </w:rPr>
      </w:pPr>
      <w:r w:rsidRPr="00556CD4">
        <w:rPr>
          <w:b/>
          <w:sz w:val="22"/>
        </w:rPr>
        <w:t xml:space="preserve">Sessões: </w:t>
      </w:r>
      <w:r w:rsidR="00A6785F">
        <w:rPr>
          <w:b/>
          <w:sz w:val="22"/>
        </w:rPr>
        <w:t>26 e 27/a</w:t>
      </w:r>
      <w:r w:rsidR="000403CF" w:rsidRPr="00556CD4">
        <w:rPr>
          <w:b/>
          <w:sz w:val="22"/>
        </w:rPr>
        <w:t>bril/2016</w:t>
      </w:r>
    </w:p>
    <w:p w:rsidR="005617EF" w:rsidRPr="00556CD4" w:rsidRDefault="005617EF" w:rsidP="00A6785F">
      <w:pPr>
        <w:spacing w:after="120"/>
        <w:jc w:val="both"/>
        <w:rPr>
          <w:sz w:val="22"/>
        </w:rPr>
      </w:pPr>
      <w:r w:rsidRPr="00556CD4">
        <w:rPr>
          <w:sz w:val="22"/>
        </w:rPr>
        <w:t xml:space="preserve">Este Informativo contém informações sintéticas de decisões proferidas pelos Colegiados do TCU, relativas à área de Licitação e Contratos, que receberam indicação de relevância sob o prisma jurisprudencial no período acima indicado. O objetivo é facilitar ao interessado o acompanhamento dos acórdãos mais importantes do Tribunal na área. Para aprofundamento, o leitor pode acessar o inteiro teor das deliberações por meio dos links disponíveis. As informações aqui apresentadas não são </w:t>
      </w:r>
      <w:proofErr w:type="gramStart"/>
      <w:r w:rsidRPr="00556CD4">
        <w:rPr>
          <w:sz w:val="22"/>
        </w:rPr>
        <w:t>repositórios</w:t>
      </w:r>
      <w:proofErr w:type="gramEnd"/>
      <w:r w:rsidRPr="00556CD4">
        <w:rPr>
          <w:sz w:val="22"/>
        </w:rPr>
        <w:t xml:space="preserve"> oficiais de jurisprudência.</w:t>
      </w:r>
    </w:p>
    <w:p w:rsidR="0035499A" w:rsidRPr="00556CD4" w:rsidRDefault="0035499A" w:rsidP="0035499A">
      <w:pPr>
        <w:jc w:val="both"/>
        <w:rPr>
          <w:sz w:val="22"/>
        </w:rPr>
      </w:pPr>
    </w:p>
    <w:p w:rsidR="004318F3" w:rsidRPr="00556CD4" w:rsidRDefault="004318F3" w:rsidP="004318F3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jc w:val="center"/>
        <w:rPr>
          <w:b/>
          <w:sz w:val="22"/>
        </w:rPr>
      </w:pPr>
    </w:p>
    <w:p w:rsidR="0035499A" w:rsidRPr="00107C47" w:rsidRDefault="009772F2" w:rsidP="00107C47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jc w:val="center"/>
        <w:rPr>
          <w:b/>
          <w:sz w:val="22"/>
        </w:rPr>
      </w:pPr>
      <w:r w:rsidRPr="00556CD4">
        <w:rPr>
          <w:b/>
          <w:sz w:val="22"/>
        </w:rPr>
        <w:t>SU</w:t>
      </w:r>
      <w:r w:rsidR="004318F3" w:rsidRPr="00556CD4">
        <w:rPr>
          <w:b/>
          <w:sz w:val="22"/>
        </w:rPr>
        <w:t>M</w:t>
      </w:r>
      <w:r w:rsidRPr="00556CD4">
        <w:rPr>
          <w:b/>
          <w:sz w:val="22"/>
        </w:rPr>
        <w:t>Á</w:t>
      </w:r>
      <w:r w:rsidR="004A3622" w:rsidRPr="00556CD4">
        <w:rPr>
          <w:b/>
          <w:sz w:val="22"/>
        </w:rPr>
        <w:t>RIO</w:t>
      </w:r>
    </w:p>
    <w:p w:rsidR="008A525A" w:rsidRDefault="008A525A">
      <w:pPr>
        <w:sectPr w:rsidR="008A525A" w:rsidSect="00AA3E05">
          <w:headerReference w:type="default" r:id="rId7"/>
          <w:footerReference w:type="default" r:id="rId8"/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8F1428" w:rsidRDefault="002F6A55" w:rsidP="00903EA5">
      <w:pPr>
        <w:rPr>
          <w:b/>
        </w:rPr>
      </w:pPr>
    </w:p>
    <w:p w:rsidR="002B7F5E" w:rsidRPr="00A6785F" w:rsidRDefault="001E0B29" w:rsidP="00A6785F">
      <w:pPr>
        <w:spacing w:after="120"/>
        <w:jc w:val="both"/>
        <w:rPr>
          <w:sz w:val="22"/>
        </w:rPr>
      </w:pPr>
      <w:r w:rsidRPr="00A6785F">
        <w:rPr>
          <w:b/>
          <w:sz w:val="22"/>
        </w:rPr>
        <w:t>Plenário</w:t>
      </w:r>
    </w:p>
    <w:p w:rsidR="008F770D" w:rsidRPr="00A6785F" w:rsidRDefault="00A6785F" w:rsidP="00A6785F">
      <w:pPr>
        <w:pStyle w:val="TCU-Epgrafe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>1</w:t>
      </w:r>
      <w:r w:rsidR="001E0B29" w:rsidRPr="00A6785F">
        <w:rPr>
          <w:sz w:val="22"/>
          <w:szCs w:val="22"/>
        </w:rPr>
        <w:t>. É regular a exigência de Certificado de Homologação de Produtos para Telecomunicações (Resolução 242/2000 da Anatel) na contratação de serviço de solução para unidade de resposta audível (URA).</w:t>
      </w:r>
    </w:p>
    <w:p w:rsidR="00A6785F" w:rsidRPr="00A6785F" w:rsidRDefault="00A6785F" w:rsidP="00A6785F">
      <w:pPr>
        <w:pStyle w:val="TCU-Epgrafe"/>
        <w:spacing w:after="120"/>
        <w:ind w:left="0"/>
        <w:rPr>
          <w:sz w:val="22"/>
          <w:szCs w:val="22"/>
        </w:rPr>
        <w:sectPr w:rsidR="00A6785F" w:rsidRPr="00A6785F" w:rsidSect="00BC63C7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  <w:r>
        <w:rPr>
          <w:sz w:val="22"/>
          <w:szCs w:val="22"/>
        </w:rPr>
        <w:t>2</w:t>
      </w:r>
      <w:r w:rsidRPr="00A6785F">
        <w:rPr>
          <w:sz w:val="22"/>
          <w:szCs w:val="22"/>
        </w:rPr>
        <w:t>. A adesão a ata de registro de preços requer planejamento da ação, com levantamento das reais necessidades da administração contratante, não se admitindo a contratação baseada tão-somente na demanda originalmente estimada pelo órgão gerenciador.</w:t>
      </w:r>
    </w:p>
    <w:p w:rsidR="00F94AD7" w:rsidRPr="00A6785F" w:rsidRDefault="001E0B29" w:rsidP="00A6785F">
      <w:pPr>
        <w:spacing w:after="120"/>
        <w:jc w:val="both"/>
        <w:rPr>
          <w:b/>
          <w:sz w:val="22"/>
        </w:rPr>
      </w:pPr>
      <w:r w:rsidRPr="00A6785F">
        <w:rPr>
          <w:b/>
          <w:sz w:val="22"/>
        </w:rPr>
        <w:lastRenderedPageBreak/>
        <w:t>Segunda Câmara</w:t>
      </w:r>
    </w:p>
    <w:p w:rsidR="008A525A" w:rsidRPr="00A6785F" w:rsidRDefault="008A525A" w:rsidP="00A6785F">
      <w:pPr>
        <w:spacing w:after="120"/>
        <w:jc w:val="both"/>
        <w:rPr>
          <w:sz w:val="22"/>
        </w:rPr>
        <w:sectPr w:rsidR="008A525A" w:rsidRPr="00A6785F" w:rsidSect="006F632A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884AC8" w:rsidRDefault="001E0B29" w:rsidP="00A6785F">
      <w:pPr>
        <w:pStyle w:val="Default"/>
        <w:spacing w:after="120"/>
        <w:jc w:val="both"/>
        <w:rPr>
          <w:sz w:val="22"/>
          <w:szCs w:val="22"/>
        </w:rPr>
      </w:pPr>
      <w:r w:rsidRPr="00A6785F">
        <w:rPr>
          <w:sz w:val="22"/>
          <w:szCs w:val="22"/>
        </w:rPr>
        <w:lastRenderedPageBreak/>
        <w:t xml:space="preserve">3. Admite-se a apresentação, para fins de habilitação, de atestados de capacidade técnica emitidos em nome de outra empresa da qual a licitante seja subsidiária integral, </w:t>
      </w:r>
      <w:r w:rsidRPr="00A6785F">
        <w:rPr>
          <w:iCs/>
          <w:sz w:val="22"/>
          <w:szCs w:val="22"/>
        </w:rPr>
        <w:t>desde que na criação da subsidiária tenha havido transferência parcial de patrimônio e de pessoal da controladora</w:t>
      </w:r>
      <w:r w:rsidRPr="00A6785F">
        <w:rPr>
          <w:sz w:val="22"/>
          <w:szCs w:val="22"/>
        </w:rPr>
        <w:t>.</w:t>
      </w:r>
    </w:p>
    <w:p w:rsidR="00A70425" w:rsidRPr="00AE3ED7" w:rsidRDefault="00A70425" w:rsidP="00B74347">
      <w:pPr>
        <w:spacing w:after="120"/>
        <w:jc w:val="both"/>
        <w:rPr>
          <w:b/>
          <w:color w:val="000000"/>
          <w:sz w:val="22"/>
          <w:lang w:eastAsia="pt-BR"/>
        </w:rPr>
      </w:pPr>
      <w:r w:rsidRPr="00AE3ED7">
        <w:rPr>
          <w:b/>
          <w:color w:val="000000"/>
          <w:sz w:val="22"/>
          <w:lang w:eastAsia="pt-BR"/>
        </w:rPr>
        <w:t>Inovação Legislativa</w:t>
      </w:r>
    </w:p>
    <w:p w:rsidR="00A70425" w:rsidRDefault="00B74347" w:rsidP="00B74347">
      <w:pPr>
        <w:spacing w:after="120"/>
        <w:jc w:val="both"/>
        <w:rPr>
          <w:color w:val="000000"/>
          <w:sz w:val="22"/>
          <w:lang w:eastAsia="pt-BR"/>
        </w:rPr>
      </w:pPr>
      <w:r>
        <w:rPr>
          <w:color w:val="000000"/>
          <w:sz w:val="22"/>
          <w:lang w:eastAsia="pt-BR"/>
        </w:rPr>
        <w:t>Medida Provisória 727, de 12/5/2016</w:t>
      </w:r>
    </w:p>
    <w:p w:rsidR="00B74347" w:rsidRDefault="00B74347" w:rsidP="00B74347">
      <w:pPr>
        <w:spacing w:after="120"/>
        <w:jc w:val="both"/>
        <w:rPr>
          <w:color w:val="000000"/>
          <w:sz w:val="22"/>
          <w:lang w:eastAsia="pt-BR"/>
        </w:rPr>
      </w:pPr>
      <w:r>
        <w:rPr>
          <w:color w:val="000000"/>
          <w:sz w:val="22"/>
          <w:lang w:eastAsia="pt-BR"/>
        </w:rPr>
        <w:t>Decreto 8.755, de 10/5/2016</w:t>
      </w:r>
    </w:p>
    <w:p w:rsidR="00B74347" w:rsidRDefault="00B74347" w:rsidP="00B74347">
      <w:pPr>
        <w:spacing w:after="120"/>
        <w:jc w:val="both"/>
        <w:rPr>
          <w:color w:val="000000"/>
          <w:sz w:val="22"/>
          <w:lang w:eastAsia="pt-BR"/>
        </w:rPr>
      </w:pPr>
      <w:r>
        <w:rPr>
          <w:color w:val="000000"/>
          <w:sz w:val="22"/>
          <w:lang w:eastAsia="pt-BR"/>
        </w:rPr>
        <w:t>Decreto 8.756, de 10/5/2016</w:t>
      </w:r>
    </w:p>
    <w:p w:rsidR="00A6785F" w:rsidRPr="009C2196" w:rsidRDefault="00A6785F" w:rsidP="00884AC8">
      <w:pPr>
        <w:pStyle w:val="Default"/>
        <w:jc w:val="both"/>
        <w:rPr>
          <w:sz w:val="22"/>
          <w:szCs w:val="22"/>
        </w:rPr>
      </w:pPr>
    </w:p>
    <w:p w:rsidR="008A525A" w:rsidRDefault="008A525A">
      <w:pPr>
        <w:sectPr w:rsidR="008A525A" w:rsidSect="00BC63C7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4318F3" w:rsidRDefault="004318F3" w:rsidP="0079300B">
      <w:pPr>
        <w:pBdr>
          <w:top w:val="threeDEmboss" w:sz="24" w:space="3" w:color="auto"/>
        </w:pBdr>
        <w:tabs>
          <w:tab w:val="left" w:pos="284"/>
          <w:tab w:val="left" w:pos="4172"/>
          <w:tab w:val="center" w:pos="4818"/>
        </w:tabs>
        <w:jc w:val="center"/>
        <w:rPr>
          <w:rFonts w:ascii="Arial" w:hAnsi="Arial" w:cs="Arial"/>
          <w:b/>
          <w:sz w:val="18"/>
          <w:szCs w:val="18"/>
        </w:rPr>
      </w:pPr>
    </w:p>
    <w:p w:rsidR="008A525A" w:rsidRDefault="008A525A">
      <w:pPr>
        <w:sectPr w:rsidR="008A525A" w:rsidSect="00EE3E91">
          <w:footerReference w:type="default" r:id="rId9"/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927CB7" w:rsidRDefault="001E0B29" w:rsidP="00692853">
      <w:pPr>
        <w:jc w:val="center"/>
        <w:rPr>
          <w:b/>
        </w:rPr>
      </w:pPr>
      <w:r w:rsidRPr="004D0B45">
        <w:rPr>
          <w:b/>
        </w:rPr>
        <w:lastRenderedPageBreak/>
        <w:t>PLENÁRIO</w:t>
      </w:r>
    </w:p>
    <w:p w:rsidR="00EA6425" w:rsidRPr="00C474BD" w:rsidRDefault="002F6A55" w:rsidP="00692853">
      <w:pPr>
        <w:jc w:val="center"/>
        <w:rPr>
          <w:b/>
        </w:rPr>
      </w:pPr>
    </w:p>
    <w:p w:rsidR="008A525A" w:rsidRDefault="008A525A">
      <w:pPr>
        <w:sectPr w:rsidR="008A525A" w:rsidSect="003D3DA9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8F770D" w:rsidRPr="00A6785F" w:rsidRDefault="00A6785F" w:rsidP="00A6785F">
      <w:pPr>
        <w:pStyle w:val="TCU-Epgrafe"/>
        <w:ind w:left="0"/>
        <w:rPr>
          <w:sz w:val="22"/>
          <w:szCs w:val="22"/>
        </w:rPr>
      </w:pPr>
      <w:r w:rsidRPr="00A6785F">
        <w:rPr>
          <w:b/>
          <w:sz w:val="22"/>
          <w:szCs w:val="22"/>
        </w:rPr>
        <w:lastRenderedPageBreak/>
        <w:t>1. É regular a exigência de Certificado de Homologação de Produtos para Telecomunicações (Resolução 242/2000 da Anatel) na contratação de serviço de solução para unidade de resposta audível (URA)</w:t>
      </w:r>
      <w:r w:rsidRPr="00A6785F">
        <w:rPr>
          <w:b/>
          <w:sz w:val="22"/>
          <w:szCs w:val="22"/>
        </w:rPr>
        <w:t>.</w:t>
      </w:r>
    </w:p>
    <w:p w:rsidR="007323B1" w:rsidRDefault="001E0B29" w:rsidP="00A6785F">
      <w:pPr>
        <w:widowControl w:val="0"/>
        <w:autoSpaceDE w:val="0"/>
        <w:autoSpaceDN w:val="0"/>
        <w:jc w:val="both"/>
        <w:rPr>
          <w:b/>
          <w:sz w:val="22"/>
        </w:rPr>
      </w:pPr>
      <w:r w:rsidRPr="00A6785F">
        <w:rPr>
          <w:sz w:val="22"/>
        </w:rPr>
        <w:t xml:space="preserve">Tomada de Contas Especial oriunda de representação tratou de possíveis irregularidades em duas contratações efetuadas pelo Ministério da Saúde na área de </w:t>
      </w:r>
      <w:proofErr w:type="spellStart"/>
      <w:r w:rsidRPr="00A6785F">
        <w:rPr>
          <w:sz w:val="22"/>
        </w:rPr>
        <w:t>teleatendimento</w:t>
      </w:r>
      <w:proofErr w:type="spellEnd"/>
      <w:r w:rsidRPr="00A6785F">
        <w:rPr>
          <w:sz w:val="22"/>
        </w:rPr>
        <w:t xml:space="preserve">. Uma das contratações, realizada em caráter emergencial, teve por objeto a </w:t>
      </w:r>
      <w:r w:rsidRPr="006608CF">
        <w:rPr>
          <w:i/>
          <w:sz w:val="22"/>
        </w:rPr>
        <w:t xml:space="preserve">“prestação de serviço de solução 0800 </w:t>
      </w:r>
      <w:bookmarkStart w:id="0" w:name="_GoBack"/>
      <w:bookmarkEnd w:id="0"/>
      <w:r w:rsidRPr="006608CF">
        <w:rPr>
          <w:i/>
          <w:sz w:val="22"/>
        </w:rPr>
        <w:t xml:space="preserve">– URA (unidade de resposta </w:t>
      </w:r>
      <w:proofErr w:type="gramStart"/>
      <w:r w:rsidRPr="006608CF">
        <w:rPr>
          <w:i/>
          <w:sz w:val="22"/>
        </w:rPr>
        <w:t>audível)”</w:t>
      </w:r>
      <w:proofErr w:type="gramEnd"/>
      <w:r w:rsidR="00566CAF">
        <w:rPr>
          <w:sz w:val="22"/>
        </w:rPr>
        <w:t>. No caso, o Ministério havia</w:t>
      </w:r>
      <w:r w:rsidRPr="00A6785F">
        <w:rPr>
          <w:sz w:val="22"/>
        </w:rPr>
        <w:t xml:space="preserve"> realizado prévia pesquisa de mercado, tendo a oferta de menor preço sido rejeitada pela não apresentação de certificação expedida pela Anatel. Em primeira instrução, a unidade técnica considerou tal desclassificação desarrazoada, pois, entre outros motivos, o certificado exigido pelo Ministério não seria obrigatório, o que ensejou proposta de conversão da representação em TCE e a realização de citações e audiências dos responsáveis. Em nova análise, após efetuadas as m</w:t>
      </w:r>
      <w:r w:rsidR="00566CAF">
        <w:rPr>
          <w:sz w:val="22"/>
        </w:rPr>
        <w:t>edidas preliminares, observou</w:t>
      </w:r>
      <w:r w:rsidRPr="00A6785F">
        <w:rPr>
          <w:sz w:val="22"/>
        </w:rPr>
        <w:t xml:space="preserve"> inicialmente que a unidade de resposta audível (URA) é </w:t>
      </w:r>
      <w:r w:rsidRPr="00566CAF">
        <w:rPr>
          <w:i/>
          <w:sz w:val="22"/>
        </w:rPr>
        <w:t xml:space="preserve">“um equipamento para </w:t>
      </w:r>
      <w:proofErr w:type="spellStart"/>
      <w:r w:rsidRPr="00566CAF">
        <w:rPr>
          <w:i/>
          <w:sz w:val="22"/>
        </w:rPr>
        <w:t>call</w:t>
      </w:r>
      <w:proofErr w:type="spellEnd"/>
      <w:r w:rsidRPr="00566CAF">
        <w:rPr>
          <w:i/>
          <w:sz w:val="22"/>
        </w:rPr>
        <w:t xml:space="preserve"> center que provê serviços automáticos para os usuários que ligam para o 0800, como responder dúvidas e fornecer informações”</w:t>
      </w:r>
      <w:r w:rsidRPr="00A6785F">
        <w:rPr>
          <w:sz w:val="22"/>
        </w:rPr>
        <w:t xml:space="preserve">. Acerca da exigência da certificação que resultara na rejeição da proposta de menor preço, ponto </w:t>
      </w:r>
      <w:r w:rsidR="00566CAF">
        <w:rPr>
          <w:sz w:val="22"/>
        </w:rPr>
        <w:t>fulcral das discussões, lembrou</w:t>
      </w:r>
      <w:r w:rsidRPr="00A6785F">
        <w:rPr>
          <w:sz w:val="22"/>
        </w:rPr>
        <w:t xml:space="preserve"> a unidade técnica que a matéria é disciplinada pela Resolução 242/2000 da Anatel, que versa sobre o Regulamento para Certificação e </w:t>
      </w:r>
      <w:r w:rsidRPr="00A6785F">
        <w:rPr>
          <w:sz w:val="22"/>
        </w:rPr>
        <w:lastRenderedPageBreak/>
        <w:t xml:space="preserve">Homologação de Produtos para Telecomunicações. Nessa linha, consignou que tal resolução </w:t>
      </w:r>
      <w:r w:rsidRPr="00566CAF">
        <w:rPr>
          <w:i/>
          <w:sz w:val="22"/>
        </w:rPr>
        <w:t>“tem caráter compulsório para o comércio dos produtos classificáveis na categoria III, na qual a URA se enquadra”</w:t>
      </w:r>
      <w:r w:rsidRPr="00A6785F">
        <w:rPr>
          <w:sz w:val="22"/>
        </w:rPr>
        <w:t xml:space="preserve">. O relator, concordando com a unidade técnica nesse ponto, entendeu ter restado demonstrado que a proposta de menor preço não poderia ter sido admitida, </w:t>
      </w:r>
      <w:r w:rsidRPr="00E87DE1">
        <w:rPr>
          <w:i/>
          <w:sz w:val="22"/>
        </w:rPr>
        <w:t xml:space="preserve">“porquanto desacompanhada do respectivo Certificado de Homologação de Produtos para Telecomunicações. Nos termos dos </w:t>
      </w:r>
      <w:proofErr w:type="spellStart"/>
      <w:r w:rsidRPr="00E87DE1">
        <w:rPr>
          <w:i/>
          <w:sz w:val="22"/>
        </w:rPr>
        <w:t>arts</w:t>
      </w:r>
      <w:proofErr w:type="spellEnd"/>
      <w:r w:rsidRPr="00E87DE1">
        <w:rPr>
          <w:i/>
          <w:sz w:val="22"/>
        </w:rPr>
        <w:t>. 3º, inciso XX, 4º e 20, parágrafo único, do Regulamento para Certificação e Homologação de Produtos para Telecomunicações, aprovado pela Resolução 242/2000 da Anatel, o documento é ‘pré-requisito obrigatório para fins de comercialização e utilização no país’ do produto demandado pelo Ministério”</w:t>
      </w:r>
      <w:r w:rsidRPr="00A6785F">
        <w:rPr>
          <w:sz w:val="22"/>
        </w:rPr>
        <w:t>. Ademais,</w:t>
      </w:r>
      <w:r w:rsidR="00E87DE1">
        <w:rPr>
          <w:sz w:val="22"/>
        </w:rPr>
        <w:t xml:space="preserve"> considerou,</w:t>
      </w:r>
      <w:r w:rsidRPr="00A6785F">
        <w:rPr>
          <w:sz w:val="22"/>
        </w:rPr>
        <w:t xml:space="preserve"> o termo de referência elaborado para instruir a contratação emergencial teria disposto expressamente a respeito. Assim, no tocante à referida contratação, reputou o relator </w:t>
      </w:r>
      <w:r w:rsidRPr="00E87DE1">
        <w:rPr>
          <w:i/>
          <w:sz w:val="22"/>
        </w:rPr>
        <w:t>“afastada por inteiro a falha que ensejou a instauração desta TCE”</w:t>
      </w:r>
      <w:r w:rsidRPr="00A6785F">
        <w:rPr>
          <w:sz w:val="22"/>
        </w:rPr>
        <w:t xml:space="preserve">, motivo pelo qual propôs julgar regulares as contas dos responsáveis citados por essa ocorrência, sendo seguido pelo Colegiado. </w:t>
      </w:r>
      <w:hyperlink r:id="rId10" w:history="1">
        <w:r w:rsidRPr="00A6785F">
          <w:rPr>
            <w:rStyle w:val="Hyperlink"/>
            <w:b/>
            <w:sz w:val="22"/>
            <w:u w:val="none"/>
          </w:rPr>
          <w:t>Acórdão 998/2016 Plenário</w:t>
        </w:r>
      </w:hyperlink>
      <w:r w:rsidRPr="00A6785F">
        <w:rPr>
          <w:b/>
          <w:sz w:val="22"/>
        </w:rPr>
        <w:t xml:space="preserve">, Tomada de Contas Especial, Relator Ministro Benjamin </w:t>
      </w:r>
      <w:proofErr w:type="spellStart"/>
      <w:r w:rsidRPr="00A6785F">
        <w:rPr>
          <w:b/>
          <w:sz w:val="22"/>
        </w:rPr>
        <w:t>Zymler</w:t>
      </w:r>
      <w:proofErr w:type="spellEnd"/>
      <w:r w:rsidRPr="00A6785F">
        <w:rPr>
          <w:b/>
          <w:sz w:val="22"/>
        </w:rPr>
        <w:t>.</w:t>
      </w:r>
    </w:p>
    <w:p w:rsidR="00A6785F" w:rsidRDefault="00A6785F" w:rsidP="00A6785F">
      <w:pPr>
        <w:widowControl w:val="0"/>
        <w:autoSpaceDE w:val="0"/>
        <w:autoSpaceDN w:val="0"/>
        <w:jc w:val="both"/>
        <w:rPr>
          <w:b/>
          <w:sz w:val="22"/>
        </w:rPr>
      </w:pPr>
    </w:p>
    <w:p w:rsidR="00A6785F" w:rsidRPr="00A6785F" w:rsidRDefault="00A6785F" w:rsidP="00A6785F">
      <w:pPr>
        <w:pStyle w:val="TCU-Epgrafe"/>
        <w:ind w:left="0"/>
        <w:rPr>
          <w:b/>
          <w:sz w:val="22"/>
          <w:szCs w:val="22"/>
        </w:rPr>
      </w:pPr>
      <w:r w:rsidRPr="00A6785F">
        <w:rPr>
          <w:b/>
          <w:sz w:val="22"/>
          <w:szCs w:val="22"/>
        </w:rPr>
        <w:t>2. A adesão a ata de registro de preços requer planejamento da ação, com levantamento das reais necessidades da administração contratante, não se admitindo a contratação baseada tão-somente na demanda originalmente estimada pelo órgão gerenciador.</w:t>
      </w:r>
    </w:p>
    <w:p w:rsidR="00A6785F" w:rsidRPr="00A6785F" w:rsidRDefault="00A6785F" w:rsidP="00A6785F">
      <w:pPr>
        <w:widowControl w:val="0"/>
        <w:autoSpaceDE w:val="0"/>
        <w:autoSpaceDN w:val="0"/>
        <w:jc w:val="both"/>
        <w:rPr>
          <w:b/>
          <w:sz w:val="22"/>
        </w:rPr>
      </w:pPr>
      <w:r w:rsidRPr="00A6785F">
        <w:rPr>
          <w:sz w:val="22"/>
        </w:rPr>
        <w:t xml:space="preserve">Ainda na Tomada de Contas Especial oriunda de representação acerca de possíveis irregularidades em duas contratações efetuadas pelo Ministério da Saúde na área de </w:t>
      </w:r>
      <w:proofErr w:type="spellStart"/>
      <w:r w:rsidRPr="00A6785F">
        <w:rPr>
          <w:sz w:val="22"/>
        </w:rPr>
        <w:t>teleatendimento</w:t>
      </w:r>
      <w:proofErr w:type="spellEnd"/>
      <w:r w:rsidRPr="00A6785F">
        <w:rPr>
          <w:sz w:val="22"/>
        </w:rPr>
        <w:t xml:space="preserve">, examinou-se a contratação de "solução global de </w:t>
      </w:r>
      <w:proofErr w:type="spellStart"/>
      <w:r w:rsidRPr="00A6785F">
        <w:rPr>
          <w:i/>
          <w:sz w:val="22"/>
        </w:rPr>
        <w:t>call</w:t>
      </w:r>
      <w:proofErr w:type="spellEnd"/>
      <w:r w:rsidRPr="00A6785F">
        <w:rPr>
          <w:i/>
          <w:sz w:val="22"/>
        </w:rPr>
        <w:t xml:space="preserve"> center</w:t>
      </w:r>
      <w:r w:rsidRPr="00A6785F">
        <w:rPr>
          <w:sz w:val="22"/>
        </w:rPr>
        <w:t>" mediante adesão a ata de registro de preços da Companhia Energética de Alagoas (</w:t>
      </w:r>
      <w:proofErr w:type="spellStart"/>
      <w:r w:rsidRPr="00A6785F">
        <w:rPr>
          <w:sz w:val="22"/>
        </w:rPr>
        <w:t>Ceal</w:t>
      </w:r>
      <w:proofErr w:type="spellEnd"/>
      <w:r w:rsidRPr="00A6785F">
        <w:rPr>
          <w:sz w:val="22"/>
        </w:rPr>
        <w:t xml:space="preserve">). Segundo análise da unidade técnica, não restou devidamente comprovada a real demanda do Ministério da Saúde e a </w:t>
      </w:r>
      <w:proofErr w:type="spellStart"/>
      <w:r w:rsidRPr="00A6785F">
        <w:rPr>
          <w:sz w:val="22"/>
        </w:rPr>
        <w:t>vantajosidade</w:t>
      </w:r>
      <w:proofErr w:type="spellEnd"/>
      <w:r w:rsidRPr="00A6785F">
        <w:rPr>
          <w:sz w:val="22"/>
        </w:rPr>
        <w:t xml:space="preserve"> dos preços contratados, inexistindo nos autos estudos ou levantamentos realizados para o quantitativo a ser contratado, nem documento que demonstrasse a real vantagem econômica da adesão. Ouvidos em audiência, não lograram os responsáveis demonstrar a existência de satisfatório planejamento da contratação. Ao contrário, admitiram os responsáveis a fragilidade do planejamento ao argumentar que a contratação é que serviria para avaliar a quantidade ideal de postos para a prestação do serviço. Anotou o relator que </w:t>
      </w:r>
      <w:r w:rsidRPr="0066408C">
        <w:rPr>
          <w:i/>
          <w:sz w:val="22"/>
        </w:rPr>
        <w:t>“chega a ser despropositada a ideia de tomar uma contratação desse porte como experiência”</w:t>
      </w:r>
      <w:r w:rsidRPr="00A6785F">
        <w:rPr>
          <w:sz w:val="22"/>
        </w:rPr>
        <w:t xml:space="preserve"> destinada a, nas palavras da representante da responsável, </w:t>
      </w:r>
      <w:r w:rsidRPr="0066408C">
        <w:rPr>
          <w:i/>
          <w:sz w:val="22"/>
        </w:rPr>
        <w:t>“delimitar com mais precisão as reais necessidades do Ministério”</w:t>
      </w:r>
      <w:r w:rsidRPr="00A6785F">
        <w:rPr>
          <w:sz w:val="22"/>
        </w:rPr>
        <w:t xml:space="preserve">. E assim prosseguiu: </w:t>
      </w:r>
      <w:r w:rsidRPr="0066408C">
        <w:rPr>
          <w:i/>
          <w:sz w:val="22"/>
        </w:rPr>
        <w:t xml:space="preserve">“o que se depreende dos autos é que a expressiva ampliação do número de postos de atendimento do Disque-Saúde – de 70 para 272 – levou em conta tão-só a demanda originalmente estimada para si pela Cia. Energética de Alagoas, e não, como seria de se esperar, as reais necessidades do Ministério da Saúde. De fato, 272 foi exatamente o número de postos de 12 horas estabelecido pela </w:t>
      </w:r>
      <w:proofErr w:type="spellStart"/>
      <w:r w:rsidRPr="0066408C">
        <w:rPr>
          <w:i/>
          <w:sz w:val="22"/>
        </w:rPr>
        <w:t>Ceal</w:t>
      </w:r>
      <w:proofErr w:type="spellEnd"/>
      <w:r w:rsidRPr="0066408C">
        <w:rPr>
          <w:i/>
          <w:sz w:val="22"/>
        </w:rPr>
        <w:t xml:space="preserve"> em seu contrato”</w:t>
      </w:r>
      <w:r w:rsidRPr="00A6785F">
        <w:rPr>
          <w:sz w:val="22"/>
        </w:rPr>
        <w:t>. Carente de justificativa razoável, diante do vulto do contrato e até mesmo da não urgência da contratação, entendeu o relator ter sido irregular a conduta dos gestores, à exceção do Subsecretário de Assuntos Adm</w:t>
      </w:r>
      <w:r w:rsidR="0070472D">
        <w:rPr>
          <w:sz w:val="22"/>
        </w:rPr>
        <w:t>inistrativos, que não participara</w:t>
      </w:r>
      <w:r w:rsidRPr="00A6785F">
        <w:rPr>
          <w:sz w:val="22"/>
        </w:rPr>
        <w:t xml:space="preserve"> concretamente da decisão de contratar. Ressaltou que não houve</w:t>
      </w:r>
      <w:r w:rsidR="0066408C">
        <w:rPr>
          <w:sz w:val="22"/>
        </w:rPr>
        <w:t>ra</w:t>
      </w:r>
      <w:r w:rsidRPr="00A6785F">
        <w:rPr>
          <w:sz w:val="22"/>
        </w:rPr>
        <w:t xml:space="preserve"> análise consistente das opções de contratação do objeto, nem fundamento para desistir do procedimento licitatório que estava sendo preparado, tampouco manifestação técnica quanto à compatibilidade do objeto da ata, em qualidade e quantidade dos serviços com o objeto que o órgão contratara emergencialmente. Assim, o Tribunal acolheu a proposta do relator, rejeitando as razões de justificativas dos responsáveis e aplicando-lhes multa individual. </w:t>
      </w:r>
      <w:hyperlink r:id="rId11" w:history="1">
        <w:r w:rsidRPr="00A6785F">
          <w:rPr>
            <w:rStyle w:val="Hyperlink"/>
            <w:b/>
            <w:sz w:val="22"/>
            <w:u w:val="none"/>
          </w:rPr>
          <w:t>Acórdão 998/2016 Plenário</w:t>
        </w:r>
      </w:hyperlink>
      <w:r w:rsidRPr="00A6785F">
        <w:rPr>
          <w:b/>
          <w:sz w:val="22"/>
        </w:rPr>
        <w:t xml:space="preserve">, Tomada de Contas Especial, Relator Ministro Benjamin </w:t>
      </w:r>
      <w:proofErr w:type="spellStart"/>
      <w:r w:rsidRPr="00A6785F">
        <w:rPr>
          <w:b/>
          <w:sz w:val="22"/>
        </w:rPr>
        <w:t>Zymler</w:t>
      </w:r>
      <w:proofErr w:type="spellEnd"/>
      <w:r w:rsidRPr="00A6785F">
        <w:rPr>
          <w:b/>
          <w:sz w:val="22"/>
        </w:rPr>
        <w:t>.</w:t>
      </w:r>
    </w:p>
    <w:p w:rsidR="00A6785F" w:rsidRPr="006E008E" w:rsidRDefault="00A6785F" w:rsidP="00A6785F">
      <w:pPr>
        <w:widowControl w:val="0"/>
        <w:autoSpaceDE w:val="0"/>
        <w:autoSpaceDN w:val="0"/>
        <w:jc w:val="both"/>
        <w:rPr>
          <w:sz w:val="22"/>
        </w:rPr>
      </w:pPr>
    </w:p>
    <w:p w:rsidR="0079300B" w:rsidRDefault="0079300B" w:rsidP="0079300B">
      <w:pPr>
        <w:sectPr w:rsidR="0079300B" w:rsidSect="00BC63C7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79300B" w:rsidRDefault="0079300B" w:rsidP="0079300B">
      <w:pPr>
        <w:pBdr>
          <w:top w:val="threeDEmboss" w:sz="24" w:space="3" w:color="auto"/>
        </w:pBdr>
        <w:tabs>
          <w:tab w:val="left" w:pos="284"/>
          <w:tab w:val="left" w:pos="4172"/>
          <w:tab w:val="center" w:pos="4818"/>
        </w:tabs>
        <w:jc w:val="center"/>
        <w:rPr>
          <w:rFonts w:ascii="Arial" w:hAnsi="Arial" w:cs="Arial"/>
          <w:b/>
          <w:sz w:val="18"/>
          <w:szCs w:val="18"/>
        </w:rPr>
      </w:pPr>
    </w:p>
    <w:p w:rsidR="0079300B" w:rsidRDefault="0079300B" w:rsidP="0079300B">
      <w:pPr>
        <w:sectPr w:rsidR="0079300B" w:rsidSect="00EE3E91">
          <w:footerReference w:type="default" r:id="rId12"/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927CB7" w:rsidRDefault="001E0B29" w:rsidP="00692853">
      <w:pPr>
        <w:jc w:val="center"/>
        <w:rPr>
          <w:b/>
        </w:rPr>
      </w:pPr>
      <w:r w:rsidRPr="004D0B45">
        <w:rPr>
          <w:b/>
        </w:rPr>
        <w:lastRenderedPageBreak/>
        <w:t>SEGUNDA CÂMARA</w:t>
      </w:r>
    </w:p>
    <w:p w:rsidR="00EA6425" w:rsidRPr="00C474BD" w:rsidRDefault="002F6A55" w:rsidP="00692853">
      <w:pPr>
        <w:jc w:val="center"/>
        <w:rPr>
          <w:b/>
        </w:rPr>
      </w:pPr>
    </w:p>
    <w:p w:rsidR="008A525A" w:rsidRDefault="008A525A">
      <w:pPr>
        <w:sectPr w:rsidR="008A525A" w:rsidSect="003D3DA9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884AC8" w:rsidRPr="00A6785F" w:rsidRDefault="00A6785F" w:rsidP="00A6785F">
      <w:pPr>
        <w:pStyle w:val="Default"/>
        <w:jc w:val="both"/>
        <w:rPr>
          <w:b/>
          <w:sz w:val="22"/>
          <w:szCs w:val="22"/>
        </w:rPr>
      </w:pPr>
      <w:r w:rsidRPr="00A6785F">
        <w:rPr>
          <w:b/>
          <w:sz w:val="22"/>
          <w:szCs w:val="22"/>
        </w:rPr>
        <w:lastRenderedPageBreak/>
        <w:t xml:space="preserve">3. Admite-se a apresentação, para fins de habilitação, de atestados de capacidade técnica emitidos em nome de outra empresa da qual a licitante seja subsidiária integral, </w:t>
      </w:r>
      <w:r w:rsidRPr="00A6785F">
        <w:rPr>
          <w:b/>
          <w:iCs/>
          <w:sz w:val="22"/>
          <w:szCs w:val="22"/>
        </w:rPr>
        <w:t>desde que na criação da subsidiária tenha havido transferência parcial de patrimônio e de pessoal da controladora</w:t>
      </w:r>
      <w:r w:rsidRPr="00A6785F">
        <w:rPr>
          <w:b/>
          <w:sz w:val="22"/>
          <w:szCs w:val="22"/>
        </w:rPr>
        <w:t>.</w:t>
      </w:r>
    </w:p>
    <w:p w:rsidR="004318F3" w:rsidRPr="00D272C1" w:rsidRDefault="001E0B29" w:rsidP="00A6785F">
      <w:pPr>
        <w:widowControl w:val="0"/>
        <w:autoSpaceDE w:val="0"/>
        <w:autoSpaceDN w:val="0"/>
        <w:jc w:val="both"/>
        <w:rPr>
          <w:rFonts w:ascii="Segoe UI WPC" w:hAnsi="Segoe UI WPC"/>
          <w:i/>
          <w:color w:val="282828"/>
          <w:sz w:val="21"/>
          <w:szCs w:val="23"/>
        </w:rPr>
      </w:pPr>
      <w:r w:rsidRPr="00A6785F">
        <w:rPr>
          <w:sz w:val="22"/>
        </w:rPr>
        <w:t>Representação formul</w:t>
      </w:r>
      <w:r w:rsidR="00A6785F">
        <w:rPr>
          <w:sz w:val="22"/>
        </w:rPr>
        <w:t>ada por empresa licitante aponta</w:t>
      </w:r>
      <w:r w:rsidRPr="00A6785F">
        <w:rPr>
          <w:sz w:val="22"/>
        </w:rPr>
        <w:t xml:space="preserve">ra supostas irregularidades em pregão eletrônico promovido pelo 5º Batalhão de Suprimento, com recursos do Fundo do Exército, para a aquisição de trinta mil japonas. A representante questionara a aceitação, por parte do pregoeiro, de atestados de capacidade técnica apresentados pela empresa vencedora do certame, quando, na verdade, tais atestados tinham sido emitidos em nome de outra empresa, controladora e única acionista da vencedora da licitação. Examinando a questão, o relator anuiu à análise </w:t>
      </w:r>
      <w:r w:rsidRPr="00A6785F">
        <w:rPr>
          <w:sz w:val="22"/>
        </w:rPr>
        <w:lastRenderedPageBreak/>
        <w:t xml:space="preserve">da unidade técnica, que concluiu não ter havido ilegalidade na habilitação da licitante classificada em primeiro lugar, pois </w:t>
      </w:r>
      <w:r w:rsidRPr="00DB11BC">
        <w:rPr>
          <w:i/>
          <w:sz w:val="22"/>
        </w:rPr>
        <w:t xml:space="preserve">“o TCU já se manifestou sobre o tema em dois acórdãos: </w:t>
      </w:r>
      <w:hyperlink r:id="rId13" w:history="1">
        <w:r w:rsidR="00D272C1" w:rsidRPr="00D272C1">
          <w:rPr>
            <w:rStyle w:val="Hyperlink"/>
            <w:rFonts w:eastAsiaTheme="majorEastAsia"/>
            <w:i/>
            <w:sz w:val="22"/>
            <w:szCs w:val="23"/>
            <w:u w:val="none"/>
            <w:shd w:val="clear" w:color="auto" w:fill="FFFFFF"/>
          </w:rPr>
          <w:t>2444/2012-TCU-Plenário</w:t>
        </w:r>
      </w:hyperlink>
      <w:r w:rsidR="00D272C1">
        <w:rPr>
          <w:rFonts w:eastAsiaTheme="majorEastAsia"/>
          <w:i/>
          <w:color w:val="1F497D"/>
          <w:sz w:val="22"/>
          <w:szCs w:val="23"/>
          <w:shd w:val="clear" w:color="auto" w:fill="FFFFFF"/>
        </w:rPr>
        <w:t xml:space="preserve"> e </w:t>
      </w:r>
      <w:hyperlink r:id="rId14" w:history="1">
        <w:r w:rsidR="00D272C1" w:rsidRPr="00D272C1">
          <w:rPr>
            <w:rStyle w:val="Hyperlink"/>
            <w:rFonts w:eastAsiaTheme="majorEastAsia"/>
            <w:i/>
            <w:sz w:val="22"/>
            <w:szCs w:val="23"/>
            <w:u w:val="none"/>
            <w:shd w:val="clear" w:color="auto" w:fill="FFFFFF"/>
          </w:rPr>
          <w:t>1233/2013-Plenário</w:t>
        </w:r>
      </w:hyperlink>
      <w:r w:rsidRPr="00DB11BC">
        <w:rPr>
          <w:i/>
          <w:sz w:val="22"/>
        </w:rPr>
        <w:t>, concluindo pela legalidade do procedimento, desde que na criação da subsidiária integral tenha havido transferência parcial de patrimônio e pessoal”</w:t>
      </w:r>
      <w:r w:rsidRPr="00A6785F">
        <w:rPr>
          <w:sz w:val="22"/>
        </w:rPr>
        <w:t xml:space="preserve">. No caso concreto, consultas ao sistema CNPJ e à base de dados do Cadastro Geral de Empregados e Desempregados (CAGED) corroboraram a alegação da empresa vencedora do certame de que, para sua constituição, haviam sido transferidos instalações físicas e funcionários da empresa controladora. Com fundamento nessas considerações, o Tribunal conheceu da Representação, para, no mérito, considerá-la improcedente. </w:t>
      </w:r>
      <w:hyperlink r:id="rId15" w:history="1">
        <w:r w:rsidRPr="00A6785F">
          <w:rPr>
            <w:rStyle w:val="Hyperlink"/>
            <w:b/>
            <w:sz w:val="22"/>
            <w:u w:val="none"/>
          </w:rPr>
          <w:t>Acórdão 4936/2016 Segunda Câmara</w:t>
        </w:r>
      </w:hyperlink>
      <w:r w:rsidRPr="00A6785F">
        <w:rPr>
          <w:b/>
          <w:sz w:val="22"/>
        </w:rPr>
        <w:t>, Representação, Relator Ministro-Substituto André de Carvalho.</w:t>
      </w:r>
    </w:p>
    <w:p w:rsidR="00A6785F" w:rsidRDefault="00A6785F" w:rsidP="00A6785F">
      <w:pPr>
        <w:widowControl w:val="0"/>
        <w:autoSpaceDE w:val="0"/>
        <w:autoSpaceDN w:val="0"/>
        <w:jc w:val="both"/>
        <w:rPr>
          <w:b/>
          <w:sz w:val="22"/>
        </w:rPr>
      </w:pPr>
    </w:p>
    <w:p w:rsidR="00A70425" w:rsidRDefault="00A70425" w:rsidP="00A70425">
      <w:pPr>
        <w:pBdr>
          <w:top w:val="threeDEmboss" w:sz="24" w:space="1" w:color="auto"/>
        </w:pBdr>
        <w:tabs>
          <w:tab w:val="left" w:pos="284"/>
          <w:tab w:val="left" w:pos="4172"/>
          <w:tab w:val="center" w:pos="4818"/>
        </w:tabs>
        <w:spacing w:before="60"/>
        <w:jc w:val="center"/>
        <w:rPr>
          <w:b/>
          <w:bCs/>
          <w:smallCaps/>
          <w:sz w:val="22"/>
        </w:rPr>
      </w:pPr>
    </w:p>
    <w:p w:rsidR="00A70425" w:rsidRPr="006D0643" w:rsidRDefault="00A70425" w:rsidP="00A70425">
      <w:pPr>
        <w:pBdr>
          <w:top w:val="threeDEmboss" w:sz="24" w:space="1" w:color="auto"/>
        </w:pBdr>
        <w:tabs>
          <w:tab w:val="left" w:pos="284"/>
          <w:tab w:val="left" w:pos="4172"/>
          <w:tab w:val="center" w:pos="4818"/>
        </w:tabs>
        <w:spacing w:before="60"/>
        <w:jc w:val="center"/>
        <w:rPr>
          <w:b/>
          <w:bCs/>
          <w:smallCaps/>
          <w:sz w:val="22"/>
        </w:rPr>
      </w:pPr>
      <w:r>
        <w:rPr>
          <w:b/>
          <w:bCs/>
          <w:smallCaps/>
          <w:sz w:val="22"/>
        </w:rPr>
        <w:t>INOVAÇÃO LEGISLATIVA</w:t>
      </w:r>
    </w:p>
    <w:p w:rsidR="00A70425" w:rsidRPr="00827475" w:rsidRDefault="00A70425" w:rsidP="00A70425">
      <w:pPr>
        <w:rPr>
          <w:sz w:val="22"/>
        </w:rPr>
      </w:pPr>
    </w:p>
    <w:p w:rsidR="00A70425" w:rsidRPr="00827475" w:rsidRDefault="00A70425" w:rsidP="00A70425">
      <w:pPr>
        <w:rPr>
          <w:sz w:val="22"/>
        </w:rPr>
      </w:pPr>
    </w:p>
    <w:p w:rsidR="00827475" w:rsidRDefault="00827475" w:rsidP="00827475">
      <w:pPr>
        <w:jc w:val="both"/>
        <w:rPr>
          <w:color w:val="000000"/>
          <w:sz w:val="22"/>
        </w:rPr>
      </w:pPr>
      <w:hyperlink r:id="rId16" w:history="1">
        <w:r w:rsidR="000144B5">
          <w:rPr>
            <w:rStyle w:val="Hyperlink"/>
            <w:rFonts w:eastAsiaTheme="majorEastAsia"/>
            <w:b/>
            <w:sz w:val="22"/>
          </w:rPr>
          <w:t>Medida Provisória</w:t>
        </w:r>
        <w:r w:rsidRPr="00827475">
          <w:rPr>
            <w:rStyle w:val="Hyperlink"/>
            <w:rFonts w:eastAsiaTheme="majorEastAsia"/>
            <w:b/>
            <w:sz w:val="22"/>
          </w:rPr>
          <w:t xml:space="preserve"> 7</w:t>
        </w:r>
      </w:hyperlink>
      <w:hyperlink r:id="rId17" w:history="1">
        <w:r w:rsidRPr="00827475">
          <w:rPr>
            <w:rStyle w:val="Hyperlink"/>
            <w:rFonts w:eastAsiaTheme="majorEastAsia"/>
            <w:b/>
            <w:sz w:val="22"/>
          </w:rPr>
          <w:t>27, de</w:t>
        </w:r>
        <w:r w:rsidR="00144CEF">
          <w:rPr>
            <w:rStyle w:val="Hyperlink"/>
            <w:rFonts w:eastAsiaTheme="majorEastAsia"/>
            <w:b/>
            <w:sz w:val="22"/>
          </w:rPr>
          <w:t xml:space="preserve"> </w:t>
        </w:r>
        <w:proofErr w:type="gramStart"/>
        <w:r w:rsidRPr="00827475">
          <w:rPr>
            <w:rStyle w:val="Hyperlink"/>
            <w:rFonts w:eastAsiaTheme="majorEastAsia"/>
            <w:b/>
            <w:sz w:val="22"/>
          </w:rPr>
          <w:t xml:space="preserve">12.5.2016 </w:t>
        </w:r>
      </w:hyperlink>
      <w:r w:rsidRPr="00827475">
        <w:rPr>
          <w:b/>
          <w:sz w:val="22"/>
        </w:rPr>
        <w:t>:</w:t>
      </w:r>
      <w:proofErr w:type="gramEnd"/>
      <w:r w:rsidR="00144CEF">
        <w:rPr>
          <w:sz w:val="22"/>
        </w:rPr>
        <w:t xml:space="preserve"> </w:t>
      </w:r>
      <w:r w:rsidRPr="00827475">
        <w:rPr>
          <w:color w:val="000000"/>
          <w:sz w:val="22"/>
        </w:rPr>
        <w:t>Cria o Programa de Parce</w:t>
      </w:r>
      <w:r>
        <w:rPr>
          <w:color w:val="000000"/>
          <w:sz w:val="22"/>
        </w:rPr>
        <w:t>rias de Investimentos - PPI e dá</w:t>
      </w:r>
      <w:r w:rsidRPr="00827475">
        <w:rPr>
          <w:color w:val="000000"/>
          <w:sz w:val="22"/>
        </w:rPr>
        <w:t xml:space="preserve"> outras providências.</w:t>
      </w:r>
    </w:p>
    <w:p w:rsidR="000144B5" w:rsidRDefault="000144B5" w:rsidP="00827475">
      <w:pPr>
        <w:jc w:val="both"/>
        <w:rPr>
          <w:color w:val="000000"/>
          <w:sz w:val="22"/>
        </w:rPr>
      </w:pPr>
    </w:p>
    <w:p w:rsidR="000144B5" w:rsidRPr="00827475" w:rsidRDefault="000144B5" w:rsidP="000144B5">
      <w:pPr>
        <w:jc w:val="both"/>
        <w:rPr>
          <w:color w:val="000000"/>
          <w:sz w:val="22"/>
        </w:rPr>
      </w:pPr>
      <w:hyperlink r:id="rId18" w:history="1">
        <w:r>
          <w:rPr>
            <w:rStyle w:val="Hyperlink"/>
            <w:rFonts w:eastAsiaTheme="majorEastAsia"/>
            <w:b/>
            <w:sz w:val="22"/>
          </w:rPr>
          <w:t>Decreto</w:t>
        </w:r>
        <w:r w:rsidRPr="00827475">
          <w:rPr>
            <w:rStyle w:val="Hyperlink"/>
            <w:rFonts w:eastAsiaTheme="majorEastAsia"/>
            <w:b/>
            <w:sz w:val="22"/>
          </w:rPr>
          <w:t xml:space="preserve"> 8</w:t>
        </w:r>
      </w:hyperlink>
      <w:hyperlink r:id="rId19" w:history="1">
        <w:r w:rsidRPr="00827475">
          <w:rPr>
            <w:rStyle w:val="Hyperlink"/>
            <w:rFonts w:eastAsiaTheme="majorEastAsia"/>
            <w:b/>
            <w:sz w:val="22"/>
          </w:rPr>
          <w:t>.755, de 10.5.2016</w:t>
        </w:r>
      </w:hyperlink>
      <w:r w:rsidRPr="00827475">
        <w:rPr>
          <w:b/>
          <w:sz w:val="22"/>
        </w:rPr>
        <w:t>:</w:t>
      </w:r>
      <w:r w:rsidRPr="00827475">
        <w:rPr>
          <w:sz w:val="22"/>
        </w:rPr>
        <w:t xml:space="preserve"> </w:t>
      </w:r>
      <w:r w:rsidRPr="00827475">
        <w:rPr>
          <w:color w:val="000000"/>
          <w:sz w:val="22"/>
        </w:rPr>
        <w:t>Altera o Decreto nº 7.689, de 2 de março de 2012, que estabelece, no âmbito do Poder Executivo federal, limites e instâncias de governança para a contratação de bens e serviços e para a realização de gastos com diárias e passagens.</w:t>
      </w:r>
    </w:p>
    <w:p w:rsidR="000144B5" w:rsidRDefault="000144B5" w:rsidP="00827475">
      <w:pPr>
        <w:jc w:val="both"/>
        <w:rPr>
          <w:b/>
          <w:sz w:val="22"/>
        </w:rPr>
      </w:pPr>
    </w:p>
    <w:p w:rsidR="00827475" w:rsidRPr="00827475" w:rsidRDefault="00827475" w:rsidP="00827475">
      <w:pPr>
        <w:jc w:val="both"/>
        <w:rPr>
          <w:color w:val="000000"/>
          <w:sz w:val="22"/>
        </w:rPr>
      </w:pPr>
      <w:hyperlink r:id="rId20" w:history="1">
        <w:r w:rsidR="000144B5">
          <w:rPr>
            <w:rStyle w:val="Hyperlink"/>
            <w:rFonts w:eastAsiaTheme="majorEastAsia"/>
            <w:b/>
            <w:sz w:val="22"/>
          </w:rPr>
          <w:t>Decreto</w:t>
        </w:r>
        <w:r w:rsidRPr="00827475">
          <w:rPr>
            <w:rStyle w:val="Hyperlink"/>
            <w:rFonts w:eastAsiaTheme="majorEastAsia"/>
            <w:b/>
            <w:sz w:val="22"/>
          </w:rPr>
          <w:t xml:space="preserve"> 8</w:t>
        </w:r>
      </w:hyperlink>
      <w:hyperlink r:id="rId21" w:history="1">
        <w:r w:rsidRPr="00827475">
          <w:rPr>
            <w:rStyle w:val="Hyperlink"/>
            <w:rFonts w:eastAsiaTheme="majorEastAsia"/>
            <w:b/>
            <w:sz w:val="22"/>
          </w:rPr>
          <w:t>.756, de 10.5.2016</w:t>
        </w:r>
      </w:hyperlink>
      <w:r w:rsidRPr="00827475">
        <w:rPr>
          <w:b/>
          <w:sz w:val="22"/>
        </w:rPr>
        <w:t>:</w:t>
      </w:r>
      <w:r w:rsidRPr="00827475">
        <w:rPr>
          <w:sz w:val="22"/>
        </w:rPr>
        <w:t xml:space="preserve"> </w:t>
      </w:r>
      <w:r w:rsidRPr="00827475">
        <w:rPr>
          <w:color w:val="000000"/>
          <w:sz w:val="22"/>
        </w:rPr>
        <w:t xml:space="preserve">Dispõe sobre a atribuição de infraestrutura aeroportuária à Empresa Brasileira de Infraestrutura Aeroportuária - Infraero, e dá outras providências. </w:t>
      </w:r>
    </w:p>
    <w:p w:rsidR="00827475" w:rsidRPr="00827475" w:rsidRDefault="00827475" w:rsidP="00827475">
      <w:pPr>
        <w:jc w:val="both"/>
        <w:rPr>
          <w:sz w:val="22"/>
        </w:rPr>
      </w:pPr>
    </w:p>
    <w:p w:rsidR="00A6785F" w:rsidRDefault="00A6785F" w:rsidP="00A6785F">
      <w:pPr>
        <w:widowControl w:val="0"/>
        <w:autoSpaceDE w:val="0"/>
        <w:autoSpaceDN w:val="0"/>
        <w:jc w:val="both"/>
        <w:rPr>
          <w:rFonts w:ascii="Arial" w:hAnsi="Arial" w:cs="Arial"/>
          <w:b/>
          <w:sz w:val="18"/>
          <w:szCs w:val="18"/>
        </w:rPr>
      </w:pPr>
    </w:p>
    <w:p w:rsidR="000144B5" w:rsidRDefault="000144B5" w:rsidP="00A6785F">
      <w:pPr>
        <w:widowControl w:val="0"/>
        <w:autoSpaceDE w:val="0"/>
        <w:autoSpaceDN w:val="0"/>
        <w:jc w:val="both"/>
        <w:rPr>
          <w:rFonts w:ascii="Arial" w:hAnsi="Arial" w:cs="Arial"/>
          <w:b/>
          <w:sz w:val="18"/>
          <w:szCs w:val="18"/>
        </w:rPr>
      </w:pPr>
    </w:p>
    <w:p w:rsidR="008A525A" w:rsidRDefault="008A525A">
      <w:pPr>
        <w:sectPr w:rsidR="008A525A" w:rsidSect="00EE3E91">
          <w:footerReference w:type="default" r:id="rId22"/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C97756" w:rsidRPr="008C7BE6" w:rsidRDefault="001E0B29" w:rsidP="000144B5">
      <w:pPr>
        <w:pStyle w:val="enter-3pt"/>
        <w:tabs>
          <w:tab w:val="left" w:pos="2590"/>
        </w:tabs>
        <w:spacing w:after="120"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8C7BE6">
        <w:rPr>
          <w:rFonts w:ascii="Arial" w:hAnsi="Arial" w:cs="Arial"/>
          <w:b/>
          <w:i/>
          <w:sz w:val="18"/>
          <w:szCs w:val="18"/>
        </w:rPr>
        <w:lastRenderedPageBreak/>
        <w:t>Elaboração: Diretoria de Jurisprudência - Secretaria das Sessões</w:t>
      </w:r>
    </w:p>
    <w:p w:rsidR="00C03330" w:rsidRPr="00AA6697" w:rsidRDefault="001E0B29" w:rsidP="000144B5">
      <w:pPr>
        <w:spacing w:after="120" w:line="276" w:lineRule="auto"/>
        <w:jc w:val="center"/>
        <w:rPr>
          <w:rFonts w:ascii="Arial" w:hAnsi="Arial" w:cs="Arial"/>
          <w:sz w:val="18"/>
          <w:szCs w:val="18"/>
        </w:rPr>
      </w:pPr>
      <w:r w:rsidRPr="008C7BE6">
        <w:rPr>
          <w:rFonts w:ascii="Arial" w:hAnsi="Arial" w:cs="Arial"/>
          <w:b/>
          <w:i/>
          <w:sz w:val="18"/>
          <w:szCs w:val="18"/>
        </w:rPr>
        <w:t xml:space="preserve">Contato: </w:t>
      </w:r>
      <w:hyperlink r:id="rId23" w:history="1">
        <w:r w:rsidRPr="00C97756">
          <w:rPr>
            <w:rStyle w:val="Hyperlink"/>
            <w:rFonts w:ascii="Arial" w:hAnsi="Arial" w:cs="Arial"/>
            <w:i/>
            <w:sz w:val="18"/>
            <w:szCs w:val="18"/>
          </w:rPr>
          <w:t>infojuris@tcu.gov.br</w:t>
        </w:r>
      </w:hyperlink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</w:p>
    <w:sectPr w:rsidR="00C03330" w:rsidRPr="00AA6697" w:rsidSect="00E41618">
      <w:footerReference w:type="default" r:id="rId24"/>
      <w:type w:val="continuous"/>
      <w:pgSz w:w="11906" w:h="16838" w:code="9"/>
      <w:pgMar w:top="1440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A55" w:rsidRDefault="002F6A55" w:rsidP="00ED5179">
      <w:r>
        <w:separator/>
      </w:r>
    </w:p>
  </w:endnote>
  <w:endnote w:type="continuationSeparator" w:id="0">
    <w:p w:rsidR="002F6A55" w:rsidRDefault="002F6A55" w:rsidP="00ED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WP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E2" w:rsidRDefault="00C04BE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4347">
      <w:rPr>
        <w:noProof/>
      </w:rPr>
      <w:t>1</w:t>
    </w:r>
    <w:r>
      <w:fldChar w:fldCharType="end"/>
    </w:r>
  </w:p>
  <w:p w:rsidR="009C1CD2" w:rsidRDefault="009C1CD2" w:rsidP="00D702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E2" w:rsidRDefault="00C04BE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4347">
      <w:rPr>
        <w:noProof/>
      </w:rPr>
      <w:t>2</w:t>
    </w:r>
    <w:r>
      <w:fldChar w:fldCharType="end"/>
    </w:r>
  </w:p>
  <w:p w:rsidR="009C1CD2" w:rsidRDefault="009C1CD2" w:rsidP="00D702D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00B" w:rsidRDefault="0079300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9300B" w:rsidRDefault="0079300B" w:rsidP="00D702D9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E2" w:rsidRDefault="00C04BE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4347">
      <w:rPr>
        <w:noProof/>
      </w:rPr>
      <w:t>3</w:t>
    </w:r>
    <w:r>
      <w:fldChar w:fldCharType="end"/>
    </w:r>
  </w:p>
  <w:p w:rsidR="009C1CD2" w:rsidRDefault="009C1CD2" w:rsidP="00D702D9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97" w:rsidRDefault="001E0B29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785F">
      <w:rPr>
        <w:noProof/>
      </w:rPr>
      <w:t>3</w:t>
    </w:r>
    <w:r>
      <w:fldChar w:fldCharType="end"/>
    </w:r>
  </w:p>
  <w:p w:rsidR="00AA6697" w:rsidRDefault="002F6A55" w:rsidP="00AA66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A55" w:rsidRDefault="002F6A55" w:rsidP="00ED5179">
      <w:r>
        <w:separator/>
      </w:r>
    </w:p>
  </w:footnote>
  <w:footnote w:type="continuationSeparator" w:id="0">
    <w:p w:rsidR="002F6A55" w:rsidRDefault="002F6A55" w:rsidP="00ED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06" w:rsidRPr="0035499A" w:rsidRDefault="008B5C28" w:rsidP="0093720C">
    <w:pPr>
      <w:pStyle w:val="Cabealho"/>
      <w:spacing w:after="100" w:afterAutospacing="1"/>
    </w:pPr>
    <w:r w:rsidRPr="008B5C28">
      <w:rPr>
        <w:b/>
        <w:i/>
        <w:noProof/>
        <w:sz w:val="22"/>
        <w:lang w:eastAsia="pt-BR"/>
      </w:rPr>
      <w:drawing>
        <wp:inline distT="0" distB="0" distL="0" distR="0">
          <wp:extent cx="6086475" cy="760730"/>
          <wp:effectExtent l="0" t="0" r="0" b="0"/>
          <wp:docPr id="2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ner-info-li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79"/>
    <w:rsid w:val="00007433"/>
    <w:rsid w:val="000144B5"/>
    <w:rsid w:val="00035ABF"/>
    <w:rsid w:val="000362D8"/>
    <w:rsid w:val="000403CF"/>
    <w:rsid w:val="00055FCC"/>
    <w:rsid w:val="00082F24"/>
    <w:rsid w:val="000F2444"/>
    <w:rsid w:val="00107C47"/>
    <w:rsid w:val="0013773E"/>
    <w:rsid w:val="00144CEF"/>
    <w:rsid w:val="00167319"/>
    <w:rsid w:val="00171F4E"/>
    <w:rsid w:val="00177D47"/>
    <w:rsid w:val="001A0F92"/>
    <w:rsid w:val="001A4CB9"/>
    <w:rsid w:val="001D00C5"/>
    <w:rsid w:val="001D00FE"/>
    <w:rsid w:val="001D6FAA"/>
    <w:rsid w:val="001E0B29"/>
    <w:rsid w:val="001F4538"/>
    <w:rsid w:val="002046AF"/>
    <w:rsid w:val="0020622A"/>
    <w:rsid w:val="00234034"/>
    <w:rsid w:val="00234B78"/>
    <w:rsid w:val="002466B7"/>
    <w:rsid w:val="00256B0C"/>
    <w:rsid w:val="00295550"/>
    <w:rsid w:val="002961A3"/>
    <w:rsid w:val="002C67CE"/>
    <w:rsid w:val="002D3139"/>
    <w:rsid w:val="002D3A2F"/>
    <w:rsid w:val="002E380E"/>
    <w:rsid w:val="002F6A55"/>
    <w:rsid w:val="00306884"/>
    <w:rsid w:val="00321872"/>
    <w:rsid w:val="00327A3D"/>
    <w:rsid w:val="00344ECE"/>
    <w:rsid w:val="0035499A"/>
    <w:rsid w:val="003C5A0B"/>
    <w:rsid w:val="003C5E3B"/>
    <w:rsid w:val="003E35D7"/>
    <w:rsid w:val="003F3644"/>
    <w:rsid w:val="003F6210"/>
    <w:rsid w:val="004238A5"/>
    <w:rsid w:val="004318F3"/>
    <w:rsid w:val="00431E71"/>
    <w:rsid w:val="0043308E"/>
    <w:rsid w:val="0048449D"/>
    <w:rsid w:val="004A2DDF"/>
    <w:rsid w:val="004A3622"/>
    <w:rsid w:val="004B4A6D"/>
    <w:rsid w:val="004C3808"/>
    <w:rsid w:val="00513988"/>
    <w:rsid w:val="00525994"/>
    <w:rsid w:val="005264AF"/>
    <w:rsid w:val="00532988"/>
    <w:rsid w:val="00545F83"/>
    <w:rsid w:val="00556CD4"/>
    <w:rsid w:val="00557A83"/>
    <w:rsid w:val="005612CC"/>
    <w:rsid w:val="005617EF"/>
    <w:rsid w:val="00566CAF"/>
    <w:rsid w:val="00572E3F"/>
    <w:rsid w:val="005A1B4B"/>
    <w:rsid w:val="005A2E89"/>
    <w:rsid w:val="006006C2"/>
    <w:rsid w:val="00632AA6"/>
    <w:rsid w:val="006539EA"/>
    <w:rsid w:val="006608CF"/>
    <w:rsid w:val="0066408C"/>
    <w:rsid w:val="006779C0"/>
    <w:rsid w:val="00686128"/>
    <w:rsid w:val="006F1289"/>
    <w:rsid w:val="006F1D2A"/>
    <w:rsid w:val="00703C89"/>
    <w:rsid w:val="0070472D"/>
    <w:rsid w:val="00732A0F"/>
    <w:rsid w:val="007404E0"/>
    <w:rsid w:val="00791535"/>
    <w:rsid w:val="0079300B"/>
    <w:rsid w:val="007A008F"/>
    <w:rsid w:val="007A6ECE"/>
    <w:rsid w:val="007B032E"/>
    <w:rsid w:val="007E09D4"/>
    <w:rsid w:val="008048F0"/>
    <w:rsid w:val="00824B9C"/>
    <w:rsid w:val="00827475"/>
    <w:rsid w:val="00837598"/>
    <w:rsid w:val="00842D06"/>
    <w:rsid w:val="008659BF"/>
    <w:rsid w:val="00874F87"/>
    <w:rsid w:val="00881A7C"/>
    <w:rsid w:val="00891E61"/>
    <w:rsid w:val="008A525A"/>
    <w:rsid w:val="008B5C28"/>
    <w:rsid w:val="008C06E3"/>
    <w:rsid w:val="008C5387"/>
    <w:rsid w:val="008C7BE6"/>
    <w:rsid w:val="008D43AA"/>
    <w:rsid w:val="008E095E"/>
    <w:rsid w:val="008F0439"/>
    <w:rsid w:val="008F73E2"/>
    <w:rsid w:val="00924297"/>
    <w:rsid w:val="00934A42"/>
    <w:rsid w:val="00935B2B"/>
    <w:rsid w:val="0093720C"/>
    <w:rsid w:val="00942C93"/>
    <w:rsid w:val="0095776C"/>
    <w:rsid w:val="009772F2"/>
    <w:rsid w:val="00991087"/>
    <w:rsid w:val="009B0538"/>
    <w:rsid w:val="009C1CD2"/>
    <w:rsid w:val="009D4C43"/>
    <w:rsid w:val="009D60F6"/>
    <w:rsid w:val="009E41D1"/>
    <w:rsid w:val="00A205EC"/>
    <w:rsid w:val="00A22D1E"/>
    <w:rsid w:val="00A306A8"/>
    <w:rsid w:val="00A6785F"/>
    <w:rsid w:val="00A70425"/>
    <w:rsid w:val="00A83C33"/>
    <w:rsid w:val="00A9242D"/>
    <w:rsid w:val="00AA3E05"/>
    <w:rsid w:val="00AA4BD9"/>
    <w:rsid w:val="00AA6A32"/>
    <w:rsid w:val="00AB7BF8"/>
    <w:rsid w:val="00AC6714"/>
    <w:rsid w:val="00AD3C90"/>
    <w:rsid w:val="00AF1E2C"/>
    <w:rsid w:val="00B12E89"/>
    <w:rsid w:val="00B17FDA"/>
    <w:rsid w:val="00B41043"/>
    <w:rsid w:val="00B526D3"/>
    <w:rsid w:val="00B74347"/>
    <w:rsid w:val="00B91CBF"/>
    <w:rsid w:val="00BD1D53"/>
    <w:rsid w:val="00BD3B05"/>
    <w:rsid w:val="00BD55F7"/>
    <w:rsid w:val="00BE719D"/>
    <w:rsid w:val="00BF2730"/>
    <w:rsid w:val="00BF581A"/>
    <w:rsid w:val="00C013E3"/>
    <w:rsid w:val="00C04BE2"/>
    <w:rsid w:val="00C16F38"/>
    <w:rsid w:val="00C23E2C"/>
    <w:rsid w:val="00C35594"/>
    <w:rsid w:val="00C43825"/>
    <w:rsid w:val="00C473AD"/>
    <w:rsid w:val="00C714EE"/>
    <w:rsid w:val="00C72771"/>
    <w:rsid w:val="00C85CAC"/>
    <w:rsid w:val="00C92822"/>
    <w:rsid w:val="00C96FBD"/>
    <w:rsid w:val="00CD3717"/>
    <w:rsid w:val="00CD5906"/>
    <w:rsid w:val="00CE382D"/>
    <w:rsid w:val="00D048E4"/>
    <w:rsid w:val="00D05033"/>
    <w:rsid w:val="00D1244C"/>
    <w:rsid w:val="00D272C1"/>
    <w:rsid w:val="00D31C0A"/>
    <w:rsid w:val="00D501DA"/>
    <w:rsid w:val="00D702D9"/>
    <w:rsid w:val="00D75CE4"/>
    <w:rsid w:val="00DA2CAF"/>
    <w:rsid w:val="00DB11BC"/>
    <w:rsid w:val="00DC4B60"/>
    <w:rsid w:val="00DD065C"/>
    <w:rsid w:val="00DD5873"/>
    <w:rsid w:val="00DD607D"/>
    <w:rsid w:val="00DD6C20"/>
    <w:rsid w:val="00DF244B"/>
    <w:rsid w:val="00DF5181"/>
    <w:rsid w:val="00DF69E6"/>
    <w:rsid w:val="00E027B1"/>
    <w:rsid w:val="00E145EE"/>
    <w:rsid w:val="00E46CEB"/>
    <w:rsid w:val="00E55A1D"/>
    <w:rsid w:val="00E65DBA"/>
    <w:rsid w:val="00E73B12"/>
    <w:rsid w:val="00E87DE1"/>
    <w:rsid w:val="00E90600"/>
    <w:rsid w:val="00E93506"/>
    <w:rsid w:val="00EA61D7"/>
    <w:rsid w:val="00ED5179"/>
    <w:rsid w:val="00EE70E9"/>
    <w:rsid w:val="00F0239A"/>
    <w:rsid w:val="00F05C62"/>
    <w:rsid w:val="00F26DD0"/>
    <w:rsid w:val="00F30B9F"/>
    <w:rsid w:val="00F819A7"/>
    <w:rsid w:val="00FB590D"/>
    <w:rsid w:val="00FF383F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60B4C58-9F42-42E0-8E6B-4F727770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3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F2730"/>
    <w:pPr>
      <w:keepNext/>
      <w:keepLines/>
      <w:outlineLvl w:val="0"/>
    </w:pPr>
    <w:rPr>
      <w:rFonts w:eastAsiaTheme="majorEastAsia"/>
      <w:b/>
      <w:bCs/>
      <w:color w:val="365F91" w:themeColor="accent1" w:themeShade="BF"/>
      <w:szCs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499A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BF2730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5499A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ED51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D517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ED51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D517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1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D5179"/>
    <w:rPr>
      <w:rFonts w:ascii="Tahoma" w:hAnsi="Tahoma" w:cs="Tahoma"/>
      <w:sz w:val="16"/>
      <w:szCs w:val="16"/>
    </w:rPr>
  </w:style>
  <w:style w:type="paragraph" w:customStyle="1" w:styleId="TCU-Epgrafe">
    <w:name w:val="TCU - Epígrafe"/>
    <w:basedOn w:val="Normal"/>
    <w:rsid w:val="00BF2730"/>
    <w:pPr>
      <w:ind w:left="2835"/>
      <w:jc w:val="both"/>
    </w:pPr>
    <w:rPr>
      <w:szCs w:val="20"/>
      <w:lang w:eastAsia="pt-BR"/>
    </w:rPr>
  </w:style>
  <w:style w:type="paragraph" w:styleId="SemEspaamento">
    <w:name w:val="No Spacing"/>
    <w:uiPriority w:val="1"/>
    <w:qFormat/>
    <w:rsid w:val="00BF273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BF2730"/>
    <w:pPr>
      <w:pBdr>
        <w:bottom w:val="single" w:sz="8" w:space="4" w:color="4F81BD" w:themeColor="accent1"/>
      </w:pBdr>
      <w:contextualSpacing/>
    </w:pPr>
    <w:rPr>
      <w:rFonts w:eastAsiaTheme="majorEastAsia"/>
      <w:color w:val="17365D" w:themeColor="text2" w:themeShade="BF"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locked/>
    <w:rsid w:val="00BF273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2730"/>
    <w:pPr>
      <w:numPr>
        <w:ilvl w:val="1"/>
      </w:numPr>
    </w:pPr>
    <w:rPr>
      <w:rFonts w:eastAsiaTheme="majorEastAsia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BF2730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customStyle="1" w:styleId="TCU-Centralizado">
    <w:name w:val="TCU - Centralizado"/>
    <w:basedOn w:val="Normal"/>
    <w:qFormat/>
    <w:rsid w:val="009E41D1"/>
    <w:pPr>
      <w:jc w:val="center"/>
    </w:pPr>
    <w:rPr>
      <w:szCs w:val="24"/>
    </w:rPr>
  </w:style>
  <w:style w:type="paragraph" w:customStyle="1" w:styleId="TCU-RelVoto-1">
    <w:name w:val="TCU - Rel/Voto - 1º §"/>
    <w:basedOn w:val="Normal"/>
    <w:qFormat/>
    <w:rsid w:val="009E41D1"/>
    <w:pPr>
      <w:spacing w:after="160"/>
      <w:ind w:firstLine="1134"/>
      <w:jc w:val="both"/>
    </w:pPr>
  </w:style>
  <w:style w:type="paragraph" w:customStyle="1" w:styleId="TCU-Ac-item9-">
    <w:name w:val="TCU - Ac - item 9 - §§"/>
    <w:basedOn w:val="TCU-RelVoto-1"/>
    <w:qFormat/>
    <w:rsid w:val="009E41D1"/>
    <w:pPr>
      <w:spacing w:after="0"/>
    </w:pPr>
  </w:style>
  <w:style w:type="paragraph" w:customStyle="1" w:styleId="TCU-RelVoto-demais">
    <w:name w:val="TCU - Rel/Voto - demais §§"/>
    <w:basedOn w:val="Normal"/>
    <w:qFormat/>
    <w:rsid w:val="009E41D1"/>
    <w:pPr>
      <w:tabs>
        <w:tab w:val="left" w:pos="1134"/>
      </w:tabs>
      <w:spacing w:after="160"/>
      <w:jc w:val="both"/>
    </w:pPr>
  </w:style>
  <w:style w:type="paragraph" w:customStyle="1" w:styleId="TCU-Ac-itens1a8">
    <w:name w:val="TCU -   Ac - itens 1 a 8"/>
    <w:basedOn w:val="TCU-RelVoto-demais"/>
    <w:qFormat/>
    <w:rsid w:val="009E41D1"/>
    <w:pPr>
      <w:spacing w:after="0"/>
    </w:pPr>
  </w:style>
  <w:style w:type="paragraph" w:customStyle="1" w:styleId="TCU-Sumrio">
    <w:name w:val="TCU - Sumário"/>
    <w:basedOn w:val="Normal"/>
    <w:qFormat/>
    <w:rsid w:val="009E41D1"/>
    <w:pPr>
      <w:ind w:left="5103"/>
      <w:jc w:val="both"/>
    </w:pPr>
    <w:rPr>
      <w:b/>
    </w:rPr>
  </w:style>
  <w:style w:type="paragraph" w:customStyle="1" w:styleId="TCU-Transcrio">
    <w:name w:val="TCU - Transcrição"/>
    <w:basedOn w:val="Normal"/>
    <w:qFormat/>
    <w:rsid w:val="009E41D1"/>
    <w:pPr>
      <w:spacing w:after="120"/>
      <w:ind w:left="284" w:firstLine="567"/>
      <w:jc w:val="both"/>
    </w:pPr>
    <w:rPr>
      <w:i/>
    </w:rPr>
  </w:style>
  <w:style w:type="paragraph" w:customStyle="1" w:styleId="TCU-Ac-item9-1Linha">
    <w:name w:val="TCU -  Ac - item 9 - 1ª Linha"/>
    <w:basedOn w:val="TCU-RelVoto-demais"/>
    <w:qFormat/>
    <w:rsid w:val="0013773E"/>
  </w:style>
  <w:style w:type="paragraph" w:customStyle="1" w:styleId="Default">
    <w:name w:val="Default"/>
    <w:rsid w:val="004A2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4A2DDF"/>
    <w:pPr>
      <w:tabs>
        <w:tab w:val="left" w:pos="1134"/>
      </w:tabs>
      <w:spacing w:before="120"/>
      <w:ind w:left="1134"/>
      <w:jc w:val="both"/>
    </w:pPr>
    <w:rPr>
      <w:iCs/>
      <w:color w:val="000000"/>
      <w:sz w:val="22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locked/>
    <w:rsid w:val="004A2DDF"/>
    <w:rPr>
      <w:rFonts w:ascii="Times New Roman" w:hAnsi="Times New Roman" w:cs="Times New Roman"/>
      <w:iCs/>
      <w:color w:val="000000"/>
      <w:sz w:val="20"/>
      <w:szCs w:val="20"/>
      <w:lang w:val="x-none" w:eastAsia="pt-BR"/>
    </w:rPr>
  </w:style>
  <w:style w:type="paragraph" w:styleId="NormalWeb">
    <w:name w:val="Normal (Web)"/>
    <w:basedOn w:val="Normal"/>
    <w:uiPriority w:val="99"/>
    <w:unhideWhenUsed/>
    <w:rsid w:val="00E73B12"/>
    <w:rPr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499A"/>
    <w:rPr>
      <w:rFonts w:cs="Times New Roman"/>
      <w:color w:val="0000FF"/>
      <w:u w:val="single"/>
    </w:rPr>
  </w:style>
  <w:style w:type="paragraph" w:customStyle="1" w:styleId="enter-3pt">
    <w:name w:val="enter-3pt"/>
    <w:basedOn w:val="Normal"/>
    <w:rsid w:val="0048449D"/>
    <w:pPr>
      <w:autoSpaceDE w:val="0"/>
      <w:autoSpaceDN w:val="0"/>
      <w:adjustRightInd w:val="0"/>
      <w:spacing w:line="60" w:lineRule="atLeast"/>
      <w:jc w:val="both"/>
    </w:pPr>
    <w:rPr>
      <w:sz w:val="8"/>
      <w:szCs w:val="8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A3622"/>
    <w:pPr>
      <w:spacing w:after="120" w:line="480" w:lineRule="auto"/>
      <w:ind w:left="1134"/>
      <w:jc w:val="both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4A3622"/>
    <w:rPr>
      <w:rFonts w:ascii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4A362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42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ontas.tcu.gov.br/juris/SvlProxyHighlight?base=ACORDAO&amp;ano=2012&amp;numero=2444&amp;colegiado=P" TargetMode="External"/><Relationship Id="rId18" Type="http://schemas.openxmlformats.org/officeDocument/2006/relationships/hyperlink" Target="http://www.planalto.gov.br/CCIVIL_03/_Ato2015-2018/2016/Decreto/D8755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lanalto.gov.br/CCIVIL_03/_Ato2015-2018/2016/Decreto/D8756.htm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planalto.gov.br/CCIVIL_03/_Ato2015-2018/2016/Mpv/mpv727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lanalto.gov.br/CCIVIL_03/_Ato2015-2018/2016/Mpv/mpv727.htm" TargetMode="External"/><Relationship Id="rId20" Type="http://schemas.openxmlformats.org/officeDocument/2006/relationships/hyperlink" Target="http://www.planalto.gov.br/CCIVIL_03/_Ato2015-2018/2016/Decreto/D8756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ntas.tcu.gov.br/juris/SvlProxyHighlight?base=ACORDAO&amp;ano=2016&amp;numero=998&amp;colegiado=P" TargetMode="Externa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s://contas.tcu.gov.br/juris/SvlProxyHighlight?base=ACORDAO&amp;ano=2016&amp;numero=4936&amp;colegiado=2" TargetMode="External"/><Relationship Id="rId23" Type="http://schemas.openxmlformats.org/officeDocument/2006/relationships/hyperlink" Target="mailto:infojuris@tcu.gov.br" TargetMode="External"/><Relationship Id="rId10" Type="http://schemas.openxmlformats.org/officeDocument/2006/relationships/hyperlink" Target="https://contas.tcu.gov.br/juris/SvlProxyHighlight?base=ACORDAO&amp;ano=2016&amp;numero=998&amp;colegiado=P" TargetMode="External"/><Relationship Id="rId19" Type="http://schemas.openxmlformats.org/officeDocument/2006/relationships/hyperlink" Target="http://www.planalto.gov.br/CCIVIL_03/_Ato2015-2018/2016/Decreto/D8755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contas.tcu.gov.br/juris/SvlProxyHighlight?base=ACORDAO&amp;ano=2013&amp;numero=1233&amp;colegiado=P" TargetMode="Externa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E32EBB0-0046-46C6-B0D4-310AA43D258C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1642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Duarte do Nascimento</dc:creator>
  <cp:keywords/>
  <dc:description/>
  <cp:lastModifiedBy>Sergio Ricardo de Mendonca Salustiano</cp:lastModifiedBy>
  <cp:revision>20</cp:revision>
  <dcterms:created xsi:type="dcterms:W3CDTF">2016-05-17T19:13:00Z</dcterms:created>
  <dcterms:modified xsi:type="dcterms:W3CDTF">2016-05-17T19:59:00Z</dcterms:modified>
</cp:coreProperties>
</file>