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6D" w:rsidRPr="003D13A1" w:rsidRDefault="003F5B6D" w:rsidP="003F5B6D"/>
    <w:p w:rsidR="00B911C5" w:rsidRDefault="0053579E" w:rsidP="003F5B6D">
      <w:pPr>
        <w:pStyle w:val="Ttulo8"/>
        <w:tabs>
          <w:tab w:val="right" w:pos="4423"/>
        </w:tabs>
        <w:spacing w:before="0" w:after="200" w:line="276" w:lineRule="auto"/>
        <w:ind w:left="0"/>
        <w:jc w:val="center"/>
        <w:rPr>
          <w:rFonts w:ascii="Arial" w:hAnsi="Arial" w:cs="Arial"/>
          <w:b/>
          <w:i w:val="0"/>
          <w:sz w:val="18"/>
          <w:szCs w:val="18"/>
        </w:rPr>
      </w:pPr>
      <w:r w:rsidRPr="003D13A1">
        <w:rPr>
          <w:noProof/>
        </w:rPr>
        <w:drawing>
          <wp:inline distT="0" distB="0" distL="0" distR="0" wp14:anchorId="5261FDF8" wp14:editId="1458E91D">
            <wp:extent cx="6262777" cy="737870"/>
            <wp:effectExtent l="0" t="0" r="5080" b="5080"/>
            <wp:docPr id="1" name="Imagem 4" descr="Banner-rele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anner-relevan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088" cy="740616"/>
                    </a:xfrm>
                    <a:prstGeom prst="rect">
                      <a:avLst/>
                    </a:prstGeom>
                    <a:noFill/>
                    <a:ln>
                      <a:noFill/>
                    </a:ln>
                  </pic:spPr>
                </pic:pic>
              </a:graphicData>
            </a:graphic>
          </wp:inline>
        </w:drawing>
      </w:r>
    </w:p>
    <w:p w:rsidR="003F5B6D" w:rsidRPr="003D13A1" w:rsidRDefault="003F5B6D" w:rsidP="003F5B6D">
      <w:pPr>
        <w:pStyle w:val="Ttulo8"/>
        <w:tabs>
          <w:tab w:val="right" w:pos="4423"/>
        </w:tabs>
        <w:spacing w:before="0" w:after="200" w:line="276" w:lineRule="auto"/>
        <w:ind w:left="0"/>
        <w:jc w:val="center"/>
        <w:rPr>
          <w:rFonts w:ascii="Arial" w:hAnsi="Arial" w:cs="Arial"/>
          <w:b/>
          <w:i w:val="0"/>
          <w:sz w:val="18"/>
          <w:szCs w:val="18"/>
        </w:rPr>
      </w:pPr>
      <w:r w:rsidRPr="003D13A1">
        <w:rPr>
          <w:rFonts w:ascii="Arial" w:hAnsi="Arial" w:cs="Arial"/>
          <w:b/>
          <w:i w:val="0"/>
          <w:sz w:val="18"/>
          <w:szCs w:val="18"/>
        </w:rPr>
        <w:t>Número 0</w:t>
      </w:r>
      <w:r w:rsidR="00783899">
        <w:rPr>
          <w:rFonts w:ascii="Arial" w:hAnsi="Arial" w:cs="Arial"/>
          <w:b/>
          <w:i w:val="0"/>
          <w:sz w:val="18"/>
          <w:szCs w:val="18"/>
        </w:rPr>
        <w:t>96</w:t>
      </w:r>
    </w:p>
    <w:p w:rsidR="003F5B6D" w:rsidRDefault="003F5B6D" w:rsidP="003F5B6D">
      <w:pPr>
        <w:pStyle w:val="Ttulo8"/>
        <w:tabs>
          <w:tab w:val="right" w:pos="4423"/>
        </w:tabs>
        <w:spacing w:before="0" w:after="200" w:line="276" w:lineRule="auto"/>
        <w:ind w:left="0"/>
        <w:jc w:val="center"/>
        <w:rPr>
          <w:rFonts w:ascii="Arial" w:hAnsi="Arial" w:cs="Arial"/>
          <w:b/>
          <w:i w:val="0"/>
          <w:sz w:val="18"/>
          <w:szCs w:val="18"/>
        </w:rPr>
      </w:pPr>
      <w:r>
        <w:rPr>
          <w:rFonts w:ascii="Arial" w:hAnsi="Arial" w:cs="Arial"/>
          <w:b/>
          <w:i w:val="0"/>
          <w:sz w:val="18"/>
          <w:szCs w:val="18"/>
        </w:rPr>
        <w:t>Sessões</w:t>
      </w:r>
      <w:r w:rsidRPr="003D13A1">
        <w:rPr>
          <w:rFonts w:ascii="Arial" w:hAnsi="Arial" w:cs="Arial"/>
          <w:b/>
          <w:i w:val="0"/>
          <w:sz w:val="18"/>
          <w:szCs w:val="18"/>
        </w:rPr>
        <w:t xml:space="preserve">: </w:t>
      </w:r>
      <w:r w:rsidR="00783899">
        <w:rPr>
          <w:rFonts w:ascii="Arial" w:hAnsi="Arial" w:cs="Arial"/>
          <w:b/>
          <w:i w:val="0"/>
          <w:sz w:val="18"/>
          <w:szCs w:val="18"/>
        </w:rPr>
        <w:t>18 e 19</w:t>
      </w:r>
      <w:r w:rsidR="006A5D55">
        <w:rPr>
          <w:rFonts w:ascii="Arial" w:hAnsi="Arial" w:cs="Arial"/>
          <w:b/>
          <w:i w:val="0"/>
          <w:sz w:val="18"/>
          <w:szCs w:val="18"/>
        </w:rPr>
        <w:t xml:space="preserve"> de agosto</w:t>
      </w:r>
      <w:r w:rsidR="00E612C5">
        <w:rPr>
          <w:rFonts w:ascii="Arial" w:hAnsi="Arial" w:cs="Arial"/>
          <w:b/>
          <w:i w:val="0"/>
          <w:sz w:val="18"/>
          <w:szCs w:val="18"/>
        </w:rPr>
        <w:t xml:space="preserve"> </w:t>
      </w:r>
      <w:r>
        <w:rPr>
          <w:rFonts w:ascii="Arial" w:hAnsi="Arial" w:cs="Arial"/>
          <w:b/>
          <w:i w:val="0"/>
          <w:sz w:val="18"/>
          <w:szCs w:val="18"/>
        </w:rPr>
        <w:t xml:space="preserve">de </w:t>
      </w:r>
      <w:r w:rsidRPr="003D13A1">
        <w:rPr>
          <w:rFonts w:ascii="Arial" w:hAnsi="Arial" w:cs="Arial"/>
          <w:b/>
          <w:i w:val="0"/>
          <w:sz w:val="18"/>
          <w:szCs w:val="18"/>
        </w:rPr>
        <w:t>201</w:t>
      </w:r>
      <w:r>
        <w:rPr>
          <w:rFonts w:ascii="Arial" w:hAnsi="Arial" w:cs="Arial"/>
          <w:b/>
          <w:i w:val="0"/>
          <w:sz w:val="18"/>
          <w:szCs w:val="18"/>
        </w:rPr>
        <w:t>5</w:t>
      </w:r>
    </w:p>
    <w:p w:rsidR="002B014E" w:rsidRPr="002B014E" w:rsidRDefault="002B014E" w:rsidP="002B014E">
      <w:pPr>
        <w:rPr>
          <w:rFonts w:ascii="Arial" w:hAnsi="Arial" w:cs="Arial"/>
          <w:sz w:val="18"/>
          <w:szCs w:val="18"/>
        </w:rPr>
      </w:pPr>
      <w:r w:rsidRPr="00E145EE">
        <w:rPr>
          <w:rFonts w:ascii="Arial" w:hAnsi="Arial" w:cs="Arial"/>
          <w:sz w:val="18"/>
          <w:szCs w:val="18"/>
        </w:rPr>
        <w:t>Este Boletim contém informações sintéticas de decisões proferidas pelos Colegiados do TCU que receberam indicação de relevância sob o p</w:t>
      </w:r>
      <w:r>
        <w:rPr>
          <w:rFonts w:ascii="Arial" w:hAnsi="Arial" w:cs="Arial"/>
          <w:sz w:val="18"/>
          <w:szCs w:val="18"/>
        </w:rPr>
        <w:t>risma jurisprudencial no período acima indicado</w:t>
      </w:r>
      <w:r w:rsidRPr="00E145EE">
        <w:rPr>
          <w:rFonts w:ascii="Arial" w:hAnsi="Arial" w:cs="Arial"/>
          <w:sz w:val="18"/>
          <w:szCs w:val="18"/>
        </w:rPr>
        <w:t>. O objetivo é facilitar ao</w:t>
      </w:r>
      <w:r>
        <w:rPr>
          <w:rFonts w:ascii="Arial" w:hAnsi="Arial" w:cs="Arial"/>
          <w:sz w:val="18"/>
          <w:szCs w:val="18"/>
        </w:rPr>
        <w:t xml:space="preserve"> interessado o acompanhamento dos acórdãos mais importantes do Tribunal. </w:t>
      </w:r>
      <w:r w:rsidRPr="00E145EE">
        <w:rPr>
          <w:rFonts w:ascii="Arial" w:hAnsi="Arial" w:cs="Arial"/>
          <w:sz w:val="18"/>
          <w:szCs w:val="18"/>
        </w:rPr>
        <w:t xml:space="preserve">Para aprofundamento, o leitor pode acessar o inteiro teor </w:t>
      </w:r>
      <w:r>
        <w:rPr>
          <w:rFonts w:ascii="Arial" w:hAnsi="Arial" w:cs="Arial"/>
          <w:sz w:val="18"/>
          <w:szCs w:val="18"/>
        </w:rPr>
        <w:t xml:space="preserve">das deliberações por meio dos </w:t>
      </w:r>
      <w:r w:rsidRPr="00B23235">
        <w:rPr>
          <w:rFonts w:ascii="Arial" w:hAnsi="Arial" w:cs="Arial"/>
          <w:i/>
          <w:sz w:val="18"/>
          <w:szCs w:val="18"/>
        </w:rPr>
        <w:t>links</w:t>
      </w:r>
      <w:r>
        <w:rPr>
          <w:rFonts w:ascii="Arial" w:hAnsi="Arial" w:cs="Arial"/>
          <w:sz w:val="18"/>
          <w:szCs w:val="18"/>
        </w:rPr>
        <w:t xml:space="preserve"> disponíveis</w:t>
      </w:r>
      <w:r w:rsidRPr="00E145EE">
        <w:rPr>
          <w:rFonts w:ascii="Arial" w:hAnsi="Arial" w:cs="Arial"/>
          <w:sz w:val="18"/>
          <w:szCs w:val="18"/>
        </w:rPr>
        <w:t>.</w:t>
      </w:r>
      <w:r w:rsidRPr="001A5442">
        <w:rPr>
          <w:rFonts w:ascii="Arial" w:hAnsi="Arial" w:cs="Arial"/>
          <w:sz w:val="18"/>
          <w:szCs w:val="18"/>
        </w:rPr>
        <w:t xml:space="preserve"> </w:t>
      </w:r>
      <w:r w:rsidRPr="00B25BAE">
        <w:rPr>
          <w:rFonts w:ascii="Arial" w:hAnsi="Arial" w:cs="Arial"/>
          <w:sz w:val="18"/>
          <w:szCs w:val="18"/>
        </w:rPr>
        <w:t>As informações</w:t>
      </w:r>
      <w:r>
        <w:rPr>
          <w:rFonts w:ascii="Arial" w:hAnsi="Arial" w:cs="Arial"/>
          <w:sz w:val="18"/>
          <w:szCs w:val="18"/>
        </w:rPr>
        <w:t xml:space="preserve"> aqui apresentadas</w:t>
      </w:r>
      <w:r w:rsidRPr="00B25BAE">
        <w:rPr>
          <w:rFonts w:ascii="Arial" w:hAnsi="Arial" w:cs="Arial"/>
          <w:sz w:val="18"/>
          <w:szCs w:val="18"/>
        </w:rPr>
        <w:t xml:space="preserve"> não são </w:t>
      </w:r>
      <w:proofErr w:type="gramStart"/>
      <w:r w:rsidRPr="00B25BAE">
        <w:rPr>
          <w:rFonts w:ascii="Arial" w:hAnsi="Arial" w:cs="Arial"/>
          <w:sz w:val="18"/>
          <w:szCs w:val="18"/>
        </w:rPr>
        <w:t>repositórios</w:t>
      </w:r>
      <w:proofErr w:type="gramEnd"/>
      <w:r w:rsidRPr="00B25BAE">
        <w:rPr>
          <w:rFonts w:ascii="Arial" w:hAnsi="Arial" w:cs="Arial"/>
          <w:sz w:val="18"/>
          <w:szCs w:val="18"/>
        </w:rPr>
        <w:t xml:space="preserve"> oficiais de jurisprudência.</w:t>
      </w:r>
    </w:p>
    <w:p w:rsidR="005C6D4A" w:rsidRDefault="005C6D4A" w:rsidP="003F5B6D">
      <w:pPr>
        <w:pBdr>
          <w:top w:val="threeDEmboss" w:sz="24" w:space="5" w:color="auto"/>
        </w:pBdr>
        <w:tabs>
          <w:tab w:val="left" w:pos="284"/>
          <w:tab w:val="left" w:pos="4172"/>
          <w:tab w:val="center" w:pos="4818"/>
        </w:tabs>
        <w:spacing w:after="60"/>
        <w:rPr>
          <w:rFonts w:ascii="Arial" w:hAnsi="Arial" w:cs="Arial"/>
          <w:b/>
          <w:sz w:val="18"/>
          <w:szCs w:val="18"/>
          <w:u w:val="single"/>
        </w:rPr>
      </w:pPr>
    </w:p>
    <w:p w:rsidR="00A9034C" w:rsidRPr="00DB58C7" w:rsidRDefault="000A0EB3" w:rsidP="00A9034C">
      <w:pPr>
        <w:rPr>
          <w:rFonts w:ascii="Arial" w:hAnsi="Arial" w:cs="Arial"/>
          <w:sz w:val="18"/>
          <w:szCs w:val="18"/>
        </w:rPr>
      </w:pPr>
      <w:hyperlink r:id="rId8" w:history="1">
        <w:r w:rsidR="00783899" w:rsidRPr="00DB58C7">
          <w:rPr>
            <w:rStyle w:val="Hyperlink"/>
            <w:rFonts w:ascii="Arial" w:hAnsi="Arial" w:cs="Arial"/>
            <w:b/>
            <w:sz w:val="18"/>
            <w:szCs w:val="18"/>
          </w:rPr>
          <w:t>Acórdão 2056/2015 Plenário</w:t>
        </w:r>
      </w:hyperlink>
      <w:r w:rsidR="00A9034C" w:rsidRPr="00DB58C7">
        <w:rPr>
          <w:rFonts w:ascii="Arial" w:hAnsi="Arial" w:cs="Arial"/>
          <w:sz w:val="18"/>
          <w:szCs w:val="18"/>
        </w:rPr>
        <w:t xml:space="preserve"> (</w:t>
      </w:r>
      <w:r w:rsidR="00783899" w:rsidRPr="00DB58C7">
        <w:rPr>
          <w:rFonts w:ascii="Arial" w:hAnsi="Arial" w:cs="Arial"/>
          <w:sz w:val="18"/>
          <w:szCs w:val="18"/>
        </w:rPr>
        <w:t>Auditoria</w:t>
      </w:r>
      <w:r w:rsidR="00012049" w:rsidRPr="00DB58C7">
        <w:rPr>
          <w:rFonts w:ascii="Arial" w:hAnsi="Arial" w:cs="Arial"/>
          <w:sz w:val="18"/>
          <w:szCs w:val="18"/>
        </w:rPr>
        <w:t>, Relato</w:t>
      </w:r>
      <w:r w:rsidR="00A9034C" w:rsidRPr="00DB58C7">
        <w:rPr>
          <w:rFonts w:ascii="Arial" w:hAnsi="Arial" w:cs="Arial"/>
          <w:sz w:val="18"/>
          <w:szCs w:val="18"/>
        </w:rPr>
        <w:t xml:space="preserve">r Ministro </w:t>
      </w:r>
      <w:r w:rsidR="00783899" w:rsidRPr="00DB58C7">
        <w:rPr>
          <w:rFonts w:ascii="Arial" w:hAnsi="Arial" w:cs="Arial"/>
          <w:sz w:val="18"/>
          <w:szCs w:val="18"/>
        </w:rPr>
        <w:t xml:space="preserve">Augusto </w:t>
      </w:r>
      <w:proofErr w:type="spellStart"/>
      <w:r w:rsidR="00783899" w:rsidRPr="00DB58C7">
        <w:rPr>
          <w:rFonts w:ascii="Arial" w:hAnsi="Arial" w:cs="Arial"/>
          <w:sz w:val="18"/>
          <w:szCs w:val="18"/>
        </w:rPr>
        <w:t>Nardes</w:t>
      </w:r>
      <w:proofErr w:type="spellEnd"/>
      <w:r w:rsidR="00A9034C" w:rsidRPr="00DB58C7">
        <w:rPr>
          <w:rFonts w:ascii="Arial" w:hAnsi="Arial" w:cs="Arial"/>
          <w:sz w:val="18"/>
          <w:szCs w:val="18"/>
        </w:rPr>
        <w:t>)</w:t>
      </w:r>
    </w:p>
    <w:p w:rsidR="00B55153" w:rsidRPr="00DB58C7" w:rsidRDefault="00BE0450" w:rsidP="00B55153">
      <w:pPr>
        <w:rPr>
          <w:rFonts w:ascii="Arial" w:hAnsi="Arial" w:cs="Arial"/>
          <w:sz w:val="18"/>
          <w:szCs w:val="18"/>
        </w:rPr>
      </w:pPr>
      <w:r w:rsidRPr="00DB58C7">
        <w:rPr>
          <w:rFonts w:ascii="Arial" w:hAnsi="Arial" w:cs="Arial"/>
          <w:sz w:val="18"/>
          <w:szCs w:val="18"/>
        </w:rPr>
        <w:t>Licitação</w:t>
      </w:r>
      <w:r w:rsidR="00BC4818" w:rsidRPr="00DB58C7">
        <w:rPr>
          <w:rFonts w:ascii="Arial" w:hAnsi="Arial" w:cs="Arial"/>
          <w:sz w:val="18"/>
          <w:szCs w:val="18"/>
        </w:rPr>
        <w:t xml:space="preserve">. Obra e serviço de engenharia. </w:t>
      </w:r>
      <w:r w:rsidR="003E2028" w:rsidRPr="00DB58C7">
        <w:rPr>
          <w:rFonts w:ascii="Arial" w:hAnsi="Arial" w:cs="Arial"/>
          <w:sz w:val="18"/>
          <w:szCs w:val="18"/>
        </w:rPr>
        <w:t xml:space="preserve">Referência de preços. </w:t>
      </w:r>
    </w:p>
    <w:p w:rsidR="00783899" w:rsidRPr="00DB58C7" w:rsidRDefault="00783899" w:rsidP="00B55153">
      <w:pPr>
        <w:rPr>
          <w:rFonts w:ascii="Arial" w:hAnsi="Arial" w:cs="Arial"/>
          <w:color w:val="000000"/>
          <w:sz w:val="18"/>
          <w:szCs w:val="18"/>
        </w:rPr>
      </w:pPr>
      <w:r w:rsidRPr="00DB58C7">
        <w:rPr>
          <w:rFonts w:ascii="Arial" w:hAnsi="Arial" w:cs="Arial"/>
          <w:color w:val="000000"/>
          <w:sz w:val="18"/>
          <w:szCs w:val="18"/>
        </w:rPr>
        <w:t>A Administração Públ</w:t>
      </w:r>
      <w:r w:rsidR="00BE0450" w:rsidRPr="00DB58C7">
        <w:rPr>
          <w:rFonts w:ascii="Arial" w:hAnsi="Arial" w:cs="Arial"/>
          <w:color w:val="000000"/>
          <w:sz w:val="18"/>
          <w:szCs w:val="18"/>
        </w:rPr>
        <w:t>ica deve observar, em suas licitações de obras e serviços de engenharia,</w:t>
      </w:r>
      <w:r w:rsidRPr="00DB58C7">
        <w:rPr>
          <w:rFonts w:ascii="Arial" w:hAnsi="Arial" w:cs="Arial"/>
          <w:color w:val="000000"/>
          <w:sz w:val="18"/>
          <w:szCs w:val="18"/>
        </w:rPr>
        <w:t xml:space="preserve"> os referenciais oficiais de mercado, em especial o </w:t>
      </w:r>
      <w:proofErr w:type="spellStart"/>
      <w:r w:rsidRPr="00DB58C7">
        <w:rPr>
          <w:rFonts w:ascii="Arial" w:hAnsi="Arial" w:cs="Arial"/>
          <w:color w:val="000000"/>
          <w:sz w:val="18"/>
          <w:szCs w:val="18"/>
        </w:rPr>
        <w:t>Sinapi</w:t>
      </w:r>
      <w:proofErr w:type="spellEnd"/>
      <w:r w:rsidRPr="00DB58C7">
        <w:rPr>
          <w:rFonts w:ascii="Arial" w:hAnsi="Arial" w:cs="Arial"/>
          <w:color w:val="000000"/>
          <w:sz w:val="18"/>
          <w:szCs w:val="18"/>
        </w:rPr>
        <w:t xml:space="preserve"> e o </w:t>
      </w:r>
      <w:proofErr w:type="spellStart"/>
      <w:r w:rsidRPr="00DB58C7">
        <w:rPr>
          <w:rFonts w:ascii="Arial" w:hAnsi="Arial" w:cs="Arial"/>
          <w:color w:val="000000"/>
          <w:sz w:val="18"/>
          <w:szCs w:val="18"/>
        </w:rPr>
        <w:t>Sicro</w:t>
      </w:r>
      <w:proofErr w:type="spellEnd"/>
      <w:r w:rsidRPr="00DB58C7">
        <w:rPr>
          <w:rFonts w:ascii="Arial" w:hAnsi="Arial" w:cs="Arial"/>
          <w:color w:val="000000"/>
          <w:sz w:val="18"/>
          <w:szCs w:val="18"/>
        </w:rPr>
        <w:t>, justificando tecnicamente a adoção de valores distintos dos constantes desses sistemas.</w:t>
      </w:r>
    </w:p>
    <w:p w:rsidR="000B411C" w:rsidRPr="00DB58C7" w:rsidRDefault="000A0EB3" w:rsidP="000B411C">
      <w:pPr>
        <w:rPr>
          <w:rFonts w:ascii="Arial" w:hAnsi="Arial" w:cs="Arial"/>
          <w:sz w:val="18"/>
          <w:szCs w:val="18"/>
        </w:rPr>
      </w:pPr>
      <w:hyperlink r:id="rId9" w:history="1">
        <w:r w:rsidR="00783899" w:rsidRPr="00DB58C7">
          <w:rPr>
            <w:rStyle w:val="Hyperlink"/>
            <w:rFonts w:ascii="Arial" w:hAnsi="Arial" w:cs="Arial"/>
            <w:b/>
            <w:sz w:val="18"/>
            <w:szCs w:val="18"/>
          </w:rPr>
          <w:t>Acórdão 2059/2015 Plenário</w:t>
        </w:r>
      </w:hyperlink>
      <w:r w:rsidR="000B411C" w:rsidRPr="00DB58C7">
        <w:rPr>
          <w:rFonts w:ascii="Arial" w:hAnsi="Arial" w:cs="Arial"/>
          <w:sz w:val="18"/>
          <w:szCs w:val="18"/>
        </w:rPr>
        <w:t xml:space="preserve"> (</w:t>
      </w:r>
      <w:r w:rsidR="008F7B44" w:rsidRPr="00DB58C7">
        <w:rPr>
          <w:rFonts w:ascii="Arial" w:hAnsi="Arial" w:cs="Arial"/>
          <w:sz w:val="18"/>
          <w:szCs w:val="18"/>
        </w:rPr>
        <w:t>Recurso de Revisão</w:t>
      </w:r>
      <w:r w:rsidR="006A5D55" w:rsidRPr="00DB58C7">
        <w:rPr>
          <w:rFonts w:ascii="Arial" w:hAnsi="Arial" w:cs="Arial"/>
          <w:sz w:val="18"/>
          <w:szCs w:val="18"/>
        </w:rPr>
        <w:t xml:space="preserve">, </w:t>
      </w:r>
      <w:r w:rsidR="000B411C" w:rsidRPr="00DB58C7">
        <w:rPr>
          <w:rFonts w:ascii="Arial" w:hAnsi="Arial" w:cs="Arial"/>
          <w:sz w:val="18"/>
          <w:szCs w:val="18"/>
        </w:rPr>
        <w:t xml:space="preserve">Relator Ministro Benjamin </w:t>
      </w:r>
      <w:proofErr w:type="spellStart"/>
      <w:r w:rsidR="000B411C" w:rsidRPr="00DB58C7">
        <w:rPr>
          <w:rFonts w:ascii="Arial" w:hAnsi="Arial" w:cs="Arial"/>
          <w:sz w:val="18"/>
          <w:szCs w:val="18"/>
        </w:rPr>
        <w:t>Zymler</w:t>
      </w:r>
      <w:proofErr w:type="spellEnd"/>
      <w:r w:rsidR="000B411C" w:rsidRPr="00DB58C7">
        <w:rPr>
          <w:rFonts w:ascii="Arial" w:hAnsi="Arial" w:cs="Arial"/>
          <w:sz w:val="18"/>
          <w:szCs w:val="18"/>
        </w:rPr>
        <w:t>)</w:t>
      </w:r>
    </w:p>
    <w:p w:rsidR="00783899" w:rsidRPr="00DB58C7" w:rsidRDefault="003708E1" w:rsidP="000B411C">
      <w:pPr>
        <w:rPr>
          <w:rFonts w:ascii="Arial" w:hAnsi="Arial" w:cs="Arial"/>
          <w:sz w:val="18"/>
          <w:szCs w:val="18"/>
        </w:rPr>
      </w:pPr>
      <w:r w:rsidRPr="00DB58C7">
        <w:rPr>
          <w:rFonts w:ascii="Arial" w:hAnsi="Arial" w:cs="Arial"/>
          <w:sz w:val="18"/>
          <w:szCs w:val="18"/>
        </w:rPr>
        <w:t>Convênio e Congêneres Responsabilidade do convenente. Agente político.</w:t>
      </w:r>
    </w:p>
    <w:p w:rsidR="00783899" w:rsidRPr="00DB58C7" w:rsidRDefault="00783899" w:rsidP="000B411C">
      <w:pPr>
        <w:rPr>
          <w:rFonts w:ascii="Arial" w:hAnsi="Arial" w:cs="Arial"/>
          <w:sz w:val="18"/>
          <w:szCs w:val="18"/>
        </w:rPr>
      </w:pPr>
      <w:r w:rsidRPr="00DB58C7">
        <w:rPr>
          <w:rFonts w:ascii="Arial" w:hAnsi="Arial" w:cs="Arial"/>
          <w:sz w:val="18"/>
          <w:szCs w:val="18"/>
        </w:rPr>
        <w:t>A responsabilidade do prefeito na execução de convênio advém da sua condição de signatário do ajuste, que o faz garantidor da correta aplicação dos recursos. Assim, mesmo que não pratique atos referentes à execução, deve adotar providências para que esta ocorra dentro dos parâmetros legais, sob pena de responder por culpa</w:t>
      </w:r>
      <w:r w:rsidRPr="00DB58C7">
        <w:rPr>
          <w:rFonts w:ascii="Arial" w:hAnsi="Arial" w:cs="Arial"/>
          <w:i/>
          <w:sz w:val="18"/>
          <w:szCs w:val="18"/>
        </w:rPr>
        <w:t xml:space="preserve"> in </w:t>
      </w:r>
      <w:proofErr w:type="spellStart"/>
      <w:r w:rsidRPr="00DB58C7">
        <w:rPr>
          <w:rFonts w:ascii="Arial" w:hAnsi="Arial" w:cs="Arial"/>
          <w:i/>
          <w:sz w:val="18"/>
          <w:szCs w:val="18"/>
        </w:rPr>
        <w:t>eligendo</w:t>
      </w:r>
      <w:proofErr w:type="spellEnd"/>
      <w:r w:rsidRPr="00DB58C7">
        <w:rPr>
          <w:rFonts w:ascii="Arial" w:hAnsi="Arial" w:cs="Arial"/>
          <w:sz w:val="18"/>
          <w:szCs w:val="18"/>
        </w:rPr>
        <w:t xml:space="preserve"> ou culpa</w:t>
      </w:r>
      <w:r w:rsidRPr="00DB58C7">
        <w:rPr>
          <w:rFonts w:ascii="Arial" w:hAnsi="Arial" w:cs="Arial"/>
          <w:i/>
          <w:sz w:val="18"/>
          <w:szCs w:val="18"/>
        </w:rPr>
        <w:t xml:space="preserve"> in vigilando</w:t>
      </w:r>
      <w:r w:rsidRPr="00DB58C7">
        <w:rPr>
          <w:rFonts w:ascii="Arial" w:hAnsi="Arial" w:cs="Arial"/>
          <w:sz w:val="18"/>
          <w:szCs w:val="18"/>
        </w:rPr>
        <w:t>.</w:t>
      </w:r>
    </w:p>
    <w:p w:rsidR="006201A3" w:rsidRPr="00DB58C7" w:rsidRDefault="000A0EB3" w:rsidP="006201A3">
      <w:pPr>
        <w:rPr>
          <w:rFonts w:ascii="Arial" w:hAnsi="Arial" w:cs="Arial"/>
          <w:sz w:val="18"/>
          <w:szCs w:val="18"/>
        </w:rPr>
      </w:pPr>
      <w:hyperlink r:id="rId10" w:history="1">
        <w:r w:rsidR="006201A3" w:rsidRPr="00DB58C7">
          <w:rPr>
            <w:rStyle w:val="Hyperlink"/>
            <w:rFonts w:ascii="Arial" w:hAnsi="Arial" w:cs="Arial"/>
            <w:b/>
            <w:sz w:val="18"/>
            <w:szCs w:val="18"/>
          </w:rPr>
          <w:t>Acórdão 2072/2015 Plenário</w:t>
        </w:r>
      </w:hyperlink>
      <w:r w:rsidR="006201A3" w:rsidRPr="00DB58C7">
        <w:rPr>
          <w:rFonts w:ascii="Arial" w:hAnsi="Arial" w:cs="Arial"/>
          <w:sz w:val="18"/>
          <w:szCs w:val="18"/>
        </w:rPr>
        <w:t xml:space="preserve"> (</w:t>
      </w:r>
      <w:r w:rsidR="0016443A" w:rsidRPr="00DB58C7">
        <w:rPr>
          <w:rFonts w:ascii="Arial" w:hAnsi="Arial" w:cs="Arial"/>
          <w:sz w:val="18"/>
          <w:szCs w:val="18"/>
        </w:rPr>
        <w:t>Solicitação do Congresso Nacional</w:t>
      </w:r>
      <w:r w:rsidR="006201A3" w:rsidRPr="00DB58C7">
        <w:rPr>
          <w:rFonts w:ascii="Arial" w:hAnsi="Arial" w:cs="Arial"/>
          <w:sz w:val="18"/>
          <w:szCs w:val="18"/>
        </w:rPr>
        <w:t>, Relator Ministro Vital do Rêgo)</w:t>
      </w:r>
    </w:p>
    <w:p w:rsidR="006201A3" w:rsidRPr="00DB58C7" w:rsidRDefault="00BC4818" w:rsidP="006201A3">
      <w:pPr>
        <w:rPr>
          <w:rFonts w:ascii="Arial" w:hAnsi="Arial" w:cs="Arial"/>
          <w:sz w:val="18"/>
          <w:szCs w:val="18"/>
        </w:rPr>
      </w:pPr>
      <w:r w:rsidRPr="00DB58C7">
        <w:rPr>
          <w:rFonts w:ascii="Arial" w:hAnsi="Arial" w:cs="Arial"/>
          <w:sz w:val="18"/>
          <w:szCs w:val="18"/>
        </w:rPr>
        <w:t xml:space="preserve">Competência do TCU. </w:t>
      </w:r>
      <w:r w:rsidR="00716BCD" w:rsidRPr="00DB58C7">
        <w:rPr>
          <w:rFonts w:ascii="Arial" w:hAnsi="Arial" w:cs="Arial"/>
          <w:sz w:val="18"/>
          <w:szCs w:val="18"/>
        </w:rPr>
        <w:t>Entidade f</w:t>
      </w:r>
      <w:r w:rsidRPr="00DB58C7">
        <w:rPr>
          <w:rFonts w:ascii="Arial" w:hAnsi="Arial" w:cs="Arial"/>
          <w:sz w:val="18"/>
          <w:szCs w:val="18"/>
        </w:rPr>
        <w:t xml:space="preserve">echada de </w:t>
      </w:r>
      <w:r w:rsidR="00716BCD" w:rsidRPr="00DB58C7">
        <w:rPr>
          <w:rFonts w:ascii="Arial" w:hAnsi="Arial" w:cs="Arial"/>
          <w:sz w:val="18"/>
          <w:szCs w:val="18"/>
        </w:rPr>
        <w:t>previdência c</w:t>
      </w:r>
      <w:r w:rsidRPr="00DB58C7">
        <w:rPr>
          <w:rFonts w:ascii="Arial" w:hAnsi="Arial" w:cs="Arial"/>
          <w:sz w:val="18"/>
          <w:szCs w:val="18"/>
        </w:rPr>
        <w:t>omplementar. Abrangência.</w:t>
      </w:r>
    </w:p>
    <w:p w:rsidR="003A146D" w:rsidRPr="00DB58C7" w:rsidRDefault="003A146D" w:rsidP="006201A3">
      <w:pPr>
        <w:rPr>
          <w:rFonts w:ascii="Arial" w:hAnsi="Arial" w:cs="Arial"/>
          <w:sz w:val="18"/>
          <w:szCs w:val="18"/>
        </w:rPr>
      </w:pPr>
      <w:r w:rsidRPr="00DB58C7">
        <w:rPr>
          <w:rFonts w:ascii="Arial" w:hAnsi="Arial" w:cs="Arial"/>
          <w:sz w:val="18"/>
          <w:szCs w:val="18"/>
        </w:rPr>
        <w:t>O TCU tem competência para fiscalizar</w:t>
      </w:r>
      <w:r w:rsidR="00113CBB" w:rsidRPr="00DB58C7">
        <w:rPr>
          <w:rFonts w:ascii="Arial" w:hAnsi="Arial" w:cs="Arial"/>
          <w:sz w:val="18"/>
          <w:szCs w:val="18"/>
        </w:rPr>
        <w:t xml:space="preserve"> os recursos que integram as contas individuais </w:t>
      </w:r>
      <w:r w:rsidR="00716BCD" w:rsidRPr="00DB58C7">
        <w:rPr>
          <w:rFonts w:ascii="Arial" w:hAnsi="Arial" w:cs="Arial"/>
          <w:sz w:val="18"/>
          <w:szCs w:val="18"/>
        </w:rPr>
        <w:t>dos participantes das e</w:t>
      </w:r>
      <w:r w:rsidR="00113CBB" w:rsidRPr="00DB58C7">
        <w:rPr>
          <w:rFonts w:ascii="Arial" w:hAnsi="Arial" w:cs="Arial"/>
          <w:sz w:val="18"/>
          <w:szCs w:val="18"/>
        </w:rPr>
        <w:t>ntidade</w:t>
      </w:r>
      <w:r w:rsidR="00716BCD" w:rsidRPr="00DB58C7">
        <w:rPr>
          <w:rFonts w:ascii="Arial" w:hAnsi="Arial" w:cs="Arial"/>
          <w:sz w:val="18"/>
          <w:szCs w:val="18"/>
        </w:rPr>
        <w:t>s fechadas de previdência c</w:t>
      </w:r>
      <w:r w:rsidRPr="00DB58C7">
        <w:rPr>
          <w:rFonts w:ascii="Arial" w:hAnsi="Arial" w:cs="Arial"/>
          <w:sz w:val="18"/>
          <w:szCs w:val="18"/>
        </w:rPr>
        <w:t>omplementar pat</w:t>
      </w:r>
      <w:r w:rsidR="00113CBB" w:rsidRPr="00DB58C7">
        <w:rPr>
          <w:rFonts w:ascii="Arial" w:hAnsi="Arial" w:cs="Arial"/>
          <w:sz w:val="18"/>
          <w:szCs w:val="18"/>
        </w:rPr>
        <w:t>rocinadas por órgãos ou entidades públicas, uma vez que esses</w:t>
      </w:r>
      <w:r w:rsidRPr="00DB58C7">
        <w:rPr>
          <w:rFonts w:ascii="Arial" w:hAnsi="Arial" w:cs="Arial"/>
          <w:sz w:val="18"/>
          <w:szCs w:val="18"/>
        </w:rPr>
        <w:t xml:space="preserve"> valores</w:t>
      </w:r>
      <w:r w:rsidR="00113CBB" w:rsidRPr="00DB58C7">
        <w:rPr>
          <w:rFonts w:ascii="Arial" w:hAnsi="Arial" w:cs="Arial"/>
          <w:sz w:val="18"/>
          <w:szCs w:val="18"/>
        </w:rPr>
        <w:t>, enquanto</w:t>
      </w:r>
      <w:r w:rsidRPr="00DB58C7">
        <w:rPr>
          <w:rFonts w:ascii="Arial" w:hAnsi="Arial" w:cs="Arial"/>
          <w:sz w:val="18"/>
          <w:szCs w:val="18"/>
        </w:rPr>
        <w:t xml:space="preserve"> administrados</w:t>
      </w:r>
      <w:r w:rsidR="00113CBB" w:rsidRPr="00DB58C7">
        <w:rPr>
          <w:rFonts w:ascii="Arial" w:hAnsi="Arial" w:cs="Arial"/>
          <w:sz w:val="18"/>
          <w:szCs w:val="18"/>
        </w:rPr>
        <w:t xml:space="preserve"> pelas EFPC</w:t>
      </w:r>
      <w:r w:rsidRPr="00DB58C7">
        <w:rPr>
          <w:rFonts w:ascii="Arial" w:hAnsi="Arial" w:cs="Arial"/>
          <w:sz w:val="18"/>
          <w:szCs w:val="18"/>
        </w:rPr>
        <w:t>, são considerados de natureza</w:t>
      </w:r>
      <w:r w:rsidR="00113CBB" w:rsidRPr="00DB58C7">
        <w:rPr>
          <w:rFonts w:ascii="Arial" w:hAnsi="Arial" w:cs="Arial"/>
          <w:sz w:val="18"/>
          <w:szCs w:val="18"/>
        </w:rPr>
        <w:t xml:space="preserve"> pública</w:t>
      </w:r>
      <w:r w:rsidRPr="00DB58C7">
        <w:rPr>
          <w:rFonts w:ascii="Arial" w:hAnsi="Arial" w:cs="Arial"/>
          <w:sz w:val="18"/>
          <w:szCs w:val="18"/>
        </w:rPr>
        <w:t xml:space="preserve">. </w:t>
      </w:r>
    </w:p>
    <w:p w:rsidR="007D7D4C" w:rsidRPr="00DB58C7" w:rsidRDefault="000A0EB3" w:rsidP="007D7D4C">
      <w:pPr>
        <w:shd w:val="clear" w:color="auto" w:fill="FFFFFF"/>
        <w:rPr>
          <w:rFonts w:ascii="Arial" w:hAnsi="Arial" w:cs="Arial"/>
          <w:sz w:val="18"/>
          <w:szCs w:val="18"/>
        </w:rPr>
      </w:pPr>
      <w:hyperlink r:id="rId11" w:history="1">
        <w:r w:rsidR="00AA5349" w:rsidRPr="00DB58C7">
          <w:rPr>
            <w:rStyle w:val="Hyperlink"/>
            <w:rFonts w:ascii="Arial" w:hAnsi="Arial" w:cs="Arial"/>
            <w:b/>
            <w:sz w:val="18"/>
            <w:szCs w:val="18"/>
          </w:rPr>
          <w:t>Acórdão 2079/2015 Plenário</w:t>
        </w:r>
      </w:hyperlink>
      <w:r w:rsidR="005D4104" w:rsidRPr="00DB58C7">
        <w:rPr>
          <w:rFonts w:ascii="Arial" w:hAnsi="Arial" w:cs="Arial"/>
          <w:sz w:val="18"/>
          <w:szCs w:val="18"/>
        </w:rPr>
        <w:t xml:space="preserve"> (</w:t>
      </w:r>
      <w:r w:rsidR="00AA5349" w:rsidRPr="00DB58C7">
        <w:rPr>
          <w:rFonts w:ascii="Arial" w:hAnsi="Arial" w:cs="Arial"/>
          <w:sz w:val="18"/>
          <w:szCs w:val="18"/>
        </w:rPr>
        <w:t>Auditoria</w:t>
      </w:r>
      <w:r w:rsidR="000C345D" w:rsidRPr="00DB58C7">
        <w:rPr>
          <w:rFonts w:ascii="Arial" w:hAnsi="Arial" w:cs="Arial"/>
          <w:sz w:val="18"/>
          <w:szCs w:val="18"/>
        </w:rPr>
        <w:t xml:space="preserve">, </w:t>
      </w:r>
      <w:r w:rsidR="00716BCD" w:rsidRPr="00DB58C7">
        <w:rPr>
          <w:rFonts w:ascii="Arial" w:hAnsi="Arial" w:cs="Arial"/>
          <w:sz w:val="18"/>
          <w:szCs w:val="18"/>
        </w:rPr>
        <w:t>Relator Ministro-</w:t>
      </w:r>
      <w:r w:rsidR="005427C3" w:rsidRPr="00DB58C7">
        <w:rPr>
          <w:rFonts w:ascii="Arial" w:hAnsi="Arial" w:cs="Arial"/>
          <w:sz w:val="18"/>
          <w:szCs w:val="18"/>
        </w:rPr>
        <w:t xml:space="preserve">Substituto </w:t>
      </w:r>
      <w:r w:rsidR="00AA5349" w:rsidRPr="00DB58C7">
        <w:rPr>
          <w:rFonts w:ascii="Arial" w:hAnsi="Arial" w:cs="Arial"/>
          <w:sz w:val="18"/>
          <w:szCs w:val="18"/>
        </w:rPr>
        <w:t xml:space="preserve">Marcos </w:t>
      </w:r>
      <w:proofErr w:type="spellStart"/>
      <w:r w:rsidR="00AA5349" w:rsidRPr="00DB58C7">
        <w:rPr>
          <w:rFonts w:ascii="Arial" w:hAnsi="Arial" w:cs="Arial"/>
          <w:sz w:val="18"/>
          <w:szCs w:val="18"/>
        </w:rPr>
        <w:t>Bemquerer</w:t>
      </w:r>
      <w:proofErr w:type="spellEnd"/>
      <w:r w:rsidR="007D7D4C" w:rsidRPr="00DB58C7">
        <w:rPr>
          <w:rFonts w:ascii="Arial" w:hAnsi="Arial" w:cs="Arial"/>
          <w:sz w:val="18"/>
          <w:szCs w:val="18"/>
        </w:rPr>
        <w:t>)</w:t>
      </w:r>
    </w:p>
    <w:p w:rsidR="007D7D4C" w:rsidRPr="00DB58C7" w:rsidRDefault="004F7A2F" w:rsidP="007D7D4C">
      <w:pPr>
        <w:shd w:val="clear" w:color="auto" w:fill="FFFFFF"/>
        <w:rPr>
          <w:rFonts w:ascii="Arial" w:hAnsi="Arial" w:cs="Arial"/>
          <w:sz w:val="18"/>
          <w:szCs w:val="18"/>
        </w:rPr>
      </w:pPr>
      <w:r w:rsidRPr="00DB58C7">
        <w:rPr>
          <w:rFonts w:ascii="Arial" w:hAnsi="Arial" w:cs="Arial"/>
          <w:sz w:val="18"/>
          <w:szCs w:val="18"/>
        </w:rPr>
        <w:t xml:space="preserve">Competência do TCU. </w:t>
      </w:r>
      <w:r w:rsidR="00716BCD" w:rsidRPr="00DB58C7">
        <w:rPr>
          <w:rFonts w:ascii="Arial" w:hAnsi="Arial" w:cs="Arial"/>
          <w:sz w:val="18"/>
          <w:szCs w:val="18"/>
        </w:rPr>
        <w:t>Sistema S</w:t>
      </w:r>
      <w:r w:rsidRPr="00DB58C7">
        <w:rPr>
          <w:rFonts w:ascii="Arial" w:hAnsi="Arial" w:cs="Arial"/>
          <w:sz w:val="18"/>
          <w:szCs w:val="18"/>
        </w:rPr>
        <w:t>. Abrangência.</w:t>
      </w:r>
    </w:p>
    <w:p w:rsidR="00AA5349" w:rsidRPr="00DB58C7" w:rsidRDefault="00AA5349" w:rsidP="001313FA">
      <w:pPr>
        <w:shd w:val="clear" w:color="auto" w:fill="FFFFFF"/>
        <w:rPr>
          <w:rFonts w:ascii="Arial" w:hAnsi="Arial" w:cs="Arial"/>
          <w:bCs/>
          <w:color w:val="000000"/>
          <w:sz w:val="18"/>
          <w:szCs w:val="18"/>
        </w:rPr>
      </w:pPr>
      <w:r w:rsidRPr="00DB58C7">
        <w:rPr>
          <w:rFonts w:ascii="Arial" w:hAnsi="Arial" w:cs="Arial"/>
          <w:bCs/>
          <w:color w:val="000000"/>
          <w:sz w:val="18"/>
          <w:szCs w:val="18"/>
        </w:rPr>
        <w:t xml:space="preserve">Os serviços sociais autônomos </w:t>
      </w:r>
      <w:r w:rsidR="004E1052" w:rsidRPr="00DB58C7">
        <w:rPr>
          <w:rFonts w:ascii="Arial" w:hAnsi="Arial" w:cs="Arial"/>
          <w:bCs/>
          <w:color w:val="000000"/>
          <w:sz w:val="18"/>
          <w:szCs w:val="18"/>
        </w:rPr>
        <w:t>se sujeitam ao control</w:t>
      </w:r>
      <w:r w:rsidR="00716BCD" w:rsidRPr="00DB58C7">
        <w:rPr>
          <w:rFonts w:ascii="Arial" w:hAnsi="Arial" w:cs="Arial"/>
          <w:bCs/>
          <w:color w:val="000000"/>
          <w:sz w:val="18"/>
          <w:szCs w:val="18"/>
        </w:rPr>
        <w:t>e do TCU</w:t>
      </w:r>
      <w:r w:rsidR="004E1052" w:rsidRPr="00DB58C7">
        <w:rPr>
          <w:rFonts w:ascii="Arial" w:hAnsi="Arial" w:cs="Arial"/>
          <w:bCs/>
          <w:color w:val="000000"/>
          <w:sz w:val="18"/>
          <w:szCs w:val="18"/>
        </w:rPr>
        <w:t xml:space="preserve">, uma vez que </w:t>
      </w:r>
      <w:r w:rsidRPr="00DB58C7">
        <w:rPr>
          <w:rFonts w:ascii="Arial" w:hAnsi="Arial" w:cs="Arial"/>
          <w:bCs/>
          <w:color w:val="000000"/>
          <w:sz w:val="18"/>
          <w:szCs w:val="18"/>
        </w:rPr>
        <w:t>administram recursos públicos de natureza tributária</w:t>
      </w:r>
      <w:r w:rsidR="00716BCD" w:rsidRPr="00DB58C7">
        <w:rPr>
          <w:rFonts w:ascii="Arial" w:hAnsi="Arial" w:cs="Arial"/>
          <w:bCs/>
          <w:color w:val="000000"/>
          <w:sz w:val="18"/>
          <w:szCs w:val="18"/>
        </w:rPr>
        <w:t>,</w:t>
      </w:r>
      <w:r w:rsidRPr="00DB58C7">
        <w:rPr>
          <w:rFonts w:ascii="Arial" w:hAnsi="Arial" w:cs="Arial"/>
          <w:bCs/>
          <w:color w:val="000000"/>
          <w:sz w:val="18"/>
          <w:szCs w:val="18"/>
        </w:rPr>
        <w:t xml:space="preserve"> advindos de contribuições </w:t>
      </w:r>
      <w:proofErr w:type="spellStart"/>
      <w:r w:rsidRPr="00DB58C7">
        <w:rPr>
          <w:rFonts w:ascii="Arial" w:hAnsi="Arial" w:cs="Arial"/>
          <w:bCs/>
          <w:color w:val="000000"/>
          <w:sz w:val="18"/>
          <w:szCs w:val="18"/>
        </w:rPr>
        <w:t>parafiscais</w:t>
      </w:r>
      <w:proofErr w:type="spellEnd"/>
      <w:r w:rsidR="00716BCD" w:rsidRPr="00DB58C7">
        <w:rPr>
          <w:rFonts w:ascii="Arial" w:hAnsi="Arial" w:cs="Arial"/>
          <w:bCs/>
          <w:color w:val="000000"/>
          <w:sz w:val="18"/>
          <w:szCs w:val="18"/>
        </w:rPr>
        <w:t xml:space="preserve"> e</w:t>
      </w:r>
      <w:r w:rsidRPr="00DB58C7">
        <w:rPr>
          <w:rFonts w:ascii="Arial" w:hAnsi="Arial" w:cs="Arial"/>
          <w:bCs/>
          <w:color w:val="000000"/>
          <w:sz w:val="18"/>
          <w:szCs w:val="18"/>
        </w:rPr>
        <w:t xml:space="preserve"> destinadas ao atendimento de fins de interesse público</w:t>
      </w:r>
      <w:r w:rsidR="004E1052" w:rsidRPr="00DB58C7">
        <w:rPr>
          <w:rFonts w:ascii="Arial" w:hAnsi="Arial" w:cs="Arial"/>
          <w:bCs/>
          <w:color w:val="000000"/>
          <w:sz w:val="18"/>
          <w:szCs w:val="18"/>
        </w:rPr>
        <w:t>.</w:t>
      </w:r>
      <w:r w:rsidRPr="00DB58C7">
        <w:rPr>
          <w:rFonts w:ascii="Arial" w:hAnsi="Arial" w:cs="Arial"/>
          <w:bCs/>
          <w:color w:val="000000"/>
          <w:sz w:val="18"/>
          <w:szCs w:val="18"/>
        </w:rPr>
        <w:t xml:space="preserve"> </w:t>
      </w:r>
    </w:p>
    <w:p w:rsidR="001C5F5B" w:rsidRPr="00DB58C7" w:rsidRDefault="000A0EB3" w:rsidP="001C5F5B">
      <w:pPr>
        <w:shd w:val="clear" w:color="auto" w:fill="FFFFFF"/>
        <w:rPr>
          <w:rFonts w:ascii="Arial" w:hAnsi="Arial" w:cs="Arial"/>
          <w:sz w:val="18"/>
          <w:szCs w:val="18"/>
        </w:rPr>
      </w:pPr>
      <w:hyperlink r:id="rId12" w:history="1">
        <w:r w:rsidR="004E1052" w:rsidRPr="00DB58C7">
          <w:rPr>
            <w:rStyle w:val="Hyperlink"/>
            <w:rFonts w:ascii="Arial" w:hAnsi="Arial" w:cs="Arial"/>
            <w:b/>
            <w:sz w:val="18"/>
            <w:szCs w:val="18"/>
          </w:rPr>
          <w:t>Acórdão 4606/2015 Primeira Câmara</w:t>
        </w:r>
      </w:hyperlink>
      <w:r w:rsidR="001C5F5B" w:rsidRPr="00DB58C7">
        <w:rPr>
          <w:rFonts w:ascii="Arial" w:hAnsi="Arial" w:cs="Arial"/>
          <w:sz w:val="18"/>
          <w:szCs w:val="18"/>
        </w:rPr>
        <w:t xml:space="preserve"> (</w:t>
      </w:r>
      <w:r w:rsidR="004E1052" w:rsidRPr="00DB58C7">
        <w:rPr>
          <w:rFonts w:ascii="Arial" w:hAnsi="Arial" w:cs="Arial"/>
          <w:sz w:val="18"/>
          <w:szCs w:val="18"/>
        </w:rPr>
        <w:t xml:space="preserve">Aposentadoria, </w:t>
      </w:r>
      <w:r w:rsidR="001C5F5B" w:rsidRPr="00DB58C7">
        <w:rPr>
          <w:rFonts w:ascii="Arial" w:hAnsi="Arial" w:cs="Arial"/>
          <w:sz w:val="18"/>
          <w:szCs w:val="18"/>
        </w:rPr>
        <w:t xml:space="preserve">Relator Ministro </w:t>
      </w:r>
      <w:r w:rsidR="00933FE5" w:rsidRPr="00DB58C7">
        <w:rPr>
          <w:rFonts w:ascii="Arial" w:hAnsi="Arial" w:cs="Arial"/>
          <w:sz w:val="18"/>
          <w:szCs w:val="18"/>
        </w:rPr>
        <w:t xml:space="preserve">Benjamin </w:t>
      </w:r>
      <w:proofErr w:type="spellStart"/>
      <w:r w:rsidR="00933FE5" w:rsidRPr="00DB58C7">
        <w:rPr>
          <w:rFonts w:ascii="Arial" w:hAnsi="Arial" w:cs="Arial"/>
          <w:sz w:val="18"/>
          <w:szCs w:val="18"/>
        </w:rPr>
        <w:t>Zymler</w:t>
      </w:r>
      <w:proofErr w:type="spellEnd"/>
      <w:r w:rsidR="001C5F5B" w:rsidRPr="00DB58C7">
        <w:rPr>
          <w:rFonts w:ascii="Arial" w:hAnsi="Arial" w:cs="Arial"/>
          <w:sz w:val="18"/>
          <w:szCs w:val="18"/>
        </w:rPr>
        <w:t>)</w:t>
      </w:r>
    </w:p>
    <w:p w:rsidR="001C5F5B" w:rsidRPr="00DB58C7" w:rsidRDefault="004F7A2F" w:rsidP="001C5F5B">
      <w:pPr>
        <w:shd w:val="clear" w:color="auto" w:fill="FFFFFF"/>
        <w:rPr>
          <w:rFonts w:ascii="Arial" w:hAnsi="Arial" w:cs="Arial"/>
          <w:sz w:val="18"/>
          <w:szCs w:val="18"/>
        </w:rPr>
      </w:pPr>
      <w:r w:rsidRPr="00DB58C7">
        <w:rPr>
          <w:rFonts w:ascii="Arial" w:hAnsi="Arial" w:cs="Arial"/>
          <w:sz w:val="18"/>
          <w:szCs w:val="18"/>
        </w:rPr>
        <w:t>Pessoal.</w:t>
      </w:r>
      <w:r w:rsidR="00836219" w:rsidRPr="00DB58C7">
        <w:rPr>
          <w:rFonts w:ascii="Arial" w:hAnsi="Arial" w:cs="Arial"/>
          <w:sz w:val="18"/>
          <w:szCs w:val="18"/>
        </w:rPr>
        <w:t xml:space="preserve"> Cargo em comissão.</w:t>
      </w:r>
      <w:r w:rsidRPr="00DB58C7">
        <w:rPr>
          <w:rFonts w:ascii="Arial" w:hAnsi="Arial" w:cs="Arial"/>
          <w:sz w:val="18"/>
          <w:szCs w:val="18"/>
        </w:rPr>
        <w:t xml:space="preserve"> </w:t>
      </w:r>
      <w:r w:rsidR="00716BCD" w:rsidRPr="00DB58C7">
        <w:rPr>
          <w:rFonts w:ascii="Arial" w:hAnsi="Arial" w:cs="Arial"/>
          <w:sz w:val="18"/>
          <w:szCs w:val="18"/>
        </w:rPr>
        <w:t>Função de assessoramento s</w:t>
      </w:r>
      <w:r w:rsidR="00836219" w:rsidRPr="00DB58C7">
        <w:rPr>
          <w:rFonts w:ascii="Arial" w:hAnsi="Arial" w:cs="Arial"/>
          <w:sz w:val="18"/>
          <w:szCs w:val="18"/>
        </w:rPr>
        <w:t>uperior.</w:t>
      </w:r>
    </w:p>
    <w:p w:rsidR="004E1052" w:rsidRPr="00DB58C7" w:rsidRDefault="00716BCD" w:rsidP="001C5F5B">
      <w:pPr>
        <w:shd w:val="clear" w:color="auto" w:fill="FFFFFF"/>
        <w:rPr>
          <w:rFonts w:ascii="Arial" w:hAnsi="Arial" w:cs="Arial"/>
          <w:color w:val="000000"/>
          <w:sz w:val="18"/>
          <w:szCs w:val="18"/>
        </w:rPr>
      </w:pPr>
      <w:r w:rsidRPr="00DB58C7">
        <w:rPr>
          <w:rFonts w:ascii="Arial" w:hAnsi="Arial" w:cs="Arial"/>
          <w:color w:val="000000"/>
          <w:sz w:val="18"/>
          <w:szCs w:val="18"/>
        </w:rPr>
        <w:t>A natureza jurídica da função de assessoramento s</w:t>
      </w:r>
      <w:r w:rsidR="004E1052" w:rsidRPr="00DB58C7">
        <w:rPr>
          <w:rFonts w:ascii="Arial" w:hAnsi="Arial" w:cs="Arial"/>
          <w:color w:val="000000"/>
          <w:sz w:val="18"/>
          <w:szCs w:val="18"/>
        </w:rPr>
        <w:t>uperior é de cargo em comissão, e não de cargo isolado.</w:t>
      </w:r>
    </w:p>
    <w:p w:rsidR="004E1052" w:rsidRPr="00DB58C7" w:rsidRDefault="000A0EB3" w:rsidP="004E1052">
      <w:pPr>
        <w:shd w:val="clear" w:color="auto" w:fill="FFFFFF"/>
        <w:rPr>
          <w:rFonts w:ascii="Arial" w:hAnsi="Arial" w:cs="Arial"/>
          <w:sz w:val="18"/>
          <w:szCs w:val="18"/>
        </w:rPr>
      </w:pPr>
      <w:hyperlink r:id="rId13" w:history="1">
        <w:r w:rsidR="004E1052" w:rsidRPr="00DB58C7">
          <w:rPr>
            <w:rStyle w:val="Hyperlink"/>
            <w:rFonts w:ascii="Arial" w:hAnsi="Arial" w:cs="Arial"/>
            <w:b/>
            <w:sz w:val="18"/>
            <w:szCs w:val="18"/>
          </w:rPr>
          <w:t>Acórdão 4606/2015 Primeira Câmara</w:t>
        </w:r>
      </w:hyperlink>
      <w:r w:rsidR="004E1052" w:rsidRPr="00DB58C7">
        <w:rPr>
          <w:rFonts w:ascii="Arial" w:hAnsi="Arial" w:cs="Arial"/>
          <w:sz w:val="18"/>
          <w:szCs w:val="18"/>
        </w:rPr>
        <w:t xml:space="preserve"> (Aposentadoria, Relator Ministro Benjamin </w:t>
      </w:r>
      <w:proofErr w:type="spellStart"/>
      <w:r w:rsidR="004E1052" w:rsidRPr="00DB58C7">
        <w:rPr>
          <w:rFonts w:ascii="Arial" w:hAnsi="Arial" w:cs="Arial"/>
          <w:sz w:val="18"/>
          <w:szCs w:val="18"/>
        </w:rPr>
        <w:t>Zymler</w:t>
      </w:r>
      <w:proofErr w:type="spellEnd"/>
      <w:r w:rsidR="004E1052" w:rsidRPr="00DB58C7">
        <w:rPr>
          <w:rFonts w:ascii="Arial" w:hAnsi="Arial" w:cs="Arial"/>
          <w:sz w:val="18"/>
          <w:szCs w:val="18"/>
        </w:rPr>
        <w:t>)</w:t>
      </w:r>
    </w:p>
    <w:p w:rsidR="00850C98" w:rsidRPr="00DB58C7" w:rsidRDefault="004F7A2F" w:rsidP="00850C98">
      <w:pPr>
        <w:shd w:val="clear" w:color="auto" w:fill="FFFFFF"/>
        <w:rPr>
          <w:rFonts w:ascii="Arial" w:hAnsi="Arial" w:cs="Arial"/>
          <w:sz w:val="18"/>
          <w:szCs w:val="18"/>
        </w:rPr>
      </w:pPr>
      <w:r w:rsidRPr="00DB58C7">
        <w:rPr>
          <w:rFonts w:ascii="Arial" w:hAnsi="Arial" w:cs="Arial"/>
          <w:sz w:val="18"/>
          <w:szCs w:val="18"/>
        </w:rPr>
        <w:t xml:space="preserve">Pessoal. Apreciação do ato. </w:t>
      </w:r>
      <w:r w:rsidR="00836219" w:rsidRPr="00DB58C7">
        <w:rPr>
          <w:rFonts w:ascii="Arial" w:hAnsi="Arial" w:cs="Arial"/>
          <w:sz w:val="18"/>
          <w:szCs w:val="18"/>
        </w:rPr>
        <w:t>Alteração do ato</w:t>
      </w:r>
    </w:p>
    <w:p w:rsidR="00BD6DE9" w:rsidRPr="00DB58C7" w:rsidRDefault="00BD6DE9" w:rsidP="00BD6DE9">
      <w:pPr>
        <w:rPr>
          <w:rFonts w:ascii="Arial" w:hAnsi="Arial" w:cs="Arial"/>
          <w:sz w:val="18"/>
          <w:szCs w:val="18"/>
        </w:rPr>
      </w:pPr>
      <w:r w:rsidRPr="00DB58C7">
        <w:rPr>
          <w:rFonts w:ascii="Arial" w:hAnsi="Arial" w:cs="Arial"/>
          <w:sz w:val="18"/>
          <w:szCs w:val="18"/>
        </w:rPr>
        <w:lastRenderedPageBreak/>
        <w:t xml:space="preserve">Ao exercer a competência prevista no </w:t>
      </w:r>
      <w:r w:rsidRPr="00DB58C7">
        <w:rPr>
          <w:rFonts w:ascii="Arial" w:hAnsi="Arial" w:cs="Arial"/>
          <w:color w:val="0070C0"/>
          <w:sz w:val="18"/>
          <w:szCs w:val="18"/>
        </w:rPr>
        <w:t xml:space="preserve">art. </w:t>
      </w:r>
      <w:r w:rsidR="00B64F75" w:rsidRPr="00DB58C7">
        <w:rPr>
          <w:rStyle w:val="Refdenotadefim"/>
          <w:rFonts w:ascii="Arial" w:hAnsi="Arial" w:cs="Arial"/>
          <w:color w:val="FFFFFF" w:themeColor="background1"/>
          <w:sz w:val="18"/>
          <w:szCs w:val="18"/>
        </w:rPr>
        <w:endnoteReference w:id="1"/>
      </w:r>
      <w:r w:rsidRPr="00DB58C7">
        <w:rPr>
          <w:rFonts w:ascii="Arial" w:hAnsi="Arial" w:cs="Arial"/>
          <w:color w:val="0070C0"/>
          <w:sz w:val="18"/>
          <w:szCs w:val="18"/>
        </w:rPr>
        <w:t xml:space="preserve">71, inciso </w:t>
      </w:r>
      <w:r w:rsidR="00B64F75" w:rsidRPr="00DB58C7">
        <w:rPr>
          <w:rStyle w:val="Refdenotadefim"/>
          <w:rFonts w:ascii="Arial" w:hAnsi="Arial" w:cs="Arial"/>
          <w:color w:val="FFFFFF" w:themeColor="background1"/>
          <w:sz w:val="18"/>
          <w:szCs w:val="18"/>
        </w:rPr>
        <w:endnoteReference w:id="2"/>
      </w:r>
      <w:r w:rsidRPr="00DB58C7">
        <w:rPr>
          <w:rFonts w:ascii="Arial" w:hAnsi="Arial" w:cs="Arial"/>
          <w:color w:val="0070C0"/>
          <w:sz w:val="18"/>
          <w:szCs w:val="18"/>
        </w:rPr>
        <w:t>III</w:t>
      </w:r>
      <w:r w:rsidRPr="00DB58C7">
        <w:rPr>
          <w:rFonts w:ascii="Arial" w:hAnsi="Arial" w:cs="Arial"/>
          <w:sz w:val="18"/>
          <w:szCs w:val="18"/>
        </w:rPr>
        <w:t>, da C</w:t>
      </w:r>
      <w:r w:rsidR="00B64F75" w:rsidRPr="00DB58C7">
        <w:rPr>
          <w:rFonts w:ascii="Arial" w:hAnsi="Arial" w:cs="Arial"/>
          <w:sz w:val="18"/>
          <w:szCs w:val="18"/>
        </w:rPr>
        <w:t>onstituição Federal</w:t>
      </w:r>
      <w:r w:rsidRPr="00DB58C7">
        <w:rPr>
          <w:rFonts w:ascii="Arial" w:hAnsi="Arial" w:cs="Arial"/>
          <w:sz w:val="18"/>
          <w:szCs w:val="18"/>
        </w:rPr>
        <w:t>, o TCU só tem por alternativa considerar legal a aposentadoria nos termos em que ela foi concedida ou considerá-la ilegal, sendo-lhe defeso determinar o registro</w:t>
      </w:r>
      <w:r w:rsidR="00836219" w:rsidRPr="00DB58C7">
        <w:rPr>
          <w:rFonts w:ascii="Arial" w:hAnsi="Arial" w:cs="Arial"/>
          <w:sz w:val="18"/>
          <w:szCs w:val="18"/>
        </w:rPr>
        <w:t xml:space="preserve"> do ato</w:t>
      </w:r>
      <w:r w:rsidRPr="00DB58C7">
        <w:rPr>
          <w:rFonts w:ascii="Arial" w:hAnsi="Arial" w:cs="Arial"/>
          <w:sz w:val="18"/>
          <w:szCs w:val="18"/>
        </w:rPr>
        <w:t xml:space="preserve"> em termos diferentes do que foi requerido e deferido pela Administração. </w:t>
      </w:r>
    </w:p>
    <w:p w:rsidR="002578AD" w:rsidRPr="00DB58C7" w:rsidRDefault="000A0EB3" w:rsidP="002578AD">
      <w:pPr>
        <w:shd w:val="clear" w:color="auto" w:fill="FFFFFF"/>
        <w:rPr>
          <w:rFonts w:ascii="Arial" w:hAnsi="Arial" w:cs="Arial"/>
          <w:sz w:val="18"/>
          <w:szCs w:val="18"/>
        </w:rPr>
      </w:pPr>
      <w:hyperlink r:id="rId14" w:history="1">
        <w:r w:rsidR="002578AD" w:rsidRPr="00DB58C7">
          <w:rPr>
            <w:rStyle w:val="Hyperlink"/>
            <w:rFonts w:ascii="Arial" w:hAnsi="Arial" w:cs="Arial"/>
            <w:b/>
            <w:sz w:val="18"/>
            <w:szCs w:val="18"/>
          </w:rPr>
          <w:t>Acórdão 4608/2015 Primeira Câmara</w:t>
        </w:r>
      </w:hyperlink>
      <w:r w:rsidR="002578AD" w:rsidRPr="00DB58C7">
        <w:rPr>
          <w:rFonts w:ascii="Arial" w:hAnsi="Arial" w:cs="Arial"/>
          <w:sz w:val="18"/>
          <w:szCs w:val="18"/>
        </w:rPr>
        <w:t xml:space="preserve"> (Pedido de Reexame, Relator Ministro Benjamin </w:t>
      </w:r>
      <w:proofErr w:type="spellStart"/>
      <w:r w:rsidR="002578AD" w:rsidRPr="00DB58C7">
        <w:rPr>
          <w:rFonts w:ascii="Arial" w:hAnsi="Arial" w:cs="Arial"/>
          <w:sz w:val="18"/>
          <w:szCs w:val="18"/>
        </w:rPr>
        <w:t>Zymler</w:t>
      </w:r>
      <w:proofErr w:type="spellEnd"/>
      <w:r w:rsidR="002578AD" w:rsidRPr="00DB58C7">
        <w:rPr>
          <w:rFonts w:ascii="Arial" w:hAnsi="Arial" w:cs="Arial"/>
          <w:sz w:val="18"/>
          <w:szCs w:val="18"/>
        </w:rPr>
        <w:t>)</w:t>
      </w:r>
    </w:p>
    <w:p w:rsidR="002D50D5" w:rsidRPr="00DB58C7" w:rsidRDefault="004F7A2F" w:rsidP="002D50D5">
      <w:pPr>
        <w:shd w:val="clear" w:color="auto" w:fill="FFFFFF"/>
        <w:rPr>
          <w:rFonts w:ascii="Arial" w:hAnsi="Arial" w:cs="Arial"/>
          <w:sz w:val="18"/>
          <w:szCs w:val="18"/>
        </w:rPr>
      </w:pPr>
      <w:r w:rsidRPr="00DB58C7">
        <w:rPr>
          <w:rFonts w:ascii="Arial" w:hAnsi="Arial" w:cs="Arial"/>
          <w:sz w:val="18"/>
          <w:szCs w:val="18"/>
        </w:rPr>
        <w:t>Licitação. Habilitação técnica. Conselho de fiscalização profissional.</w:t>
      </w:r>
    </w:p>
    <w:p w:rsidR="00A25AD9" w:rsidRPr="00DB58C7" w:rsidRDefault="002D50D5" w:rsidP="00A25AD9">
      <w:pPr>
        <w:rPr>
          <w:rFonts w:ascii="Arial" w:hAnsi="Arial" w:cs="Arial"/>
          <w:sz w:val="18"/>
          <w:szCs w:val="18"/>
        </w:rPr>
      </w:pPr>
      <w:r w:rsidRPr="00DB58C7">
        <w:rPr>
          <w:rFonts w:ascii="Arial" w:hAnsi="Arial" w:cs="Arial"/>
          <w:sz w:val="18"/>
          <w:szCs w:val="18"/>
        </w:rPr>
        <w:t>Nas licitações públicas, é irregular a exigência de que as empresas de locação de mão de obra estejam registradas no Conselho Reg</w:t>
      </w:r>
      <w:r w:rsidR="00A25AD9" w:rsidRPr="00DB58C7">
        <w:rPr>
          <w:rFonts w:ascii="Arial" w:hAnsi="Arial" w:cs="Arial"/>
          <w:sz w:val="18"/>
          <w:szCs w:val="18"/>
        </w:rPr>
        <w:t>ional de Administração,</w:t>
      </w:r>
      <w:r w:rsidRPr="00DB58C7">
        <w:rPr>
          <w:rFonts w:ascii="Arial" w:hAnsi="Arial" w:cs="Arial"/>
          <w:sz w:val="18"/>
          <w:szCs w:val="18"/>
        </w:rPr>
        <w:t xml:space="preserve"> </w:t>
      </w:r>
      <w:r w:rsidR="00A25AD9" w:rsidRPr="00DB58C7">
        <w:rPr>
          <w:rFonts w:ascii="Arial" w:hAnsi="Arial" w:cs="Arial"/>
          <w:sz w:val="18"/>
          <w:szCs w:val="18"/>
        </w:rPr>
        <w:t xml:space="preserve">uma vez que a obrigatoriedade de inscrição de empresa em determinado conselho é definida em razão de sua atividade básica ou em relação àquela pela qual preste serviços a terceiros, nos termos do </w:t>
      </w:r>
      <w:r w:rsidR="00A25AD9" w:rsidRPr="00DB58C7">
        <w:rPr>
          <w:rFonts w:ascii="Arial" w:hAnsi="Arial" w:cs="Arial"/>
          <w:color w:val="0070C0"/>
          <w:sz w:val="18"/>
          <w:szCs w:val="18"/>
        </w:rPr>
        <w:t>art.</w:t>
      </w:r>
      <w:r w:rsidR="00A25AD9" w:rsidRPr="00DB58C7">
        <w:rPr>
          <w:rStyle w:val="Refdenotadefim"/>
          <w:rFonts w:ascii="Arial" w:hAnsi="Arial" w:cs="Arial"/>
          <w:color w:val="FFFFFF" w:themeColor="background1"/>
          <w:sz w:val="6"/>
          <w:szCs w:val="6"/>
        </w:rPr>
        <w:endnoteReference w:id="3"/>
      </w:r>
      <w:r w:rsidR="00A25AD9" w:rsidRPr="00DB58C7">
        <w:rPr>
          <w:rFonts w:ascii="Arial" w:hAnsi="Arial" w:cs="Arial"/>
          <w:color w:val="0070C0"/>
          <w:sz w:val="18"/>
          <w:szCs w:val="18"/>
        </w:rPr>
        <w:t>1º</w:t>
      </w:r>
      <w:r w:rsidR="00A25AD9" w:rsidRPr="00DB58C7">
        <w:rPr>
          <w:rFonts w:ascii="Arial" w:hAnsi="Arial" w:cs="Arial"/>
          <w:sz w:val="18"/>
          <w:szCs w:val="18"/>
        </w:rPr>
        <w:t xml:space="preserve"> da Lei 6.839/80.</w:t>
      </w:r>
    </w:p>
    <w:p w:rsidR="004923B5" w:rsidRPr="00DB58C7" w:rsidRDefault="000A0EB3" w:rsidP="004923B5">
      <w:pPr>
        <w:shd w:val="clear" w:color="auto" w:fill="FFFFFF"/>
        <w:rPr>
          <w:rFonts w:ascii="Arial" w:hAnsi="Arial" w:cs="Arial"/>
          <w:sz w:val="18"/>
          <w:szCs w:val="18"/>
        </w:rPr>
      </w:pPr>
      <w:hyperlink r:id="rId15" w:history="1">
        <w:r w:rsidR="004923B5" w:rsidRPr="00DB58C7">
          <w:rPr>
            <w:rStyle w:val="Hyperlink"/>
            <w:rFonts w:ascii="Arial" w:hAnsi="Arial" w:cs="Arial"/>
            <w:b/>
            <w:sz w:val="18"/>
            <w:szCs w:val="18"/>
          </w:rPr>
          <w:t>Acórdão 4611/2015 Primeira Câmara</w:t>
        </w:r>
      </w:hyperlink>
      <w:r w:rsidR="004923B5" w:rsidRPr="00DB58C7">
        <w:rPr>
          <w:rFonts w:ascii="Arial" w:hAnsi="Arial" w:cs="Arial"/>
          <w:sz w:val="18"/>
          <w:szCs w:val="18"/>
        </w:rPr>
        <w:t xml:space="preserve"> (Aposentadoria, Relator Ministro Benjamin </w:t>
      </w:r>
      <w:proofErr w:type="spellStart"/>
      <w:r w:rsidR="004923B5" w:rsidRPr="00DB58C7">
        <w:rPr>
          <w:rFonts w:ascii="Arial" w:hAnsi="Arial" w:cs="Arial"/>
          <w:sz w:val="18"/>
          <w:szCs w:val="18"/>
        </w:rPr>
        <w:t>Zymler</w:t>
      </w:r>
      <w:proofErr w:type="spellEnd"/>
      <w:r w:rsidR="004923B5" w:rsidRPr="00DB58C7">
        <w:rPr>
          <w:rFonts w:ascii="Arial" w:hAnsi="Arial" w:cs="Arial"/>
          <w:sz w:val="18"/>
          <w:szCs w:val="18"/>
        </w:rPr>
        <w:t>)</w:t>
      </w:r>
    </w:p>
    <w:p w:rsidR="00677733" w:rsidRPr="00DB58C7" w:rsidRDefault="004F7A2F" w:rsidP="00677733">
      <w:pPr>
        <w:shd w:val="clear" w:color="auto" w:fill="FFFFFF"/>
        <w:rPr>
          <w:rFonts w:ascii="Arial" w:hAnsi="Arial" w:cs="Arial"/>
          <w:sz w:val="18"/>
          <w:szCs w:val="18"/>
        </w:rPr>
      </w:pPr>
      <w:r w:rsidRPr="00DB58C7">
        <w:rPr>
          <w:rFonts w:ascii="Arial" w:hAnsi="Arial" w:cs="Arial"/>
          <w:sz w:val="18"/>
          <w:szCs w:val="18"/>
        </w:rPr>
        <w:t>Pessoal. Aposentadoria. Estágio probatório.</w:t>
      </w:r>
    </w:p>
    <w:p w:rsidR="004923B5" w:rsidRPr="00DB58C7" w:rsidRDefault="005419D4" w:rsidP="001C5F5B">
      <w:pPr>
        <w:rPr>
          <w:rFonts w:ascii="Arial" w:hAnsi="Arial" w:cs="Arial"/>
          <w:sz w:val="18"/>
          <w:szCs w:val="18"/>
        </w:rPr>
      </w:pPr>
      <w:r w:rsidRPr="00DB58C7">
        <w:rPr>
          <w:rFonts w:ascii="Arial" w:hAnsi="Arial" w:cs="Arial"/>
          <w:sz w:val="18"/>
          <w:szCs w:val="18"/>
        </w:rPr>
        <w:t>Não é possível</w:t>
      </w:r>
      <w:r w:rsidR="004923B5" w:rsidRPr="00DB58C7">
        <w:rPr>
          <w:rFonts w:ascii="Arial" w:hAnsi="Arial" w:cs="Arial"/>
          <w:sz w:val="18"/>
          <w:szCs w:val="18"/>
        </w:rPr>
        <w:t xml:space="preserve"> a concessão de a</w:t>
      </w:r>
      <w:r w:rsidRPr="00DB58C7">
        <w:rPr>
          <w:rFonts w:ascii="Arial" w:hAnsi="Arial" w:cs="Arial"/>
          <w:sz w:val="18"/>
          <w:szCs w:val="18"/>
        </w:rPr>
        <w:t>posentaria</w:t>
      </w:r>
      <w:r w:rsidR="004923B5" w:rsidRPr="00DB58C7">
        <w:rPr>
          <w:rFonts w:ascii="Arial" w:hAnsi="Arial" w:cs="Arial"/>
          <w:sz w:val="18"/>
          <w:szCs w:val="18"/>
        </w:rPr>
        <w:t xml:space="preserve"> em cargo no qual o servidor não implementou o estágio probatório, tendo</w:t>
      </w:r>
      <w:r w:rsidRPr="00DB58C7">
        <w:rPr>
          <w:rFonts w:ascii="Arial" w:hAnsi="Arial" w:cs="Arial"/>
          <w:sz w:val="18"/>
          <w:szCs w:val="18"/>
        </w:rPr>
        <w:t xml:space="preserve"> em vista que ele não se </w:t>
      </w:r>
      <w:proofErr w:type="gramStart"/>
      <w:r w:rsidRPr="00DB58C7">
        <w:rPr>
          <w:rFonts w:ascii="Arial" w:hAnsi="Arial" w:cs="Arial"/>
          <w:sz w:val="18"/>
          <w:szCs w:val="18"/>
        </w:rPr>
        <w:t>tornou</w:t>
      </w:r>
      <w:proofErr w:type="gramEnd"/>
      <w:r w:rsidRPr="00DB58C7">
        <w:rPr>
          <w:rFonts w:ascii="Arial" w:hAnsi="Arial" w:cs="Arial"/>
          <w:sz w:val="18"/>
          <w:szCs w:val="18"/>
        </w:rPr>
        <w:t xml:space="preserve"> </w:t>
      </w:r>
      <w:r w:rsidR="004923B5" w:rsidRPr="00DB58C7">
        <w:rPr>
          <w:rFonts w:ascii="Arial" w:hAnsi="Arial" w:cs="Arial"/>
          <w:sz w:val="18"/>
          <w:szCs w:val="18"/>
        </w:rPr>
        <w:t>titular do cargo no qual busca a inativação.</w:t>
      </w:r>
      <w:r w:rsidRPr="00DB58C7">
        <w:rPr>
          <w:rFonts w:ascii="Arial" w:hAnsi="Arial" w:cs="Arial"/>
          <w:sz w:val="18"/>
          <w:szCs w:val="18"/>
        </w:rPr>
        <w:t xml:space="preserve"> É admitida exceção apenas no</w:t>
      </w:r>
      <w:r w:rsidR="00ED4014" w:rsidRPr="00DB58C7">
        <w:rPr>
          <w:rFonts w:ascii="Arial" w:hAnsi="Arial" w:cs="Arial"/>
          <w:sz w:val="18"/>
          <w:szCs w:val="18"/>
        </w:rPr>
        <w:t xml:space="preserve"> caso</w:t>
      </w:r>
      <w:r w:rsidRPr="00DB58C7">
        <w:rPr>
          <w:rFonts w:ascii="Arial" w:hAnsi="Arial" w:cs="Arial"/>
          <w:sz w:val="18"/>
          <w:szCs w:val="18"/>
        </w:rPr>
        <w:t xml:space="preserve"> de </w:t>
      </w:r>
      <w:r w:rsidR="00ED4014" w:rsidRPr="00DB58C7">
        <w:rPr>
          <w:rFonts w:ascii="Arial" w:hAnsi="Arial" w:cs="Arial"/>
          <w:sz w:val="18"/>
          <w:szCs w:val="18"/>
        </w:rPr>
        <w:t xml:space="preserve">aposentadoria por </w:t>
      </w:r>
      <w:r w:rsidRPr="00DB58C7">
        <w:rPr>
          <w:rFonts w:ascii="Arial" w:hAnsi="Arial" w:cs="Arial"/>
          <w:sz w:val="18"/>
          <w:szCs w:val="18"/>
        </w:rPr>
        <w:t>invalidez</w:t>
      </w:r>
      <w:r w:rsidR="00ED4014" w:rsidRPr="00DB58C7">
        <w:rPr>
          <w:rFonts w:ascii="Arial" w:hAnsi="Arial" w:cs="Arial"/>
          <w:sz w:val="18"/>
          <w:szCs w:val="18"/>
        </w:rPr>
        <w:t xml:space="preserve">, uma vez que tal situação não decorre da vontade do servidor e é imprevisível. </w:t>
      </w:r>
    </w:p>
    <w:p w:rsidR="006201A3" w:rsidRPr="00DB58C7" w:rsidRDefault="000A0EB3" w:rsidP="006201A3">
      <w:pPr>
        <w:shd w:val="clear" w:color="auto" w:fill="FFFFFF"/>
        <w:rPr>
          <w:rFonts w:ascii="Arial" w:hAnsi="Arial" w:cs="Arial"/>
          <w:sz w:val="18"/>
          <w:szCs w:val="18"/>
        </w:rPr>
      </w:pPr>
      <w:hyperlink r:id="rId16" w:history="1">
        <w:r w:rsidR="006201A3" w:rsidRPr="00DB58C7">
          <w:rPr>
            <w:rStyle w:val="Hyperlink"/>
            <w:rFonts w:ascii="Arial" w:hAnsi="Arial" w:cs="Arial"/>
            <w:b/>
            <w:sz w:val="18"/>
            <w:szCs w:val="18"/>
          </w:rPr>
          <w:t>Acórdão 4623/2015 Primeira Câmara</w:t>
        </w:r>
      </w:hyperlink>
      <w:r w:rsidR="006201A3" w:rsidRPr="00DB58C7">
        <w:rPr>
          <w:rFonts w:ascii="Arial" w:hAnsi="Arial" w:cs="Arial"/>
          <w:sz w:val="18"/>
          <w:szCs w:val="18"/>
        </w:rPr>
        <w:t xml:space="preserve"> (Admissão, Relator Ministro Bruno Dantas)</w:t>
      </w:r>
    </w:p>
    <w:p w:rsidR="006201A3" w:rsidRPr="00DB58C7" w:rsidRDefault="004F7A2F" w:rsidP="006201A3">
      <w:pPr>
        <w:shd w:val="clear" w:color="auto" w:fill="FFFFFF"/>
        <w:rPr>
          <w:rFonts w:ascii="Arial" w:hAnsi="Arial" w:cs="Arial"/>
          <w:sz w:val="18"/>
          <w:szCs w:val="18"/>
        </w:rPr>
      </w:pPr>
      <w:r w:rsidRPr="00DB58C7">
        <w:rPr>
          <w:rFonts w:ascii="Arial" w:hAnsi="Arial" w:cs="Arial"/>
          <w:sz w:val="18"/>
          <w:szCs w:val="18"/>
        </w:rPr>
        <w:t xml:space="preserve">Pessoal. Concurso público. Aproveitamento. </w:t>
      </w:r>
    </w:p>
    <w:p w:rsidR="006201A3" w:rsidRPr="00DB58C7" w:rsidRDefault="006201A3" w:rsidP="006201A3">
      <w:pPr>
        <w:rPr>
          <w:rFonts w:ascii="Arial" w:eastAsia="Times New Roman" w:hAnsi="Arial" w:cs="Arial"/>
          <w:color w:val="000000"/>
          <w:sz w:val="18"/>
          <w:szCs w:val="18"/>
        </w:rPr>
      </w:pPr>
      <w:r w:rsidRPr="00DB58C7">
        <w:rPr>
          <w:rFonts w:ascii="Arial" w:eastAsia="Times New Roman" w:hAnsi="Arial" w:cs="Arial"/>
          <w:color w:val="000000"/>
          <w:sz w:val="18"/>
          <w:szCs w:val="18"/>
        </w:rPr>
        <w:t xml:space="preserve">O aproveitamento de candidatos aprovados em concurso realizado por outro órgão somente poderá alcançar cargos que tenham seu exercício previsto para as mesmas localidades em que terão exercício os servidores do órgão promotor do certame, </w:t>
      </w:r>
      <w:r w:rsidR="005427C3" w:rsidRPr="00DB58C7">
        <w:rPr>
          <w:rFonts w:ascii="Arial" w:eastAsia="Times New Roman" w:hAnsi="Arial" w:cs="Arial"/>
          <w:color w:val="000000"/>
          <w:sz w:val="18"/>
          <w:szCs w:val="18"/>
        </w:rPr>
        <w:t xml:space="preserve">e </w:t>
      </w:r>
      <w:r w:rsidRPr="00DB58C7">
        <w:rPr>
          <w:rFonts w:ascii="Arial" w:eastAsia="Times New Roman" w:hAnsi="Arial" w:cs="Arial"/>
          <w:color w:val="000000"/>
          <w:sz w:val="18"/>
          <w:szCs w:val="18"/>
        </w:rPr>
        <w:t>desde que</w:t>
      </w:r>
      <w:r w:rsidR="00ED4014" w:rsidRPr="00DB58C7">
        <w:rPr>
          <w:rFonts w:ascii="Arial" w:eastAsia="Times New Roman" w:hAnsi="Arial" w:cs="Arial"/>
          <w:color w:val="000000"/>
          <w:sz w:val="18"/>
          <w:szCs w:val="18"/>
        </w:rPr>
        <w:t>:</w:t>
      </w:r>
      <w:r w:rsidR="005427C3" w:rsidRPr="00DB58C7">
        <w:rPr>
          <w:rFonts w:ascii="Arial" w:eastAsia="Times New Roman" w:hAnsi="Arial" w:cs="Arial"/>
          <w:color w:val="000000"/>
          <w:sz w:val="18"/>
          <w:szCs w:val="18"/>
        </w:rPr>
        <w:t xml:space="preserve"> </w:t>
      </w:r>
      <w:r w:rsidRPr="00DB58C7">
        <w:rPr>
          <w:rFonts w:ascii="Arial" w:eastAsia="Times New Roman" w:hAnsi="Arial" w:cs="Arial"/>
          <w:color w:val="000000"/>
          <w:sz w:val="18"/>
          <w:szCs w:val="18"/>
        </w:rPr>
        <w:t>dentro do mesmo Poder</w:t>
      </w:r>
      <w:r w:rsidR="00ED4014" w:rsidRPr="00DB58C7">
        <w:rPr>
          <w:rFonts w:ascii="Arial" w:eastAsia="Times New Roman" w:hAnsi="Arial" w:cs="Arial"/>
          <w:color w:val="000000"/>
          <w:sz w:val="18"/>
          <w:szCs w:val="18"/>
        </w:rPr>
        <w:t>;</w:t>
      </w:r>
      <w:r w:rsidR="005427C3" w:rsidRPr="00DB58C7">
        <w:rPr>
          <w:rFonts w:ascii="Arial" w:eastAsia="Times New Roman" w:hAnsi="Arial" w:cs="Arial"/>
          <w:color w:val="000000"/>
          <w:sz w:val="18"/>
          <w:szCs w:val="18"/>
        </w:rPr>
        <w:t xml:space="preserve"> para provimento</w:t>
      </w:r>
      <w:r w:rsidRPr="00DB58C7">
        <w:rPr>
          <w:rFonts w:ascii="Arial" w:eastAsia="Times New Roman" w:hAnsi="Arial" w:cs="Arial"/>
          <w:color w:val="000000"/>
          <w:sz w:val="18"/>
          <w:szCs w:val="18"/>
        </w:rPr>
        <w:t xml:space="preserve"> de cargo idêntico àquele para o qual</w:t>
      </w:r>
      <w:r w:rsidR="005427C3" w:rsidRPr="00DB58C7">
        <w:rPr>
          <w:rFonts w:ascii="Arial" w:eastAsia="Times New Roman" w:hAnsi="Arial" w:cs="Arial"/>
          <w:color w:val="000000"/>
          <w:sz w:val="18"/>
          <w:szCs w:val="18"/>
        </w:rPr>
        <w:t xml:space="preserve"> concurso</w:t>
      </w:r>
      <w:r w:rsidR="00ED4014" w:rsidRPr="00DB58C7">
        <w:rPr>
          <w:rFonts w:ascii="Arial" w:eastAsia="Times New Roman" w:hAnsi="Arial" w:cs="Arial"/>
          <w:color w:val="000000"/>
          <w:sz w:val="18"/>
          <w:szCs w:val="18"/>
        </w:rPr>
        <w:t xml:space="preserve"> foi realizado,</w:t>
      </w:r>
      <w:r w:rsidRPr="00DB58C7">
        <w:rPr>
          <w:rFonts w:ascii="Arial" w:eastAsia="Times New Roman" w:hAnsi="Arial" w:cs="Arial"/>
          <w:color w:val="000000"/>
          <w:sz w:val="18"/>
          <w:szCs w:val="18"/>
        </w:rPr>
        <w:t xml:space="preserve"> </w:t>
      </w:r>
      <w:r w:rsidR="00ED4014" w:rsidRPr="00DB58C7">
        <w:rPr>
          <w:rFonts w:ascii="Arial" w:eastAsia="Times New Roman" w:hAnsi="Arial" w:cs="Arial"/>
          <w:color w:val="000000"/>
          <w:sz w:val="18"/>
          <w:szCs w:val="18"/>
        </w:rPr>
        <w:t>com</w:t>
      </w:r>
      <w:r w:rsidRPr="00DB58C7">
        <w:rPr>
          <w:rFonts w:ascii="Arial" w:eastAsia="Times New Roman" w:hAnsi="Arial" w:cs="Arial"/>
          <w:color w:val="000000"/>
          <w:sz w:val="18"/>
          <w:szCs w:val="18"/>
        </w:rPr>
        <w:t xml:space="preserve"> iguais denominação e descrição e que envolva as mesmas atribuições, c</w:t>
      </w:r>
      <w:r w:rsidR="00ED4014" w:rsidRPr="00DB58C7">
        <w:rPr>
          <w:rFonts w:ascii="Arial" w:eastAsia="Times New Roman" w:hAnsi="Arial" w:cs="Arial"/>
          <w:color w:val="000000"/>
          <w:sz w:val="18"/>
          <w:szCs w:val="18"/>
        </w:rPr>
        <w:t>ompetências, direitos e deveres;</w:t>
      </w:r>
      <w:r w:rsidRPr="00DB58C7">
        <w:rPr>
          <w:rFonts w:ascii="Arial" w:eastAsia="Times New Roman" w:hAnsi="Arial" w:cs="Arial"/>
          <w:color w:val="000000"/>
          <w:sz w:val="18"/>
          <w:szCs w:val="18"/>
        </w:rPr>
        <w:t xml:space="preserve"> se exijam idênticos requisitos de habilitação acadêmica e profissional</w:t>
      </w:r>
      <w:r w:rsidR="00ED4014" w:rsidRPr="00DB58C7">
        <w:rPr>
          <w:rFonts w:ascii="Arial" w:eastAsia="Times New Roman" w:hAnsi="Arial" w:cs="Arial"/>
          <w:color w:val="000000"/>
          <w:sz w:val="18"/>
          <w:szCs w:val="18"/>
        </w:rPr>
        <w:t>;</w:t>
      </w:r>
      <w:r w:rsidRPr="00DB58C7">
        <w:rPr>
          <w:rFonts w:ascii="Arial" w:eastAsia="Times New Roman" w:hAnsi="Arial" w:cs="Arial"/>
          <w:color w:val="000000"/>
          <w:sz w:val="18"/>
          <w:szCs w:val="18"/>
        </w:rPr>
        <w:t xml:space="preserve"> e </w:t>
      </w:r>
      <w:r w:rsidR="005427C3" w:rsidRPr="00DB58C7">
        <w:rPr>
          <w:rFonts w:ascii="Arial" w:eastAsia="Times New Roman" w:hAnsi="Arial" w:cs="Arial"/>
          <w:color w:val="000000"/>
          <w:sz w:val="18"/>
          <w:szCs w:val="18"/>
        </w:rPr>
        <w:t xml:space="preserve">sejam observadas a </w:t>
      </w:r>
      <w:r w:rsidRPr="00DB58C7">
        <w:rPr>
          <w:rFonts w:ascii="Arial" w:eastAsia="Times New Roman" w:hAnsi="Arial" w:cs="Arial"/>
          <w:color w:val="000000"/>
          <w:sz w:val="18"/>
          <w:szCs w:val="18"/>
        </w:rPr>
        <w:t xml:space="preserve">ordem de classificação e </w:t>
      </w:r>
      <w:r w:rsidR="005427C3" w:rsidRPr="00DB58C7">
        <w:rPr>
          <w:rFonts w:ascii="Arial" w:eastAsia="Times New Roman" w:hAnsi="Arial" w:cs="Arial"/>
          <w:color w:val="000000"/>
          <w:sz w:val="18"/>
          <w:szCs w:val="18"/>
        </w:rPr>
        <w:t>a</w:t>
      </w:r>
      <w:r w:rsidRPr="00DB58C7">
        <w:rPr>
          <w:rFonts w:ascii="Arial" w:eastAsia="Times New Roman" w:hAnsi="Arial" w:cs="Arial"/>
          <w:color w:val="000000"/>
          <w:sz w:val="18"/>
          <w:szCs w:val="18"/>
        </w:rPr>
        <w:t xml:space="preserve"> finalidade ou </w:t>
      </w:r>
      <w:r w:rsidR="00C54C28" w:rsidRPr="00DB58C7">
        <w:rPr>
          <w:rFonts w:ascii="Arial" w:eastAsia="Times New Roman" w:hAnsi="Arial" w:cs="Arial"/>
          <w:color w:val="000000"/>
          <w:sz w:val="18"/>
          <w:szCs w:val="18"/>
        </w:rPr>
        <w:t xml:space="preserve">a </w:t>
      </w:r>
      <w:r w:rsidRPr="00DB58C7">
        <w:rPr>
          <w:rFonts w:ascii="Arial" w:eastAsia="Times New Roman" w:hAnsi="Arial" w:cs="Arial"/>
          <w:color w:val="000000"/>
          <w:sz w:val="18"/>
          <w:szCs w:val="18"/>
        </w:rPr>
        <w:t xml:space="preserve">destinação prevista no edital, </w:t>
      </w:r>
      <w:r w:rsidR="005427C3" w:rsidRPr="00DB58C7">
        <w:rPr>
          <w:rFonts w:ascii="Arial" w:eastAsia="Times New Roman" w:hAnsi="Arial" w:cs="Arial"/>
          <w:color w:val="000000"/>
          <w:sz w:val="18"/>
          <w:szCs w:val="18"/>
        </w:rPr>
        <w:t>o qual</w:t>
      </w:r>
      <w:r w:rsidRPr="00DB58C7">
        <w:rPr>
          <w:rFonts w:ascii="Arial" w:eastAsia="Times New Roman" w:hAnsi="Arial" w:cs="Arial"/>
          <w:color w:val="000000"/>
          <w:sz w:val="18"/>
          <w:szCs w:val="18"/>
        </w:rPr>
        <w:t xml:space="preserve"> deverá antever a possibilidade desse aproveitamento.</w:t>
      </w:r>
    </w:p>
    <w:p w:rsidR="00677733" w:rsidRPr="00DB58C7" w:rsidRDefault="000A0EB3" w:rsidP="00677733">
      <w:pPr>
        <w:shd w:val="clear" w:color="auto" w:fill="FFFFFF"/>
        <w:rPr>
          <w:rFonts w:ascii="Arial" w:hAnsi="Arial" w:cs="Arial"/>
          <w:sz w:val="18"/>
          <w:szCs w:val="18"/>
        </w:rPr>
      </w:pPr>
      <w:hyperlink r:id="rId17" w:history="1">
        <w:r w:rsidR="00FE725A" w:rsidRPr="00DB58C7">
          <w:rPr>
            <w:rStyle w:val="Hyperlink"/>
            <w:rFonts w:ascii="Arial" w:hAnsi="Arial" w:cs="Arial"/>
            <w:b/>
            <w:sz w:val="18"/>
            <w:szCs w:val="18"/>
          </w:rPr>
          <w:t>Acórdão 4634/2015 Primeira Câmara</w:t>
        </w:r>
      </w:hyperlink>
      <w:r w:rsidR="00677733" w:rsidRPr="00DB58C7">
        <w:rPr>
          <w:rFonts w:ascii="Arial" w:hAnsi="Arial" w:cs="Arial"/>
          <w:sz w:val="18"/>
          <w:szCs w:val="18"/>
        </w:rPr>
        <w:t xml:space="preserve"> (</w:t>
      </w:r>
      <w:r w:rsidR="00FE725A" w:rsidRPr="00DB58C7">
        <w:rPr>
          <w:rFonts w:ascii="Arial" w:hAnsi="Arial" w:cs="Arial"/>
          <w:sz w:val="18"/>
          <w:szCs w:val="18"/>
        </w:rPr>
        <w:t xml:space="preserve">Aposentadoria, </w:t>
      </w:r>
      <w:r w:rsidR="00677733" w:rsidRPr="00DB58C7">
        <w:rPr>
          <w:rFonts w:ascii="Arial" w:hAnsi="Arial" w:cs="Arial"/>
          <w:sz w:val="18"/>
          <w:szCs w:val="18"/>
        </w:rPr>
        <w:t xml:space="preserve">Relator Ministro </w:t>
      </w:r>
      <w:r w:rsidR="00FE725A" w:rsidRPr="00DB58C7">
        <w:rPr>
          <w:rFonts w:ascii="Arial" w:hAnsi="Arial" w:cs="Arial"/>
          <w:sz w:val="18"/>
          <w:szCs w:val="18"/>
        </w:rPr>
        <w:t>Walton Alencar Rodrigues</w:t>
      </w:r>
      <w:r w:rsidR="00677733" w:rsidRPr="00DB58C7">
        <w:rPr>
          <w:rFonts w:ascii="Arial" w:hAnsi="Arial" w:cs="Arial"/>
          <w:sz w:val="18"/>
          <w:szCs w:val="18"/>
        </w:rPr>
        <w:t>)</w:t>
      </w:r>
    </w:p>
    <w:p w:rsidR="00677733" w:rsidRPr="00DB58C7" w:rsidRDefault="00076D80" w:rsidP="00677733">
      <w:pPr>
        <w:shd w:val="clear" w:color="auto" w:fill="FFFFFF"/>
        <w:rPr>
          <w:rFonts w:ascii="Arial" w:hAnsi="Arial" w:cs="Arial"/>
          <w:sz w:val="18"/>
          <w:szCs w:val="18"/>
        </w:rPr>
      </w:pPr>
      <w:r w:rsidRPr="00DB58C7">
        <w:rPr>
          <w:rFonts w:ascii="Arial" w:hAnsi="Arial" w:cs="Arial"/>
          <w:sz w:val="18"/>
          <w:szCs w:val="18"/>
        </w:rPr>
        <w:t>Pessoal. Tempo de serviço. Tempo ficto.</w:t>
      </w:r>
    </w:p>
    <w:p w:rsidR="00FE725A" w:rsidRPr="00DB58C7" w:rsidRDefault="00FE725A" w:rsidP="001C5F5B">
      <w:pPr>
        <w:rPr>
          <w:rFonts w:ascii="Arial" w:hAnsi="Arial" w:cs="Arial"/>
          <w:sz w:val="18"/>
          <w:szCs w:val="18"/>
        </w:rPr>
      </w:pPr>
      <w:r w:rsidRPr="00DB58C7">
        <w:rPr>
          <w:rFonts w:ascii="Arial" w:hAnsi="Arial" w:cs="Arial"/>
          <w:sz w:val="18"/>
          <w:szCs w:val="18"/>
        </w:rPr>
        <w:t>O cômputo majorado de tempo de serviço prestado sob condições insalubres, perigosas ou penosas para fins de aposentadoria no serviço público restringe-se apenas aos empregados públicos (celetistas) convertidos em servidores públicos estatutários por força da adoção do Regime Jurídico Único e somente em relação ao período anterior à edição da</w:t>
      </w:r>
      <w:r w:rsidR="00DB58C7">
        <w:rPr>
          <w:rFonts w:ascii="Arial" w:hAnsi="Arial" w:cs="Arial"/>
          <w:sz w:val="18"/>
          <w:szCs w:val="18"/>
        </w:rPr>
        <w:t xml:space="preserve"> </w:t>
      </w:r>
      <w:r w:rsidRPr="00DB58C7">
        <w:rPr>
          <w:rFonts w:ascii="Arial" w:hAnsi="Arial" w:cs="Arial"/>
          <w:sz w:val="18"/>
          <w:szCs w:val="18"/>
        </w:rPr>
        <w:t xml:space="preserve"> </w:t>
      </w:r>
      <w:r w:rsidR="00DB58C7">
        <w:rPr>
          <w:rFonts w:ascii="Arial" w:hAnsi="Arial" w:cs="Arial"/>
          <w:sz w:val="18"/>
          <w:szCs w:val="18"/>
        </w:rPr>
        <w:t xml:space="preserve"> </w:t>
      </w:r>
      <w:hyperlink r:id="rId18" w:tgtFrame="_blank" w:history="1">
        <w:r w:rsidR="00DB58C7" w:rsidRPr="00DB58C7">
          <w:rPr>
            <w:rStyle w:val="Hyperlink"/>
            <w:rFonts w:ascii="Arial" w:hAnsi="Arial" w:cs="Arial"/>
            <w:b/>
            <w:color w:val="0070C0"/>
            <w:sz w:val="18"/>
            <w:szCs w:val="18"/>
            <w:u w:val="none"/>
          </w:rPr>
          <w:t>Lei 8.112/90</w:t>
        </w:r>
      </w:hyperlink>
      <w:r w:rsidRPr="00DB58C7">
        <w:rPr>
          <w:rFonts w:ascii="Arial" w:hAnsi="Arial" w:cs="Arial"/>
          <w:sz w:val="18"/>
          <w:szCs w:val="18"/>
        </w:rPr>
        <w:t>.</w:t>
      </w:r>
    </w:p>
    <w:p w:rsidR="001C5936" w:rsidRPr="00DB58C7" w:rsidRDefault="000A0EB3" w:rsidP="001C5936">
      <w:pPr>
        <w:shd w:val="clear" w:color="auto" w:fill="FFFFFF"/>
        <w:rPr>
          <w:rFonts w:ascii="Arial" w:hAnsi="Arial" w:cs="Arial"/>
          <w:sz w:val="18"/>
          <w:szCs w:val="18"/>
        </w:rPr>
      </w:pPr>
      <w:hyperlink r:id="rId19" w:history="1">
        <w:r w:rsidR="00E54EB5" w:rsidRPr="00DB58C7">
          <w:rPr>
            <w:rStyle w:val="Hyperlink"/>
            <w:rFonts w:ascii="Arial" w:hAnsi="Arial" w:cs="Arial"/>
            <w:b/>
            <w:sz w:val="18"/>
            <w:szCs w:val="18"/>
          </w:rPr>
          <w:t>Acórdão 5666/2015 Segunda Câmara</w:t>
        </w:r>
      </w:hyperlink>
      <w:r w:rsidR="001C5936" w:rsidRPr="00DB58C7">
        <w:rPr>
          <w:rFonts w:ascii="Arial" w:hAnsi="Arial" w:cs="Arial"/>
          <w:sz w:val="18"/>
          <w:szCs w:val="18"/>
        </w:rPr>
        <w:t xml:space="preserve"> (</w:t>
      </w:r>
      <w:r w:rsidR="00E54EB5" w:rsidRPr="00DB58C7">
        <w:rPr>
          <w:rFonts w:ascii="Arial" w:hAnsi="Arial" w:cs="Arial"/>
          <w:sz w:val="18"/>
          <w:szCs w:val="18"/>
        </w:rPr>
        <w:t xml:space="preserve">Admissão, </w:t>
      </w:r>
      <w:r w:rsidR="001C5936" w:rsidRPr="00DB58C7">
        <w:rPr>
          <w:rFonts w:ascii="Arial" w:hAnsi="Arial" w:cs="Arial"/>
          <w:sz w:val="18"/>
          <w:szCs w:val="18"/>
        </w:rPr>
        <w:t>Relator</w:t>
      </w:r>
      <w:r w:rsidR="00E54EB5" w:rsidRPr="00DB58C7">
        <w:rPr>
          <w:rFonts w:ascii="Arial" w:hAnsi="Arial" w:cs="Arial"/>
          <w:sz w:val="18"/>
          <w:szCs w:val="18"/>
        </w:rPr>
        <w:t>a Ministra Ana Arraes</w:t>
      </w:r>
      <w:r w:rsidR="001C5936" w:rsidRPr="00DB58C7">
        <w:rPr>
          <w:rFonts w:ascii="Arial" w:hAnsi="Arial" w:cs="Arial"/>
          <w:sz w:val="18"/>
          <w:szCs w:val="18"/>
        </w:rPr>
        <w:t>)</w:t>
      </w:r>
      <w:bookmarkStart w:id="1" w:name="_GoBack"/>
      <w:bookmarkEnd w:id="1"/>
    </w:p>
    <w:p w:rsidR="001C5936" w:rsidRPr="00DB58C7" w:rsidRDefault="00076D80" w:rsidP="001C5936">
      <w:pPr>
        <w:shd w:val="clear" w:color="auto" w:fill="FFFFFF"/>
        <w:rPr>
          <w:rFonts w:ascii="Arial" w:hAnsi="Arial" w:cs="Arial"/>
          <w:sz w:val="18"/>
          <w:szCs w:val="18"/>
        </w:rPr>
      </w:pPr>
      <w:r w:rsidRPr="00DB58C7">
        <w:rPr>
          <w:rFonts w:ascii="Arial" w:hAnsi="Arial" w:cs="Arial"/>
          <w:sz w:val="18"/>
          <w:szCs w:val="18"/>
        </w:rPr>
        <w:t>Pessoal.</w:t>
      </w:r>
      <w:r w:rsidR="00013D35" w:rsidRPr="00DB58C7">
        <w:rPr>
          <w:rFonts w:ascii="Arial" w:hAnsi="Arial" w:cs="Arial"/>
          <w:sz w:val="18"/>
          <w:szCs w:val="18"/>
        </w:rPr>
        <w:t xml:space="preserve"> Admissão.</w:t>
      </w:r>
      <w:r w:rsidRPr="00DB58C7">
        <w:rPr>
          <w:rFonts w:ascii="Arial" w:hAnsi="Arial" w:cs="Arial"/>
          <w:sz w:val="18"/>
          <w:szCs w:val="18"/>
        </w:rPr>
        <w:t xml:space="preserve"> Víncu</w:t>
      </w:r>
      <w:r w:rsidR="00013D35" w:rsidRPr="00DB58C7">
        <w:rPr>
          <w:rFonts w:ascii="Arial" w:hAnsi="Arial" w:cs="Arial"/>
          <w:sz w:val="18"/>
          <w:szCs w:val="18"/>
        </w:rPr>
        <w:t>lo privado.</w:t>
      </w:r>
    </w:p>
    <w:p w:rsidR="00E54EB5" w:rsidRPr="00DB58C7" w:rsidRDefault="00E54EB5" w:rsidP="001C5F5B">
      <w:pPr>
        <w:rPr>
          <w:rFonts w:ascii="Arial" w:hAnsi="Arial" w:cs="Arial"/>
          <w:sz w:val="18"/>
          <w:szCs w:val="18"/>
        </w:rPr>
      </w:pPr>
      <w:r w:rsidRPr="00DB58C7">
        <w:rPr>
          <w:rFonts w:ascii="Arial" w:hAnsi="Arial" w:cs="Arial"/>
          <w:sz w:val="18"/>
          <w:szCs w:val="18"/>
        </w:rPr>
        <w:t>A existência de vínculos empregatícios junto a entidades do setor privado não configura impedimento para investidura em cargo p</w:t>
      </w:r>
      <w:r w:rsidR="00522AA4" w:rsidRPr="00DB58C7">
        <w:rPr>
          <w:rFonts w:ascii="Arial" w:hAnsi="Arial" w:cs="Arial"/>
          <w:sz w:val="18"/>
          <w:szCs w:val="18"/>
        </w:rPr>
        <w:t>úblico, nem é</w:t>
      </w:r>
      <w:r w:rsidRPr="00DB58C7">
        <w:rPr>
          <w:rFonts w:ascii="Arial" w:hAnsi="Arial" w:cs="Arial"/>
          <w:sz w:val="18"/>
          <w:szCs w:val="18"/>
        </w:rPr>
        <w:t xml:space="preserve"> hipótese de acumulação de cargos ou empregos, mas demanda assegurar que o servidor não exerça atividade incompatível com seu ho</w:t>
      </w:r>
      <w:r w:rsidR="00522AA4" w:rsidRPr="00DB58C7">
        <w:rPr>
          <w:rFonts w:ascii="Arial" w:hAnsi="Arial" w:cs="Arial"/>
          <w:sz w:val="18"/>
          <w:szCs w:val="18"/>
        </w:rPr>
        <w:t>rário de trabalho</w:t>
      </w:r>
      <w:r w:rsidRPr="00DB58C7">
        <w:rPr>
          <w:rFonts w:ascii="Arial" w:hAnsi="Arial" w:cs="Arial"/>
          <w:sz w:val="18"/>
          <w:szCs w:val="18"/>
        </w:rPr>
        <w:t xml:space="preserve"> </w:t>
      </w:r>
      <w:r w:rsidR="00522AA4" w:rsidRPr="00DB58C7">
        <w:rPr>
          <w:rFonts w:ascii="Arial" w:hAnsi="Arial" w:cs="Arial"/>
          <w:sz w:val="18"/>
          <w:szCs w:val="18"/>
        </w:rPr>
        <w:t>(</w:t>
      </w:r>
      <w:r w:rsidRPr="00DB58C7">
        <w:rPr>
          <w:rFonts w:ascii="Arial" w:hAnsi="Arial" w:cs="Arial"/>
          <w:color w:val="0070C0"/>
          <w:sz w:val="18"/>
          <w:szCs w:val="18"/>
        </w:rPr>
        <w:t>art.</w:t>
      </w:r>
      <w:r w:rsidR="00B64F75" w:rsidRPr="00DB58C7">
        <w:rPr>
          <w:rFonts w:ascii="Arial" w:hAnsi="Arial" w:cs="Arial"/>
          <w:color w:val="FFFFFF" w:themeColor="background1"/>
          <w:sz w:val="6"/>
          <w:szCs w:val="6"/>
        </w:rPr>
        <w:endnoteReference w:id="4"/>
      </w:r>
      <w:r w:rsidR="00522AA4" w:rsidRPr="00DB58C7">
        <w:rPr>
          <w:rFonts w:ascii="Arial" w:hAnsi="Arial" w:cs="Arial"/>
          <w:color w:val="0070C0"/>
          <w:sz w:val="18"/>
          <w:szCs w:val="18"/>
        </w:rPr>
        <w:t>117, inciso</w:t>
      </w:r>
      <w:r w:rsidR="00B64F75" w:rsidRPr="00DB58C7">
        <w:rPr>
          <w:rFonts w:ascii="Arial" w:hAnsi="Arial" w:cs="Arial"/>
          <w:color w:val="FFFFFF" w:themeColor="background1"/>
          <w:sz w:val="6"/>
          <w:szCs w:val="6"/>
        </w:rPr>
        <w:endnoteReference w:id="5"/>
      </w:r>
      <w:r w:rsidRPr="00DB58C7">
        <w:rPr>
          <w:rFonts w:ascii="Arial" w:hAnsi="Arial" w:cs="Arial"/>
          <w:color w:val="0070C0"/>
          <w:sz w:val="18"/>
          <w:szCs w:val="18"/>
        </w:rPr>
        <w:t>XVIII</w:t>
      </w:r>
      <w:r w:rsidRPr="00DB58C7">
        <w:rPr>
          <w:rFonts w:ascii="Arial" w:hAnsi="Arial" w:cs="Arial"/>
          <w:sz w:val="18"/>
          <w:szCs w:val="18"/>
        </w:rPr>
        <w:t>, da Lei 8.112/90</w:t>
      </w:r>
      <w:r w:rsidR="00522AA4" w:rsidRPr="00DB58C7">
        <w:rPr>
          <w:rFonts w:ascii="Arial" w:hAnsi="Arial" w:cs="Arial"/>
          <w:sz w:val="18"/>
          <w:szCs w:val="18"/>
        </w:rPr>
        <w:t>)</w:t>
      </w:r>
      <w:r w:rsidRPr="00DB58C7">
        <w:rPr>
          <w:rFonts w:ascii="Arial" w:hAnsi="Arial" w:cs="Arial"/>
          <w:sz w:val="18"/>
          <w:szCs w:val="18"/>
        </w:rPr>
        <w:t>.</w:t>
      </w:r>
    </w:p>
    <w:p w:rsidR="00205068" w:rsidRPr="00DB58C7" w:rsidRDefault="000A0EB3" w:rsidP="00205068">
      <w:pPr>
        <w:shd w:val="clear" w:color="auto" w:fill="FFFFFF"/>
        <w:rPr>
          <w:rFonts w:ascii="Arial" w:hAnsi="Arial" w:cs="Arial"/>
          <w:sz w:val="18"/>
          <w:szCs w:val="18"/>
        </w:rPr>
      </w:pPr>
      <w:hyperlink r:id="rId20" w:history="1">
        <w:r w:rsidR="005306A7" w:rsidRPr="00DB58C7">
          <w:rPr>
            <w:rStyle w:val="Hyperlink"/>
            <w:rFonts w:ascii="Arial" w:hAnsi="Arial" w:cs="Arial"/>
            <w:b/>
            <w:sz w:val="18"/>
            <w:szCs w:val="18"/>
          </w:rPr>
          <w:t>Acórdão 5674/2015 Segunda Câmara</w:t>
        </w:r>
      </w:hyperlink>
      <w:r w:rsidR="00205068" w:rsidRPr="00DB58C7">
        <w:rPr>
          <w:rFonts w:ascii="Arial" w:hAnsi="Arial" w:cs="Arial"/>
          <w:sz w:val="18"/>
          <w:szCs w:val="18"/>
        </w:rPr>
        <w:t xml:space="preserve"> (Tomada de Contas Especial, Relator Ministro Vital do Rêgo)</w:t>
      </w:r>
    </w:p>
    <w:p w:rsidR="00205068" w:rsidRPr="00DB58C7" w:rsidRDefault="00D64072" w:rsidP="00205068">
      <w:pPr>
        <w:shd w:val="clear" w:color="auto" w:fill="FFFFFF"/>
        <w:rPr>
          <w:rFonts w:ascii="Arial" w:hAnsi="Arial" w:cs="Arial"/>
          <w:sz w:val="18"/>
          <w:szCs w:val="18"/>
        </w:rPr>
      </w:pPr>
      <w:r w:rsidRPr="00DB58C7">
        <w:rPr>
          <w:rFonts w:ascii="Arial" w:hAnsi="Arial" w:cs="Arial"/>
          <w:sz w:val="18"/>
          <w:szCs w:val="18"/>
        </w:rPr>
        <w:t>Convênio e C</w:t>
      </w:r>
      <w:r w:rsidR="00076D80" w:rsidRPr="00DB58C7">
        <w:rPr>
          <w:rFonts w:ascii="Arial" w:hAnsi="Arial" w:cs="Arial"/>
          <w:sz w:val="18"/>
          <w:szCs w:val="18"/>
        </w:rPr>
        <w:t>ongêneres</w:t>
      </w:r>
      <w:r w:rsidRPr="00DB58C7">
        <w:rPr>
          <w:rFonts w:ascii="Arial" w:hAnsi="Arial" w:cs="Arial"/>
          <w:sz w:val="18"/>
          <w:szCs w:val="18"/>
        </w:rPr>
        <w:t>. Execução física. Execução</w:t>
      </w:r>
      <w:r w:rsidR="00076D80" w:rsidRPr="00DB58C7">
        <w:rPr>
          <w:rFonts w:ascii="Arial" w:hAnsi="Arial" w:cs="Arial"/>
          <w:sz w:val="18"/>
          <w:szCs w:val="18"/>
        </w:rPr>
        <w:t xml:space="preserve"> intempestiva.</w:t>
      </w:r>
    </w:p>
    <w:p w:rsidR="006201A3" w:rsidRPr="00DB58C7" w:rsidRDefault="00995FA7" w:rsidP="00205068">
      <w:pPr>
        <w:rPr>
          <w:rFonts w:ascii="Arial" w:hAnsi="Arial" w:cs="Arial"/>
          <w:sz w:val="18"/>
          <w:szCs w:val="18"/>
        </w:rPr>
      </w:pPr>
      <w:r w:rsidRPr="00DB58C7">
        <w:rPr>
          <w:rFonts w:ascii="Arial" w:hAnsi="Arial" w:cs="Arial"/>
          <w:sz w:val="18"/>
          <w:szCs w:val="18"/>
        </w:rPr>
        <w:t>A aplicação de recursos de convênio fora do prazo de vigência não impõe, por si só, a necessidade de devolução dos recursos.</w:t>
      </w:r>
    </w:p>
    <w:p w:rsidR="003F5B6D" w:rsidRPr="003D13A1" w:rsidRDefault="003F5B6D" w:rsidP="003F5B6D">
      <w:pPr>
        <w:pStyle w:val="enter-3pt"/>
        <w:tabs>
          <w:tab w:val="left" w:pos="2590"/>
        </w:tabs>
        <w:spacing w:line="240" w:lineRule="auto"/>
        <w:jc w:val="center"/>
        <w:rPr>
          <w:rFonts w:ascii="Arial" w:hAnsi="Arial" w:cs="Arial"/>
          <w:b/>
          <w:i/>
          <w:sz w:val="18"/>
          <w:szCs w:val="18"/>
        </w:rPr>
      </w:pPr>
      <w:r w:rsidRPr="003D13A1">
        <w:rPr>
          <w:rFonts w:ascii="Arial" w:hAnsi="Arial" w:cs="Arial"/>
          <w:b/>
          <w:i/>
          <w:sz w:val="18"/>
          <w:szCs w:val="18"/>
        </w:rPr>
        <w:t>Elaboração: Diretoria de Jurisprudência - Secretaria das Sessões</w:t>
      </w:r>
    </w:p>
    <w:p w:rsidR="00E12026" w:rsidRDefault="003F5B6D" w:rsidP="00DA73C2">
      <w:pPr>
        <w:jc w:val="center"/>
      </w:pPr>
      <w:r w:rsidRPr="003D13A1">
        <w:rPr>
          <w:rFonts w:ascii="Arial" w:hAnsi="Arial" w:cs="Arial"/>
          <w:b/>
          <w:i/>
          <w:sz w:val="18"/>
          <w:szCs w:val="18"/>
        </w:rPr>
        <w:t xml:space="preserve">Contato: </w:t>
      </w:r>
      <w:hyperlink r:id="rId21" w:history="1">
        <w:r w:rsidRPr="003D13A1">
          <w:rPr>
            <w:rStyle w:val="Hyperlink"/>
            <w:rFonts w:ascii="Arial" w:hAnsi="Arial" w:cs="Arial"/>
            <w:b/>
            <w:i/>
            <w:sz w:val="18"/>
            <w:szCs w:val="18"/>
          </w:rPr>
          <w:t>infojuris@tcu.gov.br</w:t>
        </w:r>
      </w:hyperlink>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r w:rsidRPr="003D13A1">
        <w:rPr>
          <w:rFonts w:ascii="Arial" w:hAnsi="Arial" w:cs="Arial"/>
          <w:sz w:val="18"/>
          <w:szCs w:val="18"/>
        </w:rPr>
        <w:softHyphen/>
      </w:r>
    </w:p>
    <w:sectPr w:rsidR="00E12026" w:rsidSect="00B911C5">
      <w:pgSz w:w="11900" w:h="16840"/>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B3" w:rsidRDefault="000A0EB3" w:rsidP="00B931E6">
      <w:pPr>
        <w:spacing w:after="0" w:line="240" w:lineRule="auto"/>
      </w:pPr>
      <w:r>
        <w:separator/>
      </w:r>
    </w:p>
  </w:endnote>
  <w:endnote w:type="continuationSeparator" w:id="0">
    <w:p w:rsidR="000A0EB3" w:rsidRDefault="000A0EB3" w:rsidP="00B931E6">
      <w:pPr>
        <w:spacing w:after="0" w:line="240" w:lineRule="auto"/>
      </w:pPr>
      <w:r>
        <w:continuationSeparator/>
      </w:r>
    </w:p>
  </w:endnote>
  <w:endnote w:id="1">
    <w:p w:rsidR="00B64F75" w:rsidRPr="007F0A2E" w:rsidRDefault="00B64F75" w:rsidP="007F0A2E">
      <w:pPr>
        <w:pStyle w:val="Textodenotadefim"/>
        <w:rPr>
          <w:color w:val="FFFFFF" w:themeColor="background1"/>
          <w:sz w:val="2"/>
          <w:szCs w:val="2"/>
        </w:rPr>
      </w:pPr>
      <w:r w:rsidRPr="007F0A2E">
        <w:rPr>
          <w:rStyle w:val="Refdenotadefim"/>
          <w:color w:val="FFFFFF" w:themeColor="background1"/>
          <w:sz w:val="2"/>
          <w:szCs w:val="2"/>
        </w:rPr>
        <w:endnoteRef/>
      </w:r>
      <w:r w:rsidRPr="007F0A2E">
        <w:rPr>
          <w:color w:val="FFFFFF" w:themeColor="background1"/>
          <w:sz w:val="2"/>
          <w:szCs w:val="2"/>
        </w:rPr>
        <w:t xml:space="preserve"> </w:t>
      </w:r>
      <w:r w:rsidRPr="007F0A2E">
        <w:rPr>
          <w:rFonts w:ascii="Arial" w:hAnsi="Arial" w:cs="Arial"/>
          <w:color w:val="FFFFFF" w:themeColor="background1"/>
          <w:sz w:val="2"/>
          <w:szCs w:val="2"/>
        </w:rPr>
        <w:t>Art. 71. O controle externo, a cargo do Congresso Nacional, será exercido com o auxílio do Tribunal de Contas da União, ao qual compete:</w:t>
      </w:r>
    </w:p>
  </w:endnote>
  <w:endnote w:id="2">
    <w:p w:rsidR="00B64F75" w:rsidRPr="007F0A2E" w:rsidRDefault="00B64F75" w:rsidP="007F0A2E">
      <w:pPr>
        <w:pStyle w:val="NormalWeb"/>
        <w:spacing w:before="0" w:beforeAutospacing="0" w:after="0" w:afterAutospacing="0"/>
        <w:jc w:val="both"/>
        <w:rPr>
          <w:rFonts w:ascii="Arial" w:hAnsi="Arial" w:cs="Arial"/>
          <w:color w:val="FFFFFF" w:themeColor="background1"/>
          <w:sz w:val="2"/>
          <w:szCs w:val="2"/>
        </w:rPr>
      </w:pPr>
      <w:r w:rsidRPr="007F0A2E">
        <w:rPr>
          <w:rStyle w:val="Refdenotadefim"/>
          <w:color w:val="FFFFFF" w:themeColor="background1"/>
          <w:sz w:val="2"/>
          <w:szCs w:val="2"/>
        </w:rPr>
        <w:endnoteRef/>
      </w:r>
      <w:r w:rsidRPr="007F0A2E">
        <w:rPr>
          <w:color w:val="FFFFFF" w:themeColor="background1"/>
          <w:sz w:val="2"/>
          <w:szCs w:val="2"/>
        </w:rPr>
        <w:t xml:space="preserve"> </w:t>
      </w:r>
      <w:bookmarkStart w:id="0" w:name="71III"/>
      <w:bookmarkEnd w:id="0"/>
      <w:r w:rsidRPr="007F0A2E">
        <w:rPr>
          <w:rFonts w:ascii="Arial" w:hAnsi="Arial" w:cs="Arial"/>
          <w:color w:val="FFFFFF" w:themeColor="background1"/>
          <w:sz w:val="2"/>
          <w:szCs w:val="2"/>
        </w:rPr>
        <w:t>III - apreciar, para fins de registro, a legalidade dos atos de admissão de pessoal, a qualquer título, na administração direta e indireta, incluídas as fundações instituídas e mantidas pelo Poder Público, excetuadas as nomeações para cargo de provimento em comissão, bem como a das concessões de aposentadorias, reformas e pensões, ressalvadas as melhorias posteriores que não alterem o fundamento legal do ato concessório;</w:t>
      </w:r>
    </w:p>
    <w:p w:rsidR="00B64F75" w:rsidRPr="007F0A2E" w:rsidRDefault="00B64F75" w:rsidP="007F0A2E">
      <w:pPr>
        <w:pStyle w:val="Textodenotadefim"/>
        <w:rPr>
          <w:color w:val="FFFFFF" w:themeColor="background1"/>
          <w:sz w:val="2"/>
          <w:szCs w:val="2"/>
        </w:rPr>
      </w:pPr>
    </w:p>
  </w:endnote>
  <w:endnote w:id="3">
    <w:p w:rsidR="00A25AD9" w:rsidRPr="007F0A2E" w:rsidRDefault="00A25AD9" w:rsidP="00A25AD9">
      <w:pPr>
        <w:pStyle w:val="NormalWeb"/>
        <w:spacing w:before="0" w:beforeAutospacing="0" w:after="0" w:afterAutospacing="0"/>
        <w:rPr>
          <w:rFonts w:ascii="Arial" w:hAnsi="Arial" w:cs="Arial"/>
          <w:color w:val="FFFFFF" w:themeColor="background1"/>
          <w:sz w:val="2"/>
          <w:szCs w:val="2"/>
        </w:rPr>
      </w:pPr>
      <w:r w:rsidRPr="007F0A2E">
        <w:rPr>
          <w:rStyle w:val="Refdenotadefim"/>
          <w:color w:val="FFFFFF" w:themeColor="background1"/>
          <w:sz w:val="2"/>
          <w:szCs w:val="2"/>
        </w:rPr>
        <w:endnoteRef/>
      </w:r>
      <w:r w:rsidRPr="007F0A2E">
        <w:rPr>
          <w:color w:val="FFFFFF" w:themeColor="background1"/>
          <w:sz w:val="2"/>
          <w:szCs w:val="2"/>
        </w:rPr>
        <w:t xml:space="preserve"> </w:t>
      </w:r>
      <w:r w:rsidRPr="007F0A2E">
        <w:rPr>
          <w:rFonts w:ascii="Arial" w:hAnsi="Arial" w:cs="Arial"/>
          <w:color w:val="FFFFFF" w:themeColor="background1"/>
          <w:sz w:val="2"/>
          <w:szCs w:val="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A25AD9" w:rsidRPr="007F0A2E" w:rsidRDefault="00A25AD9" w:rsidP="00A25AD9">
      <w:pPr>
        <w:pStyle w:val="Textodenotadefim"/>
        <w:rPr>
          <w:color w:val="FFFFFF" w:themeColor="background1"/>
          <w:sz w:val="2"/>
          <w:szCs w:val="2"/>
        </w:rPr>
      </w:pPr>
    </w:p>
  </w:endnote>
  <w:endnote w:id="4">
    <w:p w:rsidR="00B64F75" w:rsidRPr="007F0A2E" w:rsidRDefault="00B64F75" w:rsidP="007F0A2E">
      <w:pPr>
        <w:pStyle w:val="Textodenotadefim"/>
        <w:rPr>
          <w:color w:val="FFFFFF" w:themeColor="background1"/>
          <w:sz w:val="2"/>
          <w:szCs w:val="2"/>
        </w:rPr>
      </w:pPr>
      <w:r w:rsidRPr="007F0A2E">
        <w:rPr>
          <w:rStyle w:val="Refdenotadefim"/>
          <w:color w:val="FFFFFF" w:themeColor="background1"/>
          <w:sz w:val="2"/>
          <w:szCs w:val="2"/>
        </w:rPr>
        <w:endnoteRef/>
      </w:r>
      <w:r w:rsidRPr="007F0A2E">
        <w:rPr>
          <w:color w:val="FFFFFF" w:themeColor="background1"/>
          <w:sz w:val="2"/>
          <w:szCs w:val="2"/>
        </w:rPr>
        <w:t xml:space="preserve"> </w:t>
      </w:r>
      <w:r w:rsidRPr="007F0A2E">
        <w:rPr>
          <w:rFonts w:ascii="Arial" w:hAnsi="Arial" w:cs="Arial"/>
          <w:color w:val="FFFFFF" w:themeColor="background1"/>
          <w:sz w:val="2"/>
          <w:szCs w:val="2"/>
        </w:rPr>
        <w:t>Art. 117. Ao servidor é proibido:</w:t>
      </w:r>
    </w:p>
  </w:endnote>
  <w:endnote w:id="5">
    <w:p w:rsidR="00B64F75" w:rsidRPr="007F0A2E" w:rsidRDefault="00B64F75" w:rsidP="007F0A2E">
      <w:pPr>
        <w:pStyle w:val="Textodenotadefim"/>
        <w:rPr>
          <w:color w:val="FFFFFF" w:themeColor="background1"/>
          <w:sz w:val="2"/>
          <w:szCs w:val="2"/>
        </w:rPr>
      </w:pPr>
      <w:r w:rsidRPr="007F0A2E">
        <w:rPr>
          <w:rStyle w:val="Refdenotadefim"/>
          <w:color w:val="FFFFFF" w:themeColor="background1"/>
          <w:sz w:val="2"/>
          <w:szCs w:val="2"/>
        </w:rPr>
        <w:endnoteRef/>
      </w:r>
      <w:r w:rsidRPr="007F0A2E">
        <w:rPr>
          <w:color w:val="FFFFFF" w:themeColor="background1"/>
          <w:sz w:val="2"/>
          <w:szCs w:val="2"/>
        </w:rPr>
        <w:t xml:space="preserve"> </w:t>
      </w:r>
      <w:r w:rsidRPr="007F0A2E">
        <w:rPr>
          <w:rFonts w:ascii="Arial" w:hAnsi="Arial" w:cs="Arial"/>
          <w:color w:val="FFFFFF" w:themeColor="background1"/>
          <w:sz w:val="2"/>
          <w:szCs w:val="2"/>
        </w:rPr>
        <w:t>XVIII - exercer quaisquer atividades que sejam incompatíveis com o exercício do cargo ou função e com o horário de trabalho;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B3" w:rsidRDefault="000A0EB3" w:rsidP="00B931E6">
      <w:pPr>
        <w:spacing w:after="0" w:line="240" w:lineRule="auto"/>
      </w:pPr>
      <w:r>
        <w:separator/>
      </w:r>
    </w:p>
  </w:footnote>
  <w:footnote w:type="continuationSeparator" w:id="0">
    <w:p w:rsidR="000A0EB3" w:rsidRDefault="000A0EB3" w:rsidP="00B93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6D"/>
    <w:rsid w:val="00012049"/>
    <w:rsid w:val="00013D35"/>
    <w:rsid w:val="000314FE"/>
    <w:rsid w:val="00031C63"/>
    <w:rsid w:val="00041F63"/>
    <w:rsid w:val="000456D3"/>
    <w:rsid w:val="00047873"/>
    <w:rsid w:val="00074957"/>
    <w:rsid w:val="00075E87"/>
    <w:rsid w:val="00076D80"/>
    <w:rsid w:val="00096C89"/>
    <w:rsid w:val="000A0EB3"/>
    <w:rsid w:val="000A134B"/>
    <w:rsid w:val="000A15C7"/>
    <w:rsid w:val="000A1818"/>
    <w:rsid w:val="000A2B60"/>
    <w:rsid w:val="000A59CB"/>
    <w:rsid w:val="000B0419"/>
    <w:rsid w:val="000B411C"/>
    <w:rsid w:val="000B5603"/>
    <w:rsid w:val="000C345D"/>
    <w:rsid w:val="000E0EDC"/>
    <w:rsid w:val="000F13E2"/>
    <w:rsid w:val="001105BB"/>
    <w:rsid w:val="00113CBB"/>
    <w:rsid w:val="00125281"/>
    <w:rsid w:val="00126062"/>
    <w:rsid w:val="001313FA"/>
    <w:rsid w:val="001331EB"/>
    <w:rsid w:val="001476CB"/>
    <w:rsid w:val="0015163C"/>
    <w:rsid w:val="0015677A"/>
    <w:rsid w:val="0016443A"/>
    <w:rsid w:val="00165DCB"/>
    <w:rsid w:val="00191FFF"/>
    <w:rsid w:val="001933FC"/>
    <w:rsid w:val="001A66B4"/>
    <w:rsid w:val="001C5936"/>
    <w:rsid w:val="001C5F5B"/>
    <w:rsid w:val="001D1FB3"/>
    <w:rsid w:val="001D395A"/>
    <w:rsid w:val="001D7F79"/>
    <w:rsid w:val="001F0933"/>
    <w:rsid w:val="001F0C00"/>
    <w:rsid w:val="001F32C3"/>
    <w:rsid w:val="0020327A"/>
    <w:rsid w:val="00205068"/>
    <w:rsid w:val="00216A6D"/>
    <w:rsid w:val="002264BD"/>
    <w:rsid w:val="002332A8"/>
    <w:rsid w:val="00243952"/>
    <w:rsid w:val="00245ECF"/>
    <w:rsid w:val="002578AD"/>
    <w:rsid w:val="00263467"/>
    <w:rsid w:val="0026579E"/>
    <w:rsid w:val="00271817"/>
    <w:rsid w:val="00287A2F"/>
    <w:rsid w:val="0029684F"/>
    <w:rsid w:val="002B014E"/>
    <w:rsid w:val="002D50D5"/>
    <w:rsid w:val="002D7E72"/>
    <w:rsid w:val="002E40B4"/>
    <w:rsid w:val="002E4D3C"/>
    <w:rsid w:val="002E7B1F"/>
    <w:rsid w:val="0031455C"/>
    <w:rsid w:val="003148B2"/>
    <w:rsid w:val="00321230"/>
    <w:rsid w:val="00325166"/>
    <w:rsid w:val="0034262A"/>
    <w:rsid w:val="003515F0"/>
    <w:rsid w:val="003708E1"/>
    <w:rsid w:val="003835D7"/>
    <w:rsid w:val="003A146D"/>
    <w:rsid w:val="003C0D1B"/>
    <w:rsid w:val="003D004B"/>
    <w:rsid w:val="003E2028"/>
    <w:rsid w:val="003F5B6D"/>
    <w:rsid w:val="00403204"/>
    <w:rsid w:val="00426894"/>
    <w:rsid w:val="00447C7E"/>
    <w:rsid w:val="00472300"/>
    <w:rsid w:val="00483CDE"/>
    <w:rsid w:val="00485CEE"/>
    <w:rsid w:val="004923B5"/>
    <w:rsid w:val="004A3EC3"/>
    <w:rsid w:val="004B0475"/>
    <w:rsid w:val="004B4A5A"/>
    <w:rsid w:val="004B5198"/>
    <w:rsid w:val="004C3A24"/>
    <w:rsid w:val="004E1052"/>
    <w:rsid w:val="004F0076"/>
    <w:rsid w:val="004F11FE"/>
    <w:rsid w:val="004F2F7A"/>
    <w:rsid w:val="004F3D99"/>
    <w:rsid w:val="004F53ED"/>
    <w:rsid w:val="004F7A2F"/>
    <w:rsid w:val="00502F4D"/>
    <w:rsid w:val="005138D3"/>
    <w:rsid w:val="005144B7"/>
    <w:rsid w:val="00515607"/>
    <w:rsid w:val="00522AA4"/>
    <w:rsid w:val="005306A7"/>
    <w:rsid w:val="00530BC7"/>
    <w:rsid w:val="005331B0"/>
    <w:rsid w:val="0053579E"/>
    <w:rsid w:val="005419D4"/>
    <w:rsid w:val="005427C3"/>
    <w:rsid w:val="005456E3"/>
    <w:rsid w:val="00547C98"/>
    <w:rsid w:val="005505A4"/>
    <w:rsid w:val="00553754"/>
    <w:rsid w:val="00555C46"/>
    <w:rsid w:val="005568C4"/>
    <w:rsid w:val="00581B8C"/>
    <w:rsid w:val="00590BC4"/>
    <w:rsid w:val="005937DC"/>
    <w:rsid w:val="005A203C"/>
    <w:rsid w:val="005A32CC"/>
    <w:rsid w:val="005C6D4A"/>
    <w:rsid w:val="005C7D88"/>
    <w:rsid w:val="005D4104"/>
    <w:rsid w:val="005F70D4"/>
    <w:rsid w:val="006201A3"/>
    <w:rsid w:val="00636F47"/>
    <w:rsid w:val="0064316A"/>
    <w:rsid w:val="00657563"/>
    <w:rsid w:val="00677733"/>
    <w:rsid w:val="006856C6"/>
    <w:rsid w:val="00692DA0"/>
    <w:rsid w:val="00693D5A"/>
    <w:rsid w:val="006A5D55"/>
    <w:rsid w:val="006B66F0"/>
    <w:rsid w:val="006C6CA2"/>
    <w:rsid w:val="006C7884"/>
    <w:rsid w:val="006E3711"/>
    <w:rsid w:val="006E7CC8"/>
    <w:rsid w:val="006F0536"/>
    <w:rsid w:val="006F082A"/>
    <w:rsid w:val="00706C03"/>
    <w:rsid w:val="00716BCD"/>
    <w:rsid w:val="0072528E"/>
    <w:rsid w:val="007316BF"/>
    <w:rsid w:val="00731848"/>
    <w:rsid w:val="0073777E"/>
    <w:rsid w:val="0077416B"/>
    <w:rsid w:val="00781654"/>
    <w:rsid w:val="00783899"/>
    <w:rsid w:val="007A029D"/>
    <w:rsid w:val="007A353E"/>
    <w:rsid w:val="007B5458"/>
    <w:rsid w:val="007D1599"/>
    <w:rsid w:val="007D2115"/>
    <w:rsid w:val="007D307D"/>
    <w:rsid w:val="007D30D6"/>
    <w:rsid w:val="007D7D4C"/>
    <w:rsid w:val="007E3B65"/>
    <w:rsid w:val="007F0A2E"/>
    <w:rsid w:val="007F2EDB"/>
    <w:rsid w:val="007F7AC5"/>
    <w:rsid w:val="00815783"/>
    <w:rsid w:val="00820951"/>
    <w:rsid w:val="00823E02"/>
    <w:rsid w:val="00836219"/>
    <w:rsid w:val="00847157"/>
    <w:rsid w:val="00850C98"/>
    <w:rsid w:val="008611D8"/>
    <w:rsid w:val="0087702A"/>
    <w:rsid w:val="00880D84"/>
    <w:rsid w:val="00890069"/>
    <w:rsid w:val="0089641F"/>
    <w:rsid w:val="008F7B44"/>
    <w:rsid w:val="00915E09"/>
    <w:rsid w:val="00933FE5"/>
    <w:rsid w:val="00934E0D"/>
    <w:rsid w:val="009658FD"/>
    <w:rsid w:val="00970EAB"/>
    <w:rsid w:val="00985213"/>
    <w:rsid w:val="009863DA"/>
    <w:rsid w:val="00995FA7"/>
    <w:rsid w:val="009A308D"/>
    <w:rsid w:val="009B260D"/>
    <w:rsid w:val="009C136D"/>
    <w:rsid w:val="009D4333"/>
    <w:rsid w:val="009D5952"/>
    <w:rsid w:val="009E68C0"/>
    <w:rsid w:val="009E7F5F"/>
    <w:rsid w:val="009F5402"/>
    <w:rsid w:val="009F60A1"/>
    <w:rsid w:val="009F7462"/>
    <w:rsid w:val="00A2336E"/>
    <w:rsid w:val="00A25AD9"/>
    <w:rsid w:val="00A276DF"/>
    <w:rsid w:val="00A309C1"/>
    <w:rsid w:val="00A47257"/>
    <w:rsid w:val="00A504E0"/>
    <w:rsid w:val="00A723E6"/>
    <w:rsid w:val="00A72E33"/>
    <w:rsid w:val="00A8498C"/>
    <w:rsid w:val="00A84F8B"/>
    <w:rsid w:val="00A859BD"/>
    <w:rsid w:val="00A9034C"/>
    <w:rsid w:val="00AA5349"/>
    <w:rsid w:val="00AA65FF"/>
    <w:rsid w:val="00AA6B6E"/>
    <w:rsid w:val="00AC4B95"/>
    <w:rsid w:val="00AE51A2"/>
    <w:rsid w:val="00B006D4"/>
    <w:rsid w:val="00B00ADE"/>
    <w:rsid w:val="00B05913"/>
    <w:rsid w:val="00B15783"/>
    <w:rsid w:val="00B2430E"/>
    <w:rsid w:val="00B34CD5"/>
    <w:rsid w:val="00B36912"/>
    <w:rsid w:val="00B42E74"/>
    <w:rsid w:val="00B53178"/>
    <w:rsid w:val="00B55153"/>
    <w:rsid w:val="00B61494"/>
    <w:rsid w:val="00B64F75"/>
    <w:rsid w:val="00B650DD"/>
    <w:rsid w:val="00B911C5"/>
    <w:rsid w:val="00B931E6"/>
    <w:rsid w:val="00B93F76"/>
    <w:rsid w:val="00BA2EB3"/>
    <w:rsid w:val="00BA4330"/>
    <w:rsid w:val="00BB355C"/>
    <w:rsid w:val="00BC4818"/>
    <w:rsid w:val="00BC6685"/>
    <w:rsid w:val="00BD2ED4"/>
    <w:rsid w:val="00BD6DE9"/>
    <w:rsid w:val="00BE0450"/>
    <w:rsid w:val="00BF533A"/>
    <w:rsid w:val="00C007F9"/>
    <w:rsid w:val="00C21E90"/>
    <w:rsid w:val="00C264BD"/>
    <w:rsid w:val="00C430E4"/>
    <w:rsid w:val="00C5102C"/>
    <w:rsid w:val="00C54C28"/>
    <w:rsid w:val="00C54CE1"/>
    <w:rsid w:val="00C57BD8"/>
    <w:rsid w:val="00C6229D"/>
    <w:rsid w:val="00C63280"/>
    <w:rsid w:val="00C75E11"/>
    <w:rsid w:val="00C8196F"/>
    <w:rsid w:val="00C8458C"/>
    <w:rsid w:val="00CB7CCE"/>
    <w:rsid w:val="00CC6C9A"/>
    <w:rsid w:val="00CD4714"/>
    <w:rsid w:val="00CE6CF3"/>
    <w:rsid w:val="00CF26DB"/>
    <w:rsid w:val="00CF73E0"/>
    <w:rsid w:val="00D04CBC"/>
    <w:rsid w:val="00D063D5"/>
    <w:rsid w:val="00D0726C"/>
    <w:rsid w:val="00D200C5"/>
    <w:rsid w:val="00D304E9"/>
    <w:rsid w:val="00D45650"/>
    <w:rsid w:val="00D52506"/>
    <w:rsid w:val="00D53471"/>
    <w:rsid w:val="00D63821"/>
    <w:rsid w:val="00D64072"/>
    <w:rsid w:val="00D640B7"/>
    <w:rsid w:val="00D86F98"/>
    <w:rsid w:val="00D90B61"/>
    <w:rsid w:val="00D910D7"/>
    <w:rsid w:val="00D91EAC"/>
    <w:rsid w:val="00D97F9E"/>
    <w:rsid w:val="00DA226E"/>
    <w:rsid w:val="00DA73C2"/>
    <w:rsid w:val="00DA76F2"/>
    <w:rsid w:val="00DB45CB"/>
    <w:rsid w:val="00DB58C7"/>
    <w:rsid w:val="00DB7102"/>
    <w:rsid w:val="00DC144C"/>
    <w:rsid w:val="00DD1C75"/>
    <w:rsid w:val="00DD27B9"/>
    <w:rsid w:val="00DD751A"/>
    <w:rsid w:val="00DE0945"/>
    <w:rsid w:val="00DE4746"/>
    <w:rsid w:val="00DE72FE"/>
    <w:rsid w:val="00DF24F6"/>
    <w:rsid w:val="00DF47FE"/>
    <w:rsid w:val="00DF48F9"/>
    <w:rsid w:val="00DF778F"/>
    <w:rsid w:val="00E02939"/>
    <w:rsid w:val="00E12026"/>
    <w:rsid w:val="00E130F9"/>
    <w:rsid w:val="00E24CA0"/>
    <w:rsid w:val="00E2637D"/>
    <w:rsid w:val="00E32447"/>
    <w:rsid w:val="00E47C25"/>
    <w:rsid w:val="00E54EB5"/>
    <w:rsid w:val="00E612C5"/>
    <w:rsid w:val="00E67EF7"/>
    <w:rsid w:val="00E708F4"/>
    <w:rsid w:val="00E761EB"/>
    <w:rsid w:val="00E842B0"/>
    <w:rsid w:val="00E96625"/>
    <w:rsid w:val="00EA045C"/>
    <w:rsid w:val="00EB247B"/>
    <w:rsid w:val="00EC7439"/>
    <w:rsid w:val="00EC78F0"/>
    <w:rsid w:val="00ED17D7"/>
    <w:rsid w:val="00ED4014"/>
    <w:rsid w:val="00EE5E68"/>
    <w:rsid w:val="00EF6373"/>
    <w:rsid w:val="00F169E7"/>
    <w:rsid w:val="00F16F27"/>
    <w:rsid w:val="00F2102A"/>
    <w:rsid w:val="00F27A8B"/>
    <w:rsid w:val="00F27BB9"/>
    <w:rsid w:val="00F81713"/>
    <w:rsid w:val="00FA491D"/>
    <w:rsid w:val="00FB5496"/>
    <w:rsid w:val="00FC162D"/>
    <w:rsid w:val="00FC3C29"/>
    <w:rsid w:val="00FC7B1F"/>
    <w:rsid w:val="00FD4034"/>
    <w:rsid w:val="00FE2CD6"/>
    <w:rsid w:val="00FE725A"/>
    <w:rsid w:val="00FE7450"/>
    <w:rsid w:val="00FF152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4FF669F-D155-4286-B26C-863530A7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6D"/>
    <w:pPr>
      <w:spacing w:after="200" w:line="276" w:lineRule="auto"/>
      <w:jc w:val="both"/>
    </w:pPr>
    <w:rPr>
      <w:rFonts w:ascii="Calibri" w:eastAsia="Calibri" w:hAnsi="Calibri" w:cs="Times New Roman"/>
      <w:sz w:val="20"/>
      <w:szCs w:val="20"/>
      <w:lang w:eastAsia="pt-BR"/>
    </w:rPr>
  </w:style>
  <w:style w:type="paragraph" w:styleId="Ttulo8">
    <w:name w:val="heading 8"/>
    <w:basedOn w:val="Normal"/>
    <w:next w:val="Normal"/>
    <w:link w:val="Ttulo8Char"/>
    <w:uiPriority w:val="9"/>
    <w:unhideWhenUsed/>
    <w:qFormat/>
    <w:rsid w:val="003F5B6D"/>
    <w:pPr>
      <w:spacing w:before="240" w:after="60" w:line="240" w:lineRule="auto"/>
      <w:ind w:left="1134"/>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3F5B6D"/>
    <w:rPr>
      <w:rFonts w:ascii="Calibri" w:eastAsia="Times New Roman" w:hAnsi="Calibri" w:cs="Times New Roman"/>
      <w:i/>
      <w:iCs/>
      <w:lang w:eastAsia="pt-BR"/>
    </w:rPr>
  </w:style>
  <w:style w:type="character" w:styleId="Hyperlink">
    <w:name w:val="Hyperlink"/>
    <w:uiPriority w:val="99"/>
    <w:unhideWhenUsed/>
    <w:rsid w:val="003F5B6D"/>
    <w:rPr>
      <w:color w:val="0000FF"/>
      <w:u w:val="single"/>
    </w:rPr>
  </w:style>
  <w:style w:type="paragraph" w:customStyle="1" w:styleId="enter-3pt">
    <w:name w:val="enter-3pt"/>
    <w:basedOn w:val="Normal"/>
    <w:rsid w:val="003F5B6D"/>
    <w:pPr>
      <w:autoSpaceDE w:val="0"/>
      <w:autoSpaceDN w:val="0"/>
      <w:adjustRightInd w:val="0"/>
      <w:spacing w:after="0" w:line="60" w:lineRule="atLeast"/>
    </w:pPr>
    <w:rPr>
      <w:rFonts w:ascii="Times New Roman" w:eastAsia="Times New Roman" w:hAnsi="Times New Roman"/>
      <w:sz w:val="8"/>
      <w:szCs w:val="8"/>
    </w:rPr>
  </w:style>
  <w:style w:type="paragraph" w:styleId="Textodebalo">
    <w:name w:val="Balloon Text"/>
    <w:basedOn w:val="Normal"/>
    <w:link w:val="TextodebaloChar"/>
    <w:uiPriority w:val="99"/>
    <w:semiHidden/>
    <w:unhideWhenUsed/>
    <w:rsid w:val="003F5B6D"/>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F5B6D"/>
    <w:rPr>
      <w:rFonts w:ascii="Lucida Grande" w:eastAsia="Calibri" w:hAnsi="Lucida Grande" w:cs="Lucida Grande"/>
      <w:sz w:val="18"/>
      <w:szCs w:val="18"/>
      <w:lang w:eastAsia="pt-BR"/>
    </w:rPr>
  </w:style>
  <w:style w:type="character" w:styleId="HiperlinkVisitado">
    <w:name w:val="FollowedHyperlink"/>
    <w:basedOn w:val="Fontepargpadro"/>
    <w:uiPriority w:val="99"/>
    <w:semiHidden/>
    <w:unhideWhenUsed/>
    <w:rsid w:val="00426894"/>
    <w:rPr>
      <w:color w:val="800080" w:themeColor="followedHyperlink"/>
      <w:u w:val="single"/>
    </w:rPr>
  </w:style>
  <w:style w:type="paragraph" w:styleId="Textodenotadefim">
    <w:name w:val="endnote text"/>
    <w:basedOn w:val="Normal"/>
    <w:link w:val="TextodenotadefimChar"/>
    <w:uiPriority w:val="99"/>
    <w:semiHidden/>
    <w:unhideWhenUsed/>
    <w:rsid w:val="00B931E6"/>
    <w:pPr>
      <w:spacing w:after="0" w:line="240" w:lineRule="auto"/>
    </w:pPr>
  </w:style>
  <w:style w:type="character" w:customStyle="1" w:styleId="TextodenotadefimChar">
    <w:name w:val="Texto de nota de fim Char"/>
    <w:basedOn w:val="Fontepargpadro"/>
    <w:link w:val="Textodenotadefim"/>
    <w:uiPriority w:val="99"/>
    <w:semiHidden/>
    <w:rsid w:val="00B931E6"/>
    <w:rPr>
      <w:rFonts w:ascii="Calibri" w:eastAsia="Calibri" w:hAnsi="Calibri" w:cs="Times New Roman"/>
      <w:sz w:val="20"/>
      <w:szCs w:val="20"/>
      <w:lang w:eastAsia="pt-BR"/>
    </w:rPr>
  </w:style>
  <w:style w:type="character" w:styleId="Refdenotadefim">
    <w:name w:val="endnote reference"/>
    <w:basedOn w:val="Fontepargpadro"/>
    <w:uiPriority w:val="99"/>
    <w:semiHidden/>
    <w:unhideWhenUsed/>
    <w:rsid w:val="00B931E6"/>
    <w:rPr>
      <w:vertAlign w:val="superscript"/>
    </w:rPr>
  </w:style>
  <w:style w:type="paragraph" w:styleId="NormalWeb">
    <w:name w:val="Normal (Web)"/>
    <w:basedOn w:val="Normal"/>
    <w:uiPriority w:val="99"/>
    <w:unhideWhenUsed/>
    <w:rsid w:val="001A66B4"/>
    <w:pPr>
      <w:spacing w:before="100" w:beforeAutospacing="1" w:after="100" w:afterAutospacing="1" w:line="240" w:lineRule="auto"/>
      <w:jc w:val="left"/>
    </w:pPr>
    <w:rPr>
      <w:rFonts w:ascii="Times New Roman" w:eastAsia="Times New Roman" w:hAnsi="Times New Roman"/>
      <w:sz w:val="24"/>
      <w:szCs w:val="24"/>
    </w:rPr>
  </w:style>
  <w:style w:type="paragraph" w:styleId="Cabealho">
    <w:name w:val="header"/>
    <w:basedOn w:val="Normal"/>
    <w:link w:val="CabealhoChar"/>
    <w:uiPriority w:val="99"/>
    <w:unhideWhenUsed/>
    <w:rsid w:val="001A66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66B4"/>
    <w:rPr>
      <w:rFonts w:ascii="Calibri" w:eastAsia="Calibri" w:hAnsi="Calibri" w:cs="Times New Roman"/>
      <w:sz w:val="20"/>
      <w:szCs w:val="20"/>
      <w:lang w:eastAsia="pt-BR"/>
    </w:rPr>
  </w:style>
  <w:style w:type="paragraph" w:styleId="Rodap">
    <w:name w:val="footer"/>
    <w:basedOn w:val="Normal"/>
    <w:link w:val="RodapChar"/>
    <w:uiPriority w:val="99"/>
    <w:unhideWhenUsed/>
    <w:rsid w:val="001A66B4"/>
    <w:pPr>
      <w:tabs>
        <w:tab w:val="center" w:pos="4252"/>
        <w:tab w:val="right" w:pos="8504"/>
      </w:tabs>
      <w:spacing w:after="0" w:line="240" w:lineRule="auto"/>
    </w:pPr>
  </w:style>
  <w:style w:type="character" w:customStyle="1" w:styleId="RodapChar">
    <w:name w:val="Rodapé Char"/>
    <w:basedOn w:val="Fontepargpadro"/>
    <w:link w:val="Rodap"/>
    <w:uiPriority w:val="99"/>
    <w:rsid w:val="001A66B4"/>
    <w:rPr>
      <w:rFonts w:ascii="Calibri" w:eastAsia="Calibri" w:hAnsi="Calibri"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0134">
      <w:bodyDiv w:val="1"/>
      <w:marLeft w:val="0"/>
      <w:marRight w:val="0"/>
      <w:marTop w:val="0"/>
      <w:marBottom w:val="0"/>
      <w:divBdr>
        <w:top w:val="none" w:sz="0" w:space="0" w:color="auto"/>
        <w:left w:val="none" w:sz="0" w:space="0" w:color="auto"/>
        <w:bottom w:val="none" w:sz="0" w:space="0" w:color="auto"/>
        <w:right w:val="none" w:sz="0" w:space="0" w:color="auto"/>
      </w:divBdr>
    </w:div>
    <w:div w:id="180825760">
      <w:bodyDiv w:val="1"/>
      <w:marLeft w:val="0"/>
      <w:marRight w:val="0"/>
      <w:marTop w:val="0"/>
      <w:marBottom w:val="0"/>
      <w:divBdr>
        <w:top w:val="none" w:sz="0" w:space="0" w:color="auto"/>
        <w:left w:val="none" w:sz="0" w:space="0" w:color="auto"/>
        <w:bottom w:val="none" w:sz="0" w:space="0" w:color="auto"/>
        <w:right w:val="none" w:sz="0" w:space="0" w:color="auto"/>
      </w:divBdr>
    </w:div>
    <w:div w:id="187179605">
      <w:bodyDiv w:val="1"/>
      <w:marLeft w:val="0"/>
      <w:marRight w:val="0"/>
      <w:marTop w:val="0"/>
      <w:marBottom w:val="0"/>
      <w:divBdr>
        <w:top w:val="none" w:sz="0" w:space="0" w:color="auto"/>
        <w:left w:val="none" w:sz="0" w:space="0" w:color="auto"/>
        <w:bottom w:val="none" w:sz="0" w:space="0" w:color="auto"/>
        <w:right w:val="none" w:sz="0" w:space="0" w:color="auto"/>
      </w:divBdr>
    </w:div>
    <w:div w:id="223957903">
      <w:bodyDiv w:val="1"/>
      <w:marLeft w:val="0"/>
      <w:marRight w:val="0"/>
      <w:marTop w:val="0"/>
      <w:marBottom w:val="0"/>
      <w:divBdr>
        <w:top w:val="none" w:sz="0" w:space="0" w:color="auto"/>
        <w:left w:val="none" w:sz="0" w:space="0" w:color="auto"/>
        <w:bottom w:val="none" w:sz="0" w:space="0" w:color="auto"/>
        <w:right w:val="none" w:sz="0" w:space="0" w:color="auto"/>
      </w:divBdr>
    </w:div>
    <w:div w:id="345442530">
      <w:bodyDiv w:val="1"/>
      <w:marLeft w:val="0"/>
      <w:marRight w:val="0"/>
      <w:marTop w:val="0"/>
      <w:marBottom w:val="0"/>
      <w:divBdr>
        <w:top w:val="none" w:sz="0" w:space="0" w:color="auto"/>
        <w:left w:val="none" w:sz="0" w:space="0" w:color="auto"/>
        <w:bottom w:val="none" w:sz="0" w:space="0" w:color="auto"/>
        <w:right w:val="none" w:sz="0" w:space="0" w:color="auto"/>
      </w:divBdr>
    </w:div>
    <w:div w:id="439951950">
      <w:bodyDiv w:val="1"/>
      <w:marLeft w:val="0"/>
      <w:marRight w:val="0"/>
      <w:marTop w:val="0"/>
      <w:marBottom w:val="0"/>
      <w:divBdr>
        <w:top w:val="none" w:sz="0" w:space="0" w:color="auto"/>
        <w:left w:val="none" w:sz="0" w:space="0" w:color="auto"/>
        <w:bottom w:val="none" w:sz="0" w:space="0" w:color="auto"/>
        <w:right w:val="none" w:sz="0" w:space="0" w:color="auto"/>
      </w:divBdr>
    </w:div>
    <w:div w:id="452679471">
      <w:bodyDiv w:val="1"/>
      <w:marLeft w:val="0"/>
      <w:marRight w:val="0"/>
      <w:marTop w:val="0"/>
      <w:marBottom w:val="0"/>
      <w:divBdr>
        <w:top w:val="none" w:sz="0" w:space="0" w:color="auto"/>
        <w:left w:val="none" w:sz="0" w:space="0" w:color="auto"/>
        <w:bottom w:val="none" w:sz="0" w:space="0" w:color="auto"/>
        <w:right w:val="none" w:sz="0" w:space="0" w:color="auto"/>
      </w:divBdr>
    </w:div>
    <w:div w:id="489717203">
      <w:bodyDiv w:val="1"/>
      <w:marLeft w:val="0"/>
      <w:marRight w:val="0"/>
      <w:marTop w:val="0"/>
      <w:marBottom w:val="0"/>
      <w:divBdr>
        <w:top w:val="none" w:sz="0" w:space="0" w:color="auto"/>
        <w:left w:val="none" w:sz="0" w:space="0" w:color="auto"/>
        <w:bottom w:val="none" w:sz="0" w:space="0" w:color="auto"/>
        <w:right w:val="none" w:sz="0" w:space="0" w:color="auto"/>
      </w:divBdr>
    </w:div>
    <w:div w:id="708914675">
      <w:bodyDiv w:val="1"/>
      <w:marLeft w:val="0"/>
      <w:marRight w:val="0"/>
      <w:marTop w:val="0"/>
      <w:marBottom w:val="0"/>
      <w:divBdr>
        <w:top w:val="none" w:sz="0" w:space="0" w:color="auto"/>
        <w:left w:val="none" w:sz="0" w:space="0" w:color="auto"/>
        <w:bottom w:val="none" w:sz="0" w:space="0" w:color="auto"/>
        <w:right w:val="none" w:sz="0" w:space="0" w:color="auto"/>
      </w:divBdr>
    </w:div>
    <w:div w:id="757796967">
      <w:bodyDiv w:val="1"/>
      <w:marLeft w:val="0"/>
      <w:marRight w:val="0"/>
      <w:marTop w:val="0"/>
      <w:marBottom w:val="0"/>
      <w:divBdr>
        <w:top w:val="none" w:sz="0" w:space="0" w:color="auto"/>
        <w:left w:val="none" w:sz="0" w:space="0" w:color="auto"/>
        <w:bottom w:val="none" w:sz="0" w:space="0" w:color="auto"/>
        <w:right w:val="none" w:sz="0" w:space="0" w:color="auto"/>
      </w:divBdr>
    </w:div>
    <w:div w:id="776291337">
      <w:bodyDiv w:val="1"/>
      <w:marLeft w:val="0"/>
      <w:marRight w:val="0"/>
      <w:marTop w:val="0"/>
      <w:marBottom w:val="0"/>
      <w:divBdr>
        <w:top w:val="none" w:sz="0" w:space="0" w:color="auto"/>
        <w:left w:val="none" w:sz="0" w:space="0" w:color="auto"/>
        <w:bottom w:val="none" w:sz="0" w:space="0" w:color="auto"/>
        <w:right w:val="none" w:sz="0" w:space="0" w:color="auto"/>
      </w:divBdr>
    </w:div>
    <w:div w:id="818881861">
      <w:bodyDiv w:val="1"/>
      <w:marLeft w:val="0"/>
      <w:marRight w:val="0"/>
      <w:marTop w:val="0"/>
      <w:marBottom w:val="0"/>
      <w:divBdr>
        <w:top w:val="none" w:sz="0" w:space="0" w:color="auto"/>
        <w:left w:val="none" w:sz="0" w:space="0" w:color="auto"/>
        <w:bottom w:val="none" w:sz="0" w:space="0" w:color="auto"/>
        <w:right w:val="none" w:sz="0" w:space="0" w:color="auto"/>
      </w:divBdr>
    </w:div>
    <w:div w:id="964038763">
      <w:bodyDiv w:val="1"/>
      <w:marLeft w:val="0"/>
      <w:marRight w:val="0"/>
      <w:marTop w:val="0"/>
      <w:marBottom w:val="0"/>
      <w:divBdr>
        <w:top w:val="none" w:sz="0" w:space="0" w:color="auto"/>
        <w:left w:val="none" w:sz="0" w:space="0" w:color="auto"/>
        <w:bottom w:val="none" w:sz="0" w:space="0" w:color="auto"/>
        <w:right w:val="none" w:sz="0" w:space="0" w:color="auto"/>
      </w:divBdr>
    </w:div>
    <w:div w:id="1075005393">
      <w:bodyDiv w:val="1"/>
      <w:marLeft w:val="0"/>
      <w:marRight w:val="0"/>
      <w:marTop w:val="0"/>
      <w:marBottom w:val="0"/>
      <w:divBdr>
        <w:top w:val="none" w:sz="0" w:space="0" w:color="auto"/>
        <w:left w:val="none" w:sz="0" w:space="0" w:color="auto"/>
        <w:bottom w:val="none" w:sz="0" w:space="0" w:color="auto"/>
        <w:right w:val="none" w:sz="0" w:space="0" w:color="auto"/>
      </w:divBdr>
    </w:div>
    <w:div w:id="1082722078">
      <w:bodyDiv w:val="1"/>
      <w:marLeft w:val="0"/>
      <w:marRight w:val="0"/>
      <w:marTop w:val="0"/>
      <w:marBottom w:val="0"/>
      <w:divBdr>
        <w:top w:val="none" w:sz="0" w:space="0" w:color="auto"/>
        <w:left w:val="none" w:sz="0" w:space="0" w:color="auto"/>
        <w:bottom w:val="none" w:sz="0" w:space="0" w:color="auto"/>
        <w:right w:val="none" w:sz="0" w:space="0" w:color="auto"/>
      </w:divBdr>
    </w:div>
    <w:div w:id="1167356809">
      <w:bodyDiv w:val="1"/>
      <w:marLeft w:val="0"/>
      <w:marRight w:val="0"/>
      <w:marTop w:val="0"/>
      <w:marBottom w:val="0"/>
      <w:divBdr>
        <w:top w:val="none" w:sz="0" w:space="0" w:color="auto"/>
        <w:left w:val="none" w:sz="0" w:space="0" w:color="auto"/>
        <w:bottom w:val="none" w:sz="0" w:space="0" w:color="auto"/>
        <w:right w:val="none" w:sz="0" w:space="0" w:color="auto"/>
      </w:divBdr>
    </w:div>
    <w:div w:id="1248924472">
      <w:bodyDiv w:val="1"/>
      <w:marLeft w:val="0"/>
      <w:marRight w:val="0"/>
      <w:marTop w:val="0"/>
      <w:marBottom w:val="0"/>
      <w:divBdr>
        <w:top w:val="none" w:sz="0" w:space="0" w:color="auto"/>
        <w:left w:val="none" w:sz="0" w:space="0" w:color="auto"/>
        <w:bottom w:val="none" w:sz="0" w:space="0" w:color="auto"/>
        <w:right w:val="none" w:sz="0" w:space="0" w:color="auto"/>
      </w:divBdr>
    </w:div>
    <w:div w:id="1721174955">
      <w:bodyDiv w:val="1"/>
      <w:marLeft w:val="0"/>
      <w:marRight w:val="0"/>
      <w:marTop w:val="0"/>
      <w:marBottom w:val="0"/>
      <w:divBdr>
        <w:top w:val="none" w:sz="0" w:space="0" w:color="auto"/>
        <w:left w:val="none" w:sz="0" w:space="0" w:color="auto"/>
        <w:bottom w:val="none" w:sz="0" w:space="0" w:color="auto"/>
        <w:right w:val="none" w:sz="0" w:space="0" w:color="auto"/>
      </w:divBdr>
    </w:div>
    <w:div w:id="1759935620">
      <w:bodyDiv w:val="1"/>
      <w:marLeft w:val="0"/>
      <w:marRight w:val="0"/>
      <w:marTop w:val="0"/>
      <w:marBottom w:val="0"/>
      <w:divBdr>
        <w:top w:val="none" w:sz="0" w:space="0" w:color="auto"/>
        <w:left w:val="none" w:sz="0" w:space="0" w:color="auto"/>
        <w:bottom w:val="none" w:sz="0" w:space="0" w:color="auto"/>
        <w:right w:val="none" w:sz="0" w:space="0" w:color="auto"/>
      </w:divBdr>
    </w:div>
    <w:div w:id="1791389502">
      <w:bodyDiv w:val="1"/>
      <w:marLeft w:val="0"/>
      <w:marRight w:val="0"/>
      <w:marTop w:val="0"/>
      <w:marBottom w:val="0"/>
      <w:divBdr>
        <w:top w:val="none" w:sz="0" w:space="0" w:color="auto"/>
        <w:left w:val="none" w:sz="0" w:space="0" w:color="auto"/>
        <w:bottom w:val="none" w:sz="0" w:space="0" w:color="auto"/>
        <w:right w:val="none" w:sz="0" w:space="0" w:color="auto"/>
      </w:divBdr>
    </w:div>
    <w:div w:id="1835998324">
      <w:bodyDiv w:val="1"/>
      <w:marLeft w:val="0"/>
      <w:marRight w:val="0"/>
      <w:marTop w:val="0"/>
      <w:marBottom w:val="0"/>
      <w:divBdr>
        <w:top w:val="none" w:sz="0" w:space="0" w:color="auto"/>
        <w:left w:val="none" w:sz="0" w:space="0" w:color="auto"/>
        <w:bottom w:val="none" w:sz="0" w:space="0" w:color="auto"/>
        <w:right w:val="none" w:sz="0" w:space="0" w:color="auto"/>
      </w:divBdr>
    </w:div>
    <w:div w:id="1942100108">
      <w:bodyDiv w:val="1"/>
      <w:marLeft w:val="0"/>
      <w:marRight w:val="0"/>
      <w:marTop w:val="0"/>
      <w:marBottom w:val="0"/>
      <w:divBdr>
        <w:top w:val="none" w:sz="0" w:space="0" w:color="auto"/>
        <w:left w:val="none" w:sz="0" w:space="0" w:color="auto"/>
        <w:bottom w:val="none" w:sz="0" w:space="0" w:color="auto"/>
        <w:right w:val="none" w:sz="0" w:space="0" w:color="auto"/>
      </w:divBdr>
    </w:div>
    <w:div w:id="1956476470">
      <w:bodyDiv w:val="1"/>
      <w:marLeft w:val="0"/>
      <w:marRight w:val="0"/>
      <w:marTop w:val="0"/>
      <w:marBottom w:val="0"/>
      <w:divBdr>
        <w:top w:val="none" w:sz="0" w:space="0" w:color="auto"/>
        <w:left w:val="none" w:sz="0" w:space="0" w:color="auto"/>
        <w:bottom w:val="none" w:sz="0" w:space="0" w:color="auto"/>
        <w:right w:val="none" w:sz="0" w:space="0" w:color="auto"/>
      </w:divBdr>
    </w:div>
    <w:div w:id="1965504342">
      <w:bodyDiv w:val="1"/>
      <w:marLeft w:val="0"/>
      <w:marRight w:val="0"/>
      <w:marTop w:val="0"/>
      <w:marBottom w:val="0"/>
      <w:divBdr>
        <w:top w:val="none" w:sz="0" w:space="0" w:color="auto"/>
        <w:left w:val="none" w:sz="0" w:space="0" w:color="auto"/>
        <w:bottom w:val="none" w:sz="0" w:space="0" w:color="auto"/>
        <w:right w:val="none" w:sz="0" w:space="0" w:color="auto"/>
      </w:divBdr>
    </w:div>
    <w:div w:id="1988822817">
      <w:bodyDiv w:val="1"/>
      <w:marLeft w:val="0"/>
      <w:marRight w:val="0"/>
      <w:marTop w:val="0"/>
      <w:marBottom w:val="0"/>
      <w:divBdr>
        <w:top w:val="none" w:sz="0" w:space="0" w:color="auto"/>
        <w:left w:val="none" w:sz="0" w:space="0" w:color="auto"/>
        <w:bottom w:val="none" w:sz="0" w:space="0" w:color="auto"/>
        <w:right w:val="none" w:sz="0" w:space="0" w:color="auto"/>
      </w:divBdr>
    </w:div>
    <w:div w:id="2058553388">
      <w:bodyDiv w:val="1"/>
      <w:marLeft w:val="0"/>
      <w:marRight w:val="0"/>
      <w:marTop w:val="0"/>
      <w:marBottom w:val="0"/>
      <w:divBdr>
        <w:top w:val="none" w:sz="0" w:space="0" w:color="auto"/>
        <w:left w:val="none" w:sz="0" w:space="0" w:color="auto"/>
        <w:bottom w:val="none" w:sz="0" w:space="0" w:color="auto"/>
        <w:right w:val="none" w:sz="0" w:space="0" w:color="auto"/>
      </w:divBdr>
    </w:div>
    <w:div w:id="2117557163">
      <w:bodyDiv w:val="1"/>
      <w:marLeft w:val="0"/>
      <w:marRight w:val="0"/>
      <w:marTop w:val="0"/>
      <w:marBottom w:val="0"/>
      <w:divBdr>
        <w:top w:val="none" w:sz="0" w:space="0" w:color="auto"/>
        <w:left w:val="none" w:sz="0" w:space="0" w:color="auto"/>
        <w:bottom w:val="none" w:sz="0" w:space="0" w:color="auto"/>
        <w:right w:val="none" w:sz="0" w:space="0" w:color="auto"/>
      </w:divBdr>
    </w:div>
    <w:div w:id="2126806095">
      <w:bodyDiv w:val="1"/>
      <w:marLeft w:val="0"/>
      <w:marRight w:val="0"/>
      <w:marTop w:val="0"/>
      <w:marBottom w:val="0"/>
      <w:divBdr>
        <w:top w:val="none" w:sz="0" w:space="0" w:color="auto"/>
        <w:left w:val="none" w:sz="0" w:space="0" w:color="auto"/>
        <w:bottom w:val="none" w:sz="0" w:space="0" w:color="auto"/>
        <w:right w:val="none" w:sz="0" w:space="0" w:color="auto"/>
      </w:divBdr>
    </w:div>
    <w:div w:id="214168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ProxyHighlight?base=ACORDAO&amp;ano=2015&amp;numero=2056&amp;colegiado=P" TargetMode="External"/><Relationship Id="rId13" Type="http://schemas.openxmlformats.org/officeDocument/2006/relationships/hyperlink" Target="https://contas.tcu.gov.br/juris/SvlProxyHighlight?base=ACORDAO&amp;ano=2015&amp;numero=4606&amp;colegiado=1" TargetMode="External"/><Relationship Id="rId18" Type="http://schemas.openxmlformats.org/officeDocument/2006/relationships/hyperlink" Target="https://www.planalto.gov.br/ccivil_03/leis/l8112cons.htm" TargetMode="External"/><Relationship Id="rId3" Type="http://schemas.openxmlformats.org/officeDocument/2006/relationships/settings" Target="settings.xml"/><Relationship Id="rId21" Type="http://schemas.openxmlformats.org/officeDocument/2006/relationships/hyperlink" Target="mailto:infojuris@tcu.gov.br" TargetMode="External"/><Relationship Id="rId7" Type="http://schemas.openxmlformats.org/officeDocument/2006/relationships/image" Target="media/image1.jpeg"/><Relationship Id="rId12" Type="http://schemas.openxmlformats.org/officeDocument/2006/relationships/hyperlink" Target="https://contas.tcu.gov.br/juris/SvlProxyHighlight?base=ACORDAO&amp;ano=2015&amp;numero=4606&amp;colegiado=1" TargetMode="External"/><Relationship Id="rId17" Type="http://schemas.openxmlformats.org/officeDocument/2006/relationships/hyperlink" Target="https://contas.tcu.gov.br/juris/SvlProxyHighlight?base=ACORDAO&amp;ano=2015&amp;numero=4634&amp;colegiado=1" TargetMode="External"/><Relationship Id="rId2" Type="http://schemas.openxmlformats.org/officeDocument/2006/relationships/styles" Target="styles.xml"/><Relationship Id="rId16" Type="http://schemas.openxmlformats.org/officeDocument/2006/relationships/hyperlink" Target="https://contas.tcu.gov.br/juris/SvlProxyHighlight?base=ACORDAO&amp;ano=2015&amp;numero=4623&amp;colegiado=1" TargetMode="External"/><Relationship Id="rId20" Type="http://schemas.openxmlformats.org/officeDocument/2006/relationships/hyperlink" Target="https://contas.tcu.gov.br/juris/SvlProxyHighlight?base=ACORDAO&amp;ano=2015&amp;numero=5674&amp;colegiado=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5&amp;numero=2079&amp;colegiado=P" TargetMode="External"/><Relationship Id="rId5" Type="http://schemas.openxmlformats.org/officeDocument/2006/relationships/footnotes" Target="footnotes.xml"/><Relationship Id="rId15" Type="http://schemas.openxmlformats.org/officeDocument/2006/relationships/hyperlink" Target="https://contas.tcu.gov.br/juris/SvlProxyHighlight?base=ACORDAO&amp;ano=2015&amp;numero=4611&amp;colegiado=1" TargetMode="External"/><Relationship Id="rId23" Type="http://schemas.openxmlformats.org/officeDocument/2006/relationships/theme" Target="theme/theme1.xml"/><Relationship Id="rId10" Type="http://schemas.openxmlformats.org/officeDocument/2006/relationships/hyperlink" Target="https://contas.tcu.gov.br/juris/SvlProxyHighlight?base=ACORDAO&amp;ano=2015&amp;numero=2072&amp;colegiado=P" TargetMode="External"/><Relationship Id="rId19" Type="http://schemas.openxmlformats.org/officeDocument/2006/relationships/hyperlink" Target="https://contas.tcu.gov.br/juris/SvlProxyHighlight?base=ACORDAO&amp;ano=2015&amp;numero=5666&amp;colegiado=2" TargetMode="External"/><Relationship Id="rId4" Type="http://schemas.openxmlformats.org/officeDocument/2006/relationships/webSettings" Target="webSettings.xml"/><Relationship Id="rId9" Type="http://schemas.openxmlformats.org/officeDocument/2006/relationships/hyperlink" Target="https://contas.tcu.gov.br/juris/SvlProxyHighlight?base=ACORDAO&amp;ano=2015&amp;numero=2059&amp;colegiado=P" TargetMode="External"/><Relationship Id="rId14" Type="http://schemas.openxmlformats.org/officeDocument/2006/relationships/hyperlink" Target="https://contas.tcu.gov.br/juris/SvlProxyHighlight?base=ACORDAO&amp;ano=2015&amp;numero=4608&amp;colegiado=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3E6F-C574-4317-A27F-9CDCA5C9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1183</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Sergio Ricardo de Mendonca Salustiano</cp:lastModifiedBy>
  <cp:revision>15</cp:revision>
  <cp:lastPrinted>2015-07-20T17:02:00Z</cp:lastPrinted>
  <dcterms:created xsi:type="dcterms:W3CDTF">2015-09-04T20:40:00Z</dcterms:created>
  <dcterms:modified xsi:type="dcterms:W3CDTF">2015-09-08T19:57:00Z</dcterms:modified>
</cp:coreProperties>
</file>