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A" w:rsidRDefault="0035499A" w:rsidP="00E46CEB">
      <w:pPr>
        <w:jc w:val="center"/>
        <w:rPr>
          <w:szCs w:val="24"/>
        </w:rPr>
      </w:pPr>
    </w:p>
    <w:p w:rsidR="00AD3C90" w:rsidRPr="002D28BD" w:rsidRDefault="0035499A" w:rsidP="00E46CEB">
      <w:pPr>
        <w:jc w:val="center"/>
        <w:rPr>
          <w:b/>
          <w:sz w:val="22"/>
        </w:rPr>
      </w:pPr>
      <w:r w:rsidRPr="002D28BD">
        <w:rPr>
          <w:b/>
          <w:sz w:val="22"/>
        </w:rPr>
        <w:t xml:space="preserve">Número </w:t>
      </w:r>
      <w:r w:rsidR="00C77A70" w:rsidRPr="002D28BD">
        <w:rPr>
          <w:b/>
          <w:sz w:val="22"/>
        </w:rPr>
        <w:t>273</w:t>
      </w:r>
    </w:p>
    <w:p w:rsidR="00513988" w:rsidRPr="002D28BD" w:rsidRDefault="00513988" w:rsidP="00AD3C90">
      <w:pPr>
        <w:jc w:val="both"/>
        <w:rPr>
          <w:sz w:val="22"/>
        </w:rPr>
      </w:pPr>
    </w:p>
    <w:p w:rsidR="0035499A" w:rsidRPr="002D28BD" w:rsidRDefault="0035499A" w:rsidP="0035499A">
      <w:pPr>
        <w:jc w:val="center"/>
        <w:rPr>
          <w:b/>
          <w:sz w:val="22"/>
        </w:rPr>
      </w:pPr>
      <w:r w:rsidRPr="002D28BD">
        <w:rPr>
          <w:b/>
          <w:sz w:val="22"/>
        </w:rPr>
        <w:t xml:space="preserve">Sessões: </w:t>
      </w:r>
      <w:r w:rsidR="00C77A70" w:rsidRPr="002D28BD">
        <w:rPr>
          <w:b/>
          <w:sz w:val="22"/>
        </w:rPr>
        <w:t>2 e</w:t>
      </w:r>
      <w:r w:rsidR="000E1227">
        <w:rPr>
          <w:b/>
          <w:sz w:val="22"/>
        </w:rPr>
        <w:t xml:space="preserve"> </w:t>
      </w:r>
      <w:r w:rsidR="00C77A70" w:rsidRPr="002D28BD">
        <w:rPr>
          <w:b/>
          <w:sz w:val="22"/>
        </w:rPr>
        <w:t>3/Fevereiro/2016</w:t>
      </w:r>
    </w:p>
    <w:p w:rsidR="0035499A" w:rsidRPr="002D28BD" w:rsidRDefault="0035499A" w:rsidP="0035499A">
      <w:pPr>
        <w:jc w:val="center"/>
        <w:rPr>
          <w:b/>
          <w:sz w:val="22"/>
        </w:rPr>
      </w:pPr>
      <w:bookmarkStart w:id="0" w:name="_GoBack"/>
      <w:bookmarkEnd w:id="0"/>
    </w:p>
    <w:p w:rsidR="005617EF" w:rsidRPr="002D28BD" w:rsidRDefault="005617EF" w:rsidP="005617EF">
      <w:pPr>
        <w:jc w:val="both"/>
        <w:rPr>
          <w:sz w:val="22"/>
        </w:rPr>
      </w:pPr>
      <w:r w:rsidRPr="002D28BD">
        <w:rPr>
          <w:sz w:val="22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</w:t>
      </w:r>
      <w:proofErr w:type="gramStart"/>
      <w:r w:rsidRPr="002D28BD">
        <w:rPr>
          <w:sz w:val="22"/>
        </w:rPr>
        <w:t>repositórios</w:t>
      </w:r>
      <w:proofErr w:type="gramEnd"/>
      <w:r w:rsidRPr="002D28BD">
        <w:rPr>
          <w:sz w:val="22"/>
        </w:rPr>
        <w:t xml:space="preserve"> oficiais de jurisprudência.</w:t>
      </w:r>
    </w:p>
    <w:p w:rsidR="0035499A" w:rsidRPr="002D28BD" w:rsidRDefault="0035499A" w:rsidP="0035499A">
      <w:pPr>
        <w:jc w:val="both"/>
        <w:rPr>
          <w:sz w:val="22"/>
        </w:rPr>
      </w:pPr>
    </w:p>
    <w:p w:rsidR="004318F3" w:rsidRPr="002D28BD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E145EE" w:rsidRPr="002D28BD" w:rsidRDefault="005E4600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  <w:r w:rsidRPr="002D28BD">
        <w:rPr>
          <w:b/>
          <w:sz w:val="22"/>
        </w:rPr>
        <w:t>SU</w:t>
      </w:r>
      <w:r w:rsidR="004318F3" w:rsidRPr="002D28BD">
        <w:rPr>
          <w:b/>
          <w:sz w:val="22"/>
        </w:rPr>
        <w:t>M</w:t>
      </w:r>
      <w:r w:rsidRPr="002D28BD">
        <w:rPr>
          <w:b/>
          <w:sz w:val="22"/>
        </w:rPr>
        <w:t>Á</w:t>
      </w:r>
      <w:r w:rsidR="004A3622" w:rsidRPr="002D28BD">
        <w:rPr>
          <w:b/>
          <w:sz w:val="22"/>
        </w:rPr>
        <w:t>RIO</w:t>
      </w:r>
    </w:p>
    <w:p w:rsidR="00A9581F" w:rsidRPr="002D28BD" w:rsidRDefault="00A9581F">
      <w:pPr>
        <w:rPr>
          <w:sz w:val="22"/>
        </w:rPr>
        <w:sectPr w:rsidR="00A9581F" w:rsidRPr="002D28BD" w:rsidSect="004E7C00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855" w:footer="850" w:gutter="0"/>
          <w:cols w:space="708"/>
          <w:docGrid w:linePitch="360"/>
        </w:sectPr>
      </w:pPr>
    </w:p>
    <w:p w:rsidR="00E77CBA" w:rsidRPr="00E77CBA" w:rsidRDefault="005E4600" w:rsidP="00E77CBA">
      <w:pPr>
        <w:spacing w:after="60"/>
        <w:jc w:val="both"/>
        <w:rPr>
          <w:b/>
          <w:sz w:val="22"/>
        </w:rPr>
        <w:sectPr w:rsidR="00E77CBA" w:rsidRPr="00E77CBA" w:rsidSect="00022AFE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 w:rsidRPr="002D28BD">
        <w:rPr>
          <w:b/>
          <w:sz w:val="22"/>
        </w:rPr>
        <w:lastRenderedPageBreak/>
        <w:t>Plen</w:t>
      </w:r>
      <w:r w:rsidR="004E7C00">
        <w:rPr>
          <w:b/>
          <w:sz w:val="22"/>
        </w:rPr>
        <w:t>ário</w:t>
      </w:r>
    </w:p>
    <w:p w:rsidR="00E77CBA" w:rsidRPr="00E77CBA" w:rsidRDefault="005E4600" w:rsidP="00E77CBA">
      <w:pPr>
        <w:spacing w:after="60"/>
        <w:jc w:val="both"/>
        <w:rPr>
          <w:sz w:val="22"/>
        </w:rPr>
      </w:pPr>
      <w:r w:rsidRPr="002D28BD">
        <w:rPr>
          <w:sz w:val="22"/>
        </w:rPr>
        <w:lastRenderedPageBreak/>
        <w:t>1</w:t>
      </w:r>
      <w:r w:rsidR="00614AB0" w:rsidRPr="002D28BD">
        <w:rPr>
          <w:sz w:val="22"/>
        </w:rPr>
        <w:t>. O gestor público deve facultar aos licitantes a possibilidade de sua habilitação no certame ser aferida por meio do Sistema de Cadastramento Unificado de Fornecedores (Sicaf). No entanto, o cadastro no referi</w:t>
      </w:r>
      <w:r w:rsidR="00614AB0" w:rsidRPr="002D28BD">
        <w:rPr>
          <w:sz w:val="22"/>
        </w:rPr>
        <w:t>do sistema não é condição necessária à habilitação em proces</w:t>
      </w:r>
      <w:r w:rsidR="004E7C00">
        <w:rPr>
          <w:sz w:val="22"/>
        </w:rPr>
        <w:t>so licitatório (Súmula TCU 274).</w:t>
      </w:r>
    </w:p>
    <w:p w:rsidR="00E77CBA" w:rsidRPr="00E77CBA" w:rsidRDefault="005E4600" w:rsidP="00E77CBA">
      <w:pPr>
        <w:spacing w:after="60"/>
        <w:jc w:val="both"/>
        <w:rPr>
          <w:b/>
          <w:sz w:val="22"/>
        </w:rPr>
      </w:pPr>
      <w:r w:rsidRPr="002D28BD">
        <w:rPr>
          <w:b/>
          <w:sz w:val="22"/>
        </w:rPr>
        <w:t>Segunda C</w:t>
      </w:r>
      <w:r w:rsidR="004E7C00">
        <w:rPr>
          <w:b/>
          <w:sz w:val="22"/>
        </w:rPr>
        <w:t>âmara</w:t>
      </w:r>
    </w:p>
    <w:p w:rsidR="00A9581F" w:rsidRPr="002D28BD" w:rsidRDefault="005E4600" w:rsidP="00E77CBA">
      <w:pPr>
        <w:spacing w:after="60"/>
        <w:jc w:val="both"/>
        <w:rPr>
          <w:sz w:val="22"/>
        </w:rPr>
        <w:sectPr w:rsidR="00A9581F" w:rsidRPr="002D28BD" w:rsidSect="00022AFE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 w:rsidRPr="002D28BD">
        <w:rPr>
          <w:sz w:val="22"/>
        </w:rPr>
        <w:t>2</w:t>
      </w:r>
      <w:r w:rsidR="00614AB0" w:rsidRPr="002D28BD">
        <w:rPr>
          <w:sz w:val="22"/>
        </w:rPr>
        <w:t>. A classificação de proposta com preço superior ao limite admitido no edital viola</w:t>
      </w:r>
      <w:r w:rsidR="00614AB0" w:rsidRPr="002D28BD">
        <w:rPr>
          <w:sz w:val="22"/>
        </w:rPr>
        <w:t xml:space="preserve"> o princípio da vinculação ao instrumento convocatório, não descaracterizando tal ilegalidade a alegação de urgência na contratação.</w:t>
      </w:r>
    </w:p>
    <w:p w:rsidR="009968E3" w:rsidRPr="002D28BD" w:rsidRDefault="00614AB0" w:rsidP="0035499A">
      <w:pPr>
        <w:jc w:val="both"/>
        <w:rPr>
          <w:sz w:val="22"/>
        </w:rPr>
      </w:pPr>
    </w:p>
    <w:p w:rsidR="004318F3" w:rsidRPr="002D28BD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A9581F" w:rsidRPr="002D28BD" w:rsidRDefault="00A9581F">
      <w:pPr>
        <w:rPr>
          <w:sz w:val="22"/>
        </w:rPr>
        <w:sectPr w:rsidR="00A9581F" w:rsidRPr="002D28BD" w:rsidSect="00022AFE">
          <w:footerReference w:type="default" r:id="rId9"/>
          <w:type w:val="continuous"/>
          <w:pgSz w:w="11906" w:h="16838" w:code="9"/>
          <w:pgMar w:top="1440" w:right="851" w:bottom="1440" w:left="1134" w:header="855" w:footer="567" w:gutter="0"/>
          <w:cols w:space="708"/>
          <w:docGrid w:linePitch="360"/>
        </w:sectPr>
      </w:pPr>
    </w:p>
    <w:p w:rsidR="00A9581F" w:rsidRPr="002D28BD" w:rsidRDefault="005E4600" w:rsidP="00022AFE">
      <w:pPr>
        <w:jc w:val="center"/>
        <w:rPr>
          <w:sz w:val="22"/>
        </w:rPr>
        <w:sectPr w:rsidR="00A9581F" w:rsidRPr="002D28BD" w:rsidSect="00022AFE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 w:rsidRPr="002D28BD">
        <w:rPr>
          <w:b/>
          <w:sz w:val="22"/>
        </w:rPr>
        <w:lastRenderedPageBreak/>
        <w:t>PLENÁRIO</w:t>
      </w:r>
    </w:p>
    <w:p w:rsidR="00A9581F" w:rsidRPr="002D28BD" w:rsidRDefault="00A9581F">
      <w:pPr>
        <w:rPr>
          <w:sz w:val="22"/>
        </w:rPr>
        <w:sectPr w:rsidR="00A9581F" w:rsidRPr="002D28BD" w:rsidSect="00022AFE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A9581F" w:rsidRPr="002D28BD" w:rsidRDefault="002D28BD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lastRenderedPageBreak/>
        <w:t>1</w:t>
      </w:r>
      <w:r w:rsidR="00614AB0" w:rsidRPr="002D28BD">
        <w:rPr>
          <w:b/>
          <w:sz w:val="22"/>
        </w:rPr>
        <w:t>. O gestor público deve facultar aos licitantes a possibilidade de sua habilitação no certame ser aferida por meio do Sistema de Cadastramento Unificado de Fornecedores (Sicaf). No entanto, o cadastro no referido sistema não</w:t>
      </w:r>
      <w:r w:rsidR="00614AB0" w:rsidRPr="002D28BD">
        <w:rPr>
          <w:b/>
          <w:sz w:val="22"/>
        </w:rPr>
        <w:t xml:space="preserve"> é condição necessária à habilitação em processo licitatório (Súmula TCU 274).</w:t>
      </w:r>
    </w:p>
    <w:p w:rsidR="00CF0B09" w:rsidRPr="002D28BD" w:rsidRDefault="00614AB0" w:rsidP="0016227F">
      <w:pPr>
        <w:widowControl w:val="0"/>
        <w:autoSpaceDE w:val="0"/>
        <w:autoSpaceDN w:val="0"/>
        <w:jc w:val="both"/>
        <w:rPr>
          <w:b/>
          <w:sz w:val="22"/>
        </w:rPr>
      </w:pPr>
      <w:r w:rsidRPr="002D28BD">
        <w:rPr>
          <w:sz w:val="22"/>
        </w:rPr>
        <w:t>Representação formulada por empresa licitante noticiara a existência de cláusula supostamente restritiva à competitividade em edital para contratação de empresa para requalific</w:t>
      </w:r>
      <w:r w:rsidRPr="002D28BD">
        <w:rPr>
          <w:sz w:val="22"/>
        </w:rPr>
        <w:t>ação do Largo da Igreja Nosso Senhor do Bomfim, em Taperaguá/AL. A título de principal alegação, a representante afirmara ter sido injustamente desclassificada da concorrência por não atender ao disposto em subitem do edital que se referia à comprovação, m</w:t>
      </w:r>
      <w:r w:rsidRPr="002D28BD">
        <w:rPr>
          <w:sz w:val="22"/>
        </w:rPr>
        <w:t xml:space="preserve">ediante consulta exclusivamente ao Sistema de Cadastramento Unificado de Fornecedores (Sicaf), de patrimônio líquido mínimo de 10% do valor estimado da contratação. Relativamente à exigência, o relator afirmou carecer de amparo legal. Destacou que </w:t>
      </w:r>
      <w:r w:rsidRPr="008221DE">
        <w:rPr>
          <w:i/>
          <w:sz w:val="22"/>
        </w:rPr>
        <w:t>“o Sicaf</w:t>
      </w:r>
      <w:r w:rsidRPr="008221DE">
        <w:rPr>
          <w:i/>
          <w:sz w:val="22"/>
        </w:rPr>
        <w:t xml:space="preserve"> consiste em um sistema que permite o cadastramento e a habilitação de pessoas físicas e jurídicas que desejam participar de licitações promovidas pela Administração Pública Federal. Dentre os diversos benefícios advindos dessa ferramenta, pode-se menciona</w:t>
      </w:r>
      <w:r w:rsidRPr="008221DE">
        <w:rPr>
          <w:i/>
          <w:sz w:val="22"/>
        </w:rPr>
        <w:t>r a maior celeridade e transparência na fase de habilitação dos procedimentos licitatórios”</w:t>
      </w:r>
      <w:r w:rsidRPr="002D28BD">
        <w:rPr>
          <w:sz w:val="22"/>
        </w:rPr>
        <w:t xml:space="preserve">. E continuou: </w:t>
      </w:r>
      <w:r w:rsidRPr="008221DE">
        <w:rPr>
          <w:i/>
          <w:sz w:val="22"/>
        </w:rPr>
        <w:t>“O Decreto 3.722/2001, ao instituir o aludido Sistema, dispôs que os editais de licitação para contratação de bens e serviços, inclusive de obras e pu</w:t>
      </w:r>
      <w:r w:rsidRPr="008221DE">
        <w:rPr>
          <w:i/>
          <w:sz w:val="22"/>
        </w:rPr>
        <w:t>blicidade, e a alienação ou locação deveriam conter cláusula permitindo a comprovação da regularidade fiscal, da qualificação econômico-financeira e da habilitação jurídica das licitantes por meio do referido sistema”</w:t>
      </w:r>
      <w:r w:rsidRPr="002D28BD">
        <w:rPr>
          <w:sz w:val="22"/>
        </w:rPr>
        <w:t>. Após analisar os dispositivos do refe</w:t>
      </w:r>
      <w:r w:rsidRPr="002D28BD">
        <w:rPr>
          <w:sz w:val="22"/>
        </w:rPr>
        <w:t xml:space="preserve">rido decreto, alterados pelo Decreto 4.485/02, o relator pontuou que </w:t>
      </w:r>
      <w:r w:rsidRPr="008221DE">
        <w:rPr>
          <w:i/>
          <w:sz w:val="22"/>
        </w:rPr>
        <w:t xml:space="preserve">“em um procedimento licitatório pertinente à aquisição de bens e serviços, inclusive de obras, como é o caso, o gestor público tem o dever de facultar ao licitante a possibilidade de sua </w:t>
      </w:r>
      <w:r w:rsidRPr="008221DE">
        <w:rPr>
          <w:i/>
          <w:sz w:val="22"/>
        </w:rPr>
        <w:t>habilitação no certame ser aferida por meio do Sicaf. Indo além, por dedução lógica, ao permitirem que a licitante decline dessa faculdade, esses mesmos dispositivos reconhecem que o registro no referido Sicaf não é condição necessária para que a empresa s</w:t>
      </w:r>
      <w:r w:rsidRPr="008221DE">
        <w:rPr>
          <w:i/>
          <w:sz w:val="22"/>
        </w:rPr>
        <w:t>eja habilitada em processo licitatório”</w:t>
      </w:r>
      <w:r w:rsidRPr="002D28BD">
        <w:rPr>
          <w:sz w:val="22"/>
        </w:rPr>
        <w:t xml:space="preserve">. Em sua conclusão, o relator considerou como medida mais indicada ao interesse público a adoção de providências tendentes à anulação da concorrência e instauração de novo procedimento, livre dos vícios apontados, no </w:t>
      </w:r>
      <w:r w:rsidRPr="002D28BD">
        <w:rPr>
          <w:sz w:val="22"/>
        </w:rPr>
        <w:t>que foi seguido pelo Plenário.</w:t>
      </w:r>
      <w:r w:rsidR="005E4600" w:rsidRPr="002D28BD">
        <w:rPr>
          <w:sz w:val="22"/>
        </w:rPr>
        <w:t xml:space="preserve"> </w:t>
      </w:r>
      <w:hyperlink r:id="rId10" w:history="1">
        <w:r w:rsidR="00E46F75" w:rsidRPr="00E46F75">
          <w:rPr>
            <w:rStyle w:val="Hyperlink"/>
            <w:rFonts w:eastAsiaTheme="majorEastAsia"/>
            <w:b/>
            <w:sz w:val="22"/>
            <w:szCs w:val="23"/>
            <w:u w:val="none"/>
            <w:shd w:val="clear" w:color="auto" w:fill="FFFFFF"/>
          </w:rPr>
          <w:t>Acórdão 199/2016 Plenário</w:t>
        </w:r>
      </w:hyperlink>
      <w:r w:rsidRPr="002D28BD">
        <w:rPr>
          <w:b/>
          <w:sz w:val="22"/>
        </w:rPr>
        <w:t xml:space="preserve">, </w:t>
      </w:r>
      <w:r w:rsidRPr="002D28BD">
        <w:rPr>
          <w:b/>
          <w:sz w:val="22"/>
        </w:rPr>
        <w:t xml:space="preserve">Representação, Relator </w:t>
      </w:r>
      <w:r w:rsidRPr="002D28BD">
        <w:rPr>
          <w:b/>
          <w:sz w:val="22"/>
        </w:rPr>
        <w:t>Ministro</w:t>
      </w:r>
      <w:r w:rsidR="008221DE">
        <w:rPr>
          <w:b/>
          <w:sz w:val="22"/>
        </w:rPr>
        <w:t>-Substituto</w:t>
      </w:r>
      <w:r w:rsidRPr="002D28BD">
        <w:rPr>
          <w:b/>
          <w:sz w:val="22"/>
        </w:rPr>
        <w:t xml:space="preserve"> Marcos </w:t>
      </w:r>
      <w:proofErr w:type="spellStart"/>
      <w:r w:rsidRPr="002D28BD">
        <w:rPr>
          <w:b/>
          <w:sz w:val="22"/>
        </w:rPr>
        <w:t>Bemquerer</w:t>
      </w:r>
      <w:proofErr w:type="spellEnd"/>
      <w:r w:rsidRPr="002D28BD">
        <w:rPr>
          <w:b/>
          <w:sz w:val="22"/>
        </w:rPr>
        <w:t>.</w:t>
      </w:r>
    </w:p>
    <w:p w:rsidR="005E4600" w:rsidRPr="002D28BD" w:rsidRDefault="005E4600" w:rsidP="005E4600">
      <w:pPr>
        <w:jc w:val="both"/>
        <w:rPr>
          <w:sz w:val="22"/>
        </w:rPr>
      </w:pPr>
    </w:p>
    <w:p w:rsidR="005E4600" w:rsidRPr="002D28BD" w:rsidRDefault="005E4600" w:rsidP="005E460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5E4600" w:rsidRPr="002D28BD" w:rsidRDefault="005E4600" w:rsidP="005E4600">
      <w:pPr>
        <w:rPr>
          <w:sz w:val="22"/>
        </w:rPr>
        <w:sectPr w:rsidR="005E4600" w:rsidRPr="002D28BD" w:rsidSect="004E7C00">
          <w:footerReference w:type="default" r:id="rId11"/>
          <w:type w:val="continuous"/>
          <w:pgSz w:w="11906" w:h="16838" w:code="9"/>
          <w:pgMar w:top="1440" w:right="851" w:bottom="1440" w:left="1134" w:header="855" w:footer="567" w:gutter="0"/>
          <w:cols w:space="708"/>
          <w:titlePg/>
          <w:docGrid w:linePitch="360"/>
        </w:sectPr>
      </w:pPr>
    </w:p>
    <w:p w:rsidR="00A9581F" w:rsidRPr="002D28BD" w:rsidRDefault="00A9581F">
      <w:pPr>
        <w:rPr>
          <w:sz w:val="22"/>
        </w:rPr>
        <w:sectPr w:rsidR="00A9581F" w:rsidRPr="002D28BD" w:rsidSect="009037CA">
          <w:type w:val="continuous"/>
          <w:pgSz w:w="11906" w:h="16838" w:code="9"/>
          <w:pgMar w:top="1673" w:right="567" w:bottom="851" w:left="1418" w:header="709" w:footer="709" w:gutter="0"/>
          <w:cols w:space="708"/>
          <w:docGrid w:linePitch="360"/>
        </w:sectPr>
      </w:pPr>
    </w:p>
    <w:p w:rsidR="00CF0B09" w:rsidRPr="002D28BD" w:rsidRDefault="00614AB0" w:rsidP="00F82F44">
      <w:pPr>
        <w:jc w:val="center"/>
        <w:rPr>
          <w:b/>
          <w:sz w:val="22"/>
        </w:rPr>
      </w:pPr>
      <w:r w:rsidRPr="002D28BD">
        <w:rPr>
          <w:b/>
          <w:sz w:val="22"/>
        </w:rPr>
        <w:lastRenderedPageBreak/>
        <w:t>SEGUNDA CÂMARA</w:t>
      </w:r>
    </w:p>
    <w:p w:rsidR="00927CB7" w:rsidRPr="002D28BD" w:rsidRDefault="00614AB0" w:rsidP="00022AFE">
      <w:pPr>
        <w:jc w:val="both"/>
        <w:rPr>
          <w:sz w:val="22"/>
        </w:rPr>
      </w:pPr>
    </w:p>
    <w:p w:rsidR="00A9581F" w:rsidRPr="002D28BD" w:rsidRDefault="00A9581F" w:rsidP="00022AFE">
      <w:pPr>
        <w:jc w:val="both"/>
        <w:rPr>
          <w:sz w:val="22"/>
        </w:rPr>
        <w:sectPr w:rsidR="00A9581F" w:rsidRPr="002D28BD" w:rsidSect="00022AFE">
          <w:type w:val="continuous"/>
          <w:pgSz w:w="11906" w:h="16838" w:code="9"/>
          <w:pgMar w:top="1440" w:right="851" w:bottom="1440" w:left="1134" w:header="708" w:footer="708" w:gutter="0"/>
          <w:cols w:space="708"/>
          <w:docGrid w:linePitch="360"/>
        </w:sectPr>
      </w:pPr>
    </w:p>
    <w:p w:rsidR="00A9581F" w:rsidRPr="002D28BD" w:rsidRDefault="002D28BD" w:rsidP="00022AFE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lastRenderedPageBreak/>
        <w:t>2</w:t>
      </w:r>
      <w:r w:rsidR="00614AB0" w:rsidRPr="002D28BD">
        <w:rPr>
          <w:b/>
          <w:sz w:val="22"/>
        </w:rPr>
        <w:t xml:space="preserve">. A classificação de proposta com preço superior ao limite admitido no edital </w:t>
      </w:r>
      <w:r w:rsidR="00614AB0" w:rsidRPr="002D28BD">
        <w:rPr>
          <w:b/>
          <w:sz w:val="22"/>
        </w:rPr>
        <w:t>viola o princípio da vinculação ao instrumento convocatório, não descaracterizando tal ilegalidade a alegação de urgência na contratação.</w:t>
      </w:r>
    </w:p>
    <w:p w:rsidR="00A9581F" w:rsidRPr="00022AFE" w:rsidRDefault="00614AB0" w:rsidP="00022AFE">
      <w:pPr>
        <w:widowControl w:val="0"/>
        <w:autoSpaceDE w:val="0"/>
        <w:autoSpaceDN w:val="0"/>
        <w:jc w:val="both"/>
        <w:rPr>
          <w:b/>
          <w:sz w:val="22"/>
        </w:rPr>
        <w:sectPr w:rsidR="00A9581F" w:rsidRPr="00022AFE" w:rsidSect="00022AFE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 w:rsidRPr="002D28BD">
        <w:rPr>
          <w:sz w:val="22"/>
        </w:rPr>
        <w:t xml:space="preserve">Representação formulada por empresa licitante noticiara supostas irregularidades praticadas pela Secretaria de Saúde </w:t>
      </w:r>
      <w:r w:rsidRPr="002D28BD">
        <w:rPr>
          <w:sz w:val="22"/>
        </w:rPr>
        <w:t>do Estado do Piauí (Sesapi/PI), no âmbito da licitação RDC Presencial 2/2013, com vistas à contratação integrada de empresa para a elaboração de projeto básico e executivo e a execução das obras de implantação de unidade hospitalar (centro de referência) d</w:t>
      </w:r>
      <w:r w:rsidRPr="002D28BD">
        <w:rPr>
          <w:sz w:val="22"/>
        </w:rPr>
        <w:t>e Picos/PI. Na instrução de mérito, a unidade técnica concluiu que não foram observados os princípios da publicidade e da vinculação ao instrumento convocatório, bem como as próprias regras estabelecidas para o certame. O relator anuiu integralmente às con</w:t>
      </w:r>
      <w:r w:rsidRPr="002D28BD">
        <w:rPr>
          <w:sz w:val="22"/>
        </w:rPr>
        <w:t>siderações da unidade técnica, destacando, em relação à afronta ao princípio da vinculação ao instrumento convocatório, que a Administração não desclassificou a licitante vencedora (única participante), cuja proposta, no valor de R$ 104.618.870,05 (posteri</w:t>
      </w:r>
      <w:r w:rsidRPr="002D28BD">
        <w:rPr>
          <w:sz w:val="22"/>
        </w:rPr>
        <w:t xml:space="preserve">ormente reduzida para R$ 100.957.209,60), situava-se flagrantemente acima do valor inicial previsto (R$ 83.884.314,47), embora houvesse regra editalícia que estabelecia textualmente a desclassificação da proposta que apresentasse preços acima do orçamento </w:t>
      </w:r>
      <w:r w:rsidRPr="002D28BD">
        <w:rPr>
          <w:sz w:val="22"/>
        </w:rPr>
        <w:t>estimado. Destacou também que a majoração do valor contratado veio por acolhimento de sugestão formulada pela própria licitante, sob a alegação de que, sem o referido acréscimo, o funcionamento do hospital restaria inviabilizado. Diante da situação, ressal</w:t>
      </w:r>
      <w:r w:rsidRPr="002D28BD">
        <w:rPr>
          <w:sz w:val="22"/>
        </w:rPr>
        <w:t>tou o relator a jurisprudência do TCU no sentido de que a Administração Pública deve pautar as suas ações pela observância ao princípio da vinculação ao instrumento convocatório, de tal modo que as propostas em desacordo com o instrumento convocatório deve</w:t>
      </w:r>
      <w:r w:rsidRPr="002D28BD">
        <w:rPr>
          <w:sz w:val="22"/>
        </w:rPr>
        <w:t xml:space="preserve">m ser desclassificadas. Nessa esteira, observou, concordando com a análise da unidade técnica, que </w:t>
      </w:r>
      <w:r w:rsidRPr="00067AAD">
        <w:rPr>
          <w:i/>
          <w:sz w:val="22"/>
        </w:rPr>
        <w:t>“se a administração local considerou haver falhas no projeto e no orçamento que ela mesma elaborou, deveria ter cancelado o certame para, de maneira regular,</w:t>
      </w:r>
      <w:r w:rsidRPr="00067AAD">
        <w:rPr>
          <w:i/>
          <w:sz w:val="22"/>
        </w:rPr>
        <w:t xml:space="preserve"> elaborar e publicar outro edital mais adequado”</w:t>
      </w:r>
      <w:r w:rsidRPr="002D28BD">
        <w:rPr>
          <w:sz w:val="22"/>
        </w:rPr>
        <w:t xml:space="preserve"> e que </w:t>
      </w:r>
      <w:r w:rsidRPr="00067AAD">
        <w:rPr>
          <w:i/>
          <w:sz w:val="22"/>
        </w:rPr>
        <w:t>“ a alegada urgência não pode servir de motivo para que a administração desfigure por completo os princípios gerais de licitação, até porque as situações reconhecidamente urgentes já recebem tratamento</w:t>
      </w:r>
      <w:r w:rsidRPr="00067AAD">
        <w:rPr>
          <w:i/>
          <w:sz w:val="22"/>
        </w:rPr>
        <w:t xml:space="preserve"> diferenciado da própria legislação, como, por exemplo, a dispensa de licitação”</w:t>
      </w:r>
      <w:r w:rsidRPr="002D28BD">
        <w:rPr>
          <w:sz w:val="22"/>
        </w:rPr>
        <w:t xml:space="preserve">. De todo modo, considerou também a informação de que a obra </w:t>
      </w:r>
      <w:proofErr w:type="gramStart"/>
      <w:r w:rsidRPr="002D28BD">
        <w:rPr>
          <w:sz w:val="22"/>
        </w:rPr>
        <w:t>encontrava-se</w:t>
      </w:r>
      <w:proofErr w:type="gramEnd"/>
      <w:r w:rsidRPr="002D28BD">
        <w:rPr>
          <w:sz w:val="22"/>
        </w:rPr>
        <w:t xml:space="preserve"> paralisada, tendo a contratada realizado apenas os projetos básicos e executivo, os serviços prelimin</w:t>
      </w:r>
      <w:r w:rsidRPr="002D28BD">
        <w:rPr>
          <w:sz w:val="22"/>
        </w:rPr>
        <w:t>ares e parte da superestrutura. Por fim, em razão dessa e de outra ilegalidade, pugnou pela parcial procedência da Representação, determinando-se a anulação do certame e do contrato dele decorrente, proposta à qual aderiu o Colegiado.</w:t>
      </w:r>
      <w:r w:rsidR="005E4600" w:rsidRPr="002D28BD">
        <w:rPr>
          <w:sz w:val="22"/>
        </w:rPr>
        <w:t xml:space="preserve"> </w:t>
      </w:r>
      <w:hyperlink r:id="rId12" w:history="1">
        <w:r w:rsidR="00E46F75" w:rsidRPr="00E46F75">
          <w:rPr>
            <w:rStyle w:val="Hyperlink"/>
            <w:rFonts w:eastAsiaTheme="majorEastAsia"/>
            <w:b/>
            <w:sz w:val="22"/>
            <w:szCs w:val="23"/>
            <w:u w:val="none"/>
            <w:shd w:val="clear" w:color="auto" w:fill="FFFFFF"/>
          </w:rPr>
          <w:t>Acórdão 649/2016 Segunda Câmara</w:t>
        </w:r>
      </w:hyperlink>
      <w:r w:rsidRPr="002D28BD">
        <w:rPr>
          <w:b/>
          <w:sz w:val="22"/>
        </w:rPr>
        <w:t xml:space="preserve">, </w:t>
      </w:r>
      <w:r w:rsidRPr="002D28BD">
        <w:rPr>
          <w:b/>
          <w:sz w:val="22"/>
        </w:rPr>
        <w:t xml:space="preserve">Representação, Relator </w:t>
      </w:r>
      <w:r w:rsidRPr="002D28BD">
        <w:rPr>
          <w:b/>
          <w:sz w:val="22"/>
        </w:rPr>
        <w:t>Ministro</w:t>
      </w:r>
      <w:r w:rsidR="008221DE">
        <w:rPr>
          <w:b/>
          <w:sz w:val="22"/>
        </w:rPr>
        <w:t>-Substituto</w:t>
      </w:r>
      <w:r w:rsidRPr="002D28BD">
        <w:rPr>
          <w:b/>
          <w:sz w:val="22"/>
        </w:rPr>
        <w:t xml:space="preserve"> André de Carvalho</w:t>
      </w:r>
      <w:r w:rsidRPr="002D28BD">
        <w:rPr>
          <w:b/>
          <w:sz w:val="22"/>
        </w:rPr>
        <w:t>.</w:t>
      </w:r>
    </w:p>
    <w:p w:rsidR="0035499A" w:rsidRDefault="0035499A" w:rsidP="0035499A">
      <w:pPr>
        <w:jc w:val="both"/>
        <w:rPr>
          <w:rFonts w:ascii="Arial" w:hAnsi="Arial" w:cs="Arial"/>
          <w:sz w:val="18"/>
          <w:szCs w:val="18"/>
        </w:rPr>
      </w:pPr>
    </w:p>
    <w:p w:rsidR="00FA1393" w:rsidRDefault="00614AB0" w:rsidP="008B2580">
      <w:pPr>
        <w:pStyle w:val="enter-3pt"/>
        <w:tabs>
          <w:tab w:val="left" w:pos="2590"/>
        </w:tabs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5827E7" w:rsidRDefault="00614AB0" w:rsidP="008B2580">
      <w:pPr>
        <w:pStyle w:val="enter-3pt"/>
        <w:tabs>
          <w:tab w:val="left" w:pos="2590"/>
        </w:tabs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C97756" w:rsidRPr="008C7BE6" w:rsidRDefault="00614AB0" w:rsidP="008B2580">
      <w:pPr>
        <w:pStyle w:val="enter-3pt"/>
        <w:tabs>
          <w:tab w:val="left" w:pos="2590"/>
        </w:tabs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>Elaboração: Diretoria de Jurisprudência - Secretaria das Sessões</w:t>
      </w:r>
    </w:p>
    <w:p w:rsidR="00C03330" w:rsidRPr="00AA6697" w:rsidRDefault="00614AB0" w:rsidP="00AA6697">
      <w:pPr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13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AA6697">
      <w:footerReference w:type="default" r:id="rId14"/>
      <w:type w:val="continuous"/>
      <w:pgSz w:w="11906" w:h="16838" w:code="9"/>
      <w:pgMar w:top="1671" w:right="567" w:bottom="851" w:left="1418" w:header="85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B0" w:rsidRDefault="00614AB0" w:rsidP="00ED5179">
      <w:r>
        <w:separator/>
      </w:r>
    </w:p>
  </w:endnote>
  <w:endnote w:type="continuationSeparator" w:id="0">
    <w:p w:rsidR="00614AB0" w:rsidRDefault="00614AB0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227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600">
      <w:rPr>
        <w:noProof/>
      </w:rPr>
      <w:t>2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00" w:rsidRDefault="005E460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CBA">
      <w:rPr>
        <w:noProof/>
      </w:rPr>
      <w:t>2</w:t>
    </w:r>
    <w:r>
      <w:fldChar w:fldCharType="end"/>
    </w:r>
  </w:p>
  <w:p w:rsidR="005E4600" w:rsidRDefault="005E4600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614AB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6697" w:rsidRDefault="00614AB0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B0" w:rsidRDefault="00614AB0" w:rsidP="00ED5179">
      <w:r>
        <w:separator/>
      </w:r>
    </w:p>
  </w:footnote>
  <w:footnote w:type="continuationSeparator" w:id="0">
    <w:p w:rsidR="00614AB0" w:rsidRDefault="00614AB0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35499A">
    <w:pPr>
      <w:pStyle w:val="Cabealho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22AFE"/>
    <w:rsid w:val="00035ABF"/>
    <w:rsid w:val="000362D8"/>
    <w:rsid w:val="000403CF"/>
    <w:rsid w:val="00067AAD"/>
    <w:rsid w:val="00082F24"/>
    <w:rsid w:val="00085910"/>
    <w:rsid w:val="000E1227"/>
    <w:rsid w:val="000F2444"/>
    <w:rsid w:val="0013773E"/>
    <w:rsid w:val="00167319"/>
    <w:rsid w:val="00171F4E"/>
    <w:rsid w:val="00177D47"/>
    <w:rsid w:val="001A0F92"/>
    <w:rsid w:val="001D00C5"/>
    <w:rsid w:val="001D00FE"/>
    <w:rsid w:val="001D6FAA"/>
    <w:rsid w:val="001F4538"/>
    <w:rsid w:val="002046AF"/>
    <w:rsid w:val="0020622A"/>
    <w:rsid w:val="00234034"/>
    <w:rsid w:val="002466B7"/>
    <w:rsid w:val="00256B0C"/>
    <w:rsid w:val="00295550"/>
    <w:rsid w:val="002961A3"/>
    <w:rsid w:val="002C67CE"/>
    <w:rsid w:val="002D28BD"/>
    <w:rsid w:val="002D3139"/>
    <w:rsid w:val="002E380E"/>
    <w:rsid w:val="00306884"/>
    <w:rsid w:val="00321872"/>
    <w:rsid w:val="00327A3D"/>
    <w:rsid w:val="00344ECE"/>
    <w:rsid w:val="0035499A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8449D"/>
    <w:rsid w:val="004A2DDF"/>
    <w:rsid w:val="004A3622"/>
    <w:rsid w:val="004B4A6D"/>
    <w:rsid w:val="004C3808"/>
    <w:rsid w:val="004E7C00"/>
    <w:rsid w:val="00513988"/>
    <w:rsid w:val="00525994"/>
    <w:rsid w:val="005264AF"/>
    <w:rsid w:val="00532988"/>
    <w:rsid w:val="00545F83"/>
    <w:rsid w:val="00557A83"/>
    <w:rsid w:val="005617EF"/>
    <w:rsid w:val="00572E3F"/>
    <w:rsid w:val="005A1B4B"/>
    <w:rsid w:val="005A2E89"/>
    <w:rsid w:val="005E4600"/>
    <w:rsid w:val="006006C2"/>
    <w:rsid w:val="00614AB0"/>
    <w:rsid w:val="00632AA6"/>
    <w:rsid w:val="006539EA"/>
    <w:rsid w:val="006779C0"/>
    <w:rsid w:val="00686128"/>
    <w:rsid w:val="006F1289"/>
    <w:rsid w:val="006F1D2A"/>
    <w:rsid w:val="00703C89"/>
    <w:rsid w:val="00732A0F"/>
    <w:rsid w:val="007404E0"/>
    <w:rsid w:val="00791535"/>
    <w:rsid w:val="007A6ECE"/>
    <w:rsid w:val="007E09D4"/>
    <w:rsid w:val="008048F0"/>
    <w:rsid w:val="008221DE"/>
    <w:rsid w:val="00824B9C"/>
    <w:rsid w:val="00837598"/>
    <w:rsid w:val="00842D06"/>
    <w:rsid w:val="008659BF"/>
    <w:rsid w:val="00874F87"/>
    <w:rsid w:val="00881A7C"/>
    <w:rsid w:val="00891E61"/>
    <w:rsid w:val="008B5C28"/>
    <w:rsid w:val="008C06E3"/>
    <w:rsid w:val="008C5387"/>
    <w:rsid w:val="008C7BE6"/>
    <w:rsid w:val="008D43AA"/>
    <w:rsid w:val="008E095E"/>
    <w:rsid w:val="008F0439"/>
    <w:rsid w:val="00924297"/>
    <w:rsid w:val="00934A42"/>
    <w:rsid w:val="00935B2B"/>
    <w:rsid w:val="00942C93"/>
    <w:rsid w:val="0095776C"/>
    <w:rsid w:val="00991087"/>
    <w:rsid w:val="009A5CE4"/>
    <w:rsid w:val="009B0538"/>
    <w:rsid w:val="009C1CD2"/>
    <w:rsid w:val="009D4C43"/>
    <w:rsid w:val="009D60F6"/>
    <w:rsid w:val="009E41D1"/>
    <w:rsid w:val="00A205EC"/>
    <w:rsid w:val="00A22D1E"/>
    <w:rsid w:val="00A306A8"/>
    <w:rsid w:val="00A83C33"/>
    <w:rsid w:val="00A9242D"/>
    <w:rsid w:val="00A9581F"/>
    <w:rsid w:val="00AA4BD9"/>
    <w:rsid w:val="00AA6A32"/>
    <w:rsid w:val="00AB7BF8"/>
    <w:rsid w:val="00AC6714"/>
    <w:rsid w:val="00AD3C90"/>
    <w:rsid w:val="00AF1E2C"/>
    <w:rsid w:val="00B12E89"/>
    <w:rsid w:val="00B17FDA"/>
    <w:rsid w:val="00B41043"/>
    <w:rsid w:val="00B526D3"/>
    <w:rsid w:val="00B91CBF"/>
    <w:rsid w:val="00BD1D53"/>
    <w:rsid w:val="00BD55F7"/>
    <w:rsid w:val="00BE719D"/>
    <w:rsid w:val="00BF2730"/>
    <w:rsid w:val="00BF581A"/>
    <w:rsid w:val="00C013E3"/>
    <w:rsid w:val="00C04BE2"/>
    <w:rsid w:val="00C16F38"/>
    <w:rsid w:val="00C23E2C"/>
    <w:rsid w:val="00C35594"/>
    <w:rsid w:val="00C43825"/>
    <w:rsid w:val="00C714EE"/>
    <w:rsid w:val="00C72771"/>
    <w:rsid w:val="00C77A70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46CEB"/>
    <w:rsid w:val="00E46F75"/>
    <w:rsid w:val="00E55A1D"/>
    <w:rsid w:val="00E65DBA"/>
    <w:rsid w:val="00E73B12"/>
    <w:rsid w:val="00E77CBA"/>
    <w:rsid w:val="00E90600"/>
    <w:rsid w:val="00E9079C"/>
    <w:rsid w:val="00E93506"/>
    <w:rsid w:val="00EA61D7"/>
    <w:rsid w:val="00ED5179"/>
    <w:rsid w:val="00EE70E9"/>
    <w:rsid w:val="00F0239A"/>
    <w:rsid w:val="00F05C62"/>
    <w:rsid w:val="00F26DD0"/>
    <w:rsid w:val="00F819A7"/>
    <w:rsid w:val="00F82F44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juris@tcu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ntas.tcu.gov.br/juris/SvlProxyHighlight?base=ACORDAO&amp;ano=2016&amp;numero=649&amp;colegiado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ProxyHighlight?base=ACORDAO&amp;ano=2016&amp;numero=199&amp;colegiado=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3A7435-312F-44E6-AEB2-75F7182D997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Sergio Ricardo de Mendonca Salustiano</cp:lastModifiedBy>
  <cp:revision>17</cp:revision>
  <dcterms:created xsi:type="dcterms:W3CDTF">2016-03-01T18:19:00Z</dcterms:created>
  <dcterms:modified xsi:type="dcterms:W3CDTF">2016-03-01T18:47:00Z</dcterms:modified>
</cp:coreProperties>
</file>