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D60327" w:rsidRDefault="002F3875" w:rsidP="0055771A">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D92B36">
        <w:rPr>
          <w:rFonts w:ascii="Times New Roman" w:hAnsi="Times New Roman"/>
          <w:b/>
          <w:i w:val="0"/>
          <w:sz w:val="22"/>
          <w:szCs w:val="22"/>
          <w:lang w:val="pt-BR"/>
        </w:rPr>
        <w:t>71</w:t>
      </w:r>
    </w:p>
    <w:p w:rsidR="00C61626" w:rsidRPr="003A0B0D" w:rsidRDefault="00824C1E" w:rsidP="0055771A">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Sessão</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D92B36">
        <w:rPr>
          <w:rFonts w:ascii="Times New Roman" w:hAnsi="Times New Roman"/>
          <w:b/>
          <w:i w:val="0"/>
          <w:sz w:val="22"/>
          <w:szCs w:val="22"/>
          <w:lang w:val="pt-BR"/>
        </w:rPr>
        <w:t xml:space="preserve">9 de </w:t>
      </w:r>
      <w:bookmarkStart w:id="0" w:name="_GoBack"/>
      <w:bookmarkEnd w:id="0"/>
      <w:r w:rsidR="00D92B36">
        <w:rPr>
          <w:rFonts w:ascii="Times New Roman" w:hAnsi="Times New Roman"/>
          <w:b/>
          <w:i w:val="0"/>
          <w:sz w:val="22"/>
          <w:szCs w:val="22"/>
          <w:lang w:val="pt-BR"/>
        </w:rPr>
        <w:t>dezembro de 2015</w:t>
      </w:r>
    </w:p>
    <w:p w:rsidR="005D6E13" w:rsidRPr="005D6E13" w:rsidRDefault="005D6E13" w:rsidP="0055771A">
      <w:pPr>
        <w:pStyle w:val="Corpodetexto2"/>
        <w:spacing w:after="60" w:line="240" w:lineRule="auto"/>
        <w:ind w:left="0"/>
        <w:rPr>
          <w:sz w:val="22"/>
          <w:szCs w:val="22"/>
          <w:lang w:val="pt-BR"/>
        </w:rPr>
      </w:pPr>
      <w:r w:rsidRPr="005D6E13">
        <w:rPr>
          <w:sz w:val="22"/>
          <w:szCs w:val="22"/>
          <w:lang w:val="pt-BR"/>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disponíveis. As informações aqui apresentadas não são repositórios oficiais de jurisprudência.</w:t>
      </w:r>
    </w:p>
    <w:p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BC5C14" w:rsidRDefault="00BC5C14" w:rsidP="0055771A">
      <w:pPr>
        <w:autoSpaceDE w:val="0"/>
        <w:autoSpaceDN w:val="0"/>
        <w:adjustRightInd w:val="0"/>
        <w:spacing w:after="60"/>
        <w:ind w:left="0"/>
        <w:rPr>
          <w:b/>
          <w:sz w:val="22"/>
          <w:szCs w:val="22"/>
          <w:lang w:eastAsia="pt-BR"/>
        </w:rPr>
      </w:pPr>
      <w:r>
        <w:rPr>
          <w:b/>
          <w:sz w:val="22"/>
          <w:szCs w:val="22"/>
          <w:lang w:eastAsia="pt-BR"/>
        </w:rPr>
        <w:t>Plenário</w:t>
      </w:r>
    </w:p>
    <w:p w:rsidR="00843402" w:rsidRDefault="00843402" w:rsidP="00843402">
      <w:pPr>
        <w:shd w:val="clear" w:color="auto" w:fill="FFFFFF"/>
        <w:spacing w:after="60"/>
        <w:ind w:left="0"/>
        <w:rPr>
          <w:rFonts w:eastAsia="Times New Roman"/>
          <w:sz w:val="22"/>
          <w:szCs w:val="22"/>
        </w:rPr>
      </w:pPr>
      <w:r w:rsidRPr="00C368DC">
        <w:rPr>
          <w:rFonts w:eastAsia="Times New Roman"/>
          <w:sz w:val="22"/>
          <w:szCs w:val="22"/>
        </w:rPr>
        <w:t xml:space="preserve">1. </w:t>
      </w:r>
      <w:r w:rsidR="000A11DA" w:rsidRPr="000A11DA">
        <w:rPr>
          <w:rFonts w:eastAsia="Times New Roman"/>
          <w:sz w:val="22"/>
          <w:szCs w:val="22"/>
        </w:rPr>
        <w:t>É lícita a previsão contratual de retenção pela Administração de pagamentos devidos à contratada em valores correspondentes às obrigações trabalhistas e previdenciárias inadimplidas, incluindo salários, demais verbas trabalhistas e FGTS, relativas aos empregados dedicados à execução do contrato.</w:t>
      </w:r>
    </w:p>
    <w:p w:rsidR="00251409" w:rsidRPr="00251409" w:rsidRDefault="00251409" w:rsidP="00251409">
      <w:pPr>
        <w:spacing w:after="60"/>
        <w:ind w:left="0"/>
        <w:rPr>
          <w:rFonts w:eastAsiaTheme="minorHAnsi"/>
          <w:color w:val="1F497D"/>
          <w:sz w:val="22"/>
          <w:szCs w:val="22"/>
        </w:rPr>
      </w:pPr>
      <w:r w:rsidRPr="00251409">
        <w:rPr>
          <w:bCs/>
          <w:sz w:val="22"/>
          <w:szCs w:val="22"/>
          <w:shd w:val="clear" w:color="auto" w:fill="FFFFFF"/>
        </w:rPr>
        <w:t>2. É irregular a apropriação de planos de incentivo (bônus de volume) recebidos pelas agências de publicidade em contratações que contenham cláusula determinando o repasse dessa vantagem ao ente público contratante, no caso de avenças anteriores à Lei 12.232/10, ou quando não se tratar de inserções de mídia efetuadas por veículos de divulgação.</w:t>
      </w:r>
    </w:p>
    <w:p w:rsidR="00BD27F7" w:rsidRDefault="00BD27F7" w:rsidP="00843402">
      <w:pPr>
        <w:shd w:val="clear" w:color="auto" w:fill="FFFFFF"/>
        <w:spacing w:after="60"/>
        <w:ind w:left="0"/>
        <w:rPr>
          <w:rFonts w:eastAsia="Times New Roman"/>
          <w:sz w:val="22"/>
          <w:szCs w:val="22"/>
        </w:rPr>
      </w:pPr>
      <w:r w:rsidRPr="000762B8">
        <w:rPr>
          <w:rFonts w:eastAsia="Times New Roman"/>
          <w:sz w:val="22"/>
          <w:szCs w:val="22"/>
        </w:rPr>
        <w:t xml:space="preserve">3. </w:t>
      </w:r>
      <w:r w:rsidR="000762B8" w:rsidRPr="000762B8">
        <w:rPr>
          <w:rFonts w:eastAsia="Times New Roman"/>
          <w:sz w:val="22"/>
          <w:szCs w:val="22"/>
        </w:rPr>
        <w:t>Exigências relativas ao tempo de formação acadêmica e de experiência profissional somente são aceitáveis como requisito de habilitação em licitações se acompanhadas de justificativa expressa, no instrumento convocatório, que demonstre a imprescindibilidade de tais condições à execução do objeto.</w:t>
      </w:r>
    </w:p>
    <w:p w:rsidR="00D25FB0" w:rsidRDefault="00D25FB0" w:rsidP="00D25FB0">
      <w:pPr>
        <w:autoSpaceDE w:val="0"/>
        <w:autoSpaceDN w:val="0"/>
        <w:adjustRightInd w:val="0"/>
        <w:spacing w:after="60"/>
        <w:ind w:left="0"/>
        <w:rPr>
          <w:b/>
          <w:sz w:val="22"/>
          <w:szCs w:val="22"/>
          <w:lang w:eastAsia="pt-BR"/>
        </w:rPr>
      </w:pPr>
      <w:r>
        <w:rPr>
          <w:b/>
          <w:sz w:val="22"/>
          <w:szCs w:val="22"/>
          <w:lang w:eastAsia="pt-BR"/>
        </w:rPr>
        <w:t>Inovação Legislativa</w:t>
      </w:r>
    </w:p>
    <w:p w:rsidR="00D25FB0" w:rsidRDefault="00D25FB0" w:rsidP="00D25FB0">
      <w:pPr>
        <w:autoSpaceDE w:val="0"/>
        <w:autoSpaceDN w:val="0"/>
        <w:adjustRightInd w:val="0"/>
        <w:spacing w:after="60"/>
        <w:ind w:left="0"/>
        <w:rPr>
          <w:sz w:val="22"/>
          <w:szCs w:val="22"/>
        </w:rPr>
      </w:pPr>
      <w:r w:rsidRPr="00D25FB0">
        <w:rPr>
          <w:sz w:val="22"/>
          <w:szCs w:val="22"/>
        </w:rPr>
        <w:t>Lei 13.204, de 14/12/15</w:t>
      </w:r>
      <w:r w:rsidR="002E5BAA">
        <w:rPr>
          <w:sz w:val="22"/>
          <w:szCs w:val="22"/>
        </w:rPr>
        <w:t>.</w:t>
      </w:r>
    </w:p>
    <w:p w:rsidR="005C5E1B" w:rsidRDefault="005C5E1B" w:rsidP="00D25FB0">
      <w:pPr>
        <w:autoSpaceDE w:val="0"/>
        <w:autoSpaceDN w:val="0"/>
        <w:adjustRightInd w:val="0"/>
        <w:spacing w:after="60"/>
        <w:ind w:left="0"/>
        <w:rPr>
          <w:sz w:val="22"/>
          <w:szCs w:val="22"/>
        </w:rPr>
      </w:pPr>
      <w:r w:rsidRPr="005C5E1B">
        <w:rPr>
          <w:sz w:val="22"/>
          <w:szCs w:val="22"/>
        </w:rPr>
        <w:t>Lei 13.240, de 30/12/15</w:t>
      </w:r>
      <w:r>
        <w:rPr>
          <w:sz w:val="22"/>
          <w:szCs w:val="22"/>
        </w:rPr>
        <w:t>.</w:t>
      </w:r>
    </w:p>
    <w:p w:rsidR="00D25FB0" w:rsidRDefault="00D25FB0" w:rsidP="00D25FB0">
      <w:pPr>
        <w:autoSpaceDE w:val="0"/>
        <w:autoSpaceDN w:val="0"/>
        <w:adjustRightInd w:val="0"/>
        <w:spacing w:after="60"/>
        <w:ind w:left="0"/>
        <w:rPr>
          <w:sz w:val="22"/>
          <w:szCs w:val="22"/>
        </w:rPr>
      </w:pPr>
      <w:r w:rsidRPr="00D25FB0">
        <w:rPr>
          <w:sz w:val="22"/>
          <w:szCs w:val="22"/>
        </w:rPr>
        <w:t>Lei 13.243, de 11/01/16</w:t>
      </w:r>
      <w:r w:rsidR="002E5BAA">
        <w:rPr>
          <w:sz w:val="22"/>
          <w:szCs w:val="22"/>
        </w:rPr>
        <w:t>.</w:t>
      </w:r>
    </w:p>
    <w:p w:rsidR="00D25FB0" w:rsidRDefault="00D25FB0" w:rsidP="00D25FB0">
      <w:pPr>
        <w:autoSpaceDE w:val="0"/>
        <w:autoSpaceDN w:val="0"/>
        <w:adjustRightInd w:val="0"/>
        <w:spacing w:after="60"/>
        <w:ind w:left="0"/>
        <w:rPr>
          <w:sz w:val="22"/>
          <w:szCs w:val="22"/>
        </w:rPr>
      </w:pPr>
      <w:r w:rsidRPr="00D25FB0">
        <w:rPr>
          <w:sz w:val="22"/>
          <w:szCs w:val="22"/>
        </w:rPr>
        <w:t>Medida Provisória 703, de 18/12/15</w:t>
      </w:r>
      <w:r w:rsidR="002E5BAA">
        <w:rPr>
          <w:sz w:val="22"/>
          <w:szCs w:val="22"/>
        </w:rPr>
        <w:t>.</w:t>
      </w:r>
    </w:p>
    <w:p w:rsidR="00D25FB0" w:rsidRDefault="00D25FB0" w:rsidP="00D25FB0">
      <w:pPr>
        <w:autoSpaceDE w:val="0"/>
        <w:autoSpaceDN w:val="0"/>
        <w:adjustRightInd w:val="0"/>
        <w:spacing w:after="60"/>
        <w:ind w:left="0"/>
        <w:rPr>
          <w:sz w:val="22"/>
          <w:szCs w:val="22"/>
        </w:rPr>
      </w:pPr>
      <w:r w:rsidRPr="00D25FB0">
        <w:rPr>
          <w:sz w:val="22"/>
          <w:szCs w:val="22"/>
        </w:rPr>
        <w:t>Medida Provisória 706, de 28/12/15</w:t>
      </w:r>
      <w:r w:rsidR="002E5BAA">
        <w:rPr>
          <w:sz w:val="22"/>
          <w:szCs w:val="22"/>
        </w:rPr>
        <w:t>.</w:t>
      </w:r>
    </w:p>
    <w:p w:rsidR="00D25FB0" w:rsidRPr="00843402" w:rsidRDefault="00D25FB0" w:rsidP="00843402">
      <w:pPr>
        <w:shd w:val="clear" w:color="auto" w:fill="FFFFFF"/>
        <w:spacing w:after="60"/>
        <w:ind w:left="0"/>
        <w:rPr>
          <w:rFonts w:eastAsia="Times New Roman"/>
          <w:sz w:val="22"/>
          <w:szCs w:val="22"/>
        </w:rPr>
      </w:pPr>
      <w:r w:rsidRPr="00D25FB0">
        <w:rPr>
          <w:rFonts w:eastAsia="Times New Roman"/>
          <w:sz w:val="22"/>
          <w:szCs w:val="22"/>
        </w:rPr>
        <w:t>Decreto 8.626, de 30/12/15</w:t>
      </w:r>
      <w:r w:rsidR="002E5BAA">
        <w:rPr>
          <w:rFonts w:eastAsia="Times New Roman"/>
          <w:sz w:val="22"/>
          <w:szCs w:val="22"/>
        </w:rPr>
        <w:t>.</w:t>
      </w:r>
    </w:p>
    <w:p w:rsidR="00846D10" w:rsidRDefault="00846D10" w:rsidP="00492AF9">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PLENÁRIO</w:t>
      </w:r>
    </w:p>
    <w:p w:rsidR="00921705" w:rsidRPr="003436F1" w:rsidRDefault="00921705" w:rsidP="00B84CBC">
      <w:pPr>
        <w:shd w:val="clear" w:color="auto" w:fill="FFFFFF"/>
        <w:spacing w:after="0"/>
        <w:ind w:left="0"/>
        <w:rPr>
          <w:rFonts w:eastAsia="Times New Roman"/>
          <w:b/>
          <w:i/>
          <w:color w:val="000000"/>
          <w:sz w:val="22"/>
          <w:szCs w:val="22"/>
          <w:lang w:eastAsia="pt-BR"/>
        </w:rPr>
      </w:pPr>
    </w:p>
    <w:p w:rsidR="00843402" w:rsidRPr="00621DEE" w:rsidRDefault="00843402" w:rsidP="006F44C9">
      <w:pPr>
        <w:shd w:val="clear" w:color="auto" w:fill="FFFFFF"/>
        <w:spacing w:after="0"/>
        <w:ind w:left="0"/>
        <w:rPr>
          <w:rFonts w:eastAsia="Times New Roman"/>
          <w:b/>
          <w:sz w:val="22"/>
          <w:szCs w:val="22"/>
        </w:rPr>
      </w:pPr>
      <w:r w:rsidRPr="00621DEE">
        <w:rPr>
          <w:rFonts w:eastAsia="Times New Roman"/>
          <w:b/>
          <w:sz w:val="22"/>
          <w:szCs w:val="22"/>
        </w:rPr>
        <w:t xml:space="preserve">1. </w:t>
      </w:r>
      <w:r w:rsidR="000A11DA" w:rsidRPr="00621DEE">
        <w:rPr>
          <w:rFonts w:eastAsia="Times New Roman"/>
          <w:b/>
          <w:sz w:val="22"/>
          <w:szCs w:val="22"/>
        </w:rPr>
        <w:t>É lícita a previsão contratual de retenção pela Administração de pagamentos devidos à contratada em valores correspondentes às obrigações trabalhistas e previdenciárias inadimplidas, incluindo salários, demais verbas trabalhistas e FGTS, relativas aos empregados dedicados à execução do contrato.</w:t>
      </w:r>
    </w:p>
    <w:p w:rsidR="008602D0" w:rsidRPr="00621DEE" w:rsidRDefault="00290D72" w:rsidP="00F54527">
      <w:pPr>
        <w:pStyle w:val="Default"/>
        <w:jc w:val="both"/>
        <w:rPr>
          <w:rFonts w:eastAsia="Times New Roman"/>
          <w:b/>
          <w:i/>
          <w:sz w:val="22"/>
          <w:szCs w:val="22"/>
        </w:rPr>
      </w:pPr>
      <w:r w:rsidRPr="00621DEE">
        <w:rPr>
          <w:sz w:val="22"/>
          <w:szCs w:val="22"/>
        </w:rPr>
        <w:t xml:space="preserve">Representação formulada por licitantes noticiara </w:t>
      </w:r>
      <w:r w:rsidR="00A757FB">
        <w:rPr>
          <w:sz w:val="22"/>
          <w:szCs w:val="22"/>
        </w:rPr>
        <w:t xml:space="preserve">supostas </w:t>
      </w:r>
      <w:r w:rsidRPr="00621DEE">
        <w:rPr>
          <w:sz w:val="22"/>
          <w:szCs w:val="22"/>
        </w:rPr>
        <w:t>irregularidades cometidas pela Companhia de Entrepostos e</w:t>
      </w:r>
      <w:r w:rsidR="00A757FB">
        <w:rPr>
          <w:sz w:val="22"/>
          <w:szCs w:val="22"/>
        </w:rPr>
        <w:t xml:space="preserve"> Armazéns Gerais de São Paulo (</w:t>
      </w:r>
      <w:r w:rsidRPr="00621DEE">
        <w:rPr>
          <w:sz w:val="22"/>
          <w:szCs w:val="22"/>
        </w:rPr>
        <w:t>Ceagesp</w:t>
      </w:r>
      <w:r w:rsidR="00A757FB">
        <w:rPr>
          <w:sz w:val="22"/>
          <w:szCs w:val="22"/>
        </w:rPr>
        <w:t>)</w:t>
      </w:r>
      <w:r w:rsidRPr="00621DEE">
        <w:rPr>
          <w:sz w:val="22"/>
          <w:szCs w:val="22"/>
        </w:rPr>
        <w:t>, no âmbito do Pregão Presencial 14/2013, destinado à contratação de empresa responsável pela coleta seletiva, transporte e destinação final de resí</w:t>
      </w:r>
      <w:r w:rsidR="00A757FB">
        <w:rPr>
          <w:sz w:val="22"/>
          <w:szCs w:val="22"/>
        </w:rPr>
        <w:t>duos. E</w:t>
      </w:r>
      <w:r w:rsidRPr="00621DEE">
        <w:rPr>
          <w:sz w:val="22"/>
          <w:szCs w:val="22"/>
        </w:rPr>
        <w:t xml:space="preserve">ntre as falhas </w:t>
      </w:r>
      <w:r w:rsidR="00CC2228" w:rsidRPr="00621DEE">
        <w:rPr>
          <w:sz w:val="22"/>
          <w:szCs w:val="22"/>
        </w:rPr>
        <w:t>consi</w:t>
      </w:r>
      <w:r w:rsidR="00A757FB">
        <w:rPr>
          <w:sz w:val="22"/>
          <w:szCs w:val="22"/>
        </w:rPr>
        <w:t>deradas não elididas, a unidade técnica do TCU</w:t>
      </w:r>
      <w:r w:rsidR="00CC2228" w:rsidRPr="00621DEE">
        <w:rPr>
          <w:sz w:val="22"/>
          <w:szCs w:val="22"/>
        </w:rPr>
        <w:t xml:space="preserve"> apontou a ocorrência de “</w:t>
      </w:r>
      <w:r w:rsidR="00CC2228" w:rsidRPr="00621DEE">
        <w:rPr>
          <w:i/>
          <w:sz w:val="22"/>
          <w:szCs w:val="22"/>
        </w:rPr>
        <w:t>retenção de valores devidos à contratada, em decorrência de propositura de ações trabalhistas</w:t>
      </w:r>
      <w:r w:rsidR="00CC2228" w:rsidRPr="00621DEE">
        <w:rPr>
          <w:sz w:val="22"/>
          <w:szCs w:val="22"/>
        </w:rPr>
        <w:t xml:space="preserve">” e propôs que essa previsão fosse excluída do edital, por considerá-la incabível. </w:t>
      </w:r>
      <w:r w:rsidR="00BA5A2A" w:rsidRPr="00621DEE">
        <w:rPr>
          <w:sz w:val="22"/>
          <w:szCs w:val="22"/>
        </w:rPr>
        <w:t xml:space="preserve">Embora também tenha se posicionado pela irregularidade </w:t>
      </w:r>
      <w:r w:rsidR="006111BA" w:rsidRPr="00621DEE">
        <w:rPr>
          <w:sz w:val="22"/>
          <w:szCs w:val="22"/>
        </w:rPr>
        <w:t xml:space="preserve">especificamente </w:t>
      </w:r>
      <w:r w:rsidR="00BA5A2A" w:rsidRPr="00621DEE">
        <w:rPr>
          <w:sz w:val="22"/>
          <w:szCs w:val="22"/>
        </w:rPr>
        <w:t xml:space="preserve">dessa </w:t>
      </w:r>
      <w:r w:rsidR="003564CC" w:rsidRPr="00621DEE">
        <w:rPr>
          <w:sz w:val="22"/>
          <w:szCs w:val="22"/>
        </w:rPr>
        <w:t>previsão</w:t>
      </w:r>
      <w:r w:rsidR="00BA5A2A" w:rsidRPr="00621DEE">
        <w:rPr>
          <w:sz w:val="22"/>
          <w:szCs w:val="22"/>
        </w:rPr>
        <w:t>, p</w:t>
      </w:r>
      <w:r w:rsidR="00A757FB">
        <w:rPr>
          <w:sz w:val="22"/>
          <w:szCs w:val="22"/>
        </w:rPr>
        <w:t>onderou o r</w:t>
      </w:r>
      <w:r w:rsidR="00B91E2E" w:rsidRPr="00621DEE">
        <w:rPr>
          <w:sz w:val="22"/>
          <w:szCs w:val="22"/>
        </w:rPr>
        <w:t>elator que “</w:t>
      </w:r>
      <w:r w:rsidR="00B91E2E" w:rsidRPr="00621DEE">
        <w:rPr>
          <w:i/>
          <w:sz w:val="22"/>
          <w:szCs w:val="22"/>
        </w:rPr>
        <w:t>não procede o argumento de que a retenção de pagamentos devidos à contratada é ilegal, por não constar do rol do art. 87 da Lei 8.666/1993. A retenção de pagamentos não integra as hipóteses contidas no referido preceito legal exatamente por não se caracterizar uma sanção administrativa. A natureza da retenção é preventiva e acautelatória. Destina-se a evitar que a inadimplência da contratada com suas obrigações trabalhistas cause prejuízo ao erário. Tanto não é sanção que, comprovados os pagamentos das obrigações trabalhistas, os valores retidos são imediatamente liberados. Os valores retidos têm somente duas destinações possíveis: pagamento à contratada, assim que comprovar que cumpriu suas obrigações, ou pagamento aos seus empregados, caso as circunstâncias assim recomendem</w:t>
      </w:r>
      <w:r w:rsidR="00B91E2E" w:rsidRPr="00621DEE">
        <w:rPr>
          <w:sz w:val="22"/>
          <w:szCs w:val="22"/>
        </w:rPr>
        <w:t xml:space="preserve">”. </w:t>
      </w:r>
      <w:r w:rsidR="002006FE">
        <w:rPr>
          <w:sz w:val="22"/>
          <w:szCs w:val="22"/>
        </w:rPr>
        <w:t>A</w:t>
      </w:r>
      <w:r w:rsidR="00B91E2E" w:rsidRPr="00621DEE">
        <w:rPr>
          <w:sz w:val="22"/>
          <w:szCs w:val="22"/>
        </w:rPr>
        <w:t>rgumentou</w:t>
      </w:r>
      <w:r w:rsidR="002006FE">
        <w:rPr>
          <w:sz w:val="22"/>
          <w:szCs w:val="22"/>
        </w:rPr>
        <w:t xml:space="preserve"> ainda o r</w:t>
      </w:r>
      <w:r w:rsidR="00B91E2E" w:rsidRPr="00621DEE">
        <w:rPr>
          <w:sz w:val="22"/>
          <w:szCs w:val="22"/>
        </w:rPr>
        <w:t>elator que “</w:t>
      </w:r>
      <w:r w:rsidR="00B91E2E" w:rsidRPr="00621DEE">
        <w:rPr>
          <w:i/>
          <w:sz w:val="22"/>
          <w:szCs w:val="22"/>
        </w:rPr>
        <w:t xml:space="preserve">a retenção integral dos pagamentos à contratada só é </w:t>
      </w:r>
      <w:r w:rsidR="00B91E2E" w:rsidRPr="00621DEE">
        <w:rPr>
          <w:i/>
          <w:sz w:val="22"/>
          <w:szCs w:val="22"/>
        </w:rPr>
        <w:lastRenderedPageBreak/>
        <w:t>admissível nas hipóteses de inadimplemento de obrigações trabalhistas com valores superiores aos devidos pela Administração e de desconhecimento do montante inadimplido</w:t>
      </w:r>
      <w:r w:rsidR="00B91E2E" w:rsidRPr="00621DEE">
        <w:rPr>
          <w:sz w:val="22"/>
          <w:szCs w:val="22"/>
        </w:rPr>
        <w:t>” e salientou que “</w:t>
      </w:r>
      <w:r w:rsidR="00B91E2E" w:rsidRPr="00621DEE">
        <w:rPr>
          <w:i/>
          <w:sz w:val="22"/>
          <w:szCs w:val="22"/>
        </w:rPr>
        <w:t>a retenção integral não pode dar-se por prazo indeterminado, à exceção da hipótese de inadimplemento em valores superiores aos devidos à Administração, justamente para não caracterizar enriquecimento ilícito da Administração. Como regra, a medida deve ser mantida por prazo suficiente para quantificação das obrigações não adimplidas, após o que deverá ser convertida em retenção parcial</w:t>
      </w:r>
      <w:r w:rsidR="00B91E2E" w:rsidRPr="00621DEE">
        <w:rPr>
          <w:sz w:val="22"/>
          <w:szCs w:val="22"/>
        </w:rPr>
        <w:t>”</w:t>
      </w:r>
      <w:r w:rsidR="002006FE">
        <w:rPr>
          <w:sz w:val="22"/>
          <w:szCs w:val="22"/>
        </w:rPr>
        <w:t>.</w:t>
      </w:r>
      <w:r w:rsidR="00901673" w:rsidRPr="00621DEE">
        <w:rPr>
          <w:sz w:val="22"/>
          <w:szCs w:val="22"/>
        </w:rPr>
        <w:t xml:space="preserve"> </w:t>
      </w:r>
      <w:r w:rsidR="000A04B5">
        <w:rPr>
          <w:sz w:val="22"/>
          <w:szCs w:val="22"/>
        </w:rPr>
        <w:t>Nesse passo, entendeu o r</w:t>
      </w:r>
      <w:r w:rsidR="00A84064" w:rsidRPr="00621DEE">
        <w:rPr>
          <w:sz w:val="22"/>
          <w:szCs w:val="22"/>
        </w:rPr>
        <w:t>elator que convém “</w:t>
      </w:r>
      <w:r w:rsidR="00A84064" w:rsidRPr="00621DEE">
        <w:rPr>
          <w:i/>
          <w:sz w:val="22"/>
          <w:szCs w:val="22"/>
        </w:rPr>
        <w:t>prever, no instrumento convocatório e na minuta de contrato, retenção e pagamento direto aos empregados, para que as prestadoras de serviços continuados não possam alegar que desconheciam essas faculdades ao elaborar suas propostas</w:t>
      </w:r>
      <w:r w:rsidR="00A84064" w:rsidRPr="00621DEE">
        <w:rPr>
          <w:sz w:val="22"/>
          <w:szCs w:val="22"/>
        </w:rPr>
        <w:t xml:space="preserve">”. No entanto, no caso específico dos autos, a cláusula questionada previa retenção dos valores reclamados judicialmente pelos empregados, os </w:t>
      </w:r>
      <w:r w:rsidR="000A04B5">
        <w:rPr>
          <w:sz w:val="22"/>
          <w:szCs w:val="22"/>
        </w:rPr>
        <w:t>quais, segundo o r</w:t>
      </w:r>
      <w:r w:rsidR="00A84064" w:rsidRPr="00621DEE">
        <w:rPr>
          <w:sz w:val="22"/>
          <w:szCs w:val="22"/>
        </w:rPr>
        <w:t xml:space="preserve">elator, não apresentam necessariamente correspondência com os efetivamente devidos pela empresa, costumando ser bem mais elevados dos que os devidos, de sorte que a retenção se mostraria desproporcional e onerosa. </w:t>
      </w:r>
      <w:r w:rsidR="007D6C0F" w:rsidRPr="00621DEE">
        <w:rPr>
          <w:sz w:val="22"/>
          <w:szCs w:val="22"/>
        </w:rPr>
        <w:t xml:space="preserve">Diante dessas observações, </w:t>
      </w:r>
      <w:r w:rsidR="00901673" w:rsidRPr="00621DEE">
        <w:rPr>
          <w:sz w:val="22"/>
          <w:szCs w:val="22"/>
        </w:rPr>
        <w:t>ac</w:t>
      </w:r>
      <w:r w:rsidR="000A04B5">
        <w:rPr>
          <w:sz w:val="22"/>
          <w:szCs w:val="22"/>
        </w:rPr>
        <w:t>olheu o Plenário a proposta do r</w:t>
      </w:r>
      <w:r w:rsidR="00901673" w:rsidRPr="00621DEE">
        <w:rPr>
          <w:sz w:val="22"/>
          <w:szCs w:val="22"/>
        </w:rPr>
        <w:t>elator de</w:t>
      </w:r>
      <w:r w:rsidR="007D6C0F" w:rsidRPr="00621DEE">
        <w:rPr>
          <w:sz w:val="22"/>
          <w:szCs w:val="22"/>
        </w:rPr>
        <w:t xml:space="preserve"> determinar à Ceagesp que republicasse o edital apenas </w:t>
      </w:r>
      <w:r w:rsidR="00BF3103" w:rsidRPr="00621DEE">
        <w:rPr>
          <w:sz w:val="22"/>
          <w:szCs w:val="22"/>
        </w:rPr>
        <w:t xml:space="preserve">após a adoção de algumas medidas saneadoras, dentre as quais a exclusão da cláusula em apreço. Na mesma assentada, </w:t>
      </w:r>
      <w:r w:rsidR="00A64C64" w:rsidRPr="00621DEE">
        <w:rPr>
          <w:sz w:val="22"/>
          <w:szCs w:val="22"/>
        </w:rPr>
        <w:t xml:space="preserve">o Tribunal </w:t>
      </w:r>
      <w:r w:rsidR="00BF3103" w:rsidRPr="00621DEE">
        <w:rPr>
          <w:sz w:val="22"/>
          <w:szCs w:val="22"/>
        </w:rPr>
        <w:t xml:space="preserve">recomendou </w:t>
      </w:r>
      <w:r w:rsidR="00901673" w:rsidRPr="00621DEE">
        <w:rPr>
          <w:sz w:val="22"/>
          <w:szCs w:val="22"/>
        </w:rPr>
        <w:t>à Ceagesp que adotasse os seguintes procedimentos, para</w:t>
      </w:r>
      <w:r w:rsidR="000A04B5">
        <w:rPr>
          <w:sz w:val="22"/>
          <w:szCs w:val="22"/>
        </w:rPr>
        <w:t xml:space="preserve"> se resguardar</w:t>
      </w:r>
      <w:r w:rsidR="00901673" w:rsidRPr="00621DEE">
        <w:rPr>
          <w:sz w:val="22"/>
          <w:szCs w:val="22"/>
        </w:rPr>
        <w:t xml:space="preserve"> contra dívidas trabalhistas da prestadora de serviços continuados com dedicação exclusiva de mão de obra (subitem 9.3 do </w:t>
      </w:r>
      <w:r w:rsidR="00901673" w:rsidRPr="00621DEE">
        <w:rPr>
          <w:i/>
          <w:sz w:val="22"/>
          <w:szCs w:val="22"/>
        </w:rPr>
        <w:t>decisum</w:t>
      </w:r>
      <w:r w:rsidR="00901673" w:rsidRPr="00621DEE">
        <w:rPr>
          <w:sz w:val="22"/>
          <w:szCs w:val="22"/>
        </w:rPr>
        <w:t xml:space="preserve">): a) prever nos contratos, de forma expressa: autorização para retenção de pagamentos devidos em valores correspondentes às obrigações trabalhistas inadimplidas pela contratada, incluindo salários e demais verbas trabalhistas, previdência social e FGTS, concernentes aos empregados dedicados à execução do contrato; autorização para realização de pagamentos de salários e demais verbas trabalhistas diretamente aos empregados da contratada, bem assim das contribuições previdenciárias e do FGTS, quando estes não forem adimplidos; aprovisionamento, em conta vinculada, de valores relativos a férias, décimo terceiro e multa sobre o FGTS, na forma prevista no art. 19-A, </w:t>
      </w:r>
      <w:r w:rsidR="000A04B5">
        <w:rPr>
          <w:sz w:val="22"/>
          <w:szCs w:val="22"/>
        </w:rPr>
        <w:t>inciso I, da IN/SLTI/MP 2/</w:t>
      </w:r>
      <w:r w:rsidR="00901673" w:rsidRPr="00621DEE">
        <w:rPr>
          <w:sz w:val="22"/>
          <w:szCs w:val="22"/>
        </w:rPr>
        <w:t>08, com r</w:t>
      </w:r>
      <w:r w:rsidR="000A04B5">
        <w:rPr>
          <w:sz w:val="22"/>
          <w:szCs w:val="22"/>
        </w:rPr>
        <w:t>edação dada pela IN/SLTI/MP 6/</w:t>
      </w:r>
      <w:r w:rsidR="00901673" w:rsidRPr="00621DEE">
        <w:rPr>
          <w:sz w:val="22"/>
          <w:szCs w:val="22"/>
        </w:rPr>
        <w:t xml:space="preserve">13; b) depositar os valores retidos cautelarmente junto à Justiça do Trabalho, com o objetivo de serem utilizados exclusivamente no pagamento dos salários e das demais verbas trabalhistas, bem como das contribuições sociais e FGTS, quando não for possível a realização </w:t>
      </w:r>
      <w:r w:rsidR="000A04B5">
        <w:rPr>
          <w:sz w:val="22"/>
          <w:szCs w:val="22"/>
        </w:rPr>
        <w:t>desses pagamentos pela própria A</w:t>
      </w:r>
      <w:r w:rsidR="00901673" w:rsidRPr="00621DEE">
        <w:rPr>
          <w:sz w:val="22"/>
          <w:szCs w:val="22"/>
        </w:rPr>
        <w:t>dministração, dentre outras razões, por falta da documentação pertinente, tais como folha de pagamento, rescisões dos contratos e guias de recolhimento; c) fazer constar dos contratos cláusula de garantia que assegure pagamento de</w:t>
      </w:r>
      <w:r w:rsidR="003E7F02" w:rsidRPr="00621DEE">
        <w:rPr>
          <w:sz w:val="22"/>
          <w:szCs w:val="22"/>
        </w:rPr>
        <w:t>:</w:t>
      </w:r>
      <w:r w:rsidR="00901673" w:rsidRPr="00621DEE">
        <w:rPr>
          <w:sz w:val="22"/>
          <w:szCs w:val="22"/>
        </w:rPr>
        <w:t xml:space="preserve"> prejuízos advindos do não cumprimento do contrato; multas punitivas aplicadas pela fiscalização à contratada; prejuízos diretos causados à contratante decorrentes de culpa ou dolo durante a execução do contrato; e obrigações previdenciárias e trabalhistas não honradas pela contratada</w:t>
      </w:r>
      <w:r w:rsidR="000A04B5">
        <w:rPr>
          <w:sz w:val="22"/>
          <w:szCs w:val="22"/>
        </w:rPr>
        <w:t>; d) caso sobrevenham</w:t>
      </w:r>
      <w:r w:rsidR="00F54527" w:rsidRPr="00621DEE">
        <w:rPr>
          <w:sz w:val="22"/>
          <w:szCs w:val="22"/>
        </w:rPr>
        <w:t xml:space="preserve">, </w:t>
      </w:r>
      <w:r w:rsidR="00901673" w:rsidRPr="00621DEE">
        <w:rPr>
          <w:sz w:val="22"/>
          <w:szCs w:val="22"/>
        </w:rPr>
        <w:t xml:space="preserve">durante a vigência contratual, ações trabalhistas promovidas por empregados dedicados ao ajuste, considerando o teor dos pleitos, investigar se há irregularidades no pagamento de verbas trabalhistas, solicitando os documentos correspondentes (vide art. 34, § 5º, </w:t>
      </w:r>
      <w:r w:rsidR="000A04B5">
        <w:rPr>
          <w:sz w:val="22"/>
          <w:szCs w:val="22"/>
        </w:rPr>
        <w:t xml:space="preserve">inciso </w:t>
      </w:r>
      <w:r w:rsidR="00901673" w:rsidRPr="00621DEE">
        <w:rPr>
          <w:sz w:val="22"/>
          <w:szCs w:val="22"/>
        </w:rPr>
        <w:t>I, “c”, da IN/SLTI/MP 2, com redação dada pela IN/SLTI/MP 6); comprovada a inadimplência, reter pagamentos devidos em valores correspondentes às obrigações trabalhistas inadimplidas</w:t>
      </w:r>
      <w:r w:rsidR="00F54527" w:rsidRPr="00621DEE">
        <w:rPr>
          <w:sz w:val="22"/>
          <w:szCs w:val="22"/>
        </w:rPr>
        <w:t xml:space="preserve">. </w:t>
      </w:r>
      <w:hyperlink r:id="rId9" w:history="1">
        <w:r w:rsidR="000F5EFA" w:rsidRPr="00621DEE">
          <w:rPr>
            <w:rStyle w:val="Hyperlink"/>
            <w:rFonts w:eastAsia="Times New Roman"/>
            <w:b/>
            <w:i/>
            <w:sz w:val="22"/>
            <w:szCs w:val="22"/>
          </w:rPr>
          <w:t>A</w:t>
        </w:r>
        <w:r w:rsidR="00001285" w:rsidRPr="00621DEE">
          <w:rPr>
            <w:rStyle w:val="Hyperlink"/>
            <w:rFonts w:eastAsia="Times New Roman"/>
            <w:b/>
            <w:i/>
            <w:sz w:val="22"/>
            <w:szCs w:val="22"/>
          </w:rPr>
          <w:t>córdão 3</w:t>
        </w:r>
        <w:r w:rsidR="00F54527" w:rsidRPr="00621DEE">
          <w:rPr>
            <w:rStyle w:val="Hyperlink"/>
            <w:rFonts w:eastAsia="Times New Roman"/>
            <w:b/>
            <w:i/>
            <w:sz w:val="22"/>
            <w:szCs w:val="22"/>
          </w:rPr>
          <w:t>301</w:t>
        </w:r>
        <w:r w:rsidR="000F5EFA" w:rsidRPr="00621DEE">
          <w:rPr>
            <w:rStyle w:val="Hyperlink"/>
            <w:rFonts w:eastAsia="Times New Roman"/>
            <w:b/>
            <w:i/>
            <w:sz w:val="22"/>
            <w:szCs w:val="22"/>
          </w:rPr>
          <w:t>/2015-Plenário</w:t>
        </w:r>
      </w:hyperlink>
      <w:r w:rsidR="000F5EFA" w:rsidRPr="00621DEE">
        <w:rPr>
          <w:rFonts w:eastAsia="Times New Roman"/>
          <w:b/>
          <w:i/>
          <w:sz w:val="22"/>
          <w:szCs w:val="22"/>
        </w:rPr>
        <w:t xml:space="preserve">, TC </w:t>
      </w:r>
      <w:r w:rsidR="002A3F03" w:rsidRPr="00621DEE">
        <w:rPr>
          <w:rFonts w:eastAsia="Times New Roman"/>
          <w:b/>
          <w:i/>
          <w:sz w:val="22"/>
          <w:szCs w:val="22"/>
        </w:rPr>
        <w:t>0</w:t>
      </w:r>
      <w:r w:rsidR="00F54527" w:rsidRPr="00621DEE">
        <w:rPr>
          <w:rFonts w:eastAsia="Times New Roman"/>
          <w:b/>
          <w:i/>
          <w:sz w:val="22"/>
          <w:szCs w:val="22"/>
        </w:rPr>
        <w:t>33.728</w:t>
      </w:r>
      <w:r w:rsidR="002A3F03" w:rsidRPr="00621DEE">
        <w:rPr>
          <w:rFonts w:eastAsia="Times New Roman"/>
          <w:b/>
          <w:i/>
          <w:sz w:val="22"/>
          <w:szCs w:val="22"/>
        </w:rPr>
        <w:t>/</w:t>
      </w:r>
      <w:r w:rsidR="00F54527" w:rsidRPr="00621DEE">
        <w:rPr>
          <w:rFonts w:eastAsia="Times New Roman"/>
          <w:b/>
          <w:i/>
          <w:sz w:val="22"/>
          <w:szCs w:val="22"/>
        </w:rPr>
        <w:t>2013-5</w:t>
      </w:r>
      <w:r w:rsidR="000F5EFA" w:rsidRPr="00621DEE">
        <w:rPr>
          <w:rFonts w:eastAsia="Times New Roman"/>
          <w:b/>
          <w:i/>
          <w:sz w:val="22"/>
          <w:szCs w:val="22"/>
        </w:rPr>
        <w:t xml:space="preserve">, relator Ministro </w:t>
      </w:r>
      <w:r w:rsidR="00F54527" w:rsidRPr="00621DEE">
        <w:rPr>
          <w:rFonts w:eastAsia="Times New Roman"/>
          <w:b/>
          <w:i/>
          <w:sz w:val="22"/>
          <w:szCs w:val="22"/>
        </w:rPr>
        <w:t>Walton Alencar Rodrigues, 09.12.2015</w:t>
      </w:r>
      <w:r w:rsidR="000F5EFA" w:rsidRPr="00621DEE">
        <w:rPr>
          <w:rFonts w:eastAsia="Times New Roman"/>
          <w:b/>
          <w:i/>
          <w:sz w:val="22"/>
          <w:szCs w:val="22"/>
        </w:rPr>
        <w:t>.</w:t>
      </w:r>
    </w:p>
    <w:p w:rsidR="00BD27F7" w:rsidRPr="00621DEE" w:rsidRDefault="00BD27F7" w:rsidP="00F54527">
      <w:pPr>
        <w:pStyle w:val="Default"/>
        <w:jc w:val="both"/>
        <w:rPr>
          <w:sz w:val="22"/>
          <w:szCs w:val="22"/>
        </w:rPr>
      </w:pPr>
    </w:p>
    <w:p w:rsidR="00BD27F7" w:rsidRPr="00251409" w:rsidRDefault="00251409" w:rsidP="00251409">
      <w:pPr>
        <w:spacing w:after="0"/>
        <w:ind w:left="0"/>
        <w:rPr>
          <w:rFonts w:eastAsiaTheme="minorHAnsi"/>
          <w:b/>
          <w:color w:val="1F497D"/>
          <w:sz w:val="22"/>
          <w:szCs w:val="22"/>
        </w:rPr>
      </w:pPr>
      <w:r>
        <w:rPr>
          <w:b/>
          <w:bCs/>
          <w:sz w:val="22"/>
          <w:szCs w:val="22"/>
          <w:shd w:val="clear" w:color="auto" w:fill="FFFFFF"/>
        </w:rPr>
        <w:t xml:space="preserve">2. </w:t>
      </w:r>
      <w:r w:rsidRPr="00251409">
        <w:rPr>
          <w:b/>
          <w:bCs/>
          <w:sz w:val="22"/>
          <w:szCs w:val="22"/>
          <w:shd w:val="clear" w:color="auto" w:fill="FFFFFF"/>
        </w:rPr>
        <w:t>É irregular a apropriação de planos de incentivo (bônus de volume) recebidos pelas agências de publicidade em contratações que contenham cláusula determinando o repasse dessa vantagem ao ente público contratante, no caso de avenças anteriores à</w:t>
      </w:r>
      <w:r>
        <w:rPr>
          <w:b/>
          <w:bCs/>
          <w:sz w:val="22"/>
          <w:szCs w:val="22"/>
          <w:shd w:val="clear" w:color="auto" w:fill="FFFFFF"/>
        </w:rPr>
        <w:t xml:space="preserve"> Lei 12.232/10</w:t>
      </w:r>
      <w:r w:rsidRPr="00251409">
        <w:rPr>
          <w:b/>
          <w:bCs/>
          <w:sz w:val="22"/>
          <w:szCs w:val="22"/>
          <w:shd w:val="clear" w:color="auto" w:fill="FFFFFF"/>
        </w:rPr>
        <w:t>, ou quando não se tratar de inserções de mídia efetuadas por veículos de divulgação.</w:t>
      </w:r>
    </w:p>
    <w:p w:rsidR="00BD27F7" w:rsidRPr="00C93F3E" w:rsidRDefault="00C93F3E" w:rsidP="00BD27F7">
      <w:pPr>
        <w:pStyle w:val="Default"/>
        <w:jc w:val="both"/>
        <w:rPr>
          <w:bCs/>
          <w:color w:val="auto"/>
          <w:sz w:val="22"/>
          <w:szCs w:val="22"/>
        </w:rPr>
      </w:pPr>
      <w:r>
        <w:rPr>
          <w:bCs/>
          <w:color w:val="auto"/>
          <w:sz w:val="22"/>
          <w:szCs w:val="22"/>
        </w:rPr>
        <w:t>O Plenário apreciou Recurso de R</w:t>
      </w:r>
      <w:r w:rsidR="00BD27F7" w:rsidRPr="00621DEE">
        <w:rPr>
          <w:bCs/>
          <w:color w:val="auto"/>
          <w:sz w:val="22"/>
          <w:szCs w:val="22"/>
        </w:rPr>
        <w:t xml:space="preserve">econsideração interposto pelo Ministério Público junto ao TCU contra o </w:t>
      </w:r>
      <w:hyperlink r:id="rId10" w:history="1">
        <w:r w:rsidR="00BD27F7" w:rsidRPr="00621DEE">
          <w:rPr>
            <w:rStyle w:val="Hyperlink"/>
            <w:bCs/>
            <w:sz w:val="22"/>
            <w:szCs w:val="22"/>
          </w:rPr>
          <w:t>Acórdão 1.715/2012-Plenário</w:t>
        </w:r>
      </w:hyperlink>
      <w:r w:rsidR="00BD27F7" w:rsidRPr="00621DEE">
        <w:rPr>
          <w:bCs/>
          <w:color w:val="auto"/>
          <w:sz w:val="22"/>
          <w:szCs w:val="22"/>
        </w:rPr>
        <w:t xml:space="preserve">, </w:t>
      </w:r>
      <w:r w:rsidR="006D36AF" w:rsidRPr="00621DEE">
        <w:rPr>
          <w:bCs/>
          <w:color w:val="auto"/>
          <w:sz w:val="22"/>
          <w:szCs w:val="22"/>
        </w:rPr>
        <w:t>proferido em</w:t>
      </w:r>
      <w:r w:rsidR="00BD27F7" w:rsidRPr="00621DEE">
        <w:rPr>
          <w:bCs/>
          <w:color w:val="auto"/>
          <w:sz w:val="22"/>
          <w:szCs w:val="22"/>
        </w:rPr>
        <w:t xml:space="preserve"> tomada de contas especial relativa a </w:t>
      </w:r>
      <w:r w:rsidR="00BD27F7" w:rsidRPr="00621DEE">
        <w:rPr>
          <w:color w:val="auto"/>
          <w:sz w:val="22"/>
          <w:szCs w:val="22"/>
        </w:rPr>
        <w:t>contrato de prestação de serviços de publicidade para concepção, produção e fornecimento de agendas e outros impressos</w:t>
      </w:r>
      <w:r w:rsidR="006D36AF" w:rsidRPr="00621DEE">
        <w:rPr>
          <w:color w:val="auto"/>
          <w:sz w:val="22"/>
          <w:szCs w:val="22"/>
        </w:rPr>
        <w:t>,</w:t>
      </w:r>
      <w:r w:rsidR="00BD27F7" w:rsidRPr="00621DEE">
        <w:rPr>
          <w:color w:val="auto"/>
          <w:sz w:val="22"/>
          <w:szCs w:val="22"/>
        </w:rPr>
        <w:t xml:space="preserve"> celebrado entre o Banco do Brasil e agência de publicidade, abrangendo os exercícios de 2000, 2001 e 2003</w:t>
      </w:r>
      <w:r w:rsidR="00BD27F7" w:rsidRPr="00621DEE">
        <w:rPr>
          <w:bCs/>
          <w:color w:val="auto"/>
          <w:sz w:val="22"/>
          <w:szCs w:val="22"/>
        </w:rPr>
        <w:t xml:space="preserve">. </w:t>
      </w:r>
      <w:r w:rsidR="00BD27F7" w:rsidRPr="00621DEE">
        <w:rPr>
          <w:color w:val="auto"/>
          <w:sz w:val="22"/>
          <w:szCs w:val="22"/>
        </w:rPr>
        <w:t>Por meio do acórdão recorrido, o Tribunal julg</w:t>
      </w:r>
      <w:r w:rsidR="006D36AF" w:rsidRPr="00621DEE">
        <w:rPr>
          <w:color w:val="auto"/>
          <w:sz w:val="22"/>
          <w:szCs w:val="22"/>
        </w:rPr>
        <w:t>ara</w:t>
      </w:r>
      <w:r w:rsidR="00BD27F7" w:rsidRPr="00621DEE">
        <w:rPr>
          <w:color w:val="auto"/>
          <w:sz w:val="22"/>
          <w:szCs w:val="22"/>
        </w:rPr>
        <w:t xml:space="preserve"> as contas regulares com ressalva, entendendo, em síntese, ser possível o recebimento de bonificações de volume por agências de publicidade, sem repasse dessa vantagem ao contratante, notadamente ante a superveniência da Lei 12.232/10. Em suas razões, o MP/TCU afirmou que os artigos 18 e 20 da mencionada lei “</w:t>
      </w:r>
      <w:r w:rsidR="00BD27F7" w:rsidRPr="00621DEE">
        <w:rPr>
          <w:i/>
          <w:color w:val="auto"/>
          <w:sz w:val="22"/>
          <w:szCs w:val="22"/>
        </w:rPr>
        <w:t>padecem de grave inconstitucionalidade e não podem, em hipótese alguma, nortear as relações jurídicas do cotidiano da Administração Pública</w:t>
      </w:r>
      <w:r w:rsidR="00BD27F7" w:rsidRPr="00621DEE">
        <w:rPr>
          <w:color w:val="auto"/>
          <w:sz w:val="22"/>
          <w:szCs w:val="22"/>
        </w:rPr>
        <w:t>”. Quanto ao art. 18, o representante do Parquet alegou que o “</w:t>
      </w:r>
      <w:r w:rsidR="00BD27F7" w:rsidRPr="00621DEE">
        <w:rPr>
          <w:i/>
          <w:color w:val="auto"/>
          <w:sz w:val="22"/>
          <w:szCs w:val="22"/>
        </w:rPr>
        <w:t>Poder Público não pode renunciar à percepção de bônus de volume, sob pena de ofensa ao princípio da economicidade</w:t>
      </w:r>
      <w:r w:rsidR="00BD27F7" w:rsidRPr="00621DEE">
        <w:rPr>
          <w:color w:val="auto"/>
          <w:sz w:val="22"/>
          <w:szCs w:val="22"/>
        </w:rPr>
        <w:t>”. Por sua vez, no tocante ao art. 20, sustentou que “</w:t>
      </w:r>
      <w:r w:rsidR="00BD27F7" w:rsidRPr="00621DEE">
        <w:rPr>
          <w:i/>
          <w:color w:val="auto"/>
          <w:sz w:val="22"/>
          <w:szCs w:val="22"/>
        </w:rPr>
        <w:t>a aplicação retroativa da lei</w:t>
      </w:r>
      <w:r w:rsidR="00BD27F7" w:rsidRPr="00621DEE">
        <w:rPr>
          <w:color w:val="auto"/>
          <w:sz w:val="22"/>
          <w:szCs w:val="22"/>
        </w:rPr>
        <w:t>” para abranger contratos já encerrados “</w:t>
      </w:r>
      <w:r w:rsidR="00BD27F7" w:rsidRPr="00621DEE">
        <w:rPr>
          <w:i/>
          <w:color w:val="auto"/>
          <w:sz w:val="22"/>
          <w:szCs w:val="22"/>
        </w:rPr>
        <w:t>viola a proteção ao ato jurídico perfeito conferida pela Constituição</w:t>
      </w:r>
      <w:r w:rsidR="005C1696">
        <w:rPr>
          <w:color w:val="auto"/>
          <w:sz w:val="22"/>
          <w:szCs w:val="22"/>
        </w:rPr>
        <w:t>”. Em seu voto, o r</w:t>
      </w:r>
      <w:r w:rsidR="00BD27F7" w:rsidRPr="00621DEE">
        <w:rPr>
          <w:color w:val="auto"/>
          <w:sz w:val="22"/>
          <w:szCs w:val="22"/>
        </w:rPr>
        <w:t>elator lembrou que “</w:t>
      </w:r>
      <w:r w:rsidR="00BD27F7" w:rsidRPr="00621DEE">
        <w:rPr>
          <w:i/>
          <w:color w:val="auto"/>
          <w:sz w:val="22"/>
          <w:szCs w:val="22"/>
        </w:rPr>
        <w:t xml:space="preserve">o próprio Supremo Tribunal Federal já se manifestou sobre a matéria, quando do julgamento da Ação Penal 470 (Mensalão), em que foi apreciada questão análoga à tratada nestes autos: a ausência de repasse de bônus de volume à administração contratante. As manifestações naquela ação foram contrárias à possibilidade de aplicar a Lei 12.232/2010 para, a posteriori, </w:t>
      </w:r>
      <w:r w:rsidR="00BD27F7" w:rsidRPr="00621DEE">
        <w:rPr>
          <w:i/>
          <w:color w:val="auto"/>
          <w:sz w:val="22"/>
          <w:szCs w:val="22"/>
        </w:rPr>
        <w:lastRenderedPageBreak/>
        <w:t>prejudicar o direito adquirido e o ato jurídico perfeito. No julgamento, prevaleceu entendimento pela irregularidade da apropriação, pela agência, de bônus e de vantagens obtidos junto a fornecedores, por contrariar expressamente cláusula contratual</w:t>
      </w:r>
      <w:r w:rsidR="00BD27F7" w:rsidRPr="00621DEE">
        <w:rPr>
          <w:color w:val="auto"/>
          <w:sz w:val="22"/>
          <w:szCs w:val="22"/>
        </w:rPr>
        <w:t>”. Continuou asseverando que “</w:t>
      </w:r>
      <w:r w:rsidR="00BD27F7" w:rsidRPr="00621DEE">
        <w:rPr>
          <w:i/>
          <w:color w:val="auto"/>
          <w:sz w:val="22"/>
          <w:szCs w:val="22"/>
        </w:rPr>
        <w:t>a declaração do STF, ainda que incidental, afetou a validade da aplicação da norma, o que independe do caso concreto e se caracteriza como documento novo, relevante para o desfecho do processo e com efetivo potencial de alterar a decisão recorrida</w:t>
      </w:r>
      <w:r w:rsidR="00442FDF">
        <w:rPr>
          <w:i/>
          <w:color w:val="auto"/>
          <w:sz w:val="22"/>
          <w:szCs w:val="22"/>
        </w:rPr>
        <w:t xml:space="preserve"> </w:t>
      </w:r>
      <w:proofErr w:type="gramStart"/>
      <w:r w:rsidR="00442FDF" w:rsidRPr="00442FDF">
        <w:rPr>
          <w:color w:val="auto"/>
          <w:sz w:val="22"/>
          <w:szCs w:val="22"/>
        </w:rPr>
        <w:t>(...)</w:t>
      </w:r>
      <w:proofErr w:type="gramEnd"/>
      <w:r w:rsidR="00442FDF">
        <w:rPr>
          <w:i/>
          <w:color w:val="auto"/>
          <w:sz w:val="22"/>
          <w:szCs w:val="22"/>
        </w:rPr>
        <w:t xml:space="preserve"> </w:t>
      </w:r>
      <w:r w:rsidR="0032690F" w:rsidRPr="0032690F">
        <w:rPr>
          <w:i/>
          <w:sz w:val="22"/>
          <w:szCs w:val="22"/>
        </w:rPr>
        <w:t>Portanto, ante a inconstitucionalidade do art. 20 da Lei 12.232/2010, impõe-se que o TCU revise os acórdãos que tenham se fundamentado nesse normativo</w:t>
      </w:r>
      <w:r w:rsidR="0032690F">
        <w:rPr>
          <w:i/>
          <w:sz w:val="22"/>
          <w:szCs w:val="22"/>
        </w:rPr>
        <w:t>”</w:t>
      </w:r>
      <w:r w:rsidR="0032690F" w:rsidRPr="0032690F">
        <w:rPr>
          <w:i/>
          <w:sz w:val="22"/>
          <w:szCs w:val="22"/>
        </w:rPr>
        <w:t>.</w:t>
      </w:r>
      <w:r w:rsidR="005C1696">
        <w:rPr>
          <w:color w:val="auto"/>
          <w:sz w:val="22"/>
          <w:szCs w:val="22"/>
        </w:rPr>
        <w:t xml:space="preserve"> </w:t>
      </w:r>
      <w:r w:rsidR="00BD27F7" w:rsidRPr="00621DEE">
        <w:rPr>
          <w:color w:val="auto"/>
          <w:sz w:val="22"/>
          <w:szCs w:val="22"/>
        </w:rPr>
        <w:t xml:space="preserve">No caso concreto, a empresa gráfica recebeu desconto de seus fornecedores de insumos sem repassar os valores à contratante, </w:t>
      </w:r>
      <w:r w:rsidR="00A051DD" w:rsidRPr="00621DEE">
        <w:rPr>
          <w:color w:val="auto"/>
          <w:sz w:val="22"/>
          <w:szCs w:val="22"/>
        </w:rPr>
        <w:t>contrariando</w:t>
      </w:r>
      <w:r w:rsidR="00BD27F7" w:rsidRPr="00621DEE">
        <w:rPr>
          <w:color w:val="auto"/>
          <w:sz w:val="22"/>
          <w:szCs w:val="22"/>
        </w:rPr>
        <w:t xml:space="preserve"> cláusula contratual que previa entre as obrigações da contratada e</w:t>
      </w:r>
      <w:r w:rsidR="00BD27F7" w:rsidRPr="00621DEE">
        <w:rPr>
          <w:bCs/>
          <w:iCs/>
          <w:color w:val="auto"/>
          <w:sz w:val="22"/>
          <w:szCs w:val="22"/>
        </w:rPr>
        <w:t xml:space="preserve">nvidar esforços para obter as melhores condições nas negociações junto a terceiros e transferir, integralmente, ao banco os descontos especiais, bonificações, reaplicações, prazos especiais de pagamento e outras vantagens. </w:t>
      </w:r>
      <w:r w:rsidR="00BD27F7" w:rsidRPr="00621DEE">
        <w:rPr>
          <w:color w:val="auto"/>
          <w:sz w:val="22"/>
          <w:szCs w:val="22"/>
        </w:rPr>
        <w:t>As alegações da contratada destacaram que não caberia repassar esse desconto ao BB porque, como bônus de volume ou plano de incentivo, esse valor constituiria receita própria da agência de propaganda. Essas alegações fo</w:t>
      </w:r>
      <w:r w:rsidR="005C1696">
        <w:rPr>
          <w:color w:val="auto"/>
          <w:sz w:val="22"/>
          <w:szCs w:val="22"/>
        </w:rPr>
        <w:t>ram devidamente afastadas pelo r</w:t>
      </w:r>
      <w:r w:rsidR="00BD27F7" w:rsidRPr="00621DEE">
        <w:rPr>
          <w:color w:val="auto"/>
          <w:sz w:val="22"/>
          <w:szCs w:val="22"/>
        </w:rPr>
        <w:t>elator, ao afirmar que “</w:t>
      </w:r>
      <w:r w:rsidR="00BD27F7" w:rsidRPr="00621DEE">
        <w:rPr>
          <w:i/>
          <w:color w:val="auto"/>
          <w:sz w:val="22"/>
          <w:szCs w:val="22"/>
        </w:rPr>
        <w:t>ainda que não houvesse a decisão do STF quanto à inconstitucionalidade do art. 20 da Lei 12.232/2010, a retenção do valor dos descontos pela agência seria irregular, pois tal bonificação não se enquadra no conceito de plano de incentivo</w:t>
      </w:r>
      <w:r w:rsidR="00BD27F7" w:rsidRPr="00621DEE">
        <w:rPr>
          <w:color w:val="auto"/>
          <w:sz w:val="22"/>
          <w:szCs w:val="22"/>
        </w:rPr>
        <w:t xml:space="preserve">”. Citando o </w:t>
      </w:r>
      <w:hyperlink r:id="rId11" w:history="1">
        <w:r w:rsidR="00BD27F7" w:rsidRPr="00621DEE">
          <w:rPr>
            <w:rStyle w:val="Hyperlink"/>
            <w:sz w:val="22"/>
            <w:szCs w:val="22"/>
          </w:rPr>
          <w:t>Acórdão 2.304/15-Plenário</w:t>
        </w:r>
      </w:hyperlink>
      <w:r w:rsidR="00BD27F7" w:rsidRPr="00621DEE">
        <w:rPr>
          <w:color w:val="auto"/>
          <w:sz w:val="22"/>
          <w:szCs w:val="22"/>
        </w:rPr>
        <w:t>, onde se faz clara distinção entre veículos de comunicaçã</w:t>
      </w:r>
      <w:r w:rsidR="005C1696">
        <w:rPr>
          <w:color w:val="auto"/>
          <w:sz w:val="22"/>
          <w:szCs w:val="22"/>
        </w:rPr>
        <w:t>o e fornecedores de serviço, o r</w:t>
      </w:r>
      <w:r w:rsidR="00BD27F7" w:rsidRPr="00621DEE">
        <w:rPr>
          <w:color w:val="auto"/>
          <w:sz w:val="22"/>
          <w:szCs w:val="22"/>
        </w:rPr>
        <w:t>elator asseverou que a Lei 12.232/10,</w:t>
      </w:r>
      <w:r w:rsidR="00BD27F7" w:rsidRPr="00621DEE">
        <w:rPr>
          <w:i/>
          <w:color w:val="auto"/>
          <w:sz w:val="22"/>
          <w:szCs w:val="22"/>
        </w:rPr>
        <w:t xml:space="preserve"> “ao estabelecer, em seu art. 18, que os descontos decorrentes de planos de incentivo seriam receita própria da agência, textualmente se referiu a planos de incentivo por veículo de comunicação</w:t>
      </w:r>
      <w:r w:rsidR="00BD27F7" w:rsidRPr="00621DEE">
        <w:rPr>
          <w:color w:val="auto"/>
          <w:sz w:val="22"/>
          <w:szCs w:val="22"/>
        </w:rPr>
        <w:t xml:space="preserve">”. De igual modo, as contrarrazões apresentadas pelos </w:t>
      </w:r>
      <w:proofErr w:type="spellStart"/>
      <w:r w:rsidR="00BD27F7" w:rsidRPr="00621DEE">
        <w:rPr>
          <w:color w:val="auto"/>
          <w:sz w:val="22"/>
          <w:szCs w:val="22"/>
        </w:rPr>
        <w:t>ex-gestores</w:t>
      </w:r>
      <w:proofErr w:type="spellEnd"/>
      <w:r w:rsidR="00BD27F7" w:rsidRPr="00621DEE">
        <w:rPr>
          <w:color w:val="auto"/>
          <w:sz w:val="22"/>
          <w:szCs w:val="22"/>
        </w:rPr>
        <w:t xml:space="preserve"> do banco não justificaram a prática irregular de deixar de exigir da agência de publicidade contratada o repasse do valor dos descontos recebidos junto a fornecedores que não sejam veículos de comunicação. O Plenário deu provimento ao recurso, julgando as contas irregulares, com imputação de débito e multa aos envolvidos. </w:t>
      </w:r>
      <w:hyperlink r:id="rId12" w:history="1">
        <w:r w:rsidR="00BD27F7" w:rsidRPr="00621DEE">
          <w:rPr>
            <w:rStyle w:val="Hyperlink"/>
            <w:b/>
            <w:i/>
            <w:sz w:val="22"/>
            <w:szCs w:val="22"/>
          </w:rPr>
          <w:t>Acórdão 3349/15-Plenário</w:t>
        </w:r>
      </w:hyperlink>
      <w:r w:rsidR="00BD27F7" w:rsidRPr="00621DEE">
        <w:rPr>
          <w:b/>
          <w:i/>
          <w:color w:val="auto"/>
          <w:sz w:val="22"/>
          <w:szCs w:val="22"/>
        </w:rPr>
        <w:t>, TC 019.018/2005-0, relator Ministro Vital do Rêgo, 9.12.2015</w:t>
      </w:r>
      <w:r w:rsidR="00BD27F7" w:rsidRPr="00621DEE">
        <w:rPr>
          <w:color w:val="auto"/>
          <w:sz w:val="22"/>
          <w:szCs w:val="22"/>
        </w:rPr>
        <w:t>.</w:t>
      </w:r>
    </w:p>
    <w:p w:rsidR="00BD27F7" w:rsidRPr="00621DEE" w:rsidRDefault="00BD27F7" w:rsidP="00BD27F7">
      <w:pPr>
        <w:pStyle w:val="Default"/>
        <w:jc w:val="both"/>
        <w:rPr>
          <w:sz w:val="22"/>
          <w:szCs w:val="22"/>
        </w:rPr>
      </w:pPr>
    </w:p>
    <w:p w:rsidR="00BD27F7" w:rsidRPr="00621DEE" w:rsidRDefault="00BD27F7" w:rsidP="00BD27F7">
      <w:pPr>
        <w:shd w:val="clear" w:color="auto" w:fill="FFFFFF"/>
        <w:spacing w:after="0"/>
        <w:ind w:left="0"/>
        <w:rPr>
          <w:rFonts w:eastAsia="Times New Roman"/>
          <w:b/>
          <w:sz w:val="22"/>
          <w:szCs w:val="22"/>
        </w:rPr>
      </w:pPr>
      <w:r w:rsidRPr="00621DEE">
        <w:rPr>
          <w:rFonts w:eastAsia="Times New Roman"/>
          <w:b/>
          <w:sz w:val="22"/>
          <w:szCs w:val="22"/>
        </w:rPr>
        <w:t xml:space="preserve">3. </w:t>
      </w:r>
      <w:r w:rsidR="00EC1774" w:rsidRPr="00621DEE">
        <w:rPr>
          <w:rFonts w:eastAsia="Times New Roman"/>
          <w:b/>
          <w:sz w:val="22"/>
          <w:szCs w:val="22"/>
        </w:rPr>
        <w:t>Exigências relativas ao tempo de formação acadêmica e de experiência profissional somente são aceitáveis como requisito de habilitação em licitações se acompanhadas de justificativa expressa, no instrumento convocatório, que demonstre a imprescindibilidade de tais condições à execução do objeto.</w:t>
      </w:r>
    </w:p>
    <w:p w:rsidR="00BD27F7" w:rsidRDefault="00BD27F7" w:rsidP="00BD27F7">
      <w:pPr>
        <w:pStyle w:val="Default"/>
        <w:jc w:val="both"/>
        <w:rPr>
          <w:b/>
          <w:i/>
          <w:sz w:val="22"/>
          <w:szCs w:val="22"/>
        </w:rPr>
      </w:pPr>
      <w:r w:rsidRPr="00621DEE">
        <w:rPr>
          <w:rFonts w:eastAsia="Times New Roman"/>
          <w:sz w:val="22"/>
          <w:szCs w:val="22"/>
        </w:rPr>
        <w:t>Representação formulada por sociedade empresária questionara possível restrição à competitividade em licitação realizada pela Associação Pró-Gestão das Águas da Bacia Hidrográfica do Rio Paraíba do Sul (</w:t>
      </w:r>
      <w:proofErr w:type="spellStart"/>
      <w:r w:rsidRPr="00621DEE">
        <w:rPr>
          <w:rFonts w:eastAsia="Times New Roman"/>
          <w:sz w:val="22"/>
          <w:szCs w:val="22"/>
        </w:rPr>
        <w:t>Agevap</w:t>
      </w:r>
      <w:proofErr w:type="spellEnd"/>
      <w:r w:rsidRPr="00621DEE">
        <w:rPr>
          <w:rFonts w:eastAsia="Times New Roman"/>
          <w:sz w:val="22"/>
          <w:szCs w:val="22"/>
        </w:rPr>
        <w:t>) para a contratação de empresa especializada na elaboração de gestão integrada de resíduos sólidos, face à exigência de equipe multidisciplinar, contando com a participação, entre outros profissionais, de engenheiro especialista na área de resíduos com quinze anos de experiência e de advogado na área de resíduos com cinco anos de experiência. Sobre o assunto, anotou a unidade técnica especializada que “</w:t>
      </w:r>
      <w:r w:rsidRPr="00621DEE">
        <w:rPr>
          <w:rFonts w:eastAsia="Times New Roman"/>
          <w:i/>
          <w:sz w:val="22"/>
          <w:szCs w:val="22"/>
        </w:rPr>
        <w:t xml:space="preserve">a jurisprudência deste Tribunal indica que a exigência de requisitos profissionais baseados exclusivamente na formação e no tempo de experiência dos profissionais, </w:t>
      </w:r>
      <w:r w:rsidRPr="00EE04D9">
        <w:rPr>
          <w:rFonts w:eastAsia="Times New Roman"/>
          <w:i/>
          <w:sz w:val="22"/>
          <w:szCs w:val="22"/>
        </w:rPr>
        <w:t>salvo quando tais características revelarem-se imprescindíveis à execução do objeto</w:t>
      </w:r>
      <w:r w:rsidRPr="00621DEE">
        <w:rPr>
          <w:rFonts w:eastAsia="Times New Roman"/>
          <w:i/>
          <w:sz w:val="22"/>
          <w:szCs w:val="22"/>
        </w:rPr>
        <w:t>, configura medida de caráter restritivo, devendo os motivos das exigências serem tecnicamente justificados de forma expressa no processo licitatório, assegurando-se de que os parâmetros fixados são necessários, suficientes e pertinentes ao objeto licitado</w:t>
      </w:r>
      <w:r w:rsidRPr="00621DEE">
        <w:rPr>
          <w:rFonts w:eastAsia="Times New Roman"/>
          <w:sz w:val="22"/>
          <w:szCs w:val="22"/>
        </w:rPr>
        <w:t>”. Analisando o ponto, corroborou o relator as conclusões da unidade técnica, em especial por presumir, dentre outros aspectos,</w:t>
      </w:r>
      <w:r w:rsidR="00E92F52" w:rsidRPr="00621DEE">
        <w:rPr>
          <w:rFonts w:eastAsia="Times New Roman"/>
          <w:sz w:val="22"/>
          <w:szCs w:val="22"/>
        </w:rPr>
        <w:t xml:space="preserve"> </w:t>
      </w:r>
      <w:r w:rsidRPr="00621DEE">
        <w:rPr>
          <w:rFonts w:eastAsia="Times New Roman"/>
          <w:i/>
          <w:sz w:val="22"/>
          <w:szCs w:val="22"/>
        </w:rPr>
        <w:t xml:space="preserve">“cabível a exigência de tempo de formação e experiência na área de resíduos sólidos, já que as características requeridas </w:t>
      </w:r>
      <w:proofErr w:type="gramStart"/>
      <w:r w:rsidRPr="00621DEE">
        <w:rPr>
          <w:rFonts w:eastAsia="Times New Roman"/>
          <w:i/>
          <w:sz w:val="22"/>
          <w:szCs w:val="22"/>
        </w:rPr>
        <w:t>revelam-se</w:t>
      </w:r>
      <w:proofErr w:type="gramEnd"/>
      <w:r w:rsidRPr="00621DEE">
        <w:rPr>
          <w:rFonts w:eastAsia="Times New Roman"/>
          <w:i/>
          <w:sz w:val="22"/>
          <w:szCs w:val="22"/>
        </w:rPr>
        <w:t xml:space="preserve"> imprescindíveis à execução do objeto, uma vez que se trata de projeto complexo, compreendendo períodos de consecução de curto a longo prazo, para o qual exige-se conhecimento técnico especializado na área”</w:t>
      </w:r>
      <w:r w:rsidRPr="00621DEE">
        <w:rPr>
          <w:rFonts w:eastAsia="Times New Roman"/>
          <w:sz w:val="22"/>
          <w:szCs w:val="22"/>
        </w:rPr>
        <w:t xml:space="preserve">. Nada obstante, concluiu o relator assistir </w:t>
      </w:r>
      <w:r w:rsidRPr="00621DEE">
        <w:rPr>
          <w:rFonts w:eastAsia="Times New Roman"/>
          <w:i/>
          <w:sz w:val="22"/>
          <w:szCs w:val="22"/>
        </w:rPr>
        <w:t xml:space="preserve">“razão à unidade técnica, contudo, no que diz respeito à necessidade de a </w:t>
      </w:r>
      <w:proofErr w:type="spellStart"/>
      <w:r w:rsidRPr="00621DEE">
        <w:rPr>
          <w:rFonts w:eastAsia="Times New Roman"/>
          <w:i/>
          <w:sz w:val="22"/>
          <w:szCs w:val="22"/>
        </w:rPr>
        <w:t>Agevap</w:t>
      </w:r>
      <w:proofErr w:type="spellEnd"/>
      <w:r w:rsidRPr="00621DEE">
        <w:rPr>
          <w:rFonts w:eastAsia="Times New Roman"/>
          <w:i/>
          <w:sz w:val="22"/>
          <w:szCs w:val="22"/>
        </w:rPr>
        <w:t xml:space="preserve"> fazer constar, em futuros editais de licitação, os motivos tecnicamente justificados para a contratação de equipe qualificada e experiente, que venha a atender efetivamente aos objetivos traçados, fato que não se observou no âmbito da Coleta de Preços nº 22/2014”</w:t>
      </w:r>
      <w:r w:rsidRPr="00621DEE">
        <w:rPr>
          <w:rFonts w:eastAsia="Times New Roman"/>
          <w:sz w:val="22"/>
          <w:szCs w:val="22"/>
        </w:rPr>
        <w:t xml:space="preserve">. Nesses termos, acolheu o Plenário a proposta da relatoria para considerar parcialmente procedente a representação e determinar à </w:t>
      </w:r>
      <w:proofErr w:type="spellStart"/>
      <w:r w:rsidRPr="00621DEE">
        <w:rPr>
          <w:rFonts w:eastAsia="Times New Roman"/>
          <w:sz w:val="22"/>
          <w:szCs w:val="22"/>
        </w:rPr>
        <w:t>Agevap</w:t>
      </w:r>
      <w:proofErr w:type="spellEnd"/>
      <w:r w:rsidRPr="00621DEE">
        <w:rPr>
          <w:rFonts w:eastAsia="Times New Roman"/>
          <w:sz w:val="22"/>
          <w:szCs w:val="22"/>
        </w:rPr>
        <w:t xml:space="preserve"> que </w:t>
      </w:r>
      <w:r w:rsidRPr="00621DEE">
        <w:rPr>
          <w:rFonts w:eastAsia="Times New Roman"/>
          <w:i/>
          <w:sz w:val="22"/>
          <w:szCs w:val="22"/>
        </w:rPr>
        <w:t>“nas próximas licitações, ao especificar os requisitos de habilitação da equipe técnica das licitantes, justifique, de forma expressa, no instrumento convocatório, os motivos das exigências de tempo de formação acadêmica e experiência profissional, desde que tais condições se revelem imprescindíveis à execução do objeto, assegurando-se de que os parâmetros fixados são necessários, suficientes e pertinentes ao objeto licitado”</w:t>
      </w:r>
      <w:r w:rsidRPr="00621DEE">
        <w:rPr>
          <w:rFonts w:eastAsia="Times New Roman"/>
          <w:sz w:val="22"/>
          <w:szCs w:val="22"/>
        </w:rPr>
        <w:t xml:space="preserve">. </w:t>
      </w:r>
      <w:hyperlink r:id="rId13" w:history="1">
        <w:r w:rsidRPr="00621DEE">
          <w:rPr>
            <w:rStyle w:val="Hyperlink"/>
            <w:b/>
            <w:i/>
            <w:sz w:val="22"/>
            <w:szCs w:val="22"/>
          </w:rPr>
          <w:t>Acórdão 3356/2015-Plenário</w:t>
        </w:r>
      </w:hyperlink>
      <w:r w:rsidRPr="00621DEE">
        <w:rPr>
          <w:b/>
          <w:i/>
          <w:sz w:val="22"/>
          <w:szCs w:val="22"/>
        </w:rPr>
        <w:t>, TC 020.738/2015-3, relator Ministro-Substituto André Luís de Carvalho, 9.12.2015.</w:t>
      </w:r>
    </w:p>
    <w:p w:rsidR="00475418" w:rsidRDefault="00475418" w:rsidP="00BD27F7">
      <w:pPr>
        <w:pStyle w:val="Default"/>
        <w:jc w:val="both"/>
        <w:rPr>
          <w:b/>
          <w:i/>
          <w:sz w:val="22"/>
          <w:szCs w:val="22"/>
        </w:rPr>
      </w:pPr>
    </w:p>
    <w:p w:rsidR="00475418" w:rsidRPr="00621DEE" w:rsidRDefault="00475418" w:rsidP="00BD27F7">
      <w:pPr>
        <w:pStyle w:val="Default"/>
        <w:jc w:val="both"/>
        <w:rPr>
          <w:sz w:val="22"/>
          <w:szCs w:val="22"/>
        </w:rPr>
      </w:pPr>
    </w:p>
    <w:p w:rsidR="00BD27F7" w:rsidRDefault="00BD27F7" w:rsidP="00BD27F7">
      <w:pPr>
        <w:shd w:val="clear" w:color="auto" w:fill="FFFFFF"/>
        <w:spacing w:after="0"/>
        <w:ind w:left="0"/>
        <w:rPr>
          <w:rFonts w:eastAsia="Times New Roman"/>
          <w:b/>
          <w:i/>
          <w:color w:val="000000"/>
          <w:sz w:val="22"/>
          <w:szCs w:val="22"/>
          <w:lang w:eastAsia="pt-BR"/>
        </w:rPr>
      </w:pPr>
    </w:p>
    <w:p w:rsidR="00BD27F7" w:rsidRPr="00F7326C" w:rsidRDefault="00BD27F7" w:rsidP="00BD27F7">
      <w:pPr>
        <w:pBdr>
          <w:top w:val="threeDEmboss" w:sz="24" w:space="6" w:color="auto"/>
        </w:pBdr>
        <w:tabs>
          <w:tab w:val="left" w:pos="284"/>
          <w:tab w:val="left" w:pos="4172"/>
          <w:tab w:val="center" w:pos="4818"/>
        </w:tabs>
        <w:spacing w:before="60" w:after="0"/>
        <w:ind w:left="0"/>
        <w:jc w:val="center"/>
        <w:rPr>
          <w:b/>
          <w:bCs/>
          <w:smallCaps/>
          <w:sz w:val="22"/>
          <w:szCs w:val="22"/>
        </w:rPr>
      </w:pPr>
      <w:r>
        <w:rPr>
          <w:b/>
          <w:bCs/>
          <w:smallCaps/>
          <w:sz w:val="22"/>
          <w:szCs w:val="22"/>
        </w:rPr>
        <w:lastRenderedPageBreak/>
        <w:t>INOVAÇÃO LEGISLATIVA</w:t>
      </w:r>
    </w:p>
    <w:p w:rsidR="00BD27F7" w:rsidRDefault="00BD27F7" w:rsidP="00BD27F7">
      <w:pPr>
        <w:ind w:left="0"/>
        <w:rPr>
          <w:rFonts w:eastAsia="Times New Roman"/>
          <w:b/>
          <w:sz w:val="22"/>
          <w:szCs w:val="22"/>
        </w:rPr>
      </w:pPr>
    </w:p>
    <w:p w:rsidR="00BD27F7" w:rsidRPr="00621DEE" w:rsidRDefault="00992F47" w:rsidP="00BD27F7">
      <w:pPr>
        <w:spacing w:after="0"/>
        <w:ind w:left="0"/>
        <w:rPr>
          <w:sz w:val="22"/>
          <w:szCs w:val="22"/>
        </w:rPr>
      </w:pPr>
      <w:hyperlink r:id="rId14" w:history="1">
        <w:r w:rsidR="00BD27F7" w:rsidRPr="00621DEE">
          <w:rPr>
            <w:rStyle w:val="Hyperlink"/>
            <w:b/>
            <w:sz w:val="22"/>
            <w:szCs w:val="22"/>
            <w:shd w:val="clear" w:color="auto" w:fill="FFFFFF"/>
          </w:rPr>
          <w:t>Lei 13.</w:t>
        </w:r>
        <w:r w:rsidR="00E92F52" w:rsidRPr="00621DEE">
          <w:rPr>
            <w:rStyle w:val="Hyperlink"/>
            <w:b/>
            <w:sz w:val="22"/>
            <w:szCs w:val="22"/>
            <w:shd w:val="clear" w:color="auto" w:fill="FFFFFF"/>
          </w:rPr>
          <w:t>204</w:t>
        </w:r>
        <w:r w:rsidR="00BD27F7" w:rsidRPr="00621DEE">
          <w:rPr>
            <w:rStyle w:val="Hyperlink"/>
            <w:b/>
            <w:sz w:val="22"/>
            <w:szCs w:val="22"/>
            <w:shd w:val="clear" w:color="auto" w:fill="FFFFFF"/>
          </w:rPr>
          <w:t xml:space="preserve">, de </w:t>
        </w:r>
        <w:r w:rsidR="00E92F52" w:rsidRPr="00621DEE">
          <w:rPr>
            <w:rStyle w:val="Hyperlink"/>
            <w:b/>
            <w:sz w:val="22"/>
            <w:szCs w:val="22"/>
            <w:shd w:val="clear" w:color="auto" w:fill="FFFFFF"/>
          </w:rPr>
          <w:t>14</w:t>
        </w:r>
        <w:r w:rsidR="00BD27F7" w:rsidRPr="00621DEE">
          <w:rPr>
            <w:rStyle w:val="Hyperlink"/>
            <w:b/>
            <w:sz w:val="22"/>
            <w:szCs w:val="22"/>
            <w:shd w:val="clear" w:color="auto" w:fill="FFFFFF"/>
          </w:rPr>
          <w:t>/1</w:t>
        </w:r>
        <w:r w:rsidR="00E92F52" w:rsidRPr="00621DEE">
          <w:rPr>
            <w:rStyle w:val="Hyperlink"/>
            <w:b/>
            <w:sz w:val="22"/>
            <w:szCs w:val="22"/>
            <w:shd w:val="clear" w:color="auto" w:fill="FFFFFF"/>
          </w:rPr>
          <w:t>2</w:t>
        </w:r>
        <w:r w:rsidR="00BD27F7" w:rsidRPr="00621DEE">
          <w:rPr>
            <w:rStyle w:val="Hyperlink"/>
            <w:b/>
            <w:sz w:val="22"/>
            <w:szCs w:val="22"/>
            <w:shd w:val="clear" w:color="auto" w:fill="FFFFFF"/>
          </w:rPr>
          <w:t>/15</w:t>
        </w:r>
      </w:hyperlink>
      <w:r w:rsidR="00BD27F7" w:rsidRPr="00621DEE">
        <w:rPr>
          <w:sz w:val="22"/>
          <w:szCs w:val="22"/>
        </w:rPr>
        <w:t xml:space="preserve">: </w:t>
      </w:r>
      <w:r w:rsidR="00E92F52" w:rsidRPr="00621DEE">
        <w:rPr>
          <w:sz w:val="22"/>
          <w:szCs w:val="22"/>
        </w:rPr>
        <w:t>Altera a Lei no 13.019, de 31 de julho de 2014, “que estabelece o regime jurídico das parcerias voluntárias, envolvendo ou não transferências de recursos financeiros, entre a administração pública e as organizações da sociedade civil, em regime de mútua cooperação, para a consecução de finalidades de interesse público; define diretrizes para a política de fomento e de colaboração com organizações da sociedade civil; institui o termo de colaboração e o termo de fomento; e altera as Leis nos 8.429, de 2 de junho de 1992, e 9.790, de 23 de março de 1999”; altera as Leis nos 8.429, de 2 de junho de 1992, 9.790, de 23 de março de 1999, 9.249, de 26 de dezembro de 1995, 9.532, de 10 de dezembro de 1997, 12.101, de 27 de novembro de 2009, e 8.666, de 21 de junho de 1993; e revoga a Lei</w:t>
      </w:r>
      <w:r w:rsidR="00A33A75" w:rsidRPr="00621DEE">
        <w:rPr>
          <w:sz w:val="22"/>
          <w:szCs w:val="22"/>
        </w:rPr>
        <w:t xml:space="preserve"> no 91, de 28 de agosto de 1935</w:t>
      </w:r>
      <w:r w:rsidR="002E5BAA" w:rsidRPr="00621DEE">
        <w:rPr>
          <w:sz w:val="22"/>
          <w:szCs w:val="22"/>
        </w:rPr>
        <w:t>.</w:t>
      </w:r>
    </w:p>
    <w:p w:rsidR="00A33A75" w:rsidRPr="00621DEE" w:rsidRDefault="00A33A75" w:rsidP="00BD27F7">
      <w:pPr>
        <w:spacing w:after="0"/>
        <w:ind w:left="0"/>
        <w:rPr>
          <w:sz w:val="22"/>
          <w:szCs w:val="22"/>
        </w:rPr>
      </w:pPr>
    </w:p>
    <w:p w:rsidR="002E5BAA" w:rsidRPr="00621DEE" w:rsidRDefault="00992F47" w:rsidP="00BD27F7">
      <w:pPr>
        <w:spacing w:after="0"/>
        <w:ind w:left="0"/>
        <w:rPr>
          <w:sz w:val="22"/>
          <w:szCs w:val="22"/>
        </w:rPr>
      </w:pPr>
      <w:hyperlink r:id="rId15" w:history="1">
        <w:r w:rsidR="002E5BAA" w:rsidRPr="00621DEE">
          <w:rPr>
            <w:rStyle w:val="Hyperlink"/>
            <w:b/>
            <w:sz w:val="22"/>
            <w:szCs w:val="22"/>
            <w:shd w:val="clear" w:color="auto" w:fill="FFFFFF"/>
          </w:rPr>
          <w:t>Lei 13.240, de 30/12/15</w:t>
        </w:r>
      </w:hyperlink>
      <w:r w:rsidR="002E5BAA" w:rsidRPr="00621DEE">
        <w:rPr>
          <w:sz w:val="22"/>
          <w:szCs w:val="22"/>
        </w:rPr>
        <w:t>: Dispõe sobre a administração, a alienação, a transferência de gestão de imóveis da União e seu uso para a constituição de fundos; altera a Lei no 9.636, de 15 de maio de 1998, e os Decretos-Lei nos 3.438, de 17 de julho de 1941, 9.760, de 5 de setembro de 1946, 271, de 28 de fevereiro de 1967, e 2.398, de 21 de dezembro de 1987; e revoga dispositivo da Lei no 13.139, de 26 de junho de 2015.</w:t>
      </w:r>
    </w:p>
    <w:p w:rsidR="002E5BAA" w:rsidRPr="00621DEE" w:rsidRDefault="002E5BAA" w:rsidP="00BD27F7">
      <w:pPr>
        <w:spacing w:after="0"/>
        <w:ind w:left="0"/>
        <w:rPr>
          <w:sz w:val="22"/>
          <w:szCs w:val="22"/>
        </w:rPr>
      </w:pPr>
    </w:p>
    <w:p w:rsidR="00A33A75" w:rsidRPr="00621DEE" w:rsidRDefault="00992F47" w:rsidP="00BD27F7">
      <w:pPr>
        <w:spacing w:after="0"/>
        <w:ind w:left="0"/>
        <w:rPr>
          <w:rFonts w:eastAsia="Times New Roman"/>
          <w:b/>
          <w:sz w:val="22"/>
          <w:szCs w:val="22"/>
        </w:rPr>
      </w:pPr>
      <w:hyperlink r:id="rId16" w:history="1">
        <w:r w:rsidR="00A33A75" w:rsidRPr="00621DEE">
          <w:rPr>
            <w:rStyle w:val="Hyperlink"/>
            <w:b/>
            <w:sz w:val="22"/>
            <w:szCs w:val="22"/>
            <w:shd w:val="clear" w:color="auto" w:fill="FFFFFF"/>
          </w:rPr>
          <w:t>Lei 13.243, de 11/01/16</w:t>
        </w:r>
      </w:hyperlink>
      <w:r w:rsidR="00A33A75" w:rsidRPr="00621DEE">
        <w:rPr>
          <w:sz w:val="22"/>
          <w:szCs w:val="22"/>
        </w:rPr>
        <w:t>: Dispõe sobre estímulos ao desenvolvimento científico, à pesquisa, à capacitação científica e tecnológica e à inovação e altera a Lei no 10.973, de 2 de dezembro de 2004, a Lei no 6.815, de 19 de agosto de 1980, a Lei no 8.666, de 21 de junho de 1993, a Lei no 12.462, de 4 de agosto de 2011, a Lei no 8.745, de 9 de dezembro de 1993, a Lei no 8.958, de 20 de dezembro de 1994, a Lei no 8.010, de 29 de março de 1990, a Lei no 8.032, de 12 de abril de 1990, e a Lei no 12.772, de 28 de dezembro de 2012, nos termos da Emenda Constitucional no 85, de 26 de fevereiro de 2015</w:t>
      </w:r>
      <w:r w:rsidR="002E5BAA" w:rsidRPr="00621DEE">
        <w:rPr>
          <w:sz w:val="22"/>
          <w:szCs w:val="22"/>
        </w:rPr>
        <w:t>.</w:t>
      </w:r>
    </w:p>
    <w:p w:rsidR="00E92F52" w:rsidRPr="00621DEE" w:rsidRDefault="00E92F52" w:rsidP="00E92F52">
      <w:pPr>
        <w:spacing w:after="0"/>
        <w:ind w:left="0"/>
        <w:rPr>
          <w:sz w:val="22"/>
          <w:szCs w:val="22"/>
        </w:rPr>
      </w:pPr>
    </w:p>
    <w:p w:rsidR="00E92F52" w:rsidRPr="00621DEE" w:rsidRDefault="00992F47" w:rsidP="00E92F52">
      <w:pPr>
        <w:spacing w:after="0"/>
        <w:ind w:left="0"/>
        <w:rPr>
          <w:rFonts w:eastAsia="Times New Roman"/>
          <w:b/>
          <w:sz w:val="22"/>
          <w:szCs w:val="22"/>
        </w:rPr>
      </w:pPr>
      <w:hyperlink r:id="rId17" w:history="1">
        <w:r w:rsidR="00E92F52" w:rsidRPr="00621DEE">
          <w:rPr>
            <w:rStyle w:val="Hyperlink"/>
            <w:b/>
            <w:sz w:val="22"/>
            <w:szCs w:val="22"/>
            <w:shd w:val="clear" w:color="auto" w:fill="FFFFFF"/>
          </w:rPr>
          <w:t>Medida Provisória 703, de 18/12/15</w:t>
        </w:r>
      </w:hyperlink>
      <w:r w:rsidR="00E92F52" w:rsidRPr="00621DEE">
        <w:rPr>
          <w:sz w:val="22"/>
          <w:szCs w:val="22"/>
        </w:rPr>
        <w:t>: Altera a Lei nº 12.846, de 1º de agosto de 2013, para dispor sobre</w:t>
      </w:r>
      <w:r w:rsidR="002E5BAA" w:rsidRPr="00621DEE">
        <w:rPr>
          <w:sz w:val="22"/>
          <w:szCs w:val="22"/>
        </w:rPr>
        <w:t xml:space="preserve"> acordos de leniência.</w:t>
      </w:r>
    </w:p>
    <w:p w:rsidR="00BD27F7" w:rsidRPr="00621DEE" w:rsidRDefault="00BD27F7" w:rsidP="00F54527">
      <w:pPr>
        <w:pStyle w:val="Default"/>
        <w:jc w:val="both"/>
        <w:rPr>
          <w:sz w:val="22"/>
          <w:szCs w:val="22"/>
        </w:rPr>
      </w:pPr>
    </w:p>
    <w:p w:rsidR="00FF33AC" w:rsidRPr="00621DEE" w:rsidRDefault="00992F47" w:rsidP="00F54527">
      <w:pPr>
        <w:pStyle w:val="Default"/>
        <w:jc w:val="both"/>
        <w:rPr>
          <w:sz w:val="22"/>
          <w:szCs w:val="22"/>
        </w:rPr>
      </w:pPr>
      <w:hyperlink r:id="rId18" w:history="1">
        <w:r w:rsidR="00FF33AC" w:rsidRPr="00621DEE">
          <w:rPr>
            <w:rStyle w:val="Hyperlink"/>
            <w:b/>
            <w:sz w:val="22"/>
            <w:szCs w:val="22"/>
            <w:shd w:val="clear" w:color="auto" w:fill="FFFFFF"/>
          </w:rPr>
          <w:t>Medida Provisória 706, de 28/12/15</w:t>
        </w:r>
      </w:hyperlink>
      <w:r w:rsidR="00FF33AC" w:rsidRPr="00621DEE">
        <w:rPr>
          <w:sz w:val="22"/>
          <w:szCs w:val="22"/>
        </w:rPr>
        <w:t>: Altera a Lei no 12.783, de 11 de janeiro de 2013, que dispõe sobre as concessões de geração, transmissão e distribuição de energia elétrica</w:t>
      </w:r>
      <w:r w:rsidR="002E5BAA" w:rsidRPr="00621DEE">
        <w:rPr>
          <w:sz w:val="22"/>
          <w:szCs w:val="22"/>
        </w:rPr>
        <w:t>.</w:t>
      </w:r>
    </w:p>
    <w:p w:rsidR="00FF33AC" w:rsidRPr="00621DEE" w:rsidRDefault="00FF33AC" w:rsidP="00F54527">
      <w:pPr>
        <w:pStyle w:val="Default"/>
        <w:jc w:val="both"/>
        <w:rPr>
          <w:sz w:val="22"/>
          <w:szCs w:val="22"/>
        </w:rPr>
      </w:pPr>
    </w:p>
    <w:p w:rsidR="00E82E79" w:rsidRPr="00621DEE" w:rsidRDefault="00992F47" w:rsidP="00F54527">
      <w:pPr>
        <w:pStyle w:val="Default"/>
        <w:jc w:val="both"/>
        <w:rPr>
          <w:sz w:val="22"/>
          <w:szCs w:val="22"/>
        </w:rPr>
      </w:pPr>
      <w:hyperlink r:id="rId19" w:history="1">
        <w:r w:rsidR="00A33A75" w:rsidRPr="00621DEE">
          <w:rPr>
            <w:rStyle w:val="Hyperlink"/>
            <w:b/>
            <w:sz w:val="22"/>
            <w:szCs w:val="22"/>
            <w:shd w:val="clear" w:color="auto" w:fill="FFFFFF"/>
          </w:rPr>
          <w:t>Decreto 8.626, de 30/12/15</w:t>
        </w:r>
      </w:hyperlink>
      <w:r w:rsidR="00A33A75" w:rsidRPr="00621DEE">
        <w:rPr>
          <w:sz w:val="22"/>
          <w:szCs w:val="22"/>
        </w:rPr>
        <w:t>: Altera os Decretos que especifica, para prorrogar o prazo de vigência das margens de preferência</w:t>
      </w:r>
      <w:r w:rsidR="002E5BAA" w:rsidRPr="00621DEE">
        <w:rPr>
          <w:sz w:val="22"/>
          <w:szCs w:val="22"/>
        </w:rPr>
        <w:t>.</w:t>
      </w:r>
    </w:p>
    <w:p w:rsidR="00BD27F7" w:rsidRPr="00C5589F" w:rsidRDefault="00BD27F7" w:rsidP="00F54527">
      <w:pPr>
        <w:pStyle w:val="Default"/>
        <w:jc w:val="both"/>
        <w:rPr>
          <w:sz w:val="22"/>
          <w:szCs w:val="22"/>
        </w:rPr>
      </w:pPr>
    </w:p>
    <w:p w:rsidR="00637A5E" w:rsidRDefault="00637A5E" w:rsidP="006F44C9">
      <w:pPr>
        <w:spacing w:after="0"/>
        <w:ind w:left="0"/>
        <w:rPr>
          <w:sz w:val="22"/>
          <w:szCs w:val="22"/>
        </w:rPr>
      </w:pPr>
    </w:p>
    <w:p w:rsidR="006F44C9" w:rsidRPr="006F44C9" w:rsidRDefault="006F44C9" w:rsidP="006F44C9">
      <w:pPr>
        <w:spacing w:after="0"/>
        <w:ind w:left="0"/>
        <w:rPr>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20" w:history="1">
              <w:r w:rsidR="00A509F2" w:rsidRPr="008710EF">
                <w:rPr>
                  <w:rStyle w:val="Hyperlink"/>
                  <w:b/>
                  <w:i/>
                  <w:sz w:val="18"/>
                  <w:szCs w:val="18"/>
                </w:rPr>
                <w:t>infojuris@tcu.gov.br</w:t>
              </w:r>
            </w:hyperlink>
          </w:p>
        </w:tc>
      </w:tr>
    </w:tbl>
    <w:p w:rsidR="004A3A81" w:rsidRDefault="004A3A81" w:rsidP="00C2329B">
      <w:pPr>
        <w:ind w:left="0"/>
        <w:rPr>
          <w:sz w:val="22"/>
          <w:szCs w:val="22"/>
        </w:rPr>
      </w:pPr>
    </w:p>
    <w:p w:rsidR="00650BC1" w:rsidRDefault="00650BC1" w:rsidP="00C2329B">
      <w:pPr>
        <w:ind w:left="0"/>
        <w:rPr>
          <w:sz w:val="22"/>
          <w:szCs w:val="22"/>
        </w:rPr>
      </w:pPr>
    </w:p>
    <w:sectPr w:rsidR="00650BC1" w:rsidSect="00616945">
      <w:footerReference w:type="default" r:id="rId21"/>
      <w:headerReference w:type="first" r:id="rId22"/>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47" w:rsidRDefault="00992F47" w:rsidP="008B0547">
      <w:pPr>
        <w:spacing w:after="0"/>
      </w:pPr>
      <w:r>
        <w:separator/>
      </w:r>
    </w:p>
  </w:endnote>
  <w:endnote w:type="continuationSeparator" w:id="0">
    <w:p w:rsidR="00992F47" w:rsidRDefault="00992F4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824C1E">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47" w:rsidRDefault="00992F47" w:rsidP="008B0547">
      <w:pPr>
        <w:spacing w:after="0"/>
      </w:pPr>
      <w:r>
        <w:separator/>
      </w:r>
    </w:p>
  </w:footnote>
  <w:footnote w:type="continuationSeparator" w:id="0">
    <w:p w:rsidR="00992F47" w:rsidRDefault="00992F4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530FEE"/>
    <w:multiLevelType w:val="hybridMultilevel"/>
    <w:tmpl w:val="5CC8DD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3CF7E59"/>
    <w:multiLevelType w:val="hybridMultilevel"/>
    <w:tmpl w:val="6816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A541CD"/>
    <w:multiLevelType w:val="hybridMultilevel"/>
    <w:tmpl w:val="73FC08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8742F5"/>
    <w:multiLevelType w:val="hybridMultilevel"/>
    <w:tmpl w:val="87042368"/>
    <w:lvl w:ilvl="0" w:tplc="2960D45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4"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6"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7"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8"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4805AD"/>
    <w:multiLevelType w:val="hybridMultilevel"/>
    <w:tmpl w:val="6B18FEB6"/>
    <w:lvl w:ilvl="0" w:tplc="ACEC7E8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B8C4CFB"/>
    <w:multiLevelType w:val="hybridMultilevel"/>
    <w:tmpl w:val="E18431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FC499B"/>
    <w:multiLevelType w:val="hybridMultilevel"/>
    <w:tmpl w:val="3CB2EC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7"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
  </w:num>
  <w:num w:numId="3">
    <w:abstractNumId w:val="26"/>
    <w:lvlOverride w:ilvl="0">
      <w:startOverride w:val="1"/>
    </w:lvlOverride>
  </w:num>
  <w:num w:numId="4">
    <w:abstractNumId w:val="16"/>
  </w:num>
  <w:num w:numId="5">
    <w:abstractNumId w:val="9"/>
  </w:num>
  <w:num w:numId="6">
    <w:abstractNumId w:val="8"/>
  </w:num>
  <w:num w:numId="7">
    <w:abstractNumId w:val="15"/>
  </w:num>
  <w:num w:numId="8">
    <w:abstractNumId w:val="17"/>
  </w:num>
  <w:num w:numId="9">
    <w:abstractNumId w:val="3"/>
  </w:num>
  <w:num w:numId="10">
    <w:abstractNumId w:val="5"/>
  </w:num>
  <w:num w:numId="11">
    <w:abstractNumId w:val="20"/>
  </w:num>
  <w:num w:numId="12">
    <w:abstractNumId w:val="22"/>
  </w:num>
  <w:num w:numId="13">
    <w:abstractNumId w:val="25"/>
  </w:num>
  <w:num w:numId="14">
    <w:abstractNumId w:val="23"/>
  </w:num>
  <w:num w:numId="15">
    <w:abstractNumId w:val="28"/>
  </w:num>
  <w:num w:numId="16">
    <w:abstractNumId w:val="0"/>
  </w:num>
  <w:num w:numId="17">
    <w:abstractNumId w:val="6"/>
  </w:num>
  <w:num w:numId="18">
    <w:abstractNumId w:val="4"/>
  </w:num>
  <w:num w:numId="19">
    <w:abstractNumId w:val="18"/>
  </w:num>
  <w:num w:numId="20">
    <w:abstractNumId w:val="1"/>
  </w:num>
  <w:num w:numId="21">
    <w:abstractNumId w:val="27"/>
  </w:num>
  <w:num w:numId="22">
    <w:abstractNumId w:val="14"/>
  </w:num>
  <w:num w:numId="23">
    <w:abstractNumId w:val="11"/>
  </w:num>
  <w:num w:numId="24">
    <w:abstractNumId w:val="12"/>
  </w:num>
  <w:num w:numId="25">
    <w:abstractNumId w:val="19"/>
  </w:num>
  <w:num w:numId="26">
    <w:abstractNumId w:val="7"/>
  </w:num>
  <w:num w:numId="27">
    <w:abstractNumId w:val="21"/>
  </w:num>
  <w:num w:numId="28">
    <w:abstractNumId w:val="10"/>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0B4"/>
    <w:rsid w:val="000004F5"/>
    <w:rsid w:val="00000595"/>
    <w:rsid w:val="00000605"/>
    <w:rsid w:val="000006E8"/>
    <w:rsid w:val="0000081A"/>
    <w:rsid w:val="0000092D"/>
    <w:rsid w:val="00000968"/>
    <w:rsid w:val="00000A8B"/>
    <w:rsid w:val="00000B10"/>
    <w:rsid w:val="00000B94"/>
    <w:rsid w:val="00000F2D"/>
    <w:rsid w:val="00001285"/>
    <w:rsid w:val="0000153E"/>
    <w:rsid w:val="00001878"/>
    <w:rsid w:val="00001B4A"/>
    <w:rsid w:val="00001B69"/>
    <w:rsid w:val="000021D2"/>
    <w:rsid w:val="000023EE"/>
    <w:rsid w:val="00002445"/>
    <w:rsid w:val="000028E3"/>
    <w:rsid w:val="00002BE7"/>
    <w:rsid w:val="00002F0C"/>
    <w:rsid w:val="0000378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17A"/>
    <w:rsid w:val="00007C63"/>
    <w:rsid w:val="00007FA6"/>
    <w:rsid w:val="0001037C"/>
    <w:rsid w:val="000103D9"/>
    <w:rsid w:val="00010A77"/>
    <w:rsid w:val="00010F62"/>
    <w:rsid w:val="00011074"/>
    <w:rsid w:val="00011683"/>
    <w:rsid w:val="00011807"/>
    <w:rsid w:val="00011892"/>
    <w:rsid w:val="000118BC"/>
    <w:rsid w:val="000118CC"/>
    <w:rsid w:val="00011A79"/>
    <w:rsid w:val="00011BA0"/>
    <w:rsid w:val="00011D5A"/>
    <w:rsid w:val="000120AD"/>
    <w:rsid w:val="00012264"/>
    <w:rsid w:val="00012287"/>
    <w:rsid w:val="00012468"/>
    <w:rsid w:val="00012469"/>
    <w:rsid w:val="00012656"/>
    <w:rsid w:val="00012898"/>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207"/>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A8F"/>
    <w:rsid w:val="00027B2E"/>
    <w:rsid w:val="00027C86"/>
    <w:rsid w:val="00027EFC"/>
    <w:rsid w:val="000300A2"/>
    <w:rsid w:val="000304BD"/>
    <w:rsid w:val="00030996"/>
    <w:rsid w:val="00030C19"/>
    <w:rsid w:val="00030C68"/>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3EF2"/>
    <w:rsid w:val="0003422F"/>
    <w:rsid w:val="000354D0"/>
    <w:rsid w:val="00035593"/>
    <w:rsid w:val="0003563E"/>
    <w:rsid w:val="00035A82"/>
    <w:rsid w:val="00035D4C"/>
    <w:rsid w:val="00035FBF"/>
    <w:rsid w:val="000360F1"/>
    <w:rsid w:val="00036249"/>
    <w:rsid w:val="00036449"/>
    <w:rsid w:val="00036818"/>
    <w:rsid w:val="00036F23"/>
    <w:rsid w:val="000371C1"/>
    <w:rsid w:val="0003724C"/>
    <w:rsid w:val="00037A0A"/>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14A"/>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A08"/>
    <w:rsid w:val="00053BB0"/>
    <w:rsid w:val="000540DB"/>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CD8"/>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09A"/>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395"/>
    <w:rsid w:val="000756E7"/>
    <w:rsid w:val="00075CE6"/>
    <w:rsid w:val="00075D3C"/>
    <w:rsid w:val="00075DC2"/>
    <w:rsid w:val="00076030"/>
    <w:rsid w:val="000761CD"/>
    <w:rsid w:val="000762B8"/>
    <w:rsid w:val="0007670D"/>
    <w:rsid w:val="000768BB"/>
    <w:rsid w:val="00076909"/>
    <w:rsid w:val="00076CF7"/>
    <w:rsid w:val="00076E1D"/>
    <w:rsid w:val="00077346"/>
    <w:rsid w:val="00077A56"/>
    <w:rsid w:val="00077BA4"/>
    <w:rsid w:val="0008010D"/>
    <w:rsid w:val="00080148"/>
    <w:rsid w:val="0008019A"/>
    <w:rsid w:val="00080237"/>
    <w:rsid w:val="00080245"/>
    <w:rsid w:val="000807D4"/>
    <w:rsid w:val="00080B82"/>
    <w:rsid w:val="00080CAA"/>
    <w:rsid w:val="00080D3E"/>
    <w:rsid w:val="00080D6E"/>
    <w:rsid w:val="0008154F"/>
    <w:rsid w:val="00081635"/>
    <w:rsid w:val="0008178A"/>
    <w:rsid w:val="00081A4D"/>
    <w:rsid w:val="00081C5B"/>
    <w:rsid w:val="00081DD6"/>
    <w:rsid w:val="00081DFB"/>
    <w:rsid w:val="0008246E"/>
    <w:rsid w:val="000824AF"/>
    <w:rsid w:val="00083289"/>
    <w:rsid w:val="0008343E"/>
    <w:rsid w:val="00083514"/>
    <w:rsid w:val="000835D8"/>
    <w:rsid w:val="00083761"/>
    <w:rsid w:val="0008397F"/>
    <w:rsid w:val="00083B97"/>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4B5"/>
    <w:rsid w:val="000A0732"/>
    <w:rsid w:val="000A0E9D"/>
    <w:rsid w:val="000A0EA4"/>
    <w:rsid w:val="000A0EF8"/>
    <w:rsid w:val="000A11DA"/>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13A"/>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4C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9E7"/>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CED"/>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54"/>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960"/>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890"/>
    <w:rsid w:val="000C5D70"/>
    <w:rsid w:val="000C5FDE"/>
    <w:rsid w:val="000C61FA"/>
    <w:rsid w:val="000C6279"/>
    <w:rsid w:val="000C69B3"/>
    <w:rsid w:val="000C6D64"/>
    <w:rsid w:val="000C6F6F"/>
    <w:rsid w:val="000C7281"/>
    <w:rsid w:val="000C743C"/>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883"/>
    <w:rsid w:val="000D29A2"/>
    <w:rsid w:val="000D2CBD"/>
    <w:rsid w:val="000D359B"/>
    <w:rsid w:val="000D3759"/>
    <w:rsid w:val="000D37B0"/>
    <w:rsid w:val="000D3B5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D7E4F"/>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E92"/>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9B9"/>
    <w:rsid w:val="000F2D05"/>
    <w:rsid w:val="000F2D48"/>
    <w:rsid w:val="000F2F92"/>
    <w:rsid w:val="000F2FD9"/>
    <w:rsid w:val="000F3258"/>
    <w:rsid w:val="000F3282"/>
    <w:rsid w:val="000F33B5"/>
    <w:rsid w:val="000F33FD"/>
    <w:rsid w:val="000F3520"/>
    <w:rsid w:val="000F3D2B"/>
    <w:rsid w:val="000F3E8F"/>
    <w:rsid w:val="000F3EFB"/>
    <w:rsid w:val="000F47C1"/>
    <w:rsid w:val="000F48B1"/>
    <w:rsid w:val="000F495D"/>
    <w:rsid w:val="000F4B0C"/>
    <w:rsid w:val="000F4B18"/>
    <w:rsid w:val="000F4B82"/>
    <w:rsid w:val="000F4CC1"/>
    <w:rsid w:val="000F5135"/>
    <w:rsid w:val="000F59E0"/>
    <w:rsid w:val="000F5ED7"/>
    <w:rsid w:val="000F5EFA"/>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23E"/>
    <w:rsid w:val="001043C0"/>
    <w:rsid w:val="00104AAD"/>
    <w:rsid w:val="00104C71"/>
    <w:rsid w:val="00104D93"/>
    <w:rsid w:val="001052CD"/>
    <w:rsid w:val="001055B3"/>
    <w:rsid w:val="00105F75"/>
    <w:rsid w:val="00106075"/>
    <w:rsid w:val="00106101"/>
    <w:rsid w:val="001064E1"/>
    <w:rsid w:val="00106500"/>
    <w:rsid w:val="001071C7"/>
    <w:rsid w:val="00107244"/>
    <w:rsid w:val="001072E1"/>
    <w:rsid w:val="00107486"/>
    <w:rsid w:val="001078DE"/>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66"/>
    <w:rsid w:val="00112F9E"/>
    <w:rsid w:val="00113168"/>
    <w:rsid w:val="0011373A"/>
    <w:rsid w:val="00113A1F"/>
    <w:rsid w:val="00113B55"/>
    <w:rsid w:val="00113CA5"/>
    <w:rsid w:val="00114137"/>
    <w:rsid w:val="0011429C"/>
    <w:rsid w:val="001142A2"/>
    <w:rsid w:val="00114511"/>
    <w:rsid w:val="00114ABD"/>
    <w:rsid w:val="00114C24"/>
    <w:rsid w:val="00115305"/>
    <w:rsid w:val="0011552F"/>
    <w:rsid w:val="001156BA"/>
    <w:rsid w:val="0011582E"/>
    <w:rsid w:val="00115911"/>
    <w:rsid w:val="00116039"/>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D49"/>
    <w:rsid w:val="00130EF3"/>
    <w:rsid w:val="00131188"/>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4AC"/>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560"/>
    <w:rsid w:val="001378A3"/>
    <w:rsid w:val="00137908"/>
    <w:rsid w:val="00137A34"/>
    <w:rsid w:val="00137B22"/>
    <w:rsid w:val="00137D7E"/>
    <w:rsid w:val="00137FE3"/>
    <w:rsid w:val="00140100"/>
    <w:rsid w:val="001406DF"/>
    <w:rsid w:val="00140820"/>
    <w:rsid w:val="001408D8"/>
    <w:rsid w:val="00140984"/>
    <w:rsid w:val="00140C58"/>
    <w:rsid w:val="00140CA5"/>
    <w:rsid w:val="00140DD7"/>
    <w:rsid w:val="00140FED"/>
    <w:rsid w:val="0014137E"/>
    <w:rsid w:val="00141D7A"/>
    <w:rsid w:val="00141DE9"/>
    <w:rsid w:val="001420D1"/>
    <w:rsid w:val="001420FE"/>
    <w:rsid w:val="00142212"/>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3B2"/>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05"/>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C11"/>
    <w:rsid w:val="00164DAA"/>
    <w:rsid w:val="00164F82"/>
    <w:rsid w:val="0016510E"/>
    <w:rsid w:val="00165590"/>
    <w:rsid w:val="0016572F"/>
    <w:rsid w:val="001658D6"/>
    <w:rsid w:val="001663D3"/>
    <w:rsid w:val="001665B9"/>
    <w:rsid w:val="001667C0"/>
    <w:rsid w:val="00166B40"/>
    <w:rsid w:val="00166C60"/>
    <w:rsid w:val="00167271"/>
    <w:rsid w:val="00167274"/>
    <w:rsid w:val="001672BC"/>
    <w:rsid w:val="00167ECD"/>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77A91"/>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1EF1"/>
    <w:rsid w:val="0018200B"/>
    <w:rsid w:val="00182450"/>
    <w:rsid w:val="0018254A"/>
    <w:rsid w:val="001829A6"/>
    <w:rsid w:val="00182A21"/>
    <w:rsid w:val="00183A7D"/>
    <w:rsid w:val="00183DA4"/>
    <w:rsid w:val="00183EA0"/>
    <w:rsid w:val="00183F58"/>
    <w:rsid w:val="001841C2"/>
    <w:rsid w:val="00184202"/>
    <w:rsid w:val="00184259"/>
    <w:rsid w:val="001843DB"/>
    <w:rsid w:val="0018476F"/>
    <w:rsid w:val="001847D6"/>
    <w:rsid w:val="0018495A"/>
    <w:rsid w:val="00184DD0"/>
    <w:rsid w:val="00184E93"/>
    <w:rsid w:val="001855E1"/>
    <w:rsid w:val="0018566A"/>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8C9"/>
    <w:rsid w:val="00192929"/>
    <w:rsid w:val="00192DC1"/>
    <w:rsid w:val="00194053"/>
    <w:rsid w:val="001943EB"/>
    <w:rsid w:val="00194949"/>
    <w:rsid w:val="00194BE9"/>
    <w:rsid w:val="00194C5E"/>
    <w:rsid w:val="00194CA4"/>
    <w:rsid w:val="00194E35"/>
    <w:rsid w:val="00194EDA"/>
    <w:rsid w:val="00194F03"/>
    <w:rsid w:val="00195023"/>
    <w:rsid w:val="001951C9"/>
    <w:rsid w:val="001956E2"/>
    <w:rsid w:val="001958EE"/>
    <w:rsid w:val="001959CD"/>
    <w:rsid w:val="00195EEF"/>
    <w:rsid w:val="00195F77"/>
    <w:rsid w:val="00196098"/>
    <w:rsid w:val="00196898"/>
    <w:rsid w:val="00196ADB"/>
    <w:rsid w:val="00196E11"/>
    <w:rsid w:val="0019736D"/>
    <w:rsid w:val="001977ED"/>
    <w:rsid w:val="00197904"/>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111"/>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4A6"/>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66A"/>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512"/>
    <w:rsid w:val="001C6A2C"/>
    <w:rsid w:val="001C6B8C"/>
    <w:rsid w:val="001C6D43"/>
    <w:rsid w:val="001C6E55"/>
    <w:rsid w:val="001C71E3"/>
    <w:rsid w:val="001C729A"/>
    <w:rsid w:val="001C72D6"/>
    <w:rsid w:val="001C7349"/>
    <w:rsid w:val="001C7892"/>
    <w:rsid w:val="001C7AEE"/>
    <w:rsid w:val="001C7BF3"/>
    <w:rsid w:val="001C7DC4"/>
    <w:rsid w:val="001C7FD4"/>
    <w:rsid w:val="001D0208"/>
    <w:rsid w:val="001D03C7"/>
    <w:rsid w:val="001D0A1D"/>
    <w:rsid w:val="001D0D1C"/>
    <w:rsid w:val="001D0FAF"/>
    <w:rsid w:val="001D11F8"/>
    <w:rsid w:val="001D1478"/>
    <w:rsid w:val="001D1E52"/>
    <w:rsid w:val="001D1ECA"/>
    <w:rsid w:val="001D1F25"/>
    <w:rsid w:val="001D1FCD"/>
    <w:rsid w:val="001D263A"/>
    <w:rsid w:val="001D2746"/>
    <w:rsid w:val="001D2968"/>
    <w:rsid w:val="001D2B84"/>
    <w:rsid w:val="001D2BC3"/>
    <w:rsid w:val="001D2BC5"/>
    <w:rsid w:val="001D2D43"/>
    <w:rsid w:val="001D2E56"/>
    <w:rsid w:val="001D2F09"/>
    <w:rsid w:val="001D33CC"/>
    <w:rsid w:val="001D3401"/>
    <w:rsid w:val="001D34EB"/>
    <w:rsid w:val="001D35B4"/>
    <w:rsid w:val="001D3A4D"/>
    <w:rsid w:val="001D3F21"/>
    <w:rsid w:val="001D44B8"/>
    <w:rsid w:val="001D4515"/>
    <w:rsid w:val="001D451E"/>
    <w:rsid w:val="001D476E"/>
    <w:rsid w:val="001D4A98"/>
    <w:rsid w:val="001D5190"/>
    <w:rsid w:val="001D51D8"/>
    <w:rsid w:val="001D5339"/>
    <w:rsid w:val="001D541A"/>
    <w:rsid w:val="001D559E"/>
    <w:rsid w:val="001D56C3"/>
    <w:rsid w:val="001D5E38"/>
    <w:rsid w:val="001D5F66"/>
    <w:rsid w:val="001D5FB0"/>
    <w:rsid w:val="001D6198"/>
    <w:rsid w:val="001D62BC"/>
    <w:rsid w:val="001D6352"/>
    <w:rsid w:val="001D670F"/>
    <w:rsid w:val="001D6B86"/>
    <w:rsid w:val="001D6E5D"/>
    <w:rsid w:val="001D73B6"/>
    <w:rsid w:val="001D74CE"/>
    <w:rsid w:val="001D7622"/>
    <w:rsid w:val="001D7685"/>
    <w:rsid w:val="001D76EB"/>
    <w:rsid w:val="001D779F"/>
    <w:rsid w:val="001D78F3"/>
    <w:rsid w:val="001D79D0"/>
    <w:rsid w:val="001D7AC7"/>
    <w:rsid w:val="001D7F3D"/>
    <w:rsid w:val="001D7F80"/>
    <w:rsid w:val="001E04AD"/>
    <w:rsid w:val="001E0A0A"/>
    <w:rsid w:val="001E0BF1"/>
    <w:rsid w:val="001E1815"/>
    <w:rsid w:val="001E19B9"/>
    <w:rsid w:val="001E1D29"/>
    <w:rsid w:val="001E1E28"/>
    <w:rsid w:val="001E1E6E"/>
    <w:rsid w:val="001E2620"/>
    <w:rsid w:val="001E27E7"/>
    <w:rsid w:val="001E2AF5"/>
    <w:rsid w:val="001E2B28"/>
    <w:rsid w:val="001E2D30"/>
    <w:rsid w:val="001E3674"/>
    <w:rsid w:val="001E3AC2"/>
    <w:rsid w:val="001E3D51"/>
    <w:rsid w:val="001E3D84"/>
    <w:rsid w:val="001E3DCC"/>
    <w:rsid w:val="001E4147"/>
    <w:rsid w:val="001E4381"/>
    <w:rsid w:val="001E44D3"/>
    <w:rsid w:val="001E4CBA"/>
    <w:rsid w:val="001E548C"/>
    <w:rsid w:val="001E568C"/>
    <w:rsid w:val="001E5B5B"/>
    <w:rsid w:val="001E5CBA"/>
    <w:rsid w:val="001E60B0"/>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0D41"/>
    <w:rsid w:val="001F0F0C"/>
    <w:rsid w:val="001F1223"/>
    <w:rsid w:val="001F1235"/>
    <w:rsid w:val="001F182A"/>
    <w:rsid w:val="001F1D23"/>
    <w:rsid w:val="001F1E8F"/>
    <w:rsid w:val="001F1FE2"/>
    <w:rsid w:val="001F2327"/>
    <w:rsid w:val="001F2874"/>
    <w:rsid w:val="001F2B05"/>
    <w:rsid w:val="001F2B1F"/>
    <w:rsid w:val="001F3157"/>
    <w:rsid w:val="001F348E"/>
    <w:rsid w:val="001F34F8"/>
    <w:rsid w:val="001F40C4"/>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06FE"/>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08"/>
    <w:rsid w:val="00212A4A"/>
    <w:rsid w:val="00212BA4"/>
    <w:rsid w:val="00212BDC"/>
    <w:rsid w:val="00212E2B"/>
    <w:rsid w:val="00212E42"/>
    <w:rsid w:val="002132AF"/>
    <w:rsid w:val="0021340B"/>
    <w:rsid w:val="00213901"/>
    <w:rsid w:val="00213987"/>
    <w:rsid w:val="002139A2"/>
    <w:rsid w:val="00213B3D"/>
    <w:rsid w:val="00213FBB"/>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940"/>
    <w:rsid w:val="00217B1B"/>
    <w:rsid w:val="0022026A"/>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BFB"/>
    <w:rsid w:val="00226D9D"/>
    <w:rsid w:val="00226E3E"/>
    <w:rsid w:val="00227776"/>
    <w:rsid w:val="00227936"/>
    <w:rsid w:val="00230096"/>
    <w:rsid w:val="002301D3"/>
    <w:rsid w:val="002304EE"/>
    <w:rsid w:val="002308C7"/>
    <w:rsid w:val="00230CAD"/>
    <w:rsid w:val="002317C9"/>
    <w:rsid w:val="002317EE"/>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34"/>
    <w:rsid w:val="00237789"/>
    <w:rsid w:val="002401FC"/>
    <w:rsid w:val="0024056C"/>
    <w:rsid w:val="00240D9D"/>
    <w:rsid w:val="00240E4C"/>
    <w:rsid w:val="00241240"/>
    <w:rsid w:val="002415A6"/>
    <w:rsid w:val="00242061"/>
    <w:rsid w:val="002421B1"/>
    <w:rsid w:val="00242BCF"/>
    <w:rsid w:val="00242E6D"/>
    <w:rsid w:val="00243011"/>
    <w:rsid w:val="00243511"/>
    <w:rsid w:val="0024353D"/>
    <w:rsid w:val="002435FC"/>
    <w:rsid w:val="00243768"/>
    <w:rsid w:val="00243797"/>
    <w:rsid w:val="00243859"/>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6F94"/>
    <w:rsid w:val="0024701E"/>
    <w:rsid w:val="00247218"/>
    <w:rsid w:val="002472D3"/>
    <w:rsid w:val="002476B6"/>
    <w:rsid w:val="00247E76"/>
    <w:rsid w:val="00247E8F"/>
    <w:rsid w:val="00250146"/>
    <w:rsid w:val="00250777"/>
    <w:rsid w:val="00250AD6"/>
    <w:rsid w:val="00250C0E"/>
    <w:rsid w:val="00250F5B"/>
    <w:rsid w:val="002510D5"/>
    <w:rsid w:val="00251409"/>
    <w:rsid w:val="00251572"/>
    <w:rsid w:val="0025173D"/>
    <w:rsid w:val="0025202D"/>
    <w:rsid w:val="002523CF"/>
    <w:rsid w:val="002527A3"/>
    <w:rsid w:val="0025280C"/>
    <w:rsid w:val="002528AB"/>
    <w:rsid w:val="00252907"/>
    <w:rsid w:val="002529E0"/>
    <w:rsid w:val="00252BB0"/>
    <w:rsid w:val="00252BB3"/>
    <w:rsid w:val="00253242"/>
    <w:rsid w:val="002537C5"/>
    <w:rsid w:val="0025383B"/>
    <w:rsid w:val="00253A05"/>
    <w:rsid w:val="00253D3A"/>
    <w:rsid w:val="00253DA1"/>
    <w:rsid w:val="002540E8"/>
    <w:rsid w:val="00254467"/>
    <w:rsid w:val="00254590"/>
    <w:rsid w:val="002549FC"/>
    <w:rsid w:val="00254B75"/>
    <w:rsid w:val="00254B8C"/>
    <w:rsid w:val="00254E6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82D"/>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2FDB"/>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5B3"/>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415"/>
    <w:rsid w:val="00273A11"/>
    <w:rsid w:val="00273B8D"/>
    <w:rsid w:val="00273CF0"/>
    <w:rsid w:val="00273E72"/>
    <w:rsid w:val="0027402A"/>
    <w:rsid w:val="00274068"/>
    <w:rsid w:val="002748ED"/>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1F9A"/>
    <w:rsid w:val="00282593"/>
    <w:rsid w:val="00282A37"/>
    <w:rsid w:val="00282D63"/>
    <w:rsid w:val="002830F6"/>
    <w:rsid w:val="0028328B"/>
    <w:rsid w:val="00283507"/>
    <w:rsid w:val="002836C7"/>
    <w:rsid w:val="002836D4"/>
    <w:rsid w:val="002836ED"/>
    <w:rsid w:val="00283DD1"/>
    <w:rsid w:val="00283F64"/>
    <w:rsid w:val="002840D0"/>
    <w:rsid w:val="0028421D"/>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0D72"/>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23E"/>
    <w:rsid w:val="0029450E"/>
    <w:rsid w:val="00294B1A"/>
    <w:rsid w:val="00294C0F"/>
    <w:rsid w:val="00294F77"/>
    <w:rsid w:val="0029551E"/>
    <w:rsid w:val="0029574D"/>
    <w:rsid w:val="00295922"/>
    <w:rsid w:val="00295C85"/>
    <w:rsid w:val="002962CB"/>
    <w:rsid w:val="002962D4"/>
    <w:rsid w:val="0029691D"/>
    <w:rsid w:val="00297206"/>
    <w:rsid w:val="00297465"/>
    <w:rsid w:val="002975D4"/>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1ED7"/>
    <w:rsid w:val="002A2129"/>
    <w:rsid w:val="002A2D08"/>
    <w:rsid w:val="002A2FA2"/>
    <w:rsid w:val="002A3215"/>
    <w:rsid w:val="002A33F4"/>
    <w:rsid w:val="002A3697"/>
    <w:rsid w:val="002A3796"/>
    <w:rsid w:val="002A38CF"/>
    <w:rsid w:val="002A3AED"/>
    <w:rsid w:val="002A3B3F"/>
    <w:rsid w:val="002A3B90"/>
    <w:rsid w:val="002A3E86"/>
    <w:rsid w:val="002A3F03"/>
    <w:rsid w:val="002A44B0"/>
    <w:rsid w:val="002A46F7"/>
    <w:rsid w:val="002A4859"/>
    <w:rsid w:val="002A4AB8"/>
    <w:rsid w:val="002A4F74"/>
    <w:rsid w:val="002A51C1"/>
    <w:rsid w:val="002A538D"/>
    <w:rsid w:val="002A5A02"/>
    <w:rsid w:val="002A5A51"/>
    <w:rsid w:val="002A5A64"/>
    <w:rsid w:val="002A5CF5"/>
    <w:rsid w:val="002A5D74"/>
    <w:rsid w:val="002A5F01"/>
    <w:rsid w:val="002A5F5D"/>
    <w:rsid w:val="002A5FBE"/>
    <w:rsid w:val="002A6ABB"/>
    <w:rsid w:val="002A6CE6"/>
    <w:rsid w:val="002A797E"/>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3A05"/>
    <w:rsid w:val="002B4001"/>
    <w:rsid w:val="002B409B"/>
    <w:rsid w:val="002B40EA"/>
    <w:rsid w:val="002B4392"/>
    <w:rsid w:val="002B4528"/>
    <w:rsid w:val="002B49D7"/>
    <w:rsid w:val="002B4A50"/>
    <w:rsid w:val="002B4B05"/>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540"/>
    <w:rsid w:val="002B782F"/>
    <w:rsid w:val="002B7843"/>
    <w:rsid w:val="002B7A02"/>
    <w:rsid w:val="002B7AE1"/>
    <w:rsid w:val="002B7B4D"/>
    <w:rsid w:val="002B7C88"/>
    <w:rsid w:val="002C0291"/>
    <w:rsid w:val="002C0439"/>
    <w:rsid w:val="002C0625"/>
    <w:rsid w:val="002C0678"/>
    <w:rsid w:val="002C1252"/>
    <w:rsid w:val="002C12D8"/>
    <w:rsid w:val="002C1391"/>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42D"/>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0DE"/>
    <w:rsid w:val="002D1359"/>
    <w:rsid w:val="002D155C"/>
    <w:rsid w:val="002D1637"/>
    <w:rsid w:val="002D1688"/>
    <w:rsid w:val="002D16B8"/>
    <w:rsid w:val="002D1729"/>
    <w:rsid w:val="002D1819"/>
    <w:rsid w:val="002D1B69"/>
    <w:rsid w:val="002D1BA5"/>
    <w:rsid w:val="002D1C46"/>
    <w:rsid w:val="002D1D4F"/>
    <w:rsid w:val="002D25B7"/>
    <w:rsid w:val="002D264F"/>
    <w:rsid w:val="002D26EC"/>
    <w:rsid w:val="002D2884"/>
    <w:rsid w:val="002D2A87"/>
    <w:rsid w:val="002D2BF5"/>
    <w:rsid w:val="002D2D0E"/>
    <w:rsid w:val="002D2D9E"/>
    <w:rsid w:val="002D2E54"/>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76A"/>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29"/>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C2F"/>
    <w:rsid w:val="002E4E2F"/>
    <w:rsid w:val="002E4F13"/>
    <w:rsid w:val="002E4FB7"/>
    <w:rsid w:val="002E5213"/>
    <w:rsid w:val="002E5392"/>
    <w:rsid w:val="002E5412"/>
    <w:rsid w:val="002E543D"/>
    <w:rsid w:val="002E577D"/>
    <w:rsid w:val="002E5BAA"/>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8B0"/>
    <w:rsid w:val="002F4DDB"/>
    <w:rsid w:val="002F4DF3"/>
    <w:rsid w:val="002F4EC1"/>
    <w:rsid w:val="002F5497"/>
    <w:rsid w:val="002F556F"/>
    <w:rsid w:val="002F5678"/>
    <w:rsid w:val="002F5818"/>
    <w:rsid w:val="002F5CE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1390"/>
    <w:rsid w:val="00302044"/>
    <w:rsid w:val="003020F4"/>
    <w:rsid w:val="003023A1"/>
    <w:rsid w:val="003025C7"/>
    <w:rsid w:val="0030360F"/>
    <w:rsid w:val="00303790"/>
    <w:rsid w:val="00303984"/>
    <w:rsid w:val="00303E57"/>
    <w:rsid w:val="00303FAF"/>
    <w:rsid w:val="00304072"/>
    <w:rsid w:val="00304161"/>
    <w:rsid w:val="00304201"/>
    <w:rsid w:val="003043A7"/>
    <w:rsid w:val="003043C9"/>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530"/>
    <w:rsid w:val="00306651"/>
    <w:rsid w:val="00306864"/>
    <w:rsid w:val="003069F9"/>
    <w:rsid w:val="00306C90"/>
    <w:rsid w:val="00306CCA"/>
    <w:rsid w:val="00307669"/>
    <w:rsid w:val="00307951"/>
    <w:rsid w:val="00307AEA"/>
    <w:rsid w:val="00307D23"/>
    <w:rsid w:val="00307DB7"/>
    <w:rsid w:val="00307EBE"/>
    <w:rsid w:val="00307F99"/>
    <w:rsid w:val="00310040"/>
    <w:rsid w:val="00310128"/>
    <w:rsid w:val="00310208"/>
    <w:rsid w:val="00310371"/>
    <w:rsid w:val="0031042D"/>
    <w:rsid w:val="0031058F"/>
    <w:rsid w:val="003107A6"/>
    <w:rsid w:val="0031089E"/>
    <w:rsid w:val="00310B1D"/>
    <w:rsid w:val="00310BD7"/>
    <w:rsid w:val="00310CE6"/>
    <w:rsid w:val="00310D69"/>
    <w:rsid w:val="00310E45"/>
    <w:rsid w:val="00310EA6"/>
    <w:rsid w:val="00311329"/>
    <w:rsid w:val="00311663"/>
    <w:rsid w:val="00311668"/>
    <w:rsid w:val="003116D4"/>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54"/>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90F"/>
    <w:rsid w:val="00326AC6"/>
    <w:rsid w:val="00326F42"/>
    <w:rsid w:val="00327220"/>
    <w:rsid w:val="003272AF"/>
    <w:rsid w:val="003275E4"/>
    <w:rsid w:val="003275F0"/>
    <w:rsid w:val="00327788"/>
    <w:rsid w:val="003278A7"/>
    <w:rsid w:val="00327C75"/>
    <w:rsid w:val="00327F0D"/>
    <w:rsid w:val="00330069"/>
    <w:rsid w:val="003300A0"/>
    <w:rsid w:val="00330144"/>
    <w:rsid w:val="003302D8"/>
    <w:rsid w:val="0033032C"/>
    <w:rsid w:val="003304A1"/>
    <w:rsid w:val="0033052A"/>
    <w:rsid w:val="00330999"/>
    <w:rsid w:val="0033103C"/>
    <w:rsid w:val="00331316"/>
    <w:rsid w:val="0033133C"/>
    <w:rsid w:val="0033161D"/>
    <w:rsid w:val="00331864"/>
    <w:rsid w:val="003319A1"/>
    <w:rsid w:val="00331FF5"/>
    <w:rsid w:val="0033244F"/>
    <w:rsid w:val="0033283F"/>
    <w:rsid w:val="00332BF1"/>
    <w:rsid w:val="00332C1D"/>
    <w:rsid w:val="00332EF9"/>
    <w:rsid w:val="00332F67"/>
    <w:rsid w:val="00333005"/>
    <w:rsid w:val="00333597"/>
    <w:rsid w:val="00333611"/>
    <w:rsid w:val="003340BD"/>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6EB7"/>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6F1"/>
    <w:rsid w:val="00343FC9"/>
    <w:rsid w:val="003444BC"/>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48C6"/>
    <w:rsid w:val="0035500F"/>
    <w:rsid w:val="0035552E"/>
    <w:rsid w:val="00355564"/>
    <w:rsid w:val="00355796"/>
    <w:rsid w:val="003557D3"/>
    <w:rsid w:val="00355828"/>
    <w:rsid w:val="00355872"/>
    <w:rsid w:val="00355B00"/>
    <w:rsid w:val="00355C09"/>
    <w:rsid w:val="003561EE"/>
    <w:rsid w:val="00356418"/>
    <w:rsid w:val="003564CC"/>
    <w:rsid w:val="0035689D"/>
    <w:rsid w:val="00356D90"/>
    <w:rsid w:val="00356E38"/>
    <w:rsid w:val="00356F95"/>
    <w:rsid w:val="0035721C"/>
    <w:rsid w:val="00357456"/>
    <w:rsid w:val="00357653"/>
    <w:rsid w:val="003576A1"/>
    <w:rsid w:val="003576DA"/>
    <w:rsid w:val="003577EB"/>
    <w:rsid w:val="00357B6E"/>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18E"/>
    <w:rsid w:val="00363230"/>
    <w:rsid w:val="0036407C"/>
    <w:rsid w:val="003644B2"/>
    <w:rsid w:val="00364897"/>
    <w:rsid w:val="00364B80"/>
    <w:rsid w:val="00364D53"/>
    <w:rsid w:val="00364D74"/>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946"/>
    <w:rsid w:val="00372E83"/>
    <w:rsid w:val="003730E2"/>
    <w:rsid w:val="0037314C"/>
    <w:rsid w:val="003731C2"/>
    <w:rsid w:val="003733F4"/>
    <w:rsid w:val="00373747"/>
    <w:rsid w:val="00373860"/>
    <w:rsid w:val="00373DBC"/>
    <w:rsid w:val="00373DDB"/>
    <w:rsid w:val="00373F9C"/>
    <w:rsid w:val="00374076"/>
    <w:rsid w:val="00374220"/>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AE5"/>
    <w:rsid w:val="00381B26"/>
    <w:rsid w:val="00381FDA"/>
    <w:rsid w:val="003820FF"/>
    <w:rsid w:val="003824B9"/>
    <w:rsid w:val="003824E4"/>
    <w:rsid w:val="003824EB"/>
    <w:rsid w:val="00382610"/>
    <w:rsid w:val="003827AA"/>
    <w:rsid w:val="00382B1B"/>
    <w:rsid w:val="00383044"/>
    <w:rsid w:val="00383333"/>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536"/>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5EF5"/>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3FF"/>
    <w:rsid w:val="003A46A8"/>
    <w:rsid w:val="003A4869"/>
    <w:rsid w:val="003A4970"/>
    <w:rsid w:val="003A49E2"/>
    <w:rsid w:val="003A4CC6"/>
    <w:rsid w:val="003A4D01"/>
    <w:rsid w:val="003A4F18"/>
    <w:rsid w:val="003A5479"/>
    <w:rsid w:val="003A54DE"/>
    <w:rsid w:val="003A57F9"/>
    <w:rsid w:val="003A5C1B"/>
    <w:rsid w:val="003A5DC7"/>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ACC"/>
    <w:rsid w:val="003B0C0A"/>
    <w:rsid w:val="003B0D76"/>
    <w:rsid w:val="003B0EA0"/>
    <w:rsid w:val="003B155C"/>
    <w:rsid w:val="003B16DB"/>
    <w:rsid w:val="003B1E19"/>
    <w:rsid w:val="003B1F33"/>
    <w:rsid w:val="003B20B4"/>
    <w:rsid w:val="003B2B5F"/>
    <w:rsid w:val="003B2E10"/>
    <w:rsid w:val="003B31D7"/>
    <w:rsid w:val="003B33CE"/>
    <w:rsid w:val="003B343D"/>
    <w:rsid w:val="003B391B"/>
    <w:rsid w:val="003B3A2C"/>
    <w:rsid w:val="003B416D"/>
    <w:rsid w:val="003B43C3"/>
    <w:rsid w:val="003B467B"/>
    <w:rsid w:val="003B4848"/>
    <w:rsid w:val="003B4936"/>
    <w:rsid w:val="003B4A94"/>
    <w:rsid w:val="003B4C03"/>
    <w:rsid w:val="003B4F8A"/>
    <w:rsid w:val="003B551C"/>
    <w:rsid w:val="003B56D7"/>
    <w:rsid w:val="003B5847"/>
    <w:rsid w:val="003B5882"/>
    <w:rsid w:val="003B5A7E"/>
    <w:rsid w:val="003B5D24"/>
    <w:rsid w:val="003B5EAE"/>
    <w:rsid w:val="003B62EA"/>
    <w:rsid w:val="003B6508"/>
    <w:rsid w:val="003B6B11"/>
    <w:rsid w:val="003B6CDF"/>
    <w:rsid w:val="003B78D5"/>
    <w:rsid w:val="003B79D6"/>
    <w:rsid w:val="003B7CC1"/>
    <w:rsid w:val="003B7F1E"/>
    <w:rsid w:val="003C00C3"/>
    <w:rsid w:val="003C0117"/>
    <w:rsid w:val="003C0338"/>
    <w:rsid w:val="003C03B6"/>
    <w:rsid w:val="003C04DA"/>
    <w:rsid w:val="003C0A82"/>
    <w:rsid w:val="003C0DAF"/>
    <w:rsid w:val="003C1074"/>
    <w:rsid w:val="003C10B2"/>
    <w:rsid w:val="003C11E9"/>
    <w:rsid w:val="003C123E"/>
    <w:rsid w:val="003C1267"/>
    <w:rsid w:val="003C137A"/>
    <w:rsid w:val="003C1467"/>
    <w:rsid w:val="003C179A"/>
    <w:rsid w:val="003C1911"/>
    <w:rsid w:val="003C1B05"/>
    <w:rsid w:val="003C1B4F"/>
    <w:rsid w:val="003C1C96"/>
    <w:rsid w:val="003C1CD8"/>
    <w:rsid w:val="003C1D7D"/>
    <w:rsid w:val="003C2288"/>
    <w:rsid w:val="003C2B48"/>
    <w:rsid w:val="003C2C98"/>
    <w:rsid w:val="003C31E0"/>
    <w:rsid w:val="003C331C"/>
    <w:rsid w:val="003C3336"/>
    <w:rsid w:val="003C3727"/>
    <w:rsid w:val="003C380E"/>
    <w:rsid w:val="003C39E6"/>
    <w:rsid w:val="003C3A11"/>
    <w:rsid w:val="003C3BAE"/>
    <w:rsid w:val="003C3E2C"/>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468"/>
    <w:rsid w:val="003D5526"/>
    <w:rsid w:val="003D5B17"/>
    <w:rsid w:val="003D5B32"/>
    <w:rsid w:val="003D660C"/>
    <w:rsid w:val="003D6961"/>
    <w:rsid w:val="003D709E"/>
    <w:rsid w:val="003D73BD"/>
    <w:rsid w:val="003D79C7"/>
    <w:rsid w:val="003D7AF7"/>
    <w:rsid w:val="003D7B70"/>
    <w:rsid w:val="003D7CCE"/>
    <w:rsid w:val="003D7F6D"/>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670"/>
    <w:rsid w:val="003E4ED6"/>
    <w:rsid w:val="003E5242"/>
    <w:rsid w:val="003E5587"/>
    <w:rsid w:val="003E57A2"/>
    <w:rsid w:val="003E5824"/>
    <w:rsid w:val="003E588C"/>
    <w:rsid w:val="003E5930"/>
    <w:rsid w:val="003E5FC5"/>
    <w:rsid w:val="003E63A2"/>
    <w:rsid w:val="003E65D7"/>
    <w:rsid w:val="003E6BFB"/>
    <w:rsid w:val="003E7465"/>
    <w:rsid w:val="003E7483"/>
    <w:rsid w:val="003E7D26"/>
    <w:rsid w:val="003E7F02"/>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328"/>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5C6"/>
    <w:rsid w:val="00401930"/>
    <w:rsid w:val="00401983"/>
    <w:rsid w:val="00401ABD"/>
    <w:rsid w:val="00401B73"/>
    <w:rsid w:val="004023F7"/>
    <w:rsid w:val="00402919"/>
    <w:rsid w:val="00402B9B"/>
    <w:rsid w:val="00402C93"/>
    <w:rsid w:val="00402CED"/>
    <w:rsid w:val="00403437"/>
    <w:rsid w:val="0040363C"/>
    <w:rsid w:val="004036AF"/>
    <w:rsid w:val="0040371E"/>
    <w:rsid w:val="00403A08"/>
    <w:rsid w:val="00403A0F"/>
    <w:rsid w:val="00403BE7"/>
    <w:rsid w:val="00403F51"/>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6FA"/>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3CE"/>
    <w:rsid w:val="004174A0"/>
    <w:rsid w:val="00417956"/>
    <w:rsid w:val="004179AE"/>
    <w:rsid w:val="00417F88"/>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5E"/>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86A"/>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6A05"/>
    <w:rsid w:val="00437337"/>
    <w:rsid w:val="0043734E"/>
    <w:rsid w:val="004373B8"/>
    <w:rsid w:val="00437550"/>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2FDF"/>
    <w:rsid w:val="00443050"/>
    <w:rsid w:val="00443221"/>
    <w:rsid w:val="004432EB"/>
    <w:rsid w:val="00443352"/>
    <w:rsid w:val="0044336F"/>
    <w:rsid w:val="004438B7"/>
    <w:rsid w:val="004439F1"/>
    <w:rsid w:val="004440E8"/>
    <w:rsid w:val="0044417A"/>
    <w:rsid w:val="0044434A"/>
    <w:rsid w:val="0044437F"/>
    <w:rsid w:val="00444447"/>
    <w:rsid w:val="004446ED"/>
    <w:rsid w:val="00444D9A"/>
    <w:rsid w:val="00445124"/>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3A1"/>
    <w:rsid w:val="00447508"/>
    <w:rsid w:val="004477E9"/>
    <w:rsid w:val="00447B50"/>
    <w:rsid w:val="00447EB2"/>
    <w:rsid w:val="004501F3"/>
    <w:rsid w:val="004503C4"/>
    <w:rsid w:val="00450515"/>
    <w:rsid w:val="0045090E"/>
    <w:rsid w:val="00450AD8"/>
    <w:rsid w:val="00450B8C"/>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8B3"/>
    <w:rsid w:val="00454D9A"/>
    <w:rsid w:val="00455223"/>
    <w:rsid w:val="0045576D"/>
    <w:rsid w:val="00455A56"/>
    <w:rsid w:val="00456230"/>
    <w:rsid w:val="0045665B"/>
    <w:rsid w:val="00456819"/>
    <w:rsid w:val="00456A56"/>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00D"/>
    <w:rsid w:val="00464BAF"/>
    <w:rsid w:val="00464C2B"/>
    <w:rsid w:val="00464CF4"/>
    <w:rsid w:val="00464F50"/>
    <w:rsid w:val="004650F5"/>
    <w:rsid w:val="00465422"/>
    <w:rsid w:val="00465562"/>
    <w:rsid w:val="00465C8E"/>
    <w:rsid w:val="00465CB6"/>
    <w:rsid w:val="00465DFD"/>
    <w:rsid w:val="0046630F"/>
    <w:rsid w:val="004663C3"/>
    <w:rsid w:val="004666C7"/>
    <w:rsid w:val="0046686F"/>
    <w:rsid w:val="00466E73"/>
    <w:rsid w:val="00466F69"/>
    <w:rsid w:val="00467057"/>
    <w:rsid w:val="0046706B"/>
    <w:rsid w:val="004677A5"/>
    <w:rsid w:val="00467815"/>
    <w:rsid w:val="00467916"/>
    <w:rsid w:val="00467D9B"/>
    <w:rsid w:val="00467DD1"/>
    <w:rsid w:val="0047000B"/>
    <w:rsid w:val="004703CF"/>
    <w:rsid w:val="004709A0"/>
    <w:rsid w:val="00470B8B"/>
    <w:rsid w:val="00470D19"/>
    <w:rsid w:val="00471284"/>
    <w:rsid w:val="004712D4"/>
    <w:rsid w:val="0047147A"/>
    <w:rsid w:val="004715E7"/>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9A7"/>
    <w:rsid w:val="00474A6A"/>
    <w:rsid w:val="00474EF0"/>
    <w:rsid w:val="00475090"/>
    <w:rsid w:val="00475233"/>
    <w:rsid w:val="00475418"/>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17AC"/>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53F"/>
    <w:rsid w:val="00485673"/>
    <w:rsid w:val="00485B71"/>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80"/>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CE2"/>
    <w:rsid w:val="00497F5E"/>
    <w:rsid w:val="004A00B0"/>
    <w:rsid w:val="004A10F9"/>
    <w:rsid w:val="004A16BB"/>
    <w:rsid w:val="004A171B"/>
    <w:rsid w:val="004A1A36"/>
    <w:rsid w:val="004A1C9C"/>
    <w:rsid w:val="004A1D91"/>
    <w:rsid w:val="004A207E"/>
    <w:rsid w:val="004A2148"/>
    <w:rsid w:val="004A2151"/>
    <w:rsid w:val="004A2358"/>
    <w:rsid w:val="004A2385"/>
    <w:rsid w:val="004A27CE"/>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724"/>
    <w:rsid w:val="004B2835"/>
    <w:rsid w:val="004B28C5"/>
    <w:rsid w:val="004B323F"/>
    <w:rsid w:val="004B326B"/>
    <w:rsid w:val="004B329D"/>
    <w:rsid w:val="004B32F8"/>
    <w:rsid w:val="004B3476"/>
    <w:rsid w:val="004B36AE"/>
    <w:rsid w:val="004B3DB4"/>
    <w:rsid w:val="004B3FAE"/>
    <w:rsid w:val="004B40A8"/>
    <w:rsid w:val="004B4672"/>
    <w:rsid w:val="004B4745"/>
    <w:rsid w:val="004B4766"/>
    <w:rsid w:val="004B4837"/>
    <w:rsid w:val="004B5819"/>
    <w:rsid w:val="004B58F5"/>
    <w:rsid w:val="004B5B48"/>
    <w:rsid w:val="004B5C63"/>
    <w:rsid w:val="004B5E52"/>
    <w:rsid w:val="004B605A"/>
    <w:rsid w:val="004B6174"/>
    <w:rsid w:val="004B6663"/>
    <w:rsid w:val="004B67A4"/>
    <w:rsid w:val="004B6A3D"/>
    <w:rsid w:val="004B6BC6"/>
    <w:rsid w:val="004B6E89"/>
    <w:rsid w:val="004B6F99"/>
    <w:rsid w:val="004B7414"/>
    <w:rsid w:val="004B74AD"/>
    <w:rsid w:val="004B781D"/>
    <w:rsid w:val="004B7997"/>
    <w:rsid w:val="004B7AB6"/>
    <w:rsid w:val="004B7E45"/>
    <w:rsid w:val="004B7FE2"/>
    <w:rsid w:val="004C01A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340"/>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69B"/>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2CA"/>
    <w:rsid w:val="004E357A"/>
    <w:rsid w:val="004E35EE"/>
    <w:rsid w:val="004E3800"/>
    <w:rsid w:val="004E3861"/>
    <w:rsid w:val="004E390B"/>
    <w:rsid w:val="004E434A"/>
    <w:rsid w:val="004E4A0B"/>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90"/>
    <w:rsid w:val="004F60A6"/>
    <w:rsid w:val="004F68C9"/>
    <w:rsid w:val="004F6E0C"/>
    <w:rsid w:val="004F70F0"/>
    <w:rsid w:val="004F712C"/>
    <w:rsid w:val="004F7174"/>
    <w:rsid w:val="004F7AF1"/>
    <w:rsid w:val="004F7C43"/>
    <w:rsid w:val="004F7D96"/>
    <w:rsid w:val="004F7E98"/>
    <w:rsid w:val="00500320"/>
    <w:rsid w:val="005005C8"/>
    <w:rsid w:val="00500DD0"/>
    <w:rsid w:val="00500EDC"/>
    <w:rsid w:val="00500F4E"/>
    <w:rsid w:val="00500F5E"/>
    <w:rsid w:val="005010BA"/>
    <w:rsid w:val="005010F0"/>
    <w:rsid w:val="005012AA"/>
    <w:rsid w:val="005012CF"/>
    <w:rsid w:val="005013A1"/>
    <w:rsid w:val="00501773"/>
    <w:rsid w:val="005018BA"/>
    <w:rsid w:val="00501DE6"/>
    <w:rsid w:val="00501E11"/>
    <w:rsid w:val="00501EB9"/>
    <w:rsid w:val="00501F11"/>
    <w:rsid w:val="005022A5"/>
    <w:rsid w:val="00502352"/>
    <w:rsid w:val="0050278D"/>
    <w:rsid w:val="00502A36"/>
    <w:rsid w:val="00502BB7"/>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750"/>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A60"/>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D8C"/>
    <w:rsid w:val="00516F04"/>
    <w:rsid w:val="00517005"/>
    <w:rsid w:val="00517153"/>
    <w:rsid w:val="005171D1"/>
    <w:rsid w:val="005174C6"/>
    <w:rsid w:val="00517868"/>
    <w:rsid w:val="00517CD4"/>
    <w:rsid w:val="00520066"/>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D06"/>
    <w:rsid w:val="00523EB9"/>
    <w:rsid w:val="0052417B"/>
    <w:rsid w:val="00524469"/>
    <w:rsid w:val="00524A9C"/>
    <w:rsid w:val="00525397"/>
    <w:rsid w:val="00525956"/>
    <w:rsid w:val="00525A82"/>
    <w:rsid w:val="00525B0E"/>
    <w:rsid w:val="00525B92"/>
    <w:rsid w:val="00525BED"/>
    <w:rsid w:val="00525D89"/>
    <w:rsid w:val="0052633E"/>
    <w:rsid w:val="00526501"/>
    <w:rsid w:val="005266F4"/>
    <w:rsid w:val="0052675C"/>
    <w:rsid w:val="0052679A"/>
    <w:rsid w:val="00526931"/>
    <w:rsid w:val="005269EC"/>
    <w:rsid w:val="00526CEC"/>
    <w:rsid w:val="00526D46"/>
    <w:rsid w:val="00526EDC"/>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5FEA"/>
    <w:rsid w:val="00536332"/>
    <w:rsid w:val="0053655B"/>
    <w:rsid w:val="00536601"/>
    <w:rsid w:val="0053684B"/>
    <w:rsid w:val="00536B78"/>
    <w:rsid w:val="00536BE9"/>
    <w:rsid w:val="00537174"/>
    <w:rsid w:val="005373DF"/>
    <w:rsid w:val="00537433"/>
    <w:rsid w:val="005376F2"/>
    <w:rsid w:val="00537A19"/>
    <w:rsid w:val="00537A4C"/>
    <w:rsid w:val="00540308"/>
    <w:rsid w:val="00540322"/>
    <w:rsid w:val="00540BDC"/>
    <w:rsid w:val="00540D81"/>
    <w:rsid w:val="00541519"/>
    <w:rsid w:val="00541BF0"/>
    <w:rsid w:val="00541C34"/>
    <w:rsid w:val="00542330"/>
    <w:rsid w:val="00542821"/>
    <w:rsid w:val="00542A12"/>
    <w:rsid w:val="00542B06"/>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DC8"/>
    <w:rsid w:val="00544FCF"/>
    <w:rsid w:val="005450A2"/>
    <w:rsid w:val="005450DC"/>
    <w:rsid w:val="0054524E"/>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47BDB"/>
    <w:rsid w:val="00547CE6"/>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5EE0"/>
    <w:rsid w:val="00556356"/>
    <w:rsid w:val="00556D0E"/>
    <w:rsid w:val="0055716D"/>
    <w:rsid w:val="005571A6"/>
    <w:rsid w:val="005572B8"/>
    <w:rsid w:val="005572CC"/>
    <w:rsid w:val="005572CD"/>
    <w:rsid w:val="0055745F"/>
    <w:rsid w:val="00557621"/>
    <w:rsid w:val="0055771A"/>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3FC8"/>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67C"/>
    <w:rsid w:val="005677CF"/>
    <w:rsid w:val="00567AEE"/>
    <w:rsid w:val="00567CEE"/>
    <w:rsid w:val="00567E2C"/>
    <w:rsid w:val="00567F7D"/>
    <w:rsid w:val="005700DB"/>
    <w:rsid w:val="0057014E"/>
    <w:rsid w:val="005702BD"/>
    <w:rsid w:val="0057040F"/>
    <w:rsid w:val="00570950"/>
    <w:rsid w:val="0057096F"/>
    <w:rsid w:val="00570D57"/>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02D"/>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742"/>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23D"/>
    <w:rsid w:val="00590750"/>
    <w:rsid w:val="00590907"/>
    <w:rsid w:val="00590B0F"/>
    <w:rsid w:val="005911A2"/>
    <w:rsid w:val="0059130F"/>
    <w:rsid w:val="00591459"/>
    <w:rsid w:val="00592283"/>
    <w:rsid w:val="00592385"/>
    <w:rsid w:val="005923A1"/>
    <w:rsid w:val="0059241D"/>
    <w:rsid w:val="00592491"/>
    <w:rsid w:val="0059266B"/>
    <w:rsid w:val="00592AC1"/>
    <w:rsid w:val="0059346F"/>
    <w:rsid w:val="00593765"/>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AC6"/>
    <w:rsid w:val="00596C07"/>
    <w:rsid w:val="00596CA8"/>
    <w:rsid w:val="00596DB6"/>
    <w:rsid w:val="00597074"/>
    <w:rsid w:val="005976DB"/>
    <w:rsid w:val="00597AA7"/>
    <w:rsid w:val="00597B2F"/>
    <w:rsid w:val="00597CA1"/>
    <w:rsid w:val="005A0273"/>
    <w:rsid w:val="005A0956"/>
    <w:rsid w:val="005A0A13"/>
    <w:rsid w:val="005A115D"/>
    <w:rsid w:val="005A16DC"/>
    <w:rsid w:val="005A17D7"/>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A92"/>
    <w:rsid w:val="005A5DE6"/>
    <w:rsid w:val="005A5E6F"/>
    <w:rsid w:val="005A626B"/>
    <w:rsid w:val="005A6381"/>
    <w:rsid w:val="005A6858"/>
    <w:rsid w:val="005A697D"/>
    <w:rsid w:val="005A6AFA"/>
    <w:rsid w:val="005A6BA0"/>
    <w:rsid w:val="005A72F2"/>
    <w:rsid w:val="005A7E22"/>
    <w:rsid w:val="005A7ED9"/>
    <w:rsid w:val="005B0096"/>
    <w:rsid w:val="005B02C2"/>
    <w:rsid w:val="005B0341"/>
    <w:rsid w:val="005B0399"/>
    <w:rsid w:val="005B0855"/>
    <w:rsid w:val="005B09C2"/>
    <w:rsid w:val="005B0A4B"/>
    <w:rsid w:val="005B0CA7"/>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4D"/>
    <w:rsid w:val="005B74D2"/>
    <w:rsid w:val="005B770C"/>
    <w:rsid w:val="005B7B3E"/>
    <w:rsid w:val="005B7D74"/>
    <w:rsid w:val="005C01D1"/>
    <w:rsid w:val="005C04FD"/>
    <w:rsid w:val="005C0CD5"/>
    <w:rsid w:val="005C128B"/>
    <w:rsid w:val="005C1616"/>
    <w:rsid w:val="005C169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077"/>
    <w:rsid w:val="005C5E1B"/>
    <w:rsid w:val="005C5E34"/>
    <w:rsid w:val="005C5EC6"/>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2F6B"/>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3B"/>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28DD"/>
    <w:rsid w:val="006030B5"/>
    <w:rsid w:val="00603291"/>
    <w:rsid w:val="00603581"/>
    <w:rsid w:val="00603630"/>
    <w:rsid w:val="0060382E"/>
    <w:rsid w:val="00603CFA"/>
    <w:rsid w:val="00603D1C"/>
    <w:rsid w:val="00604174"/>
    <w:rsid w:val="006044E8"/>
    <w:rsid w:val="006046CA"/>
    <w:rsid w:val="006047D4"/>
    <w:rsid w:val="006049FB"/>
    <w:rsid w:val="00604DBE"/>
    <w:rsid w:val="0060510E"/>
    <w:rsid w:val="00605297"/>
    <w:rsid w:val="006057C2"/>
    <w:rsid w:val="006058CF"/>
    <w:rsid w:val="0060593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4D8"/>
    <w:rsid w:val="00607982"/>
    <w:rsid w:val="00607A0E"/>
    <w:rsid w:val="00607D48"/>
    <w:rsid w:val="00610039"/>
    <w:rsid w:val="00610381"/>
    <w:rsid w:val="00610581"/>
    <w:rsid w:val="006108EE"/>
    <w:rsid w:val="00610917"/>
    <w:rsid w:val="006109E3"/>
    <w:rsid w:val="00610A2A"/>
    <w:rsid w:val="00610D2E"/>
    <w:rsid w:val="00610D5D"/>
    <w:rsid w:val="0061111D"/>
    <w:rsid w:val="006111BA"/>
    <w:rsid w:val="0061145A"/>
    <w:rsid w:val="0061183C"/>
    <w:rsid w:val="00611976"/>
    <w:rsid w:val="00611B68"/>
    <w:rsid w:val="00611C07"/>
    <w:rsid w:val="00611C8F"/>
    <w:rsid w:val="00611E07"/>
    <w:rsid w:val="00611EDB"/>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78B"/>
    <w:rsid w:val="00616910"/>
    <w:rsid w:val="00616945"/>
    <w:rsid w:val="006169EE"/>
    <w:rsid w:val="00616FF4"/>
    <w:rsid w:val="00617050"/>
    <w:rsid w:val="006171E8"/>
    <w:rsid w:val="006171E9"/>
    <w:rsid w:val="00617982"/>
    <w:rsid w:val="00617BE1"/>
    <w:rsid w:val="00617C13"/>
    <w:rsid w:val="00617F7C"/>
    <w:rsid w:val="00620E86"/>
    <w:rsid w:val="006210E1"/>
    <w:rsid w:val="00621286"/>
    <w:rsid w:val="0062155F"/>
    <w:rsid w:val="006217BD"/>
    <w:rsid w:val="006219DD"/>
    <w:rsid w:val="00621AD4"/>
    <w:rsid w:val="00621D63"/>
    <w:rsid w:val="00621DEE"/>
    <w:rsid w:val="00621E48"/>
    <w:rsid w:val="00622172"/>
    <w:rsid w:val="00622A16"/>
    <w:rsid w:val="00622B91"/>
    <w:rsid w:val="00622DBA"/>
    <w:rsid w:val="00622EA7"/>
    <w:rsid w:val="00623472"/>
    <w:rsid w:val="0062372F"/>
    <w:rsid w:val="00623940"/>
    <w:rsid w:val="00623DAF"/>
    <w:rsid w:val="00623DCE"/>
    <w:rsid w:val="006242BF"/>
    <w:rsid w:val="00624678"/>
    <w:rsid w:val="006246FE"/>
    <w:rsid w:val="00624717"/>
    <w:rsid w:val="006248F5"/>
    <w:rsid w:val="00624E4E"/>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2AFD"/>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5E"/>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26D"/>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55F"/>
    <w:rsid w:val="006507FC"/>
    <w:rsid w:val="006507FD"/>
    <w:rsid w:val="0065082F"/>
    <w:rsid w:val="006509F9"/>
    <w:rsid w:val="00650BC1"/>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422"/>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264"/>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BA2"/>
    <w:rsid w:val="00665DA2"/>
    <w:rsid w:val="0066601A"/>
    <w:rsid w:val="006660F5"/>
    <w:rsid w:val="00666238"/>
    <w:rsid w:val="0066623A"/>
    <w:rsid w:val="00666285"/>
    <w:rsid w:val="00666443"/>
    <w:rsid w:val="00666480"/>
    <w:rsid w:val="006667CC"/>
    <w:rsid w:val="00666D34"/>
    <w:rsid w:val="00667069"/>
    <w:rsid w:val="0066731A"/>
    <w:rsid w:val="00667476"/>
    <w:rsid w:val="00667819"/>
    <w:rsid w:val="00667E3E"/>
    <w:rsid w:val="00667F07"/>
    <w:rsid w:val="00670B9B"/>
    <w:rsid w:val="00670BCE"/>
    <w:rsid w:val="00670BE7"/>
    <w:rsid w:val="00670D78"/>
    <w:rsid w:val="00670DCB"/>
    <w:rsid w:val="00670FEA"/>
    <w:rsid w:val="00671162"/>
    <w:rsid w:val="00671267"/>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53"/>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5F8"/>
    <w:rsid w:val="00694C5F"/>
    <w:rsid w:val="006952A8"/>
    <w:rsid w:val="0069557A"/>
    <w:rsid w:val="00695597"/>
    <w:rsid w:val="00695896"/>
    <w:rsid w:val="00695EF1"/>
    <w:rsid w:val="00696411"/>
    <w:rsid w:val="00696A89"/>
    <w:rsid w:val="00696F75"/>
    <w:rsid w:val="00696FBB"/>
    <w:rsid w:val="00696FEC"/>
    <w:rsid w:val="00697165"/>
    <w:rsid w:val="00697431"/>
    <w:rsid w:val="00697477"/>
    <w:rsid w:val="00697532"/>
    <w:rsid w:val="00697D97"/>
    <w:rsid w:val="00697F2B"/>
    <w:rsid w:val="006A0047"/>
    <w:rsid w:val="006A0116"/>
    <w:rsid w:val="006A01C4"/>
    <w:rsid w:val="006A02D7"/>
    <w:rsid w:val="006A037E"/>
    <w:rsid w:val="006A0958"/>
    <w:rsid w:val="006A0CC8"/>
    <w:rsid w:val="006A0F9D"/>
    <w:rsid w:val="006A1D7D"/>
    <w:rsid w:val="006A1E12"/>
    <w:rsid w:val="006A2019"/>
    <w:rsid w:val="006A21CC"/>
    <w:rsid w:val="006A2944"/>
    <w:rsid w:val="006A294D"/>
    <w:rsid w:val="006A302B"/>
    <w:rsid w:val="006A30E6"/>
    <w:rsid w:val="006A3CBB"/>
    <w:rsid w:val="006A3D41"/>
    <w:rsid w:val="006A4022"/>
    <w:rsid w:val="006A4C19"/>
    <w:rsid w:val="006A511D"/>
    <w:rsid w:val="006A53F3"/>
    <w:rsid w:val="006A54B5"/>
    <w:rsid w:val="006A55B9"/>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55A0"/>
    <w:rsid w:val="006B62A0"/>
    <w:rsid w:val="006B62B4"/>
    <w:rsid w:val="006B650F"/>
    <w:rsid w:val="006B6584"/>
    <w:rsid w:val="006B659C"/>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1B28"/>
    <w:rsid w:val="006C26D6"/>
    <w:rsid w:val="006C2C87"/>
    <w:rsid w:val="006C2D2C"/>
    <w:rsid w:val="006C2D3A"/>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6AF"/>
    <w:rsid w:val="006D37A4"/>
    <w:rsid w:val="006D381C"/>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458"/>
    <w:rsid w:val="006E16BB"/>
    <w:rsid w:val="006E1B15"/>
    <w:rsid w:val="006E1CC8"/>
    <w:rsid w:val="006E1DA5"/>
    <w:rsid w:val="006E220A"/>
    <w:rsid w:val="006E27F1"/>
    <w:rsid w:val="006E2E12"/>
    <w:rsid w:val="006E2F36"/>
    <w:rsid w:val="006E346A"/>
    <w:rsid w:val="006E3749"/>
    <w:rsid w:val="006E3C8A"/>
    <w:rsid w:val="006E3E0D"/>
    <w:rsid w:val="006E3EA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3DA"/>
    <w:rsid w:val="006E7745"/>
    <w:rsid w:val="006E77B3"/>
    <w:rsid w:val="006E783D"/>
    <w:rsid w:val="006E799D"/>
    <w:rsid w:val="006E79FB"/>
    <w:rsid w:val="006E7BA7"/>
    <w:rsid w:val="006E7E32"/>
    <w:rsid w:val="006E7FA2"/>
    <w:rsid w:val="006F0036"/>
    <w:rsid w:val="006F024E"/>
    <w:rsid w:val="006F0453"/>
    <w:rsid w:val="006F0D97"/>
    <w:rsid w:val="006F10D4"/>
    <w:rsid w:val="006F1233"/>
    <w:rsid w:val="006F1244"/>
    <w:rsid w:val="006F1593"/>
    <w:rsid w:val="006F172C"/>
    <w:rsid w:val="006F21C6"/>
    <w:rsid w:val="006F27E0"/>
    <w:rsid w:val="006F28D9"/>
    <w:rsid w:val="006F2A7F"/>
    <w:rsid w:val="006F2F67"/>
    <w:rsid w:val="006F30EF"/>
    <w:rsid w:val="006F3625"/>
    <w:rsid w:val="006F3CA4"/>
    <w:rsid w:val="006F4148"/>
    <w:rsid w:val="006F41AA"/>
    <w:rsid w:val="006F44C9"/>
    <w:rsid w:val="006F4986"/>
    <w:rsid w:val="006F4DE0"/>
    <w:rsid w:val="006F4EF0"/>
    <w:rsid w:val="006F4FB2"/>
    <w:rsid w:val="006F515A"/>
    <w:rsid w:val="006F5BCB"/>
    <w:rsid w:val="006F5BF3"/>
    <w:rsid w:val="006F5C1C"/>
    <w:rsid w:val="006F5C90"/>
    <w:rsid w:val="006F5DB5"/>
    <w:rsid w:val="006F5E2D"/>
    <w:rsid w:val="006F62C5"/>
    <w:rsid w:val="006F6483"/>
    <w:rsid w:val="006F697C"/>
    <w:rsid w:val="006F6C04"/>
    <w:rsid w:val="006F6EEB"/>
    <w:rsid w:val="006F7316"/>
    <w:rsid w:val="006F7332"/>
    <w:rsid w:val="006F76A0"/>
    <w:rsid w:val="006F7AF3"/>
    <w:rsid w:val="006F7BB6"/>
    <w:rsid w:val="006F7C90"/>
    <w:rsid w:val="007006EE"/>
    <w:rsid w:val="00700949"/>
    <w:rsid w:val="00700B08"/>
    <w:rsid w:val="00700E47"/>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CB5"/>
    <w:rsid w:val="00703F00"/>
    <w:rsid w:val="00703F97"/>
    <w:rsid w:val="0070407E"/>
    <w:rsid w:val="0070449C"/>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0EA7"/>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2F1C"/>
    <w:rsid w:val="0072327F"/>
    <w:rsid w:val="007233E9"/>
    <w:rsid w:val="007235B1"/>
    <w:rsid w:val="00723840"/>
    <w:rsid w:val="007238C4"/>
    <w:rsid w:val="007238EE"/>
    <w:rsid w:val="00723B3D"/>
    <w:rsid w:val="00724A39"/>
    <w:rsid w:val="00725354"/>
    <w:rsid w:val="0072537E"/>
    <w:rsid w:val="00726000"/>
    <w:rsid w:val="0072603B"/>
    <w:rsid w:val="007262B2"/>
    <w:rsid w:val="0072656E"/>
    <w:rsid w:val="007265DB"/>
    <w:rsid w:val="007266DF"/>
    <w:rsid w:val="00726756"/>
    <w:rsid w:val="00726989"/>
    <w:rsid w:val="00726A30"/>
    <w:rsid w:val="00726C1E"/>
    <w:rsid w:val="00726FEB"/>
    <w:rsid w:val="0072722E"/>
    <w:rsid w:val="0072771B"/>
    <w:rsid w:val="007278F8"/>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2C"/>
    <w:rsid w:val="00734CE1"/>
    <w:rsid w:val="00734E65"/>
    <w:rsid w:val="00734E9B"/>
    <w:rsid w:val="00735107"/>
    <w:rsid w:val="00735687"/>
    <w:rsid w:val="007356BF"/>
    <w:rsid w:val="00735972"/>
    <w:rsid w:val="00735B0B"/>
    <w:rsid w:val="00736247"/>
    <w:rsid w:val="00736376"/>
    <w:rsid w:val="007366B4"/>
    <w:rsid w:val="00736F40"/>
    <w:rsid w:val="00736FD3"/>
    <w:rsid w:val="00737424"/>
    <w:rsid w:val="007378AD"/>
    <w:rsid w:val="007378C0"/>
    <w:rsid w:val="00737C23"/>
    <w:rsid w:val="00737FEC"/>
    <w:rsid w:val="007400E2"/>
    <w:rsid w:val="00740292"/>
    <w:rsid w:val="007403DD"/>
    <w:rsid w:val="00740D16"/>
    <w:rsid w:val="00740DA2"/>
    <w:rsid w:val="00740FB1"/>
    <w:rsid w:val="0074127A"/>
    <w:rsid w:val="007413BA"/>
    <w:rsid w:val="00741426"/>
    <w:rsid w:val="00741500"/>
    <w:rsid w:val="007415CD"/>
    <w:rsid w:val="00742068"/>
    <w:rsid w:val="00742331"/>
    <w:rsid w:val="00742422"/>
    <w:rsid w:val="007424E5"/>
    <w:rsid w:val="0074262A"/>
    <w:rsid w:val="0074269A"/>
    <w:rsid w:val="0074293F"/>
    <w:rsid w:val="007429FC"/>
    <w:rsid w:val="00742A21"/>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743"/>
    <w:rsid w:val="00750E7E"/>
    <w:rsid w:val="00751650"/>
    <w:rsid w:val="00751961"/>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CE3"/>
    <w:rsid w:val="00754E06"/>
    <w:rsid w:val="0075525C"/>
    <w:rsid w:val="00755374"/>
    <w:rsid w:val="0075566D"/>
    <w:rsid w:val="007556C3"/>
    <w:rsid w:val="0075580D"/>
    <w:rsid w:val="00755956"/>
    <w:rsid w:val="00755A23"/>
    <w:rsid w:val="00755D46"/>
    <w:rsid w:val="00755FFF"/>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01"/>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0FF2"/>
    <w:rsid w:val="007711D8"/>
    <w:rsid w:val="007719A8"/>
    <w:rsid w:val="00771BAD"/>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73A"/>
    <w:rsid w:val="007747F1"/>
    <w:rsid w:val="0077489F"/>
    <w:rsid w:val="00774B44"/>
    <w:rsid w:val="00774B87"/>
    <w:rsid w:val="00774C88"/>
    <w:rsid w:val="00774D02"/>
    <w:rsid w:val="007750D9"/>
    <w:rsid w:val="00775241"/>
    <w:rsid w:val="00775265"/>
    <w:rsid w:val="007753B5"/>
    <w:rsid w:val="00775695"/>
    <w:rsid w:val="00775788"/>
    <w:rsid w:val="00775992"/>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3F5D"/>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6C"/>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740"/>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885"/>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70"/>
    <w:rsid w:val="007B0BF2"/>
    <w:rsid w:val="007B0D16"/>
    <w:rsid w:val="007B0DD1"/>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3BE"/>
    <w:rsid w:val="007B452C"/>
    <w:rsid w:val="007B459E"/>
    <w:rsid w:val="007B471E"/>
    <w:rsid w:val="007B4ACA"/>
    <w:rsid w:val="007B4E1A"/>
    <w:rsid w:val="007B4FD3"/>
    <w:rsid w:val="007B5018"/>
    <w:rsid w:val="007B52CF"/>
    <w:rsid w:val="007B53DE"/>
    <w:rsid w:val="007B53E7"/>
    <w:rsid w:val="007B6129"/>
    <w:rsid w:val="007B65B3"/>
    <w:rsid w:val="007B66B8"/>
    <w:rsid w:val="007B6913"/>
    <w:rsid w:val="007B6A14"/>
    <w:rsid w:val="007B6ADD"/>
    <w:rsid w:val="007B6B7A"/>
    <w:rsid w:val="007B6DFA"/>
    <w:rsid w:val="007B6E2E"/>
    <w:rsid w:val="007B7287"/>
    <w:rsid w:val="007B741D"/>
    <w:rsid w:val="007B74C3"/>
    <w:rsid w:val="007B753A"/>
    <w:rsid w:val="007B7637"/>
    <w:rsid w:val="007B7677"/>
    <w:rsid w:val="007B7821"/>
    <w:rsid w:val="007B782B"/>
    <w:rsid w:val="007B7980"/>
    <w:rsid w:val="007B7A70"/>
    <w:rsid w:val="007C0033"/>
    <w:rsid w:val="007C06A5"/>
    <w:rsid w:val="007C08AB"/>
    <w:rsid w:val="007C161D"/>
    <w:rsid w:val="007C17CF"/>
    <w:rsid w:val="007C2042"/>
    <w:rsid w:val="007C2208"/>
    <w:rsid w:val="007C24B9"/>
    <w:rsid w:val="007C2CBC"/>
    <w:rsid w:val="007C2EA3"/>
    <w:rsid w:val="007C33E6"/>
    <w:rsid w:val="007C3515"/>
    <w:rsid w:val="007C38F7"/>
    <w:rsid w:val="007C3908"/>
    <w:rsid w:val="007C3AA6"/>
    <w:rsid w:val="007C40E5"/>
    <w:rsid w:val="007C4290"/>
    <w:rsid w:val="007C42FB"/>
    <w:rsid w:val="007C4499"/>
    <w:rsid w:val="007C4E99"/>
    <w:rsid w:val="007C5151"/>
    <w:rsid w:val="007C546B"/>
    <w:rsid w:val="007C54B5"/>
    <w:rsid w:val="007C54EE"/>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B90"/>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6C0F"/>
    <w:rsid w:val="007D700A"/>
    <w:rsid w:val="007D73A8"/>
    <w:rsid w:val="007D743A"/>
    <w:rsid w:val="007D7606"/>
    <w:rsid w:val="007D77EB"/>
    <w:rsid w:val="007E018B"/>
    <w:rsid w:val="007E0637"/>
    <w:rsid w:val="007E0721"/>
    <w:rsid w:val="007E08FE"/>
    <w:rsid w:val="007E0B69"/>
    <w:rsid w:val="007E0C58"/>
    <w:rsid w:val="007E0C77"/>
    <w:rsid w:val="007E0CC7"/>
    <w:rsid w:val="007E0CF4"/>
    <w:rsid w:val="007E0D6F"/>
    <w:rsid w:val="007E0E05"/>
    <w:rsid w:val="007E0E11"/>
    <w:rsid w:val="007E133A"/>
    <w:rsid w:val="007E165D"/>
    <w:rsid w:val="007E1DAC"/>
    <w:rsid w:val="007E1DD3"/>
    <w:rsid w:val="007E209F"/>
    <w:rsid w:val="007E23C8"/>
    <w:rsid w:val="007E23FE"/>
    <w:rsid w:val="007E25F0"/>
    <w:rsid w:val="007E2815"/>
    <w:rsid w:val="007E2878"/>
    <w:rsid w:val="007E28E1"/>
    <w:rsid w:val="007E2A7E"/>
    <w:rsid w:val="007E2A98"/>
    <w:rsid w:val="007E303F"/>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495"/>
    <w:rsid w:val="007F54D2"/>
    <w:rsid w:val="007F5589"/>
    <w:rsid w:val="007F5688"/>
    <w:rsid w:val="007F588F"/>
    <w:rsid w:val="007F5E63"/>
    <w:rsid w:val="007F603C"/>
    <w:rsid w:val="007F6049"/>
    <w:rsid w:val="007F617F"/>
    <w:rsid w:val="007F633E"/>
    <w:rsid w:val="007F66A5"/>
    <w:rsid w:val="007F6947"/>
    <w:rsid w:val="007F7247"/>
    <w:rsid w:val="007F72E0"/>
    <w:rsid w:val="007F74A9"/>
    <w:rsid w:val="007F767F"/>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3FD7"/>
    <w:rsid w:val="008043A4"/>
    <w:rsid w:val="00804983"/>
    <w:rsid w:val="008051DE"/>
    <w:rsid w:val="00805350"/>
    <w:rsid w:val="00805594"/>
    <w:rsid w:val="00805656"/>
    <w:rsid w:val="00805659"/>
    <w:rsid w:val="0080593E"/>
    <w:rsid w:val="00805F9A"/>
    <w:rsid w:val="0080618C"/>
    <w:rsid w:val="008063ED"/>
    <w:rsid w:val="008069B2"/>
    <w:rsid w:val="00806ABA"/>
    <w:rsid w:val="00806B0B"/>
    <w:rsid w:val="00806BC2"/>
    <w:rsid w:val="0080733E"/>
    <w:rsid w:val="008074A3"/>
    <w:rsid w:val="0080783D"/>
    <w:rsid w:val="00807D62"/>
    <w:rsid w:val="008100B2"/>
    <w:rsid w:val="008106C3"/>
    <w:rsid w:val="00810A71"/>
    <w:rsid w:val="00810B66"/>
    <w:rsid w:val="00810B76"/>
    <w:rsid w:val="00810CC2"/>
    <w:rsid w:val="00811465"/>
    <w:rsid w:val="008119E6"/>
    <w:rsid w:val="00811B4D"/>
    <w:rsid w:val="00811DA1"/>
    <w:rsid w:val="008124CB"/>
    <w:rsid w:val="00812C2A"/>
    <w:rsid w:val="00812FCB"/>
    <w:rsid w:val="00813052"/>
    <w:rsid w:val="008130EC"/>
    <w:rsid w:val="0081324B"/>
    <w:rsid w:val="008134C6"/>
    <w:rsid w:val="00813B80"/>
    <w:rsid w:val="00813DF0"/>
    <w:rsid w:val="00814167"/>
    <w:rsid w:val="0081423E"/>
    <w:rsid w:val="008142C1"/>
    <w:rsid w:val="00814307"/>
    <w:rsid w:val="0081440E"/>
    <w:rsid w:val="00814B69"/>
    <w:rsid w:val="00814D09"/>
    <w:rsid w:val="00814F4D"/>
    <w:rsid w:val="008152B9"/>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0E62"/>
    <w:rsid w:val="0082117C"/>
    <w:rsid w:val="0082124A"/>
    <w:rsid w:val="00821702"/>
    <w:rsid w:val="008218ED"/>
    <w:rsid w:val="00822563"/>
    <w:rsid w:val="008231C5"/>
    <w:rsid w:val="00823230"/>
    <w:rsid w:val="00823414"/>
    <w:rsid w:val="00823472"/>
    <w:rsid w:val="008234BD"/>
    <w:rsid w:val="00823663"/>
    <w:rsid w:val="0082372E"/>
    <w:rsid w:val="00823997"/>
    <w:rsid w:val="00823A7E"/>
    <w:rsid w:val="00823D0F"/>
    <w:rsid w:val="0082437A"/>
    <w:rsid w:val="00824A8C"/>
    <w:rsid w:val="00824C1E"/>
    <w:rsid w:val="008250A5"/>
    <w:rsid w:val="00825155"/>
    <w:rsid w:val="00825171"/>
    <w:rsid w:val="0082545C"/>
    <w:rsid w:val="00825523"/>
    <w:rsid w:val="008258FE"/>
    <w:rsid w:val="00825A7C"/>
    <w:rsid w:val="00825D4C"/>
    <w:rsid w:val="00825D9F"/>
    <w:rsid w:val="00825EB9"/>
    <w:rsid w:val="008261E9"/>
    <w:rsid w:val="008262FE"/>
    <w:rsid w:val="008263A8"/>
    <w:rsid w:val="00826614"/>
    <w:rsid w:val="0082668A"/>
    <w:rsid w:val="008266D3"/>
    <w:rsid w:val="00826786"/>
    <w:rsid w:val="00826C8F"/>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A01"/>
    <w:rsid w:val="00831AE4"/>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5E6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A7"/>
    <w:rsid w:val="008425EB"/>
    <w:rsid w:val="00842833"/>
    <w:rsid w:val="0084289D"/>
    <w:rsid w:val="00842941"/>
    <w:rsid w:val="00842D5A"/>
    <w:rsid w:val="00843402"/>
    <w:rsid w:val="00843779"/>
    <w:rsid w:val="00843798"/>
    <w:rsid w:val="00843BED"/>
    <w:rsid w:val="00843FB3"/>
    <w:rsid w:val="0084442A"/>
    <w:rsid w:val="008444E7"/>
    <w:rsid w:val="00844594"/>
    <w:rsid w:val="008447B9"/>
    <w:rsid w:val="008447C8"/>
    <w:rsid w:val="00844C5B"/>
    <w:rsid w:val="00844ECB"/>
    <w:rsid w:val="00844F50"/>
    <w:rsid w:val="008451F5"/>
    <w:rsid w:val="00845856"/>
    <w:rsid w:val="008458D3"/>
    <w:rsid w:val="00845944"/>
    <w:rsid w:val="008459A7"/>
    <w:rsid w:val="00845DFB"/>
    <w:rsid w:val="00845E6A"/>
    <w:rsid w:val="00846833"/>
    <w:rsid w:val="00846BB1"/>
    <w:rsid w:val="00846CE5"/>
    <w:rsid w:val="00846D10"/>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541"/>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2D0"/>
    <w:rsid w:val="008608AB"/>
    <w:rsid w:val="00860B38"/>
    <w:rsid w:val="0086124E"/>
    <w:rsid w:val="00861A5F"/>
    <w:rsid w:val="00861AF9"/>
    <w:rsid w:val="00861B74"/>
    <w:rsid w:val="00861D98"/>
    <w:rsid w:val="00861DF4"/>
    <w:rsid w:val="00861E30"/>
    <w:rsid w:val="008625ED"/>
    <w:rsid w:val="00862725"/>
    <w:rsid w:val="00862758"/>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3CA3"/>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535"/>
    <w:rsid w:val="00876F26"/>
    <w:rsid w:val="008770A8"/>
    <w:rsid w:val="008771B6"/>
    <w:rsid w:val="0087739E"/>
    <w:rsid w:val="008774D0"/>
    <w:rsid w:val="00877865"/>
    <w:rsid w:val="008778A8"/>
    <w:rsid w:val="00877D1E"/>
    <w:rsid w:val="00877D54"/>
    <w:rsid w:val="00877E86"/>
    <w:rsid w:val="00877FDD"/>
    <w:rsid w:val="00880032"/>
    <w:rsid w:val="008800B7"/>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4D7E"/>
    <w:rsid w:val="00885067"/>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AAA"/>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44"/>
    <w:rsid w:val="008928A8"/>
    <w:rsid w:val="008928EB"/>
    <w:rsid w:val="00892ABE"/>
    <w:rsid w:val="00892BB8"/>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217"/>
    <w:rsid w:val="008965FF"/>
    <w:rsid w:val="00896755"/>
    <w:rsid w:val="00896E41"/>
    <w:rsid w:val="00896F38"/>
    <w:rsid w:val="00897A55"/>
    <w:rsid w:val="00897B6D"/>
    <w:rsid w:val="008A0172"/>
    <w:rsid w:val="008A019D"/>
    <w:rsid w:val="008A02E5"/>
    <w:rsid w:val="008A0395"/>
    <w:rsid w:val="008A0423"/>
    <w:rsid w:val="008A058F"/>
    <w:rsid w:val="008A0843"/>
    <w:rsid w:val="008A086B"/>
    <w:rsid w:val="008A0993"/>
    <w:rsid w:val="008A0EF5"/>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65D"/>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3F0"/>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911"/>
    <w:rsid w:val="008B5DA7"/>
    <w:rsid w:val="008B607E"/>
    <w:rsid w:val="008B6640"/>
    <w:rsid w:val="008B6A37"/>
    <w:rsid w:val="008B6A56"/>
    <w:rsid w:val="008B6F08"/>
    <w:rsid w:val="008B71A7"/>
    <w:rsid w:val="008B7518"/>
    <w:rsid w:val="008B756E"/>
    <w:rsid w:val="008B79A7"/>
    <w:rsid w:val="008B7AC2"/>
    <w:rsid w:val="008B7B55"/>
    <w:rsid w:val="008B7E1F"/>
    <w:rsid w:val="008B7FD5"/>
    <w:rsid w:val="008C0071"/>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2AFA"/>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9BF"/>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D82"/>
    <w:rsid w:val="008D7F41"/>
    <w:rsid w:val="008D7F62"/>
    <w:rsid w:val="008E003A"/>
    <w:rsid w:val="008E0529"/>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05"/>
    <w:rsid w:val="008F1FA2"/>
    <w:rsid w:val="008F2493"/>
    <w:rsid w:val="008F2559"/>
    <w:rsid w:val="008F2619"/>
    <w:rsid w:val="008F2902"/>
    <w:rsid w:val="008F2D9A"/>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673"/>
    <w:rsid w:val="0090187D"/>
    <w:rsid w:val="0090188B"/>
    <w:rsid w:val="009018BE"/>
    <w:rsid w:val="00901AF4"/>
    <w:rsid w:val="00901EE5"/>
    <w:rsid w:val="00901F83"/>
    <w:rsid w:val="009021A4"/>
    <w:rsid w:val="009027FA"/>
    <w:rsid w:val="009028C4"/>
    <w:rsid w:val="009028CD"/>
    <w:rsid w:val="00902909"/>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5B11"/>
    <w:rsid w:val="00906150"/>
    <w:rsid w:val="009062C7"/>
    <w:rsid w:val="00906B15"/>
    <w:rsid w:val="00907430"/>
    <w:rsid w:val="00907498"/>
    <w:rsid w:val="00907968"/>
    <w:rsid w:val="00907A72"/>
    <w:rsid w:val="00907F0D"/>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0FEC"/>
    <w:rsid w:val="009211CF"/>
    <w:rsid w:val="009211F2"/>
    <w:rsid w:val="00921705"/>
    <w:rsid w:val="00921A3E"/>
    <w:rsid w:val="00921A4F"/>
    <w:rsid w:val="00921B79"/>
    <w:rsid w:val="00922061"/>
    <w:rsid w:val="00922295"/>
    <w:rsid w:val="009226F4"/>
    <w:rsid w:val="0092299C"/>
    <w:rsid w:val="00922CD3"/>
    <w:rsid w:val="00922E38"/>
    <w:rsid w:val="009230E2"/>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955"/>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4C2"/>
    <w:rsid w:val="009346EA"/>
    <w:rsid w:val="009347FC"/>
    <w:rsid w:val="00934AD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AB2"/>
    <w:rsid w:val="00936B5E"/>
    <w:rsid w:val="00936BFE"/>
    <w:rsid w:val="00936C7F"/>
    <w:rsid w:val="009373EF"/>
    <w:rsid w:val="009377EA"/>
    <w:rsid w:val="0093795C"/>
    <w:rsid w:val="00937C88"/>
    <w:rsid w:val="00937DCB"/>
    <w:rsid w:val="00937E53"/>
    <w:rsid w:val="00937EC9"/>
    <w:rsid w:val="00937F77"/>
    <w:rsid w:val="00937F7E"/>
    <w:rsid w:val="0094001E"/>
    <w:rsid w:val="00940363"/>
    <w:rsid w:val="009404FB"/>
    <w:rsid w:val="00940576"/>
    <w:rsid w:val="009405C8"/>
    <w:rsid w:val="009407BB"/>
    <w:rsid w:val="00940DD8"/>
    <w:rsid w:val="0094104B"/>
    <w:rsid w:val="0094141F"/>
    <w:rsid w:val="00941655"/>
    <w:rsid w:val="00941C5B"/>
    <w:rsid w:val="00941FF5"/>
    <w:rsid w:val="00942022"/>
    <w:rsid w:val="0094205A"/>
    <w:rsid w:val="0094237D"/>
    <w:rsid w:val="009425D0"/>
    <w:rsid w:val="00942814"/>
    <w:rsid w:val="009429B8"/>
    <w:rsid w:val="00942FB7"/>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EE9"/>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50D"/>
    <w:rsid w:val="00956BA7"/>
    <w:rsid w:val="00956EB1"/>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B3B"/>
    <w:rsid w:val="00961DAE"/>
    <w:rsid w:val="00961F29"/>
    <w:rsid w:val="00962202"/>
    <w:rsid w:val="009622D8"/>
    <w:rsid w:val="00962337"/>
    <w:rsid w:val="009624DE"/>
    <w:rsid w:val="00962509"/>
    <w:rsid w:val="009625FE"/>
    <w:rsid w:val="00962C94"/>
    <w:rsid w:val="00962D70"/>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67CA9"/>
    <w:rsid w:val="0097014D"/>
    <w:rsid w:val="009702E6"/>
    <w:rsid w:val="009703A7"/>
    <w:rsid w:val="009705AB"/>
    <w:rsid w:val="00970664"/>
    <w:rsid w:val="009707B6"/>
    <w:rsid w:val="00970974"/>
    <w:rsid w:val="009709EC"/>
    <w:rsid w:val="00970E8A"/>
    <w:rsid w:val="00971139"/>
    <w:rsid w:val="0097128D"/>
    <w:rsid w:val="009712B4"/>
    <w:rsid w:val="009715E5"/>
    <w:rsid w:val="00971F21"/>
    <w:rsid w:val="00971F5D"/>
    <w:rsid w:val="00972288"/>
    <w:rsid w:val="00972B10"/>
    <w:rsid w:val="00972DED"/>
    <w:rsid w:val="00973554"/>
    <w:rsid w:val="0097358B"/>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5EA5"/>
    <w:rsid w:val="00976726"/>
    <w:rsid w:val="00976F32"/>
    <w:rsid w:val="0097752F"/>
    <w:rsid w:val="00977648"/>
    <w:rsid w:val="009778B7"/>
    <w:rsid w:val="00977D85"/>
    <w:rsid w:val="0098057D"/>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43F"/>
    <w:rsid w:val="00985656"/>
    <w:rsid w:val="00985B6F"/>
    <w:rsid w:val="00985B79"/>
    <w:rsid w:val="009861A8"/>
    <w:rsid w:val="009861C2"/>
    <w:rsid w:val="0098629B"/>
    <w:rsid w:val="0098634E"/>
    <w:rsid w:val="00986460"/>
    <w:rsid w:val="0098690F"/>
    <w:rsid w:val="00986A7E"/>
    <w:rsid w:val="00986BC3"/>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3E5"/>
    <w:rsid w:val="00992741"/>
    <w:rsid w:val="00992830"/>
    <w:rsid w:val="009928B3"/>
    <w:rsid w:val="00992968"/>
    <w:rsid w:val="00992A4A"/>
    <w:rsid w:val="00992B6B"/>
    <w:rsid w:val="00992C88"/>
    <w:rsid w:val="00992F2E"/>
    <w:rsid w:val="00992F47"/>
    <w:rsid w:val="00993431"/>
    <w:rsid w:val="0099343D"/>
    <w:rsid w:val="00993495"/>
    <w:rsid w:val="009939EB"/>
    <w:rsid w:val="00993B9D"/>
    <w:rsid w:val="00993C2E"/>
    <w:rsid w:val="00993CEC"/>
    <w:rsid w:val="00993D33"/>
    <w:rsid w:val="009943ED"/>
    <w:rsid w:val="0099454E"/>
    <w:rsid w:val="0099456D"/>
    <w:rsid w:val="00994618"/>
    <w:rsid w:val="00994920"/>
    <w:rsid w:val="00994948"/>
    <w:rsid w:val="00994E8A"/>
    <w:rsid w:val="00994F60"/>
    <w:rsid w:val="00995151"/>
    <w:rsid w:val="0099545F"/>
    <w:rsid w:val="00995BF1"/>
    <w:rsid w:val="00995CC4"/>
    <w:rsid w:val="00995DF2"/>
    <w:rsid w:val="00995F16"/>
    <w:rsid w:val="0099769B"/>
    <w:rsid w:val="00997764"/>
    <w:rsid w:val="00997832"/>
    <w:rsid w:val="00997887"/>
    <w:rsid w:val="00997905"/>
    <w:rsid w:val="00997A8C"/>
    <w:rsid w:val="00997B51"/>
    <w:rsid w:val="00997B80"/>
    <w:rsid w:val="00997C8A"/>
    <w:rsid w:val="00997CDC"/>
    <w:rsid w:val="009A019F"/>
    <w:rsid w:val="009A0493"/>
    <w:rsid w:val="009A0547"/>
    <w:rsid w:val="009A0CCD"/>
    <w:rsid w:val="009A0CFB"/>
    <w:rsid w:val="009A0E89"/>
    <w:rsid w:val="009A0F40"/>
    <w:rsid w:val="009A0F9E"/>
    <w:rsid w:val="009A11C4"/>
    <w:rsid w:val="009A1339"/>
    <w:rsid w:val="009A180C"/>
    <w:rsid w:val="009A188A"/>
    <w:rsid w:val="009A1A95"/>
    <w:rsid w:val="009A1BCF"/>
    <w:rsid w:val="009A1C41"/>
    <w:rsid w:val="009A1C5F"/>
    <w:rsid w:val="009A1D11"/>
    <w:rsid w:val="009A234A"/>
    <w:rsid w:val="009A26E9"/>
    <w:rsid w:val="009A2C26"/>
    <w:rsid w:val="009A2CCC"/>
    <w:rsid w:val="009A2F68"/>
    <w:rsid w:val="009A3006"/>
    <w:rsid w:val="009A309F"/>
    <w:rsid w:val="009A337B"/>
    <w:rsid w:val="009A34C8"/>
    <w:rsid w:val="009A3994"/>
    <w:rsid w:val="009A3BB3"/>
    <w:rsid w:val="009A4241"/>
    <w:rsid w:val="009A42F6"/>
    <w:rsid w:val="009A445A"/>
    <w:rsid w:val="009A4498"/>
    <w:rsid w:val="009A45C8"/>
    <w:rsid w:val="009A48A3"/>
    <w:rsid w:val="009A4EAD"/>
    <w:rsid w:val="009A50CD"/>
    <w:rsid w:val="009A52F3"/>
    <w:rsid w:val="009A532D"/>
    <w:rsid w:val="009A59FF"/>
    <w:rsid w:val="009A65F4"/>
    <w:rsid w:val="009A681D"/>
    <w:rsid w:val="009A77A6"/>
    <w:rsid w:val="009A78A3"/>
    <w:rsid w:val="009A7961"/>
    <w:rsid w:val="009A7B5C"/>
    <w:rsid w:val="009B03A1"/>
    <w:rsid w:val="009B03E8"/>
    <w:rsid w:val="009B06A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3AA8"/>
    <w:rsid w:val="009B436E"/>
    <w:rsid w:val="009B4598"/>
    <w:rsid w:val="009B45C4"/>
    <w:rsid w:val="009B480B"/>
    <w:rsid w:val="009B4C24"/>
    <w:rsid w:val="009B4E58"/>
    <w:rsid w:val="009B522F"/>
    <w:rsid w:val="009B56E4"/>
    <w:rsid w:val="009B57F6"/>
    <w:rsid w:val="009B5B02"/>
    <w:rsid w:val="009B5B0F"/>
    <w:rsid w:val="009B5BD6"/>
    <w:rsid w:val="009B5D6F"/>
    <w:rsid w:val="009B5F9A"/>
    <w:rsid w:val="009B62AF"/>
    <w:rsid w:val="009B63AE"/>
    <w:rsid w:val="009B6745"/>
    <w:rsid w:val="009B68AF"/>
    <w:rsid w:val="009B6ED3"/>
    <w:rsid w:val="009B6FAB"/>
    <w:rsid w:val="009B7286"/>
    <w:rsid w:val="009B73AE"/>
    <w:rsid w:val="009B74EA"/>
    <w:rsid w:val="009B7549"/>
    <w:rsid w:val="009B7AB7"/>
    <w:rsid w:val="009B7AB9"/>
    <w:rsid w:val="009C01D2"/>
    <w:rsid w:val="009C029D"/>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B82"/>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96D"/>
    <w:rsid w:val="009D3B41"/>
    <w:rsid w:val="009D3D0B"/>
    <w:rsid w:val="009D4062"/>
    <w:rsid w:val="009D44F6"/>
    <w:rsid w:val="009D45C8"/>
    <w:rsid w:val="009D4D44"/>
    <w:rsid w:val="009D4DF9"/>
    <w:rsid w:val="009D4FF7"/>
    <w:rsid w:val="009D51E2"/>
    <w:rsid w:val="009D5393"/>
    <w:rsid w:val="009D5445"/>
    <w:rsid w:val="009D5604"/>
    <w:rsid w:val="009D565F"/>
    <w:rsid w:val="009D56C8"/>
    <w:rsid w:val="009D5820"/>
    <w:rsid w:val="009D5AE6"/>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2E7B"/>
    <w:rsid w:val="009E370E"/>
    <w:rsid w:val="009E3AD9"/>
    <w:rsid w:val="009E3B5A"/>
    <w:rsid w:val="009E3E85"/>
    <w:rsid w:val="009E4226"/>
    <w:rsid w:val="009E4562"/>
    <w:rsid w:val="009E46D3"/>
    <w:rsid w:val="009E488C"/>
    <w:rsid w:val="009E48E4"/>
    <w:rsid w:val="009E4E51"/>
    <w:rsid w:val="009E5105"/>
    <w:rsid w:val="009E52D7"/>
    <w:rsid w:val="009E5891"/>
    <w:rsid w:val="009E593F"/>
    <w:rsid w:val="009E5963"/>
    <w:rsid w:val="009E59A1"/>
    <w:rsid w:val="009E5CBE"/>
    <w:rsid w:val="009E6477"/>
    <w:rsid w:val="009E66EE"/>
    <w:rsid w:val="009E681A"/>
    <w:rsid w:val="009E6AAD"/>
    <w:rsid w:val="009E6CD6"/>
    <w:rsid w:val="009E6CD9"/>
    <w:rsid w:val="009E733E"/>
    <w:rsid w:val="009E74C5"/>
    <w:rsid w:val="009E7E3C"/>
    <w:rsid w:val="009E7F7E"/>
    <w:rsid w:val="009F015D"/>
    <w:rsid w:val="009F01DB"/>
    <w:rsid w:val="009F0E6B"/>
    <w:rsid w:val="009F0EE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CF1"/>
    <w:rsid w:val="00A02EFA"/>
    <w:rsid w:val="00A02FC7"/>
    <w:rsid w:val="00A030A8"/>
    <w:rsid w:val="00A031D4"/>
    <w:rsid w:val="00A033FF"/>
    <w:rsid w:val="00A038D7"/>
    <w:rsid w:val="00A038E2"/>
    <w:rsid w:val="00A03D62"/>
    <w:rsid w:val="00A03FA4"/>
    <w:rsid w:val="00A0404A"/>
    <w:rsid w:val="00A0409E"/>
    <w:rsid w:val="00A041B4"/>
    <w:rsid w:val="00A046C7"/>
    <w:rsid w:val="00A04874"/>
    <w:rsid w:val="00A04BDD"/>
    <w:rsid w:val="00A04E2C"/>
    <w:rsid w:val="00A04EDA"/>
    <w:rsid w:val="00A05147"/>
    <w:rsid w:val="00A051DD"/>
    <w:rsid w:val="00A05202"/>
    <w:rsid w:val="00A05450"/>
    <w:rsid w:val="00A0582E"/>
    <w:rsid w:val="00A05840"/>
    <w:rsid w:val="00A05843"/>
    <w:rsid w:val="00A05FF4"/>
    <w:rsid w:val="00A06137"/>
    <w:rsid w:val="00A06344"/>
    <w:rsid w:val="00A063FE"/>
    <w:rsid w:val="00A0675A"/>
    <w:rsid w:val="00A06C38"/>
    <w:rsid w:val="00A06EDB"/>
    <w:rsid w:val="00A0720D"/>
    <w:rsid w:val="00A07738"/>
    <w:rsid w:val="00A07ACC"/>
    <w:rsid w:val="00A1108E"/>
    <w:rsid w:val="00A11259"/>
    <w:rsid w:val="00A11430"/>
    <w:rsid w:val="00A11799"/>
    <w:rsid w:val="00A1184F"/>
    <w:rsid w:val="00A11B89"/>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879"/>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17FE8"/>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5A6"/>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75"/>
    <w:rsid w:val="00A33ABD"/>
    <w:rsid w:val="00A34307"/>
    <w:rsid w:val="00A3439B"/>
    <w:rsid w:val="00A347EE"/>
    <w:rsid w:val="00A34CFC"/>
    <w:rsid w:val="00A35495"/>
    <w:rsid w:val="00A35595"/>
    <w:rsid w:val="00A3571E"/>
    <w:rsid w:val="00A35A7A"/>
    <w:rsid w:val="00A35AAC"/>
    <w:rsid w:val="00A36427"/>
    <w:rsid w:val="00A36845"/>
    <w:rsid w:val="00A36BDF"/>
    <w:rsid w:val="00A374CD"/>
    <w:rsid w:val="00A378A2"/>
    <w:rsid w:val="00A37B1D"/>
    <w:rsid w:val="00A37CAC"/>
    <w:rsid w:val="00A40175"/>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5D3D"/>
    <w:rsid w:val="00A460A1"/>
    <w:rsid w:val="00A464E3"/>
    <w:rsid w:val="00A46500"/>
    <w:rsid w:val="00A4679A"/>
    <w:rsid w:val="00A46E28"/>
    <w:rsid w:val="00A473D7"/>
    <w:rsid w:val="00A4772C"/>
    <w:rsid w:val="00A477C6"/>
    <w:rsid w:val="00A478FA"/>
    <w:rsid w:val="00A4799F"/>
    <w:rsid w:val="00A47A9A"/>
    <w:rsid w:val="00A47D31"/>
    <w:rsid w:val="00A501F6"/>
    <w:rsid w:val="00A509F2"/>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2"/>
    <w:rsid w:val="00A5499C"/>
    <w:rsid w:val="00A54CCB"/>
    <w:rsid w:val="00A54E77"/>
    <w:rsid w:val="00A55424"/>
    <w:rsid w:val="00A55682"/>
    <w:rsid w:val="00A55911"/>
    <w:rsid w:val="00A55B71"/>
    <w:rsid w:val="00A55C52"/>
    <w:rsid w:val="00A55FFA"/>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13D"/>
    <w:rsid w:val="00A615D1"/>
    <w:rsid w:val="00A61DFE"/>
    <w:rsid w:val="00A61F91"/>
    <w:rsid w:val="00A620CD"/>
    <w:rsid w:val="00A624C9"/>
    <w:rsid w:val="00A62AA8"/>
    <w:rsid w:val="00A62D15"/>
    <w:rsid w:val="00A63062"/>
    <w:rsid w:val="00A630D8"/>
    <w:rsid w:val="00A637A4"/>
    <w:rsid w:val="00A63819"/>
    <w:rsid w:val="00A63B4C"/>
    <w:rsid w:val="00A63D81"/>
    <w:rsid w:val="00A63F67"/>
    <w:rsid w:val="00A64067"/>
    <w:rsid w:val="00A640B1"/>
    <w:rsid w:val="00A6442E"/>
    <w:rsid w:val="00A6488F"/>
    <w:rsid w:val="00A64A19"/>
    <w:rsid w:val="00A64A93"/>
    <w:rsid w:val="00A64C64"/>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34"/>
    <w:rsid w:val="00A735A4"/>
    <w:rsid w:val="00A7377A"/>
    <w:rsid w:val="00A73884"/>
    <w:rsid w:val="00A738E6"/>
    <w:rsid w:val="00A740EA"/>
    <w:rsid w:val="00A7424A"/>
    <w:rsid w:val="00A74597"/>
    <w:rsid w:val="00A74A7D"/>
    <w:rsid w:val="00A74D0A"/>
    <w:rsid w:val="00A74D20"/>
    <w:rsid w:val="00A7542C"/>
    <w:rsid w:val="00A756FE"/>
    <w:rsid w:val="00A757F9"/>
    <w:rsid w:val="00A757FB"/>
    <w:rsid w:val="00A759BE"/>
    <w:rsid w:val="00A759F2"/>
    <w:rsid w:val="00A75B89"/>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64"/>
    <w:rsid w:val="00A82F78"/>
    <w:rsid w:val="00A82FFE"/>
    <w:rsid w:val="00A8307D"/>
    <w:rsid w:val="00A831CF"/>
    <w:rsid w:val="00A831FB"/>
    <w:rsid w:val="00A8322E"/>
    <w:rsid w:val="00A83310"/>
    <w:rsid w:val="00A833BB"/>
    <w:rsid w:val="00A8358F"/>
    <w:rsid w:val="00A837FA"/>
    <w:rsid w:val="00A83B95"/>
    <w:rsid w:val="00A83BC5"/>
    <w:rsid w:val="00A83EB5"/>
    <w:rsid w:val="00A84064"/>
    <w:rsid w:val="00A84186"/>
    <w:rsid w:val="00A84424"/>
    <w:rsid w:val="00A846F1"/>
    <w:rsid w:val="00A84937"/>
    <w:rsid w:val="00A84A34"/>
    <w:rsid w:val="00A84EAF"/>
    <w:rsid w:val="00A85468"/>
    <w:rsid w:val="00A85469"/>
    <w:rsid w:val="00A857B4"/>
    <w:rsid w:val="00A85B14"/>
    <w:rsid w:val="00A85B90"/>
    <w:rsid w:val="00A8674E"/>
    <w:rsid w:val="00A86F91"/>
    <w:rsid w:val="00A86FB6"/>
    <w:rsid w:val="00A875C0"/>
    <w:rsid w:val="00A87654"/>
    <w:rsid w:val="00A87C15"/>
    <w:rsid w:val="00A9014D"/>
    <w:rsid w:val="00A90925"/>
    <w:rsid w:val="00A90DDB"/>
    <w:rsid w:val="00A918DC"/>
    <w:rsid w:val="00A91AE4"/>
    <w:rsid w:val="00A925D7"/>
    <w:rsid w:val="00A92706"/>
    <w:rsid w:val="00A9280B"/>
    <w:rsid w:val="00A9281E"/>
    <w:rsid w:val="00A92939"/>
    <w:rsid w:val="00A92B42"/>
    <w:rsid w:val="00A92CF1"/>
    <w:rsid w:val="00A93190"/>
    <w:rsid w:val="00A93CB3"/>
    <w:rsid w:val="00A93D34"/>
    <w:rsid w:val="00A93DAF"/>
    <w:rsid w:val="00A93E6F"/>
    <w:rsid w:val="00A93FD1"/>
    <w:rsid w:val="00A94088"/>
    <w:rsid w:val="00A9413F"/>
    <w:rsid w:val="00A9439C"/>
    <w:rsid w:val="00A943F8"/>
    <w:rsid w:val="00A94488"/>
    <w:rsid w:val="00A945C2"/>
    <w:rsid w:val="00A947F1"/>
    <w:rsid w:val="00A94DF6"/>
    <w:rsid w:val="00A951F2"/>
    <w:rsid w:val="00A9584E"/>
    <w:rsid w:val="00A95872"/>
    <w:rsid w:val="00A95A69"/>
    <w:rsid w:val="00A96195"/>
    <w:rsid w:val="00A962D6"/>
    <w:rsid w:val="00A963C1"/>
    <w:rsid w:val="00A963F9"/>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30"/>
    <w:rsid w:val="00AA2167"/>
    <w:rsid w:val="00AA2493"/>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105"/>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3E2"/>
    <w:rsid w:val="00AC38FF"/>
    <w:rsid w:val="00AC3DC0"/>
    <w:rsid w:val="00AC409D"/>
    <w:rsid w:val="00AC426D"/>
    <w:rsid w:val="00AC43D2"/>
    <w:rsid w:val="00AC47AE"/>
    <w:rsid w:val="00AC485B"/>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B55"/>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AF4"/>
    <w:rsid w:val="00AD2B41"/>
    <w:rsid w:val="00AD2E6B"/>
    <w:rsid w:val="00AD3115"/>
    <w:rsid w:val="00AD3920"/>
    <w:rsid w:val="00AD3D9F"/>
    <w:rsid w:val="00AD3E55"/>
    <w:rsid w:val="00AD4431"/>
    <w:rsid w:val="00AD465C"/>
    <w:rsid w:val="00AD4D66"/>
    <w:rsid w:val="00AD516C"/>
    <w:rsid w:val="00AD51CC"/>
    <w:rsid w:val="00AD5922"/>
    <w:rsid w:val="00AD5B84"/>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6F5"/>
    <w:rsid w:val="00AE29A8"/>
    <w:rsid w:val="00AE2AAE"/>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008"/>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3F0A"/>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0C0"/>
    <w:rsid w:val="00AF735A"/>
    <w:rsid w:val="00AF75FC"/>
    <w:rsid w:val="00AF7766"/>
    <w:rsid w:val="00AF78A5"/>
    <w:rsid w:val="00AF7E12"/>
    <w:rsid w:val="00AF7F9E"/>
    <w:rsid w:val="00B0025D"/>
    <w:rsid w:val="00B006D8"/>
    <w:rsid w:val="00B0073B"/>
    <w:rsid w:val="00B00A61"/>
    <w:rsid w:val="00B00B13"/>
    <w:rsid w:val="00B00D87"/>
    <w:rsid w:val="00B015BB"/>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2B0"/>
    <w:rsid w:val="00B06545"/>
    <w:rsid w:val="00B067C4"/>
    <w:rsid w:val="00B0688D"/>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865"/>
    <w:rsid w:val="00B12904"/>
    <w:rsid w:val="00B12B44"/>
    <w:rsid w:val="00B12B95"/>
    <w:rsid w:val="00B133CD"/>
    <w:rsid w:val="00B1394E"/>
    <w:rsid w:val="00B13DA6"/>
    <w:rsid w:val="00B141BB"/>
    <w:rsid w:val="00B1466C"/>
    <w:rsid w:val="00B149B2"/>
    <w:rsid w:val="00B14BA4"/>
    <w:rsid w:val="00B14F7F"/>
    <w:rsid w:val="00B15074"/>
    <w:rsid w:val="00B152F4"/>
    <w:rsid w:val="00B154B3"/>
    <w:rsid w:val="00B154B5"/>
    <w:rsid w:val="00B157BA"/>
    <w:rsid w:val="00B15DAA"/>
    <w:rsid w:val="00B1664E"/>
    <w:rsid w:val="00B169ED"/>
    <w:rsid w:val="00B16F85"/>
    <w:rsid w:val="00B17074"/>
    <w:rsid w:val="00B17303"/>
    <w:rsid w:val="00B1744E"/>
    <w:rsid w:val="00B17682"/>
    <w:rsid w:val="00B177A5"/>
    <w:rsid w:val="00B177D2"/>
    <w:rsid w:val="00B177F1"/>
    <w:rsid w:val="00B17BDD"/>
    <w:rsid w:val="00B17CA4"/>
    <w:rsid w:val="00B17FBB"/>
    <w:rsid w:val="00B200E9"/>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3B8"/>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8F1"/>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5B86"/>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7D3"/>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9C0"/>
    <w:rsid w:val="00B62AE0"/>
    <w:rsid w:val="00B630EF"/>
    <w:rsid w:val="00B63284"/>
    <w:rsid w:val="00B63709"/>
    <w:rsid w:val="00B6373D"/>
    <w:rsid w:val="00B63964"/>
    <w:rsid w:val="00B63E30"/>
    <w:rsid w:val="00B6445E"/>
    <w:rsid w:val="00B645FA"/>
    <w:rsid w:val="00B64775"/>
    <w:rsid w:val="00B64BF2"/>
    <w:rsid w:val="00B64D39"/>
    <w:rsid w:val="00B64F04"/>
    <w:rsid w:val="00B6504C"/>
    <w:rsid w:val="00B6520E"/>
    <w:rsid w:val="00B6531D"/>
    <w:rsid w:val="00B6532A"/>
    <w:rsid w:val="00B65660"/>
    <w:rsid w:val="00B65755"/>
    <w:rsid w:val="00B657AB"/>
    <w:rsid w:val="00B657E6"/>
    <w:rsid w:val="00B65854"/>
    <w:rsid w:val="00B65AF9"/>
    <w:rsid w:val="00B65FF0"/>
    <w:rsid w:val="00B662EB"/>
    <w:rsid w:val="00B663CD"/>
    <w:rsid w:val="00B665C8"/>
    <w:rsid w:val="00B67013"/>
    <w:rsid w:val="00B6704A"/>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49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6D2"/>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4CBC"/>
    <w:rsid w:val="00B8518B"/>
    <w:rsid w:val="00B8556E"/>
    <w:rsid w:val="00B85845"/>
    <w:rsid w:val="00B8586E"/>
    <w:rsid w:val="00B858B1"/>
    <w:rsid w:val="00B85A97"/>
    <w:rsid w:val="00B85C3D"/>
    <w:rsid w:val="00B8600B"/>
    <w:rsid w:val="00B860A2"/>
    <w:rsid w:val="00B86278"/>
    <w:rsid w:val="00B86AF6"/>
    <w:rsid w:val="00B86CAF"/>
    <w:rsid w:val="00B86E2A"/>
    <w:rsid w:val="00B86EF3"/>
    <w:rsid w:val="00B86F73"/>
    <w:rsid w:val="00B8720E"/>
    <w:rsid w:val="00B877AA"/>
    <w:rsid w:val="00B87B44"/>
    <w:rsid w:val="00B87C87"/>
    <w:rsid w:val="00B87E3D"/>
    <w:rsid w:val="00B87FCD"/>
    <w:rsid w:val="00B903F3"/>
    <w:rsid w:val="00B90556"/>
    <w:rsid w:val="00B908D5"/>
    <w:rsid w:val="00B90939"/>
    <w:rsid w:val="00B909D7"/>
    <w:rsid w:val="00B909E7"/>
    <w:rsid w:val="00B90A28"/>
    <w:rsid w:val="00B90E5D"/>
    <w:rsid w:val="00B9121D"/>
    <w:rsid w:val="00B915C5"/>
    <w:rsid w:val="00B91A5D"/>
    <w:rsid w:val="00B91C52"/>
    <w:rsid w:val="00B91CA6"/>
    <w:rsid w:val="00B91E2E"/>
    <w:rsid w:val="00B91F21"/>
    <w:rsid w:val="00B92713"/>
    <w:rsid w:val="00B9279B"/>
    <w:rsid w:val="00B9290B"/>
    <w:rsid w:val="00B92AB7"/>
    <w:rsid w:val="00B92BC7"/>
    <w:rsid w:val="00B9307F"/>
    <w:rsid w:val="00B93378"/>
    <w:rsid w:val="00B93455"/>
    <w:rsid w:val="00B9389E"/>
    <w:rsid w:val="00B93B9C"/>
    <w:rsid w:val="00B93C3B"/>
    <w:rsid w:val="00B93E85"/>
    <w:rsid w:val="00B9422B"/>
    <w:rsid w:val="00B946A8"/>
    <w:rsid w:val="00B947AD"/>
    <w:rsid w:val="00B948A0"/>
    <w:rsid w:val="00B94A6A"/>
    <w:rsid w:val="00B94B02"/>
    <w:rsid w:val="00B94B27"/>
    <w:rsid w:val="00B94D24"/>
    <w:rsid w:val="00B94D4C"/>
    <w:rsid w:val="00B94DFE"/>
    <w:rsid w:val="00B94EB5"/>
    <w:rsid w:val="00B95110"/>
    <w:rsid w:val="00B9589C"/>
    <w:rsid w:val="00B95A01"/>
    <w:rsid w:val="00B95F6F"/>
    <w:rsid w:val="00B95FC8"/>
    <w:rsid w:val="00B9610A"/>
    <w:rsid w:val="00B965DC"/>
    <w:rsid w:val="00B966FB"/>
    <w:rsid w:val="00B96A8E"/>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A2A"/>
    <w:rsid w:val="00BA5B30"/>
    <w:rsid w:val="00BA5B72"/>
    <w:rsid w:val="00BA62AD"/>
    <w:rsid w:val="00BA6495"/>
    <w:rsid w:val="00BA664A"/>
    <w:rsid w:val="00BA678B"/>
    <w:rsid w:val="00BA68E8"/>
    <w:rsid w:val="00BA6936"/>
    <w:rsid w:val="00BA6C22"/>
    <w:rsid w:val="00BA6DBD"/>
    <w:rsid w:val="00BA7276"/>
    <w:rsid w:val="00BA78A8"/>
    <w:rsid w:val="00BA78CC"/>
    <w:rsid w:val="00BA7C71"/>
    <w:rsid w:val="00BB0267"/>
    <w:rsid w:val="00BB02EA"/>
    <w:rsid w:val="00BB072E"/>
    <w:rsid w:val="00BB078B"/>
    <w:rsid w:val="00BB0C7E"/>
    <w:rsid w:val="00BB0D66"/>
    <w:rsid w:val="00BB0DE7"/>
    <w:rsid w:val="00BB0E0C"/>
    <w:rsid w:val="00BB112C"/>
    <w:rsid w:val="00BB135F"/>
    <w:rsid w:val="00BB147C"/>
    <w:rsid w:val="00BB209C"/>
    <w:rsid w:val="00BB210C"/>
    <w:rsid w:val="00BB218D"/>
    <w:rsid w:val="00BB21FB"/>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B81"/>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C6F"/>
    <w:rsid w:val="00BC1DBD"/>
    <w:rsid w:val="00BC220C"/>
    <w:rsid w:val="00BC2239"/>
    <w:rsid w:val="00BC2414"/>
    <w:rsid w:val="00BC2930"/>
    <w:rsid w:val="00BC2A25"/>
    <w:rsid w:val="00BC322A"/>
    <w:rsid w:val="00BC40C5"/>
    <w:rsid w:val="00BC438A"/>
    <w:rsid w:val="00BC45D9"/>
    <w:rsid w:val="00BC46CC"/>
    <w:rsid w:val="00BC4728"/>
    <w:rsid w:val="00BC47C5"/>
    <w:rsid w:val="00BC4A4E"/>
    <w:rsid w:val="00BC4B19"/>
    <w:rsid w:val="00BC4B4A"/>
    <w:rsid w:val="00BC4D16"/>
    <w:rsid w:val="00BC4F00"/>
    <w:rsid w:val="00BC5092"/>
    <w:rsid w:val="00BC50F1"/>
    <w:rsid w:val="00BC526B"/>
    <w:rsid w:val="00BC5663"/>
    <w:rsid w:val="00BC5737"/>
    <w:rsid w:val="00BC5C14"/>
    <w:rsid w:val="00BC5E05"/>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7F7"/>
    <w:rsid w:val="00BD2D2D"/>
    <w:rsid w:val="00BD386A"/>
    <w:rsid w:val="00BD3940"/>
    <w:rsid w:val="00BD3A51"/>
    <w:rsid w:val="00BD3C1A"/>
    <w:rsid w:val="00BD3C68"/>
    <w:rsid w:val="00BD3F92"/>
    <w:rsid w:val="00BD421D"/>
    <w:rsid w:val="00BD4267"/>
    <w:rsid w:val="00BD447F"/>
    <w:rsid w:val="00BD4493"/>
    <w:rsid w:val="00BD47E6"/>
    <w:rsid w:val="00BD4D97"/>
    <w:rsid w:val="00BD5031"/>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A03"/>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07FD"/>
    <w:rsid w:val="00BF10E8"/>
    <w:rsid w:val="00BF11E2"/>
    <w:rsid w:val="00BF1376"/>
    <w:rsid w:val="00BF1B38"/>
    <w:rsid w:val="00BF1B73"/>
    <w:rsid w:val="00BF1D1B"/>
    <w:rsid w:val="00BF2033"/>
    <w:rsid w:val="00BF2320"/>
    <w:rsid w:val="00BF2B02"/>
    <w:rsid w:val="00BF2B75"/>
    <w:rsid w:val="00BF2C93"/>
    <w:rsid w:val="00BF3103"/>
    <w:rsid w:val="00BF3158"/>
    <w:rsid w:val="00BF3169"/>
    <w:rsid w:val="00BF31CF"/>
    <w:rsid w:val="00BF34E0"/>
    <w:rsid w:val="00BF3614"/>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5E5"/>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3F49"/>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50F"/>
    <w:rsid w:val="00C176A9"/>
    <w:rsid w:val="00C1776A"/>
    <w:rsid w:val="00C17CB0"/>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8F6"/>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4BB1"/>
    <w:rsid w:val="00C351DF"/>
    <w:rsid w:val="00C353CF"/>
    <w:rsid w:val="00C353DC"/>
    <w:rsid w:val="00C358A5"/>
    <w:rsid w:val="00C35A9A"/>
    <w:rsid w:val="00C35B62"/>
    <w:rsid w:val="00C35F0A"/>
    <w:rsid w:val="00C35F43"/>
    <w:rsid w:val="00C360CA"/>
    <w:rsid w:val="00C36387"/>
    <w:rsid w:val="00C363A9"/>
    <w:rsid w:val="00C364A5"/>
    <w:rsid w:val="00C36603"/>
    <w:rsid w:val="00C368DC"/>
    <w:rsid w:val="00C369A4"/>
    <w:rsid w:val="00C36C55"/>
    <w:rsid w:val="00C36EA5"/>
    <w:rsid w:val="00C37088"/>
    <w:rsid w:val="00C3715E"/>
    <w:rsid w:val="00C3772A"/>
    <w:rsid w:val="00C379FA"/>
    <w:rsid w:val="00C4002D"/>
    <w:rsid w:val="00C401E4"/>
    <w:rsid w:val="00C40316"/>
    <w:rsid w:val="00C408C2"/>
    <w:rsid w:val="00C408D5"/>
    <w:rsid w:val="00C40B77"/>
    <w:rsid w:val="00C40D55"/>
    <w:rsid w:val="00C411B7"/>
    <w:rsid w:val="00C41401"/>
    <w:rsid w:val="00C4144F"/>
    <w:rsid w:val="00C41D3C"/>
    <w:rsid w:val="00C42402"/>
    <w:rsid w:val="00C427D6"/>
    <w:rsid w:val="00C428A5"/>
    <w:rsid w:val="00C42B09"/>
    <w:rsid w:val="00C42EE4"/>
    <w:rsid w:val="00C42F96"/>
    <w:rsid w:val="00C430EE"/>
    <w:rsid w:val="00C4315C"/>
    <w:rsid w:val="00C43257"/>
    <w:rsid w:val="00C43292"/>
    <w:rsid w:val="00C43295"/>
    <w:rsid w:val="00C432EC"/>
    <w:rsid w:val="00C43629"/>
    <w:rsid w:val="00C43801"/>
    <w:rsid w:val="00C4383F"/>
    <w:rsid w:val="00C438BB"/>
    <w:rsid w:val="00C43A90"/>
    <w:rsid w:val="00C43AD9"/>
    <w:rsid w:val="00C43DE8"/>
    <w:rsid w:val="00C440B0"/>
    <w:rsid w:val="00C44372"/>
    <w:rsid w:val="00C4467E"/>
    <w:rsid w:val="00C447A0"/>
    <w:rsid w:val="00C4497D"/>
    <w:rsid w:val="00C44A07"/>
    <w:rsid w:val="00C44B8C"/>
    <w:rsid w:val="00C44BDC"/>
    <w:rsid w:val="00C44E3E"/>
    <w:rsid w:val="00C450A5"/>
    <w:rsid w:val="00C45163"/>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29"/>
    <w:rsid w:val="00C50FF9"/>
    <w:rsid w:val="00C5116D"/>
    <w:rsid w:val="00C511CC"/>
    <w:rsid w:val="00C51353"/>
    <w:rsid w:val="00C51A6A"/>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4BBD"/>
    <w:rsid w:val="00C55455"/>
    <w:rsid w:val="00C5589F"/>
    <w:rsid w:val="00C55E15"/>
    <w:rsid w:val="00C55F0F"/>
    <w:rsid w:val="00C569EE"/>
    <w:rsid w:val="00C56C58"/>
    <w:rsid w:val="00C56CCC"/>
    <w:rsid w:val="00C56CE4"/>
    <w:rsid w:val="00C56F6D"/>
    <w:rsid w:val="00C574AE"/>
    <w:rsid w:val="00C57B3F"/>
    <w:rsid w:val="00C60320"/>
    <w:rsid w:val="00C60477"/>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4AE"/>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1EA7"/>
    <w:rsid w:val="00C72178"/>
    <w:rsid w:val="00C72816"/>
    <w:rsid w:val="00C729C9"/>
    <w:rsid w:val="00C72B1D"/>
    <w:rsid w:val="00C730CB"/>
    <w:rsid w:val="00C731FC"/>
    <w:rsid w:val="00C7329F"/>
    <w:rsid w:val="00C73314"/>
    <w:rsid w:val="00C73586"/>
    <w:rsid w:val="00C73627"/>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65"/>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9A4"/>
    <w:rsid w:val="00C84A7D"/>
    <w:rsid w:val="00C84B88"/>
    <w:rsid w:val="00C84CAA"/>
    <w:rsid w:val="00C84D00"/>
    <w:rsid w:val="00C84F1F"/>
    <w:rsid w:val="00C853B8"/>
    <w:rsid w:val="00C8550D"/>
    <w:rsid w:val="00C85531"/>
    <w:rsid w:val="00C85563"/>
    <w:rsid w:val="00C85610"/>
    <w:rsid w:val="00C85AC7"/>
    <w:rsid w:val="00C85B0B"/>
    <w:rsid w:val="00C85DAD"/>
    <w:rsid w:val="00C85E93"/>
    <w:rsid w:val="00C8628E"/>
    <w:rsid w:val="00C86875"/>
    <w:rsid w:val="00C86DDF"/>
    <w:rsid w:val="00C874D1"/>
    <w:rsid w:val="00C87B2C"/>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3F3E"/>
    <w:rsid w:val="00C941B9"/>
    <w:rsid w:val="00C945DB"/>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6D3D"/>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444"/>
    <w:rsid w:val="00CB2A98"/>
    <w:rsid w:val="00CB2AA5"/>
    <w:rsid w:val="00CB2E78"/>
    <w:rsid w:val="00CB2E9C"/>
    <w:rsid w:val="00CB2EAD"/>
    <w:rsid w:val="00CB3064"/>
    <w:rsid w:val="00CB3818"/>
    <w:rsid w:val="00CB3A96"/>
    <w:rsid w:val="00CB43AC"/>
    <w:rsid w:val="00CB4B6E"/>
    <w:rsid w:val="00CB5143"/>
    <w:rsid w:val="00CB5197"/>
    <w:rsid w:val="00CB6164"/>
    <w:rsid w:val="00CB6570"/>
    <w:rsid w:val="00CB68DB"/>
    <w:rsid w:val="00CB6930"/>
    <w:rsid w:val="00CB6A7F"/>
    <w:rsid w:val="00CB6C94"/>
    <w:rsid w:val="00CB6FB4"/>
    <w:rsid w:val="00CB75B9"/>
    <w:rsid w:val="00CB79F7"/>
    <w:rsid w:val="00CB7ADF"/>
    <w:rsid w:val="00CB7CCD"/>
    <w:rsid w:val="00CC0045"/>
    <w:rsid w:val="00CC02AE"/>
    <w:rsid w:val="00CC0511"/>
    <w:rsid w:val="00CC07E9"/>
    <w:rsid w:val="00CC091B"/>
    <w:rsid w:val="00CC1342"/>
    <w:rsid w:val="00CC1418"/>
    <w:rsid w:val="00CC172D"/>
    <w:rsid w:val="00CC178F"/>
    <w:rsid w:val="00CC18C0"/>
    <w:rsid w:val="00CC1939"/>
    <w:rsid w:val="00CC1F80"/>
    <w:rsid w:val="00CC1FD7"/>
    <w:rsid w:val="00CC2228"/>
    <w:rsid w:val="00CC23EB"/>
    <w:rsid w:val="00CC27B0"/>
    <w:rsid w:val="00CC2A2C"/>
    <w:rsid w:val="00CC4160"/>
    <w:rsid w:val="00CC42D4"/>
    <w:rsid w:val="00CC4364"/>
    <w:rsid w:val="00CC472C"/>
    <w:rsid w:val="00CC4A40"/>
    <w:rsid w:val="00CC4E16"/>
    <w:rsid w:val="00CC4FC4"/>
    <w:rsid w:val="00CC5628"/>
    <w:rsid w:val="00CC5ABF"/>
    <w:rsid w:val="00CC64E3"/>
    <w:rsid w:val="00CC6A0B"/>
    <w:rsid w:val="00CC6B93"/>
    <w:rsid w:val="00CC6D93"/>
    <w:rsid w:val="00CC6FD5"/>
    <w:rsid w:val="00CC7258"/>
    <w:rsid w:val="00CC727E"/>
    <w:rsid w:val="00CC7712"/>
    <w:rsid w:val="00CC774A"/>
    <w:rsid w:val="00CC7DDA"/>
    <w:rsid w:val="00CD03D3"/>
    <w:rsid w:val="00CD0423"/>
    <w:rsid w:val="00CD054D"/>
    <w:rsid w:val="00CD06A0"/>
    <w:rsid w:val="00CD0D04"/>
    <w:rsid w:val="00CD16A5"/>
    <w:rsid w:val="00CD179A"/>
    <w:rsid w:val="00CD1AF1"/>
    <w:rsid w:val="00CD1AFB"/>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228"/>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468"/>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441"/>
    <w:rsid w:val="00CE65F6"/>
    <w:rsid w:val="00CE6822"/>
    <w:rsid w:val="00CE6913"/>
    <w:rsid w:val="00CE6AB1"/>
    <w:rsid w:val="00CE6ACB"/>
    <w:rsid w:val="00CE6D09"/>
    <w:rsid w:val="00CE72DC"/>
    <w:rsid w:val="00CE7403"/>
    <w:rsid w:val="00CE757F"/>
    <w:rsid w:val="00CE79AB"/>
    <w:rsid w:val="00CE7A3C"/>
    <w:rsid w:val="00CE7D6D"/>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767"/>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941"/>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1BB"/>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A8A"/>
    <w:rsid w:val="00D22DD2"/>
    <w:rsid w:val="00D23105"/>
    <w:rsid w:val="00D23380"/>
    <w:rsid w:val="00D233EC"/>
    <w:rsid w:val="00D23801"/>
    <w:rsid w:val="00D23A28"/>
    <w:rsid w:val="00D24035"/>
    <w:rsid w:val="00D242AB"/>
    <w:rsid w:val="00D2440E"/>
    <w:rsid w:val="00D24784"/>
    <w:rsid w:val="00D24CA3"/>
    <w:rsid w:val="00D24DAB"/>
    <w:rsid w:val="00D24F45"/>
    <w:rsid w:val="00D2516D"/>
    <w:rsid w:val="00D251AC"/>
    <w:rsid w:val="00D257FD"/>
    <w:rsid w:val="00D25AEC"/>
    <w:rsid w:val="00D25AF1"/>
    <w:rsid w:val="00D25B2F"/>
    <w:rsid w:val="00D25B6B"/>
    <w:rsid w:val="00D25C43"/>
    <w:rsid w:val="00D25CC0"/>
    <w:rsid w:val="00D25E77"/>
    <w:rsid w:val="00D25F2E"/>
    <w:rsid w:val="00D25FB0"/>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892"/>
    <w:rsid w:val="00D30BF9"/>
    <w:rsid w:val="00D314BD"/>
    <w:rsid w:val="00D318B4"/>
    <w:rsid w:val="00D31910"/>
    <w:rsid w:val="00D31FFD"/>
    <w:rsid w:val="00D32074"/>
    <w:rsid w:val="00D3210D"/>
    <w:rsid w:val="00D3217F"/>
    <w:rsid w:val="00D32376"/>
    <w:rsid w:val="00D323B1"/>
    <w:rsid w:val="00D326DD"/>
    <w:rsid w:val="00D3277A"/>
    <w:rsid w:val="00D329D1"/>
    <w:rsid w:val="00D32BF9"/>
    <w:rsid w:val="00D32DD5"/>
    <w:rsid w:val="00D32E91"/>
    <w:rsid w:val="00D3307E"/>
    <w:rsid w:val="00D3356D"/>
    <w:rsid w:val="00D33635"/>
    <w:rsid w:val="00D3368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0A"/>
    <w:rsid w:val="00D4541B"/>
    <w:rsid w:val="00D456A7"/>
    <w:rsid w:val="00D45872"/>
    <w:rsid w:val="00D45A0C"/>
    <w:rsid w:val="00D462F6"/>
    <w:rsid w:val="00D464D7"/>
    <w:rsid w:val="00D46569"/>
    <w:rsid w:val="00D46640"/>
    <w:rsid w:val="00D46787"/>
    <w:rsid w:val="00D4691A"/>
    <w:rsid w:val="00D46C4C"/>
    <w:rsid w:val="00D47C4A"/>
    <w:rsid w:val="00D47C9F"/>
    <w:rsid w:val="00D47D2E"/>
    <w:rsid w:val="00D47EA9"/>
    <w:rsid w:val="00D508B4"/>
    <w:rsid w:val="00D50A9A"/>
    <w:rsid w:val="00D50C79"/>
    <w:rsid w:val="00D50F43"/>
    <w:rsid w:val="00D51635"/>
    <w:rsid w:val="00D5163B"/>
    <w:rsid w:val="00D51B31"/>
    <w:rsid w:val="00D51C76"/>
    <w:rsid w:val="00D51E05"/>
    <w:rsid w:val="00D51F18"/>
    <w:rsid w:val="00D520B5"/>
    <w:rsid w:val="00D526A3"/>
    <w:rsid w:val="00D526F3"/>
    <w:rsid w:val="00D52DA3"/>
    <w:rsid w:val="00D52DE4"/>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CDD"/>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55"/>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618"/>
    <w:rsid w:val="00D64C56"/>
    <w:rsid w:val="00D65108"/>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A9E"/>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C8E"/>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316"/>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1DF"/>
    <w:rsid w:val="00D9038D"/>
    <w:rsid w:val="00D90852"/>
    <w:rsid w:val="00D90898"/>
    <w:rsid w:val="00D90998"/>
    <w:rsid w:val="00D909BB"/>
    <w:rsid w:val="00D90BEF"/>
    <w:rsid w:val="00D90CE0"/>
    <w:rsid w:val="00D90DA0"/>
    <w:rsid w:val="00D90EB1"/>
    <w:rsid w:val="00D9111B"/>
    <w:rsid w:val="00D9127E"/>
    <w:rsid w:val="00D9174D"/>
    <w:rsid w:val="00D917C7"/>
    <w:rsid w:val="00D917EB"/>
    <w:rsid w:val="00D9184F"/>
    <w:rsid w:val="00D91D92"/>
    <w:rsid w:val="00D920C6"/>
    <w:rsid w:val="00D92529"/>
    <w:rsid w:val="00D92870"/>
    <w:rsid w:val="00D92A2B"/>
    <w:rsid w:val="00D92AB8"/>
    <w:rsid w:val="00D92B36"/>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C41"/>
    <w:rsid w:val="00D96F24"/>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846"/>
    <w:rsid w:val="00DA7904"/>
    <w:rsid w:val="00DA7A9F"/>
    <w:rsid w:val="00DA7AFF"/>
    <w:rsid w:val="00DA7CBB"/>
    <w:rsid w:val="00DA7EC2"/>
    <w:rsid w:val="00DA7F06"/>
    <w:rsid w:val="00DB0380"/>
    <w:rsid w:val="00DB083D"/>
    <w:rsid w:val="00DB0862"/>
    <w:rsid w:val="00DB08FA"/>
    <w:rsid w:val="00DB1495"/>
    <w:rsid w:val="00DB14BD"/>
    <w:rsid w:val="00DB1637"/>
    <w:rsid w:val="00DB19E7"/>
    <w:rsid w:val="00DB1A54"/>
    <w:rsid w:val="00DB1B72"/>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1E8"/>
    <w:rsid w:val="00DB52C9"/>
    <w:rsid w:val="00DB5806"/>
    <w:rsid w:val="00DB59DB"/>
    <w:rsid w:val="00DB5B0F"/>
    <w:rsid w:val="00DB5B94"/>
    <w:rsid w:val="00DB5D62"/>
    <w:rsid w:val="00DB60A0"/>
    <w:rsid w:val="00DB6278"/>
    <w:rsid w:val="00DB68D5"/>
    <w:rsid w:val="00DB6D7D"/>
    <w:rsid w:val="00DB7087"/>
    <w:rsid w:val="00DB7178"/>
    <w:rsid w:val="00DB7320"/>
    <w:rsid w:val="00DB734F"/>
    <w:rsid w:val="00DB75E7"/>
    <w:rsid w:val="00DB76A4"/>
    <w:rsid w:val="00DB777B"/>
    <w:rsid w:val="00DB78E8"/>
    <w:rsid w:val="00DB79D5"/>
    <w:rsid w:val="00DB79E4"/>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BC4"/>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0C66"/>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5DB"/>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89E"/>
    <w:rsid w:val="00DE490A"/>
    <w:rsid w:val="00DE4958"/>
    <w:rsid w:val="00DE4978"/>
    <w:rsid w:val="00DE4A0A"/>
    <w:rsid w:val="00DE4A94"/>
    <w:rsid w:val="00DE4AA0"/>
    <w:rsid w:val="00DE4AAF"/>
    <w:rsid w:val="00DE4C9A"/>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7B"/>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3F3A"/>
    <w:rsid w:val="00DF4023"/>
    <w:rsid w:val="00DF404D"/>
    <w:rsid w:val="00DF4194"/>
    <w:rsid w:val="00DF4364"/>
    <w:rsid w:val="00DF499D"/>
    <w:rsid w:val="00DF4E2C"/>
    <w:rsid w:val="00DF4E34"/>
    <w:rsid w:val="00DF4EBA"/>
    <w:rsid w:val="00DF4F1B"/>
    <w:rsid w:val="00DF51A8"/>
    <w:rsid w:val="00DF5ACC"/>
    <w:rsid w:val="00DF5B3F"/>
    <w:rsid w:val="00DF5CAC"/>
    <w:rsid w:val="00DF5CF7"/>
    <w:rsid w:val="00DF5DC3"/>
    <w:rsid w:val="00DF6022"/>
    <w:rsid w:val="00DF6141"/>
    <w:rsid w:val="00DF677A"/>
    <w:rsid w:val="00DF69E4"/>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0D7"/>
    <w:rsid w:val="00E0133D"/>
    <w:rsid w:val="00E01721"/>
    <w:rsid w:val="00E0199E"/>
    <w:rsid w:val="00E019ED"/>
    <w:rsid w:val="00E01B31"/>
    <w:rsid w:val="00E01E09"/>
    <w:rsid w:val="00E0231C"/>
    <w:rsid w:val="00E02392"/>
    <w:rsid w:val="00E025BF"/>
    <w:rsid w:val="00E02967"/>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5FF2"/>
    <w:rsid w:val="00E06065"/>
    <w:rsid w:val="00E060E7"/>
    <w:rsid w:val="00E0668C"/>
    <w:rsid w:val="00E066F2"/>
    <w:rsid w:val="00E06A81"/>
    <w:rsid w:val="00E06B51"/>
    <w:rsid w:val="00E0739E"/>
    <w:rsid w:val="00E07611"/>
    <w:rsid w:val="00E07772"/>
    <w:rsid w:val="00E07901"/>
    <w:rsid w:val="00E079C6"/>
    <w:rsid w:val="00E100A0"/>
    <w:rsid w:val="00E10AE7"/>
    <w:rsid w:val="00E10B9A"/>
    <w:rsid w:val="00E10BFA"/>
    <w:rsid w:val="00E110E9"/>
    <w:rsid w:val="00E1133A"/>
    <w:rsid w:val="00E11428"/>
    <w:rsid w:val="00E116C6"/>
    <w:rsid w:val="00E116D4"/>
    <w:rsid w:val="00E1178F"/>
    <w:rsid w:val="00E11EE1"/>
    <w:rsid w:val="00E12030"/>
    <w:rsid w:val="00E121D2"/>
    <w:rsid w:val="00E1239C"/>
    <w:rsid w:val="00E124D0"/>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6F0"/>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242"/>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D3A"/>
    <w:rsid w:val="00E4050C"/>
    <w:rsid w:val="00E40652"/>
    <w:rsid w:val="00E40942"/>
    <w:rsid w:val="00E40A18"/>
    <w:rsid w:val="00E40C44"/>
    <w:rsid w:val="00E40C48"/>
    <w:rsid w:val="00E4159F"/>
    <w:rsid w:val="00E41666"/>
    <w:rsid w:val="00E4193A"/>
    <w:rsid w:val="00E4196A"/>
    <w:rsid w:val="00E419F3"/>
    <w:rsid w:val="00E41AC4"/>
    <w:rsid w:val="00E41B64"/>
    <w:rsid w:val="00E41E78"/>
    <w:rsid w:val="00E41F4B"/>
    <w:rsid w:val="00E4203F"/>
    <w:rsid w:val="00E422B5"/>
    <w:rsid w:val="00E42854"/>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23D"/>
    <w:rsid w:val="00E53948"/>
    <w:rsid w:val="00E53A12"/>
    <w:rsid w:val="00E53AB2"/>
    <w:rsid w:val="00E53C11"/>
    <w:rsid w:val="00E53C31"/>
    <w:rsid w:val="00E53DED"/>
    <w:rsid w:val="00E5411A"/>
    <w:rsid w:val="00E54129"/>
    <w:rsid w:val="00E543D7"/>
    <w:rsid w:val="00E546E0"/>
    <w:rsid w:val="00E547B6"/>
    <w:rsid w:val="00E54DF5"/>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DB1"/>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3F"/>
    <w:rsid w:val="00E66FCC"/>
    <w:rsid w:val="00E67427"/>
    <w:rsid w:val="00E676F1"/>
    <w:rsid w:val="00E67860"/>
    <w:rsid w:val="00E67CFD"/>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592"/>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945"/>
    <w:rsid w:val="00E80A85"/>
    <w:rsid w:val="00E80E3F"/>
    <w:rsid w:val="00E814F5"/>
    <w:rsid w:val="00E815DB"/>
    <w:rsid w:val="00E819A1"/>
    <w:rsid w:val="00E819F0"/>
    <w:rsid w:val="00E81B70"/>
    <w:rsid w:val="00E81CD5"/>
    <w:rsid w:val="00E820E0"/>
    <w:rsid w:val="00E82322"/>
    <w:rsid w:val="00E82484"/>
    <w:rsid w:val="00E82556"/>
    <w:rsid w:val="00E82D19"/>
    <w:rsid w:val="00E82E79"/>
    <w:rsid w:val="00E830E2"/>
    <w:rsid w:val="00E832D1"/>
    <w:rsid w:val="00E836CF"/>
    <w:rsid w:val="00E837DC"/>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0B"/>
    <w:rsid w:val="00E92A93"/>
    <w:rsid w:val="00E92F52"/>
    <w:rsid w:val="00E933BD"/>
    <w:rsid w:val="00E93620"/>
    <w:rsid w:val="00E93ACF"/>
    <w:rsid w:val="00E93E4F"/>
    <w:rsid w:val="00E941E0"/>
    <w:rsid w:val="00E944F8"/>
    <w:rsid w:val="00E94B95"/>
    <w:rsid w:val="00E951D5"/>
    <w:rsid w:val="00E95418"/>
    <w:rsid w:val="00E95517"/>
    <w:rsid w:val="00E9567F"/>
    <w:rsid w:val="00E95761"/>
    <w:rsid w:val="00E95832"/>
    <w:rsid w:val="00E959A0"/>
    <w:rsid w:val="00E95A69"/>
    <w:rsid w:val="00E95A73"/>
    <w:rsid w:val="00E95E8F"/>
    <w:rsid w:val="00E95EC4"/>
    <w:rsid w:val="00E9652A"/>
    <w:rsid w:val="00E965C3"/>
    <w:rsid w:val="00E96897"/>
    <w:rsid w:val="00E96918"/>
    <w:rsid w:val="00E969FC"/>
    <w:rsid w:val="00E96BCD"/>
    <w:rsid w:val="00E96C47"/>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1E61"/>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8F7"/>
    <w:rsid w:val="00EA5CB5"/>
    <w:rsid w:val="00EA5CF4"/>
    <w:rsid w:val="00EA6351"/>
    <w:rsid w:val="00EA6548"/>
    <w:rsid w:val="00EA6573"/>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587"/>
    <w:rsid w:val="00EB2721"/>
    <w:rsid w:val="00EB29E8"/>
    <w:rsid w:val="00EB2B78"/>
    <w:rsid w:val="00EB2EDA"/>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7DC"/>
    <w:rsid w:val="00EB4992"/>
    <w:rsid w:val="00EB4EF2"/>
    <w:rsid w:val="00EB4F1A"/>
    <w:rsid w:val="00EB50B2"/>
    <w:rsid w:val="00EB5799"/>
    <w:rsid w:val="00EB5C6E"/>
    <w:rsid w:val="00EB60F7"/>
    <w:rsid w:val="00EB6530"/>
    <w:rsid w:val="00EB659F"/>
    <w:rsid w:val="00EB65AE"/>
    <w:rsid w:val="00EB70AD"/>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774"/>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092"/>
    <w:rsid w:val="00EC7E97"/>
    <w:rsid w:val="00ED0557"/>
    <w:rsid w:val="00ED0CF0"/>
    <w:rsid w:val="00ED0D6E"/>
    <w:rsid w:val="00ED0DA8"/>
    <w:rsid w:val="00ED10FA"/>
    <w:rsid w:val="00ED1141"/>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56E"/>
    <w:rsid w:val="00ED58B3"/>
    <w:rsid w:val="00ED59A5"/>
    <w:rsid w:val="00ED5BDC"/>
    <w:rsid w:val="00ED5CAB"/>
    <w:rsid w:val="00ED5E6C"/>
    <w:rsid w:val="00ED5E80"/>
    <w:rsid w:val="00ED6315"/>
    <w:rsid w:val="00ED6342"/>
    <w:rsid w:val="00ED6A10"/>
    <w:rsid w:val="00ED6C28"/>
    <w:rsid w:val="00ED6E12"/>
    <w:rsid w:val="00ED720B"/>
    <w:rsid w:val="00ED747F"/>
    <w:rsid w:val="00ED74FB"/>
    <w:rsid w:val="00ED766C"/>
    <w:rsid w:val="00ED76FB"/>
    <w:rsid w:val="00ED7895"/>
    <w:rsid w:val="00ED78A3"/>
    <w:rsid w:val="00ED7C00"/>
    <w:rsid w:val="00ED7E1E"/>
    <w:rsid w:val="00ED7F2B"/>
    <w:rsid w:val="00EE04D9"/>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AC2"/>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26A"/>
    <w:rsid w:val="00EE6946"/>
    <w:rsid w:val="00EE696B"/>
    <w:rsid w:val="00EE6DA3"/>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6AA"/>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A4"/>
    <w:rsid w:val="00F02ED9"/>
    <w:rsid w:val="00F03781"/>
    <w:rsid w:val="00F037D5"/>
    <w:rsid w:val="00F038A9"/>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84A"/>
    <w:rsid w:val="00F07C50"/>
    <w:rsid w:val="00F07E96"/>
    <w:rsid w:val="00F10546"/>
    <w:rsid w:val="00F10B0A"/>
    <w:rsid w:val="00F113CF"/>
    <w:rsid w:val="00F11537"/>
    <w:rsid w:val="00F11B1A"/>
    <w:rsid w:val="00F120D9"/>
    <w:rsid w:val="00F124BE"/>
    <w:rsid w:val="00F125DE"/>
    <w:rsid w:val="00F12638"/>
    <w:rsid w:val="00F126FB"/>
    <w:rsid w:val="00F12863"/>
    <w:rsid w:val="00F12A36"/>
    <w:rsid w:val="00F12A9F"/>
    <w:rsid w:val="00F12E56"/>
    <w:rsid w:val="00F1308B"/>
    <w:rsid w:val="00F13137"/>
    <w:rsid w:val="00F1339B"/>
    <w:rsid w:val="00F1372F"/>
    <w:rsid w:val="00F13A2F"/>
    <w:rsid w:val="00F13F88"/>
    <w:rsid w:val="00F14577"/>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B8E"/>
    <w:rsid w:val="00F22C15"/>
    <w:rsid w:val="00F22DC5"/>
    <w:rsid w:val="00F22EDB"/>
    <w:rsid w:val="00F2303B"/>
    <w:rsid w:val="00F2304F"/>
    <w:rsid w:val="00F23124"/>
    <w:rsid w:val="00F23423"/>
    <w:rsid w:val="00F2349D"/>
    <w:rsid w:val="00F23570"/>
    <w:rsid w:val="00F23B96"/>
    <w:rsid w:val="00F23F06"/>
    <w:rsid w:val="00F23F7D"/>
    <w:rsid w:val="00F23FC5"/>
    <w:rsid w:val="00F23FF4"/>
    <w:rsid w:val="00F2421D"/>
    <w:rsid w:val="00F24232"/>
    <w:rsid w:val="00F2486E"/>
    <w:rsid w:val="00F24C5A"/>
    <w:rsid w:val="00F24D30"/>
    <w:rsid w:val="00F24DF1"/>
    <w:rsid w:val="00F24E8D"/>
    <w:rsid w:val="00F25177"/>
    <w:rsid w:val="00F2526C"/>
    <w:rsid w:val="00F2538F"/>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878"/>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3E6"/>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80A"/>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BF"/>
    <w:rsid w:val="00F432C6"/>
    <w:rsid w:val="00F43470"/>
    <w:rsid w:val="00F4352E"/>
    <w:rsid w:val="00F43536"/>
    <w:rsid w:val="00F437B6"/>
    <w:rsid w:val="00F438A7"/>
    <w:rsid w:val="00F43911"/>
    <w:rsid w:val="00F43960"/>
    <w:rsid w:val="00F43C3C"/>
    <w:rsid w:val="00F446D1"/>
    <w:rsid w:val="00F4470C"/>
    <w:rsid w:val="00F44B59"/>
    <w:rsid w:val="00F44BB8"/>
    <w:rsid w:val="00F4537F"/>
    <w:rsid w:val="00F45617"/>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BE"/>
    <w:rsid w:val="00F515CA"/>
    <w:rsid w:val="00F516C2"/>
    <w:rsid w:val="00F51D20"/>
    <w:rsid w:val="00F51EDD"/>
    <w:rsid w:val="00F52BF1"/>
    <w:rsid w:val="00F52DAC"/>
    <w:rsid w:val="00F530D0"/>
    <w:rsid w:val="00F53166"/>
    <w:rsid w:val="00F5335D"/>
    <w:rsid w:val="00F53808"/>
    <w:rsid w:val="00F53A12"/>
    <w:rsid w:val="00F53C60"/>
    <w:rsid w:val="00F53F51"/>
    <w:rsid w:val="00F54158"/>
    <w:rsid w:val="00F54527"/>
    <w:rsid w:val="00F54856"/>
    <w:rsid w:val="00F54FE1"/>
    <w:rsid w:val="00F551EB"/>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67F"/>
    <w:rsid w:val="00F5789B"/>
    <w:rsid w:val="00F579FC"/>
    <w:rsid w:val="00F57FD9"/>
    <w:rsid w:val="00F601CA"/>
    <w:rsid w:val="00F60277"/>
    <w:rsid w:val="00F6065E"/>
    <w:rsid w:val="00F60860"/>
    <w:rsid w:val="00F6089D"/>
    <w:rsid w:val="00F60C74"/>
    <w:rsid w:val="00F60DEE"/>
    <w:rsid w:val="00F61342"/>
    <w:rsid w:val="00F61602"/>
    <w:rsid w:val="00F6161C"/>
    <w:rsid w:val="00F61841"/>
    <w:rsid w:val="00F61A57"/>
    <w:rsid w:val="00F61DE6"/>
    <w:rsid w:val="00F61E93"/>
    <w:rsid w:val="00F623EC"/>
    <w:rsid w:val="00F62773"/>
    <w:rsid w:val="00F62975"/>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6B5"/>
    <w:rsid w:val="00F70895"/>
    <w:rsid w:val="00F7113E"/>
    <w:rsid w:val="00F71419"/>
    <w:rsid w:val="00F71AD6"/>
    <w:rsid w:val="00F721D8"/>
    <w:rsid w:val="00F72212"/>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684"/>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C67"/>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633"/>
    <w:rsid w:val="00FA0926"/>
    <w:rsid w:val="00FA0942"/>
    <w:rsid w:val="00FA0AC9"/>
    <w:rsid w:val="00FA12CC"/>
    <w:rsid w:val="00FA188C"/>
    <w:rsid w:val="00FA1CD2"/>
    <w:rsid w:val="00FA1FF2"/>
    <w:rsid w:val="00FA2910"/>
    <w:rsid w:val="00FA2948"/>
    <w:rsid w:val="00FA29F4"/>
    <w:rsid w:val="00FA2B04"/>
    <w:rsid w:val="00FA2CAA"/>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0C3E"/>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17B"/>
    <w:rsid w:val="00FB4260"/>
    <w:rsid w:val="00FB4411"/>
    <w:rsid w:val="00FB4413"/>
    <w:rsid w:val="00FB4635"/>
    <w:rsid w:val="00FB4D65"/>
    <w:rsid w:val="00FB5001"/>
    <w:rsid w:val="00FB56CA"/>
    <w:rsid w:val="00FB5954"/>
    <w:rsid w:val="00FB5B4B"/>
    <w:rsid w:val="00FB5B5B"/>
    <w:rsid w:val="00FB5BD1"/>
    <w:rsid w:val="00FB5EDF"/>
    <w:rsid w:val="00FB60A1"/>
    <w:rsid w:val="00FB6695"/>
    <w:rsid w:val="00FB689B"/>
    <w:rsid w:val="00FB6963"/>
    <w:rsid w:val="00FB7222"/>
    <w:rsid w:val="00FB7397"/>
    <w:rsid w:val="00FB798A"/>
    <w:rsid w:val="00FB7B35"/>
    <w:rsid w:val="00FC012F"/>
    <w:rsid w:val="00FC0253"/>
    <w:rsid w:val="00FC05FC"/>
    <w:rsid w:val="00FC060B"/>
    <w:rsid w:val="00FC085C"/>
    <w:rsid w:val="00FC0CDF"/>
    <w:rsid w:val="00FC0D3E"/>
    <w:rsid w:val="00FC0D7C"/>
    <w:rsid w:val="00FC1208"/>
    <w:rsid w:val="00FC1337"/>
    <w:rsid w:val="00FC1411"/>
    <w:rsid w:val="00FC163A"/>
    <w:rsid w:val="00FC16FB"/>
    <w:rsid w:val="00FC17D5"/>
    <w:rsid w:val="00FC183A"/>
    <w:rsid w:val="00FC19F5"/>
    <w:rsid w:val="00FC1DC8"/>
    <w:rsid w:val="00FC237D"/>
    <w:rsid w:val="00FC28D1"/>
    <w:rsid w:val="00FC2AC9"/>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53"/>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95D"/>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8"/>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B19"/>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6B8"/>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3AC"/>
    <w:rsid w:val="00FF34C8"/>
    <w:rsid w:val="00FF35BB"/>
    <w:rsid w:val="00FF3880"/>
    <w:rsid w:val="00FF394B"/>
    <w:rsid w:val="00FF407F"/>
    <w:rsid w:val="00FF40CC"/>
    <w:rsid w:val="00FF465F"/>
    <w:rsid w:val="00FF4BC9"/>
    <w:rsid w:val="00FF4EB5"/>
    <w:rsid w:val="00FF5893"/>
    <w:rsid w:val="00FF5F7D"/>
    <w:rsid w:val="00FF6062"/>
    <w:rsid w:val="00FF6076"/>
    <w:rsid w:val="00FF636B"/>
    <w:rsid w:val="00FF6518"/>
    <w:rsid w:val="00FF6684"/>
    <w:rsid w:val="00FF66BB"/>
    <w:rsid w:val="00FF675D"/>
    <w:rsid w:val="00FF6779"/>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9F5232-F9A2-4429-A0AF-E13003E2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1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19997634">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69515033">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07394868">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763621">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5&amp;numero=3356&amp;colegiado=P" TargetMode="External"/><Relationship Id="rId18" Type="http://schemas.openxmlformats.org/officeDocument/2006/relationships/hyperlink" Target="http://www.planalto.gov.br/ccivil_03/_Ato2015-2018/2015/Mpv/mpv706.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tas.tcu.gov.br/juris/SvlProxyHighlight?base=ACORDAO&amp;ano=2015&amp;numero=3349&amp;colegiado=P" TargetMode="External"/><Relationship Id="rId17" Type="http://schemas.openxmlformats.org/officeDocument/2006/relationships/hyperlink" Target="http://www.planalto.gov.br/ccivil_03/_Ato2015-2018/2015/Mpv/mpv703.htm" TargetMode="External"/><Relationship Id="rId2" Type="http://schemas.openxmlformats.org/officeDocument/2006/relationships/numbering" Target="numbering.xml"/><Relationship Id="rId16" Type="http://schemas.openxmlformats.org/officeDocument/2006/relationships/hyperlink" Target="http://www.planalto.gov.br/ccivil_03/_Ato2015-2018/2016/Lei/L13243.htm" TargetMode="External"/><Relationship Id="rId20" Type="http://schemas.openxmlformats.org/officeDocument/2006/relationships/hyperlink" Target="mailto:infojuris@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2304&amp;colegiado=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5-2018/2015/Lei/L13240.htm" TargetMode="External"/><Relationship Id="rId23" Type="http://schemas.openxmlformats.org/officeDocument/2006/relationships/fontTable" Target="fontTable.xml"/><Relationship Id="rId10" Type="http://schemas.openxmlformats.org/officeDocument/2006/relationships/hyperlink" Target="https://contas.tcu.gov.br/juris/SvlProxyHighlight?base=ACORDAO&amp;ano=2012&amp;numero=1715&amp;colegiado=P" TargetMode="External"/><Relationship Id="rId19" Type="http://schemas.openxmlformats.org/officeDocument/2006/relationships/hyperlink" Target="http://www.planalto.gov.br/ccivil_03/_Ato2015-2018/2015/Decreto/D8626.htm"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3301&amp;colegiado=P" TargetMode="External"/><Relationship Id="rId14" Type="http://schemas.openxmlformats.org/officeDocument/2006/relationships/hyperlink" Target="http://www.planalto.gov.br/ccivil_03/_Ato2015-2018/2015/Lei/L13204.htm"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D2D4E-D68B-41CF-AAAB-644F1F6C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2872</Words>
  <Characters>15515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18351</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Porto</dc:creator>
  <cp:lastModifiedBy>Sergio Ricardo de Mendonca Salustiano</cp:lastModifiedBy>
  <cp:revision>12</cp:revision>
  <cp:lastPrinted>2015-05-05T13:18:00Z</cp:lastPrinted>
  <dcterms:created xsi:type="dcterms:W3CDTF">2016-02-02T18:07:00Z</dcterms:created>
  <dcterms:modified xsi:type="dcterms:W3CDTF">2016-02-02T19:31:00Z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