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C6" w:rsidRDefault="00E977C6" w:rsidP="008D6013">
      <w:pPr>
        <w:jc w:val="center"/>
        <w:rPr>
          <w:rFonts w:ascii="Times New Roman" w:hAnsi="Times New Roman" w:cs="Times New Roman"/>
          <w:b/>
          <w:sz w:val="24"/>
          <w:szCs w:val="24"/>
        </w:rPr>
      </w:pPr>
    </w:p>
    <w:p w:rsidR="002855B9" w:rsidRDefault="008D6013" w:rsidP="008D6013">
      <w:pPr>
        <w:jc w:val="center"/>
        <w:rPr>
          <w:rFonts w:ascii="Times New Roman" w:hAnsi="Times New Roman" w:cs="Times New Roman"/>
          <w:b/>
          <w:sz w:val="24"/>
          <w:szCs w:val="24"/>
        </w:rPr>
      </w:pPr>
      <w:r w:rsidRPr="00DF40D9">
        <w:rPr>
          <w:rFonts w:ascii="Times New Roman" w:hAnsi="Times New Roman" w:cs="Times New Roman"/>
          <w:b/>
          <w:sz w:val="24"/>
          <w:szCs w:val="24"/>
        </w:rPr>
        <w:t xml:space="preserve">Perguntas e respostas frequentes sobre </w:t>
      </w:r>
      <w:r w:rsidR="001E45AC">
        <w:rPr>
          <w:rFonts w:ascii="Times New Roman" w:hAnsi="Times New Roman" w:cs="Times New Roman"/>
          <w:b/>
          <w:sz w:val="24"/>
          <w:szCs w:val="24"/>
        </w:rPr>
        <w:t xml:space="preserve">a </w:t>
      </w:r>
      <w:r w:rsidR="001628FE" w:rsidRPr="00DF40D9">
        <w:rPr>
          <w:rFonts w:ascii="Times New Roman" w:hAnsi="Times New Roman" w:cs="Times New Roman"/>
          <w:b/>
          <w:sz w:val="24"/>
          <w:szCs w:val="24"/>
        </w:rPr>
        <w:t>prestação de contas</w:t>
      </w:r>
      <w:r w:rsidR="001E45AC">
        <w:rPr>
          <w:rFonts w:ascii="Times New Roman" w:hAnsi="Times New Roman" w:cs="Times New Roman"/>
          <w:b/>
          <w:sz w:val="24"/>
          <w:szCs w:val="24"/>
        </w:rPr>
        <w:t xml:space="preserve"> de 2018</w:t>
      </w:r>
    </w:p>
    <w:tbl>
      <w:tblPr>
        <w:tblStyle w:val="Tabelacomgrade"/>
        <w:tblW w:w="9214" w:type="dxa"/>
        <w:tblInd w:w="-5" w:type="dxa"/>
        <w:tblLook w:val="04A0" w:firstRow="1" w:lastRow="0" w:firstColumn="1" w:lastColumn="0" w:noHBand="0" w:noVBand="1"/>
      </w:tblPr>
      <w:tblGrid>
        <w:gridCol w:w="9214"/>
      </w:tblGrid>
      <w:tr w:rsidR="008D6013" w:rsidRPr="00A72A87" w:rsidTr="00DF40D9">
        <w:tc>
          <w:tcPr>
            <w:tcW w:w="9214" w:type="dxa"/>
            <w:shd w:val="clear" w:color="auto" w:fill="9CC2E5" w:themeFill="accent1" w:themeFillTint="99"/>
          </w:tcPr>
          <w:p w:rsidR="008D6013" w:rsidRPr="001762D6" w:rsidRDefault="00A72A87" w:rsidP="00A72A87">
            <w:pPr>
              <w:spacing w:before="120" w:after="120"/>
              <w:rPr>
                <w:rFonts w:ascii="Times New Roman" w:hAnsi="Times New Roman" w:cs="Times New Roman"/>
                <w:b/>
              </w:rPr>
            </w:pPr>
            <w:r w:rsidRPr="001762D6">
              <w:rPr>
                <w:rFonts w:ascii="Times New Roman" w:hAnsi="Times New Roman" w:cs="Times New Roman"/>
                <w:b/>
              </w:rPr>
              <w:t>Apresentador das contas</w:t>
            </w:r>
          </w:p>
        </w:tc>
      </w:tr>
      <w:tr w:rsidR="008D6013" w:rsidRPr="00A72A87" w:rsidTr="00DF40D9">
        <w:tc>
          <w:tcPr>
            <w:tcW w:w="9214" w:type="dxa"/>
            <w:shd w:val="clear" w:color="auto" w:fill="DEEAF6" w:themeFill="accent1" w:themeFillTint="33"/>
          </w:tcPr>
          <w:p w:rsidR="008D6013" w:rsidRPr="001762D6" w:rsidRDefault="005B73E4" w:rsidP="00B0303F">
            <w:pPr>
              <w:spacing w:before="120" w:after="120"/>
              <w:rPr>
                <w:rFonts w:ascii="Times New Roman" w:hAnsi="Times New Roman" w:cs="Times New Roman"/>
              </w:rPr>
            </w:pPr>
            <w:r w:rsidRPr="001762D6">
              <w:rPr>
                <w:rFonts w:ascii="Times New Roman" w:hAnsi="Times New Roman" w:cs="Times New Roman"/>
                <w:b/>
              </w:rPr>
              <w:t xml:space="preserve">Pergunta: </w:t>
            </w:r>
            <w:r w:rsidRPr="001762D6">
              <w:rPr>
                <w:rFonts w:ascii="Times New Roman" w:hAnsi="Times New Roman" w:cs="Times New Roman"/>
              </w:rPr>
              <w:t>No caso dos ministérios extintos pelo novo governo, quem apresentará as contas?</w:t>
            </w:r>
          </w:p>
        </w:tc>
      </w:tr>
      <w:tr w:rsidR="008D6013" w:rsidRPr="00A72A87" w:rsidTr="00DF40D9">
        <w:tc>
          <w:tcPr>
            <w:tcW w:w="9214" w:type="dxa"/>
          </w:tcPr>
          <w:p w:rsidR="008D6013" w:rsidRPr="001762D6" w:rsidRDefault="001762D6" w:rsidP="00B0303F">
            <w:pPr>
              <w:spacing w:before="120" w:after="120"/>
              <w:jc w:val="both"/>
              <w:rPr>
                <w:rFonts w:ascii="Times New Roman" w:hAnsi="Times New Roman" w:cs="Times New Roman"/>
              </w:rPr>
            </w:pPr>
            <w:r w:rsidRPr="001762D6">
              <w:rPr>
                <w:rFonts w:ascii="Times New Roman" w:hAnsi="Times New Roman" w:cs="Times New Roman"/>
                <w:b/>
              </w:rPr>
              <w:t>Resposta:</w:t>
            </w:r>
            <w:r w:rsidRPr="001762D6">
              <w:rPr>
                <w:rFonts w:ascii="Times New Roman" w:hAnsi="Times New Roman" w:cs="Times New Roman"/>
              </w:rPr>
              <w:t xml:space="preserve"> Tendo em vista a alteração da estrutura do governo federal em 2019 e a consequente necessidade de ajuste dos apresentadores e supervisores das contas, o sistema e-Contas será aberto até 28/2/2019 e definirá quem apresentará as contas dos ministérios extintos.</w:t>
            </w:r>
          </w:p>
        </w:tc>
      </w:tr>
      <w:tr w:rsidR="008D6013" w:rsidRPr="00A72A87" w:rsidTr="00DF40D9">
        <w:tc>
          <w:tcPr>
            <w:tcW w:w="9214" w:type="dxa"/>
            <w:shd w:val="clear" w:color="auto" w:fill="9CC2E5" w:themeFill="accent1" w:themeFillTint="99"/>
          </w:tcPr>
          <w:p w:rsidR="008D6013" w:rsidRPr="001762D6" w:rsidRDefault="00A72A87" w:rsidP="00A72A87">
            <w:pPr>
              <w:spacing w:before="120" w:after="120"/>
              <w:rPr>
                <w:rFonts w:ascii="Times New Roman" w:hAnsi="Times New Roman" w:cs="Times New Roman"/>
                <w:b/>
              </w:rPr>
            </w:pPr>
            <w:r w:rsidRPr="001762D6">
              <w:rPr>
                <w:rFonts w:ascii="Times New Roman" w:hAnsi="Times New Roman" w:cs="Times New Roman"/>
                <w:b/>
              </w:rPr>
              <w:t>Conteúdo do</w:t>
            </w:r>
            <w:bookmarkStart w:id="0" w:name="_GoBack"/>
            <w:bookmarkEnd w:id="0"/>
            <w:r w:rsidRPr="001762D6">
              <w:rPr>
                <w:rFonts w:ascii="Times New Roman" w:hAnsi="Times New Roman" w:cs="Times New Roman"/>
                <w:b/>
              </w:rPr>
              <w:t xml:space="preserve"> relatório de gestão</w:t>
            </w:r>
          </w:p>
        </w:tc>
      </w:tr>
      <w:tr w:rsidR="008D6013" w:rsidRPr="00A72A87" w:rsidTr="00DF40D9">
        <w:tc>
          <w:tcPr>
            <w:tcW w:w="9214" w:type="dxa"/>
            <w:shd w:val="clear" w:color="auto" w:fill="DEEAF6" w:themeFill="accent1" w:themeFillTint="33"/>
          </w:tcPr>
          <w:p w:rsidR="00A72A87" w:rsidRPr="001762D6" w:rsidRDefault="00A72A87" w:rsidP="0040026E">
            <w:pPr>
              <w:spacing w:before="120"/>
              <w:jc w:val="both"/>
              <w:rPr>
                <w:rFonts w:ascii="Times New Roman" w:eastAsia="Times New Roman" w:hAnsi="Times New Roman" w:cs="Times New Roman"/>
                <w:b/>
                <w:lang w:eastAsia="pt-BR"/>
              </w:rPr>
            </w:pPr>
            <w:r w:rsidRPr="001762D6">
              <w:rPr>
                <w:rFonts w:ascii="Times New Roman" w:eastAsia="Times New Roman" w:hAnsi="Times New Roman" w:cs="Times New Roman"/>
                <w:b/>
                <w:lang w:eastAsia="pt-BR"/>
              </w:rPr>
              <w:t>Perguntas:</w:t>
            </w:r>
          </w:p>
          <w:p w:rsidR="00A72A87" w:rsidRPr="001762D6" w:rsidRDefault="00A72A87" w:rsidP="00A72A87">
            <w:pPr>
              <w:jc w:val="both"/>
              <w:rPr>
                <w:rFonts w:ascii="Times New Roman" w:eastAsia="Times New Roman" w:hAnsi="Times New Roman" w:cs="Times New Roman"/>
                <w:lang w:eastAsia="pt-BR"/>
              </w:rPr>
            </w:pPr>
            <w:r w:rsidRPr="001762D6">
              <w:rPr>
                <w:rFonts w:ascii="Times New Roman" w:eastAsia="Times New Roman" w:hAnsi="Times New Roman" w:cs="Times New Roman"/>
                <w:lang w:eastAsia="pt-BR"/>
              </w:rPr>
              <w:t>Quando será efetivamente demandado que se entregue um relatório 100% integrado?</w:t>
            </w:r>
          </w:p>
          <w:p w:rsidR="00A72A87" w:rsidRPr="001762D6" w:rsidRDefault="00A72A87" w:rsidP="00A72A87">
            <w:pPr>
              <w:jc w:val="both"/>
              <w:rPr>
                <w:rFonts w:ascii="Times New Roman" w:eastAsia="Times New Roman" w:hAnsi="Times New Roman" w:cs="Times New Roman"/>
                <w:lang w:eastAsia="pt-BR"/>
              </w:rPr>
            </w:pPr>
            <w:r w:rsidRPr="001762D6">
              <w:rPr>
                <w:rFonts w:ascii="Times New Roman" w:eastAsia="Times New Roman" w:hAnsi="Times New Roman" w:cs="Times New Roman"/>
                <w:lang w:eastAsia="pt-BR"/>
              </w:rPr>
              <w:t>Quando saberemos detalhes sobre o formato estabelecido para o relatório?</w:t>
            </w:r>
          </w:p>
          <w:p w:rsidR="008D6013" w:rsidRPr="001762D6" w:rsidRDefault="00A72A87" w:rsidP="0040026E">
            <w:pPr>
              <w:spacing w:after="120"/>
              <w:jc w:val="both"/>
              <w:rPr>
                <w:rFonts w:ascii="Times New Roman" w:eastAsia="Times New Roman" w:hAnsi="Times New Roman" w:cs="Times New Roman"/>
                <w:lang w:eastAsia="pt-BR"/>
              </w:rPr>
            </w:pPr>
            <w:r w:rsidRPr="001762D6">
              <w:rPr>
                <w:rFonts w:ascii="Times New Roman" w:eastAsia="Times New Roman" w:hAnsi="Times New Roman" w:cs="Times New Roman"/>
                <w:lang w:eastAsia="pt-BR"/>
              </w:rPr>
              <w:t>Quando saberemos quais conteúdos serão solicitados pelo TCU? Será realmente necessária a adoção da linguagem visual apresentada pelo MF? Quando?</w:t>
            </w:r>
          </w:p>
        </w:tc>
      </w:tr>
      <w:tr w:rsidR="008D6013" w:rsidRPr="00A72A87" w:rsidTr="00DF40D9">
        <w:tc>
          <w:tcPr>
            <w:tcW w:w="9214" w:type="dxa"/>
          </w:tcPr>
          <w:p w:rsidR="008D6013" w:rsidRPr="001762D6" w:rsidRDefault="00A72A87" w:rsidP="00B0303F">
            <w:pPr>
              <w:spacing w:before="120"/>
              <w:rPr>
                <w:rFonts w:ascii="Times New Roman" w:hAnsi="Times New Roman" w:cs="Times New Roman"/>
                <w:b/>
              </w:rPr>
            </w:pPr>
            <w:r w:rsidRPr="001762D6">
              <w:rPr>
                <w:rFonts w:ascii="Times New Roman" w:hAnsi="Times New Roman" w:cs="Times New Roman"/>
                <w:b/>
              </w:rPr>
              <w:t>Resposta:</w:t>
            </w:r>
          </w:p>
          <w:p w:rsidR="00A72A87" w:rsidRPr="001762D6" w:rsidRDefault="00A72A87" w:rsidP="00B0303F">
            <w:pPr>
              <w:spacing w:after="120"/>
              <w:jc w:val="both"/>
              <w:rPr>
                <w:rFonts w:ascii="Times New Roman" w:hAnsi="Times New Roman" w:cs="Times New Roman"/>
              </w:rPr>
            </w:pPr>
            <w:r w:rsidRPr="001762D6">
              <w:rPr>
                <w:rFonts w:ascii="Times New Roman" w:eastAsia="Times New Roman" w:hAnsi="Times New Roman" w:cs="Times New Roman"/>
                <w:lang w:eastAsia="pt-BR"/>
              </w:rPr>
              <w:t xml:space="preserve">A partir do exercício de 2018, as UPC devem </w:t>
            </w:r>
            <w:r w:rsidR="00286271" w:rsidRPr="001762D6">
              <w:rPr>
                <w:rFonts w:ascii="Times New Roman" w:hAnsi="Times New Roman" w:cs="Times New Roman"/>
              </w:rPr>
              <w:t xml:space="preserve">atender às diretrizes definidas no Anexo III da DN 170/2018, observar a estrutura básica estabelecida no Anexo II dessa decisão normativa, bem como o detalhamento do conteúdo e as orientações adicionais que vierem a ser indicada na Portaria TCU e no sistema e-Contas (cf. </w:t>
            </w:r>
            <w:r w:rsidR="00286271" w:rsidRPr="001762D6">
              <w:rPr>
                <w:rFonts w:ascii="Times New Roman" w:eastAsia="Times New Roman" w:hAnsi="Times New Roman" w:cs="Times New Roman"/>
                <w:lang w:eastAsia="pt-BR"/>
              </w:rPr>
              <w:t>l</w:t>
            </w:r>
            <w:r w:rsidR="00286271" w:rsidRPr="001762D6">
              <w:rPr>
                <w:rFonts w:ascii="Times New Roman" w:eastAsia="Times New Roman" w:hAnsi="Times New Roman" w:cs="Times New Roman"/>
                <w:bCs/>
                <w:lang w:eastAsia="pt-BR"/>
              </w:rPr>
              <w:t>ista preliminar de conteúdo para o relatório de gestão 2018)</w:t>
            </w:r>
            <w:r w:rsidR="00286271" w:rsidRPr="001762D6">
              <w:rPr>
                <w:rFonts w:ascii="Times New Roman" w:hAnsi="Times New Roman" w:cs="Times New Roman"/>
              </w:rPr>
              <w:t>.</w:t>
            </w:r>
            <w:r w:rsidRPr="001762D6">
              <w:rPr>
                <w:rFonts w:ascii="Times New Roman" w:eastAsia="Times New Roman" w:hAnsi="Times New Roman" w:cs="Times New Roman"/>
                <w:lang w:eastAsia="pt-BR"/>
              </w:rPr>
              <w:t xml:space="preserve"> A forma recomendada para cada capítulo, inclusive quanto à adoção de infográficos, está detalhada na cartilha “Relatório de gestão na forma de relato integrado” </w:t>
            </w:r>
            <w:r w:rsidRPr="001762D6">
              <w:rPr>
                <w:rFonts w:ascii="Times New Roman" w:eastAsia="Times New Roman" w:hAnsi="Times New Roman" w:cs="Times New Roman"/>
                <w:bCs/>
                <w:lang w:eastAsia="pt-BR"/>
              </w:rPr>
              <w:t xml:space="preserve">disponibilizada pela </w:t>
            </w:r>
            <w:proofErr w:type="spellStart"/>
            <w:r w:rsidRPr="001762D6">
              <w:rPr>
                <w:rFonts w:ascii="Times New Roman" w:eastAsia="Times New Roman" w:hAnsi="Times New Roman" w:cs="Times New Roman"/>
                <w:bCs/>
                <w:lang w:eastAsia="pt-BR"/>
              </w:rPr>
              <w:t>Segecex</w:t>
            </w:r>
            <w:proofErr w:type="spellEnd"/>
            <w:r w:rsidRPr="001762D6">
              <w:rPr>
                <w:rFonts w:ascii="Times New Roman" w:eastAsia="Times New Roman" w:hAnsi="Times New Roman" w:cs="Times New Roman"/>
                <w:bCs/>
                <w:lang w:eastAsia="pt-BR"/>
              </w:rPr>
              <w:t xml:space="preserve"> na página de Contas do Portal TCU</w:t>
            </w:r>
            <w:r w:rsidR="009B3010" w:rsidRPr="001762D6">
              <w:rPr>
                <w:rFonts w:ascii="Times New Roman" w:eastAsia="Times New Roman" w:hAnsi="Times New Roman" w:cs="Times New Roman"/>
                <w:bCs/>
                <w:lang w:eastAsia="pt-BR"/>
              </w:rPr>
              <w:t>.</w:t>
            </w:r>
          </w:p>
        </w:tc>
      </w:tr>
      <w:tr w:rsidR="0040026E" w:rsidRPr="00A72A87" w:rsidTr="00DF40D9">
        <w:tc>
          <w:tcPr>
            <w:tcW w:w="9214" w:type="dxa"/>
            <w:shd w:val="clear" w:color="auto" w:fill="DEEAF6" w:themeFill="accent1" w:themeFillTint="33"/>
          </w:tcPr>
          <w:p w:rsidR="0040026E" w:rsidRPr="001762D6" w:rsidRDefault="0040026E" w:rsidP="000953D6">
            <w:pPr>
              <w:pStyle w:val="PargrafodaLista"/>
              <w:tabs>
                <w:tab w:val="left" w:pos="1134"/>
              </w:tabs>
              <w:ind w:left="0"/>
              <w:jc w:val="both"/>
              <w:rPr>
                <w:b/>
                <w:sz w:val="22"/>
                <w:szCs w:val="22"/>
              </w:rPr>
            </w:pPr>
            <w:r w:rsidRPr="001762D6">
              <w:rPr>
                <w:b/>
                <w:sz w:val="22"/>
                <w:szCs w:val="22"/>
              </w:rPr>
              <w:t xml:space="preserve">Pergunta: </w:t>
            </w:r>
            <w:r w:rsidR="000953D6" w:rsidRPr="001762D6">
              <w:rPr>
                <w:sz w:val="22"/>
                <w:szCs w:val="22"/>
              </w:rPr>
              <w:t>Q</w:t>
            </w:r>
            <w:r w:rsidRPr="001762D6">
              <w:rPr>
                <w:sz w:val="22"/>
                <w:szCs w:val="22"/>
              </w:rPr>
              <w:t>uais são as novidades trazidas pela DN TCU 170/2018?</w:t>
            </w:r>
          </w:p>
        </w:tc>
      </w:tr>
      <w:tr w:rsidR="0040026E" w:rsidRPr="00A72A87" w:rsidTr="00DF40D9">
        <w:tc>
          <w:tcPr>
            <w:tcW w:w="9214" w:type="dxa"/>
          </w:tcPr>
          <w:p w:rsidR="0040026E" w:rsidRPr="001762D6" w:rsidRDefault="0040026E" w:rsidP="00B0303F">
            <w:pPr>
              <w:pStyle w:val="ListaColorida-nfase11"/>
              <w:tabs>
                <w:tab w:val="left" w:pos="1134"/>
              </w:tabs>
              <w:ind w:left="0"/>
              <w:contextualSpacing w:val="0"/>
              <w:jc w:val="both"/>
              <w:rPr>
                <w:sz w:val="22"/>
                <w:szCs w:val="22"/>
              </w:rPr>
            </w:pPr>
            <w:r w:rsidRPr="001762D6">
              <w:rPr>
                <w:b/>
                <w:sz w:val="22"/>
                <w:szCs w:val="22"/>
              </w:rPr>
              <w:t>Resposta:</w:t>
            </w:r>
            <w:r w:rsidRPr="001762D6">
              <w:rPr>
                <w:sz w:val="22"/>
                <w:szCs w:val="22"/>
              </w:rPr>
              <w:t xml:space="preserve"> duas novidades trazidas pela Estrutura do IIRC e incorporadas pela DN TCU 170/2018 são a necessidade de determinação da materialidade das informações que irão compor o relatório e a aplicação do pensamento coletivo na sua preparação e apresentação.</w:t>
            </w:r>
          </w:p>
          <w:p w:rsidR="0040026E" w:rsidRPr="001762D6" w:rsidRDefault="0040026E" w:rsidP="00B0303F">
            <w:pPr>
              <w:pStyle w:val="PargrafodaLista"/>
              <w:tabs>
                <w:tab w:val="left" w:pos="1134"/>
              </w:tabs>
              <w:spacing w:before="0"/>
              <w:ind w:left="0"/>
              <w:jc w:val="both"/>
              <w:rPr>
                <w:b/>
                <w:sz w:val="22"/>
                <w:szCs w:val="22"/>
              </w:rPr>
            </w:pPr>
            <w:r w:rsidRPr="001762D6">
              <w:rPr>
                <w:sz w:val="22"/>
                <w:szCs w:val="22"/>
              </w:rPr>
              <w:t>Outras novidades da DN TCU 170/2018 são: a consolidação das contas no nível estratégico das UPC para evidenciar os resultados alcançados (cfe. relação constante do Anexo I); a definição de relatório de gestão (art. 3º) a partir do conceito de relatório integrado; o estabelecimento de diretrizes para elaboração do relatório de gestão (Anexo III) de acordo com os princípios da Estrutura do IIRC, incluindo-se, ainda, a diretriz clareza; o conteúdo do relatório de gestão (Anexo II) alinhado à Estrutura do IIRC, fazendo com que fossem incluídos conteúdos novos na DN como modelo de negócios, alocação de recursos e perspectivas de resultados futuros.</w:t>
            </w:r>
          </w:p>
        </w:tc>
      </w:tr>
      <w:tr w:rsidR="00A72A87" w:rsidRPr="00A72A87" w:rsidTr="00DF40D9">
        <w:tc>
          <w:tcPr>
            <w:tcW w:w="9214" w:type="dxa"/>
            <w:shd w:val="clear" w:color="auto" w:fill="DEEAF6" w:themeFill="accent1" w:themeFillTint="33"/>
          </w:tcPr>
          <w:p w:rsidR="00A72A87" w:rsidRPr="001762D6" w:rsidRDefault="00A72A87" w:rsidP="00BD3BFB">
            <w:pPr>
              <w:spacing w:before="120" w:after="120"/>
              <w:jc w:val="both"/>
              <w:rPr>
                <w:rFonts w:ascii="Times New Roman" w:hAnsi="Times New Roman" w:cs="Times New Roman"/>
                <w:b/>
              </w:rPr>
            </w:pPr>
            <w:r w:rsidRPr="001762D6">
              <w:rPr>
                <w:rFonts w:ascii="Times New Roman" w:eastAsia="Times New Roman" w:hAnsi="Times New Roman" w:cs="Times New Roman"/>
                <w:b/>
                <w:lang w:eastAsia="pt-BR"/>
              </w:rPr>
              <w:t>Pergunta:</w:t>
            </w:r>
            <w:r w:rsidRPr="001762D6">
              <w:rPr>
                <w:rFonts w:ascii="Times New Roman" w:eastAsia="Times New Roman" w:hAnsi="Times New Roman" w:cs="Times New Roman"/>
                <w:lang w:eastAsia="pt-BR"/>
              </w:rPr>
              <w:t xml:space="preserve"> Algumas informações tradicionalmente demandadas anteriormente como o estágio de solução dos pontos de auditoria (relatórios TCU e CEJ) continuarão sendo exigidos?</w:t>
            </w:r>
          </w:p>
        </w:tc>
      </w:tr>
      <w:tr w:rsidR="00A72A87" w:rsidRPr="00A72A87" w:rsidTr="00DF40D9">
        <w:tc>
          <w:tcPr>
            <w:tcW w:w="9214" w:type="dxa"/>
          </w:tcPr>
          <w:p w:rsidR="00A72A87" w:rsidRPr="001762D6" w:rsidRDefault="00A72A87" w:rsidP="00B0303F">
            <w:pPr>
              <w:spacing w:before="120"/>
              <w:rPr>
                <w:rFonts w:ascii="Times New Roman" w:hAnsi="Times New Roman" w:cs="Times New Roman"/>
                <w:b/>
              </w:rPr>
            </w:pPr>
            <w:r w:rsidRPr="001762D6">
              <w:rPr>
                <w:rFonts w:ascii="Times New Roman" w:hAnsi="Times New Roman" w:cs="Times New Roman"/>
                <w:b/>
              </w:rPr>
              <w:t>Resposta:</w:t>
            </w:r>
          </w:p>
          <w:p w:rsidR="00EC01BF" w:rsidRPr="001762D6" w:rsidRDefault="00EC01BF" w:rsidP="001E45AC">
            <w:pPr>
              <w:spacing w:after="120"/>
              <w:jc w:val="both"/>
              <w:rPr>
                <w:rFonts w:ascii="Times New Roman" w:hAnsi="Times New Roman" w:cs="Times New Roman"/>
                <w:b/>
              </w:rPr>
            </w:pPr>
            <w:r w:rsidRPr="001762D6">
              <w:rPr>
                <w:rFonts w:ascii="Times New Roman" w:hAnsi="Times New Roman" w:cs="Times New Roman"/>
              </w:rPr>
              <w:t>Boa parte dos conteúdos da Portaria TCU 65/2018 foram movidos para as orientações adicionais do sistema e-Contas</w:t>
            </w:r>
            <w:r w:rsidR="00C10159" w:rsidRPr="001762D6">
              <w:rPr>
                <w:rFonts w:ascii="Times New Roman" w:hAnsi="Times New Roman" w:cs="Times New Roman"/>
              </w:rPr>
              <w:t xml:space="preserve"> (cf. </w:t>
            </w:r>
            <w:r w:rsidR="00C10159" w:rsidRPr="001762D6">
              <w:rPr>
                <w:rFonts w:ascii="Times New Roman" w:eastAsia="Times New Roman" w:hAnsi="Times New Roman" w:cs="Times New Roman"/>
                <w:lang w:eastAsia="pt-BR"/>
              </w:rPr>
              <w:t>l</w:t>
            </w:r>
            <w:r w:rsidR="00C10159" w:rsidRPr="001762D6">
              <w:rPr>
                <w:rFonts w:ascii="Times New Roman" w:eastAsia="Times New Roman" w:hAnsi="Times New Roman" w:cs="Times New Roman"/>
                <w:bCs/>
                <w:lang w:eastAsia="pt-BR"/>
              </w:rPr>
              <w:t>ista preliminar de conteúdo para o relatório de gestão 2018)</w:t>
            </w:r>
            <w:r w:rsidRPr="001762D6">
              <w:rPr>
                <w:rFonts w:ascii="Times New Roman" w:hAnsi="Times New Roman" w:cs="Times New Roman"/>
              </w:rPr>
              <w:t xml:space="preserve">, permanecendo na portaria apenas o conteúdo mínimo necessário para elaboração do relatório integrado </w:t>
            </w:r>
            <w:r w:rsidR="00C10159" w:rsidRPr="001762D6">
              <w:rPr>
                <w:rFonts w:ascii="Times New Roman" w:hAnsi="Times New Roman" w:cs="Times New Roman"/>
              </w:rPr>
              <w:t>segundo</w:t>
            </w:r>
            <w:r w:rsidRPr="001762D6">
              <w:rPr>
                <w:rFonts w:ascii="Times New Roman" w:hAnsi="Times New Roman" w:cs="Times New Roman"/>
              </w:rPr>
              <w:t xml:space="preserve"> recomenda o modelo de Relato Integrado. </w:t>
            </w:r>
            <w:r w:rsidR="001E45AC">
              <w:rPr>
                <w:rFonts w:ascii="Times New Roman" w:eastAsia="Calibri" w:hAnsi="Times New Roman" w:cs="Times New Roman"/>
                <w:kern w:val="24"/>
              </w:rPr>
              <w:t>O conteúdo movido para as orientações adicionais do sistema e-Contas somente</w:t>
            </w:r>
            <w:r w:rsidRPr="001762D6">
              <w:rPr>
                <w:rFonts w:ascii="Times New Roman" w:eastAsia="Calibri" w:hAnsi="Times New Roman" w:cs="Times New Roman"/>
                <w:kern w:val="24"/>
              </w:rPr>
              <w:t xml:space="preserve"> </w:t>
            </w:r>
            <w:r w:rsidR="00FD7D08" w:rsidRPr="001762D6">
              <w:rPr>
                <w:rFonts w:ascii="Times New Roman" w:eastAsia="Calibri" w:hAnsi="Times New Roman" w:cs="Times New Roman"/>
                <w:kern w:val="24"/>
              </w:rPr>
              <w:t>dever</w:t>
            </w:r>
            <w:r w:rsidR="001E45AC">
              <w:rPr>
                <w:rFonts w:ascii="Times New Roman" w:eastAsia="Calibri" w:hAnsi="Times New Roman" w:cs="Times New Roman"/>
                <w:kern w:val="24"/>
              </w:rPr>
              <w:t>á</w:t>
            </w:r>
            <w:r w:rsidR="00FD7D08" w:rsidRPr="001762D6">
              <w:rPr>
                <w:rFonts w:ascii="Times New Roman" w:eastAsia="Calibri" w:hAnsi="Times New Roman" w:cs="Times New Roman"/>
                <w:kern w:val="24"/>
              </w:rPr>
              <w:t xml:space="preserve"> ser abordad</w:t>
            </w:r>
            <w:r w:rsidR="001E45AC">
              <w:rPr>
                <w:rFonts w:ascii="Times New Roman" w:eastAsia="Calibri" w:hAnsi="Times New Roman" w:cs="Times New Roman"/>
                <w:kern w:val="24"/>
              </w:rPr>
              <w:t>o</w:t>
            </w:r>
            <w:r w:rsidR="00FD7D08" w:rsidRPr="001762D6">
              <w:rPr>
                <w:rFonts w:ascii="Times New Roman" w:eastAsia="Calibri" w:hAnsi="Times New Roman" w:cs="Times New Roman"/>
                <w:kern w:val="24"/>
              </w:rPr>
              <w:t xml:space="preserve"> no relatório de gestão se afetar a capacidade da UPC de alcançar os seus objetivos (diretrizes materialidade e completude). </w:t>
            </w:r>
            <w:r w:rsidRPr="001762D6">
              <w:rPr>
                <w:rFonts w:ascii="Times New Roman" w:hAnsi="Times New Roman" w:cs="Times New Roman"/>
              </w:rPr>
              <w:t xml:space="preserve">Por exemplo, o relatório da UPC deverá incluir a </w:t>
            </w:r>
            <w:r w:rsidRPr="001762D6">
              <w:rPr>
                <w:rFonts w:ascii="Times New Roman" w:eastAsia="Calibri" w:hAnsi="Times New Roman" w:cs="Times New Roman"/>
                <w:kern w:val="24"/>
              </w:rPr>
              <w:t xml:space="preserve">visão geral do tratamento de recomendações do Órgão de Controle Interno no capítulo “Outras </w:t>
            </w:r>
            <w:r w:rsidRPr="001762D6">
              <w:rPr>
                <w:rFonts w:ascii="Times New Roman" w:eastAsia="Calibri" w:hAnsi="Times New Roman" w:cs="Times New Roman"/>
                <w:kern w:val="24"/>
              </w:rPr>
              <w:lastRenderedPageBreak/>
              <w:t xml:space="preserve">informações relevantes”, </w:t>
            </w:r>
            <w:r w:rsidR="00FD7D08" w:rsidRPr="001762D6">
              <w:rPr>
                <w:rFonts w:ascii="Times New Roman" w:eastAsia="Calibri" w:hAnsi="Times New Roman" w:cs="Times New Roman"/>
                <w:kern w:val="24"/>
              </w:rPr>
              <w:t xml:space="preserve">se tais informações </w:t>
            </w:r>
            <w:r w:rsidR="00C10159" w:rsidRPr="001762D6">
              <w:rPr>
                <w:rFonts w:ascii="Times New Roman" w:eastAsia="Calibri" w:hAnsi="Times New Roman" w:cs="Times New Roman"/>
                <w:kern w:val="24"/>
              </w:rPr>
              <w:t xml:space="preserve">se </w:t>
            </w:r>
            <w:r w:rsidR="00FD7D08" w:rsidRPr="001762D6">
              <w:rPr>
                <w:rFonts w:ascii="Times New Roman" w:eastAsia="Calibri" w:hAnsi="Times New Roman" w:cs="Times New Roman"/>
                <w:kern w:val="24"/>
              </w:rPr>
              <w:t>relacion</w:t>
            </w:r>
            <w:r w:rsidR="00C10159" w:rsidRPr="001762D6">
              <w:rPr>
                <w:rFonts w:ascii="Times New Roman" w:eastAsia="Calibri" w:hAnsi="Times New Roman" w:cs="Times New Roman"/>
                <w:kern w:val="24"/>
              </w:rPr>
              <w:t>ar</w:t>
            </w:r>
            <w:r w:rsidR="00FD7D08" w:rsidRPr="001762D6">
              <w:rPr>
                <w:rFonts w:ascii="Times New Roman" w:eastAsia="Calibri" w:hAnsi="Times New Roman" w:cs="Times New Roman"/>
                <w:kern w:val="24"/>
              </w:rPr>
              <w:t>em</w:t>
            </w:r>
            <w:r w:rsidR="001E45AC">
              <w:rPr>
                <w:rFonts w:ascii="Times New Roman" w:eastAsia="Calibri" w:hAnsi="Times New Roman" w:cs="Times New Roman"/>
                <w:kern w:val="24"/>
              </w:rPr>
              <w:t xml:space="preserve"> de forma significativa</w:t>
            </w:r>
            <w:r w:rsidR="00FD7D08" w:rsidRPr="001762D6">
              <w:rPr>
                <w:rFonts w:ascii="Times New Roman" w:eastAsia="Calibri" w:hAnsi="Times New Roman" w:cs="Times New Roman"/>
                <w:kern w:val="24"/>
              </w:rPr>
              <w:t xml:space="preserve"> à capacidade da UPC de alcançar os seus objetivos.</w:t>
            </w:r>
          </w:p>
        </w:tc>
      </w:tr>
      <w:tr w:rsidR="00A72A87" w:rsidRPr="00A72A87" w:rsidTr="00DF40D9">
        <w:tc>
          <w:tcPr>
            <w:tcW w:w="9214" w:type="dxa"/>
            <w:shd w:val="clear" w:color="auto" w:fill="DEEAF6" w:themeFill="accent1" w:themeFillTint="33"/>
          </w:tcPr>
          <w:p w:rsidR="00A72A87" w:rsidRPr="001762D6" w:rsidRDefault="00286271" w:rsidP="0040026E">
            <w:pPr>
              <w:spacing w:before="120" w:after="120"/>
              <w:rPr>
                <w:rFonts w:ascii="Times New Roman" w:hAnsi="Times New Roman" w:cs="Times New Roman"/>
                <w:b/>
              </w:rPr>
            </w:pPr>
            <w:r w:rsidRPr="001762D6">
              <w:rPr>
                <w:rFonts w:ascii="Times New Roman" w:hAnsi="Times New Roman" w:cs="Times New Roman"/>
                <w:b/>
              </w:rPr>
              <w:lastRenderedPageBreak/>
              <w:t xml:space="preserve">Pergunta: </w:t>
            </w:r>
            <w:r w:rsidRPr="001762D6">
              <w:rPr>
                <w:rFonts w:ascii="Times New Roman" w:eastAsia="Times New Roman" w:hAnsi="Times New Roman" w:cs="Times New Roman"/>
                <w:lang w:eastAsia="pt-BR"/>
              </w:rPr>
              <w:t>O TCU irá disponibilizar orientações específicas para cada órgão? Caso positivo, quando?</w:t>
            </w:r>
          </w:p>
        </w:tc>
      </w:tr>
      <w:tr w:rsidR="00A72A87" w:rsidRPr="00A72A87" w:rsidTr="00DF40D9">
        <w:tc>
          <w:tcPr>
            <w:tcW w:w="9214" w:type="dxa"/>
          </w:tcPr>
          <w:p w:rsidR="009B3010" w:rsidRPr="001762D6" w:rsidRDefault="0040026E" w:rsidP="00B0303F">
            <w:pPr>
              <w:tabs>
                <w:tab w:val="left" w:pos="1134"/>
              </w:tabs>
              <w:spacing w:before="120"/>
              <w:ind w:right="34"/>
              <w:jc w:val="both"/>
              <w:rPr>
                <w:rFonts w:ascii="Times New Roman" w:hAnsi="Times New Roman" w:cs="Times New Roman"/>
              </w:rPr>
            </w:pPr>
            <w:r w:rsidRPr="001762D6">
              <w:rPr>
                <w:rFonts w:ascii="Times New Roman" w:hAnsi="Times New Roman" w:cs="Times New Roman"/>
                <w:b/>
              </w:rPr>
              <w:t>Resposta:</w:t>
            </w:r>
            <w:r w:rsidRPr="001762D6">
              <w:rPr>
                <w:rFonts w:ascii="Times New Roman" w:hAnsi="Times New Roman" w:cs="Times New Roman"/>
              </w:rPr>
              <w:t xml:space="preserve"> </w:t>
            </w:r>
            <w:r w:rsidR="009B3010" w:rsidRPr="001762D6">
              <w:rPr>
                <w:rFonts w:ascii="Times New Roman" w:hAnsi="Times New Roman" w:cs="Times New Roman"/>
              </w:rPr>
              <w:t>As orientações específicas para cada órgão já estão disponibilizadas na página de Contas do Portal TCU</w:t>
            </w:r>
            <w:r w:rsidRPr="001762D6">
              <w:rPr>
                <w:rFonts w:ascii="Times New Roman" w:hAnsi="Times New Roman" w:cs="Times New Roman"/>
              </w:rPr>
              <w:t>, conforme</w:t>
            </w:r>
            <w:r w:rsidR="009B3010" w:rsidRPr="001762D6">
              <w:rPr>
                <w:rFonts w:ascii="Times New Roman" w:hAnsi="Times New Roman" w:cs="Times New Roman"/>
              </w:rPr>
              <w:t xml:space="preserve"> listas preliminares do conteúdo a ser exigido de cada unidade prestadora de contas (UPC), organizadas segundo os três modelos a seguir:</w:t>
            </w:r>
          </w:p>
          <w:p w:rsidR="009B3010" w:rsidRPr="001762D6" w:rsidRDefault="009B3010" w:rsidP="00BD3BFB">
            <w:pPr>
              <w:ind w:right="34"/>
              <w:jc w:val="both"/>
              <w:rPr>
                <w:rFonts w:ascii="Times New Roman" w:hAnsi="Times New Roman" w:cs="Times New Roman"/>
              </w:rPr>
            </w:pPr>
            <w:r w:rsidRPr="001762D6">
              <w:rPr>
                <w:rFonts w:ascii="Times New Roman" w:hAnsi="Times New Roman" w:cs="Times New Roman"/>
              </w:rPr>
              <w:t>i) Estatais (empresas públicas e sociedades de economia mista);</w:t>
            </w:r>
          </w:p>
          <w:p w:rsidR="009B3010" w:rsidRPr="001762D6" w:rsidRDefault="009B3010" w:rsidP="00BD3BFB">
            <w:pPr>
              <w:ind w:right="34"/>
              <w:jc w:val="both"/>
              <w:rPr>
                <w:rFonts w:ascii="Times New Roman" w:hAnsi="Times New Roman" w:cs="Times New Roman"/>
              </w:rPr>
            </w:pPr>
            <w:proofErr w:type="spellStart"/>
            <w:r w:rsidRPr="001762D6">
              <w:rPr>
                <w:rFonts w:ascii="Times New Roman" w:hAnsi="Times New Roman" w:cs="Times New Roman"/>
              </w:rPr>
              <w:t>ii</w:t>
            </w:r>
            <w:proofErr w:type="spellEnd"/>
            <w:r w:rsidRPr="001762D6">
              <w:rPr>
                <w:rFonts w:ascii="Times New Roman" w:hAnsi="Times New Roman" w:cs="Times New Roman"/>
              </w:rPr>
              <w:t xml:space="preserve">) Sistema S </w:t>
            </w:r>
            <w:r w:rsidR="00C40498" w:rsidRPr="001762D6">
              <w:rPr>
                <w:rFonts w:ascii="Times New Roman" w:hAnsi="Times New Roman" w:cs="Times New Roman"/>
              </w:rPr>
              <w:t>(</w:t>
            </w:r>
            <w:r w:rsidRPr="001762D6">
              <w:rPr>
                <w:rFonts w:ascii="Times New Roman" w:hAnsi="Times New Roman" w:cs="Times New Roman"/>
                <w:bCs/>
              </w:rPr>
              <w:t xml:space="preserve">Senac, </w:t>
            </w:r>
            <w:proofErr w:type="spellStart"/>
            <w:r w:rsidRPr="001762D6">
              <w:rPr>
                <w:rFonts w:ascii="Times New Roman" w:hAnsi="Times New Roman" w:cs="Times New Roman"/>
                <w:bCs/>
              </w:rPr>
              <w:t>Senar</w:t>
            </w:r>
            <w:proofErr w:type="spellEnd"/>
            <w:r w:rsidRPr="001762D6">
              <w:rPr>
                <w:rFonts w:ascii="Times New Roman" w:hAnsi="Times New Roman" w:cs="Times New Roman"/>
                <w:bCs/>
              </w:rPr>
              <w:t xml:space="preserve">, Senai, Sesc, Sebrae, </w:t>
            </w:r>
            <w:proofErr w:type="spellStart"/>
            <w:r w:rsidRPr="001762D6">
              <w:rPr>
                <w:rFonts w:ascii="Times New Roman" w:hAnsi="Times New Roman" w:cs="Times New Roman"/>
                <w:bCs/>
              </w:rPr>
              <w:t>Sest</w:t>
            </w:r>
            <w:proofErr w:type="spellEnd"/>
            <w:r w:rsidRPr="001762D6">
              <w:rPr>
                <w:rFonts w:ascii="Times New Roman" w:hAnsi="Times New Roman" w:cs="Times New Roman"/>
                <w:bCs/>
              </w:rPr>
              <w:t>/</w:t>
            </w:r>
            <w:proofErr w:type="spellStart"/>
            <w:r w:rsidRPr="001762D6">
              <w:rPr>
                <w:rFonts w:ascii="Times New Roman" w:hAnsi="Times New Roman" w:cs="Times New Roman"/>
                <w:bCs/>
              </w:rPr>
              <w:t>Senat</w:t>
            </w:r>
            <w:proofErr w:type="spellEnd"/>
            <w:r w:rsidRPr="001762D6">
              <w:rPr>
                <w:rFonts w:ascii="Times New Roman" w:hAnsi="Times New Roman" w:cs="Times New Roman"/>
                <w:bCs/>
              </w:rPr>
              <w:t xml:space="preserve">, </w:t>
            </w:r>
            <w:proofErr w:type="spellStart"/>
            <w:r w:rsidRPr="001762D6">
              <w:rPr>
                <w:rFonts w:ascii="Times New Roman" w:hAnsi="Times New Roman" w:cs="Times New Roman"/>
                <w:bCs/>
              </w:rPr>
              <w:t>Sescoop</w:t>
            </w:r>
            <w:proofErr w:type="spellEnd"/>
            <w:r w:rsidR="00C40498" w:rsidRPr="001762D6">
              <w:rPr>
                <w:rFonts w:ascii="Times New Roman" w:hAnsi="Times New Roman" w:cs="Times New Roman"/>
                <w:bCs/>
              </w:rPr>
              <w:t>)</w:t>
            </w:r>
            <w:r w:rsidRPr="001762D6">
              <w:rPr>
                <w:rFonts w:ascii="Times New Roman" w:hAnsi="Times New Roman" w:cs="Times New Roman"/>
              </w:rPr>
              <w:t>;</w:t>
            </w:r>
          </w:p>
          <w:p w:rsidR="009B3010" w:rsidRPr="001762D6" w:rsidRDefault="009B3010" w:rsidP="00BD3BFB">
            <w:pPr>
              <w:ind w:right="34"/>
              <w:jc w:val="both"/>
              <w:rPr>
                <w:rFonts w:ascii="Times New Roman" w:hAnsi="Times New Roman" w:cs="Times New Roman"/>
              </w:rPr>
            </w:pPr>
            <w:proofErr w:type="spellStart"/>
            <w:r w:rsidRPr="001762D6">
              <w:rPr>
                <w:rFonts w:ascii="Times New Roman" w:hAnsi="Times New Roman" w:cs="Times New Roman"/>
              </w:rPr>
              <w:t>iii</w:t>
            </w:r>
            <w:proofErr w:type="spellEnd"/>
            <w:r w:rsidRPr="001762D6">
              <w:rPr>
                <w:rFonts w:ascii="Times New Roman" w:hAnsi="Times New Roman" w:cs="Times New Roman"/>
              </w:rPr>
              <w:t>) Geral (demais unidades)</w:t>
            </w:r>
          </w:p>
          <w:p w:rsidR="00A72A87" w:rsidRPr="001762D6" w:rsidRDefault="009B3010" w:rsidP="00B0303F">
            <w:pPr>
              <w:spacing w:after="120"/>
              <w:ind w:right="34"/>
              <w:jc w:val="both"/>
              <w:rPr>
                <w:rFonts w:ascii="Times New Roman" w:hAnsi="Times New Roman" w:cs="Times New Roman"/>
              </w:rPr>
            </w:pPr>
            <w:r w:rsidRPr="001762D6">
              <w:rPr>
                <w:rFonts w:ascii="Times New Roman" w:hAnsi="Times New Roman" w:cs="Times New Roman"/>
              </w:rPr>
              <w:t>Também foram publicadas listagens específicas de UPC para as quais o TCU expediu determinações</w:t>
            </w:r>
            <w:r w:rsidR="00016ED8">
              <w:rPr>
                <w:rFonts w:ascii="Times New Roman" w:hAnsi="Times New Roman" w:cs="Times New Roman"/>
              </w:rPr>
              <w:t>, a saber</w:t>
            </w:r>
            <w:r w:rsidRPr="001762D6">
              <w:rPr>
                <w:rFonts w:ascii="Times New Roman" w:hAnsi="Times New Roman" w:cs="Times New Roman"/>
              </w:rPr>
              <w:t>:</w:t>
            </w:r>
            <w:r w:rsidR="0040026E" w:rsidRPr="001762D6">
              <w:rPr>
                <w:rFonts w:ascii="Times New Roman" w:hAnsi="Times New Roman" w:cs="Times New Roman"/>
              </w:rPr>
              <w:t xml:space="preserve"> </w:t>
            </w:r>
            <w:r w:rsidR="0040026E" w:rsidRPr="001762D6">
              <w:rPr>
                <w:rFonts w:ascii="Times New Roman" w:hAnsi="Times New Roman" w:cs="Times New Roman"/>
                <w:bCs/>
              </w:rPr>
              <w:t>CBTU, Comando da Aeronáutica, Corpo de Bombeiros Militar DF, Incra, Polícia Civil DF, Polícia Militar DF.</w:t>
            </w:r>
          </w:p>
        </w:tc>
      </w:tr>
      <w:tr w:rsidR="000953D6" w:rsidRPr="00A72A87" w:rsidTr="00DF40D9">
        <w:tc>
          <w:tcPr>
            <w:tcW w:w="9214" w:type="dxa"/>
            <w:shd w:val="clear" w:color="auto" w:fill="DEEAF6" w:themeFill="accent1" w:themeFillTint="33"/>
          </w:tcPr>
          <w:p w:rsidR="00B0303F" w:rsidRDefault="000953D6" w:rsidP="00B0303F">
            <w:pPr>
              <w:spacing w:before="120"/>
              <w:jc w:val="both"/>
              <w:rPr>
                <w:rFonts w:ascii="Times New Roman" w:hAnsi="Times New Roman" w:cs="Times New Roman"/>
                <w:b/>
              </w:rPr>
            </w:pPr>
            <w:r w:rsidRPr="001762D6">
              <w:rPr>
                <w:rFonts w:ascii="Times New Roman" w:hAnsi="Times New Roman" w:cs="Times New Roman"/>
                <w:b/>
              </w:rPr>
              <w:t xml:space="preserve">Pergunta: </w:t>
            </w:r>
          </w:p>
          <w:p w:rsidR="000953D6" w:rsidRPr="001762D6" w:rsidRDefault="00B0303F" w:rsidP="00B0303F">
            <w:pPr>
              <w:spacing w:after="120"/>
              <w:jc w:val="both"/>
              <w:rPr>
                <w:rFonts w:ascii="Times New Roman" w:hAnsi="Times New Roman" w:cs="Times New Roman"/>
              </w:rPr>
            </w:pPr>
            <w:r>
              <w:rPr>
                <w:rFonts w:ascii="Times New Roman" w:hAnsi="Times New Roman" w:cs="Times New Roman"/>
                <w:b/>
              </w:rPr>
              <w:t xml:space="preserve">Quantidade máxima de páginas. </w:t>
            </w:r>
            <w:r w:rsidR="000953D6" w:rsidRPr="001762D6">
              <w:rPr>
                <w:rFonts w:ascii="Times New Roman" w:hAnsi="Times New Roman" w:cs="Times New Roman"/>
              </w:rPr>
              <w:t>Na lista preliminar de conteúdo para o relatório de gestão 2018, publicado na página do TCU, no documento conteúdo geral, há a indicação da quantidade máxima de páginas para cada item do relatório.</w:t>
            </w:r>
            <w:r>
              <w:rPr>
                <w:rFonts w:ascii="Times New Roman" w:hAnsi="Times New Roman" w:cs="Times New Roman"/>
              </w:rPr>
              <w:t xml:space="preserve"> </w:t>
            </w:r>
            <w:r w:rsidR="000953D6" w:rsidRPr="001762D6">
              <w:rPr>
                <w:rFonts w:ascii="Times New Roman" w:hAnsi="Times New Roman" w:cs="Times New Roman"/>
              </w:rPr>
              <w:t>Gostaríamos de saber se há flexibilidade para ultrapassar essa quantidade em alguns itens. Ou se é possível remanejar as quantidades, diminuindo em um item e aumentando em outro, mantendo-se a quantidade total de páginas?</w:t>
            </w:r>
          </w:p>
        </w:tc>
      </w:tr>
      <w:tr w:rsidR="000953D6" w:rsidRPr="00A72A87" w:rsidTr="00DF40D9">
        <w:tc>
          <w:tcPr>
            <w:tcW w:w="9214" w:type="dxa"/>
          </w:tcPr>
          <w:p w:rsidR="000953D6" w:rsidRPr="001762D6" w:rsidRDefault="000953D6" w:rsidP="00B0303F">
            <w:pPr>
              <w:spacing w:before="120"/>
              <w:jc w:val="both"/>
              <w:rPr>
                <w:rFonts w:ascii="Times New Roman" w:hAnsi="Times New Roman" w:cs="Times New Roman"/>
                <w:b/>
              </w:rPr>
            </w:pPr>
            <w:r w:rsidRPr="001762D6">
              <w:rPr>
                <w:rFonts w:ascii="Times New Roman" w:hAnsi="Times New Roman" w:cs="Times New Roman"/>
                <w:b/>
              </w:rPr>
              <w:t>Resposta:</w:t>
            </w:r>
          </w:p>
          <w:p w:rsidR="000953D6" w:rsidRPr="001762D6" w:rsidRDefault="000953D6" w:rsidP="000953D6">
            <w:pPr>
              <w:jc w:val="both"/>
              <w:rPr>
                <w:rFonts w:ascii="Times New Roman" w:hAnsi="Times New Roman" w:cs="Times New Roman"/>
              </w:rPr>
            </w:pPr>
            <w:r w:rsidRPr="001762D6">
              <w:rPr>
                <w:rFonts w:ascii="Times New Roman" w:hAnsi="Times New Roman" w:cs="Times New Roman"/>
              </w:rPr>
              <w:t>A indicação da quantidade máxima de páginas para cada item do relatório não é de observância obrigatória, mas apenas uma forma recomendada para o relatório de gestão 2018, com vistas a dar cumprimento às diretrizes materialidade e concisão, que disciplinam a elaboração de um relatório integrado conforme previsto no Anexo III da DN TCU 170/2018. Assim, há flexibilidade para ultrapassar essa quantidade em alguns itens, bem como é possível remanejar as quantidades, diminuindo em um item e aumentando em outro.</w:t>
            </w:r>
          </w:p>
          <w:p w:rsidR="000953D6" w:rsidRPr="001762D6" w:rsidRDefault="000953D6" w:rsidP="000953D6">
            <w:pPr>
              <w:jc w:val="both"/>
              <w:rPr>
                <w:rFonts w:ascii="Times New Roman" w:hAnsi="Times New Roman" w:cs="Times New Roman"/>
              </w:rPr>
            </w:pPr>
            <w:r w:rsidRPr="001762D6">
              <w:rPr>
                <w:rFonts w:ascii="Times New Roman" w:hAnsi="Times New Roman" w:cs="Times New Roman"/>
              </w:rPr>
              <w:t>É preciso ter em mente, sobretudo, que o relatório deve ser conciso e conter apenas informações relevantes, que afetem a capacidade de a organização alcançar os seus objetivos. Caso haja necessidade de informação adicional, poderá ser disponibilizada, por exemplo, por meio de hiperlinks no relatório, referenciando outro documento publicado no site da organização.</w:t>
            </w:r>
          </w:p>
          <w:p w:rsidR="000953D6" w:rsidRPr="001762D6" w:rsidRDefault="000953D6" w:rsidP="00B0303F">
            <w:pPr>
              <w:spacing w:after="120"/>
              <w:jc w:val="both"/>
              <w:rPr>
                <w:rFonts w:ascii="Times New Roman" w:hAnsi="Times New Roman" w:cs="Times New Roman"/>
                <w:color w:val="1F497D"/>
              </w:rPr>
            </w:pPr>
            <w:r w:rsidRPr="001762D6">
              <w:rPr>
                <w:rFonts w:ascii="Times New Roman" w:hAnsi="Times New Roman" w:cs="Times New Roman"/>
              </w:rPr>
              <w:t>Lembramos, por oportuno, que o relatório de gestão de 2018 deverá ser enviado pelo Sistema e-Contas em arquivo único, com tamanho máximo de 50Mb, tamanho aproximado ao piloto do relatório de gestão de 2017 do Ministério da Fazenda, disponibilizado na página de Contas do Portal TCU.</w:t>
            </w:r>
          </w:p>
        </w:tc>
      </w:tr>
      <w:tr w:rsidR="000953D6" w:rsidRPr="00A72A87" w:rsidTr="00DF40D9">
        <w:tc>
          <w:tcPr>
            <w:tcW w:w="9214" w:type="dxa"/>
            <w:shd w:val="clear" w:color="auto" w:fill="DEEAF6" w:themeFill="accent1" w:themeFillTint="33"/>
          </w:tcPr>
          <w:p w:rsidR="000953D6" w:rsidRPr="00BD3BFB" w:rsidRDefault="000953D6" w:rsidP="00B0303F">
            <w:pPr>
              <w:spacing w:before="120"/>
              <w:jc w:val="both"/>
              <w:rPr>
                <w:rFonts w:ascii="Times New Roman" w:hAnsi="Times New Roman" w:cs="Times New Roman"/>
                <w:b/>
              </w:rPr>
            </w:pPr>
            <w:r w:rsidRPr="00BD3BFB">
              <w:rPr>
                <w:rFonts w:ascii="Times New Roman" w:hAnsi="Times New Roman" w:cs="Times New Roman"/>
                <w:b/>
              </w:rPr>
              <w:t>Pergunta:</w:t>
            </w:r>
          </w:p>
          <w:p w:rsidR="000953D6" w:rsidRPr="001762D6" w:rsidRDefault="000953D6" w:rsidP="00B0303F">
            <w:pPr>
              <w:spacing w:after="120"/>
              <w:jc w:val="both"/>
              <w:rPr>
                <w:rFonts w:ascii="Times New Roman" w:hAnsi="Times New Roman" w:cs="Times New Roman"/>
              </w:rPr>
            </w:pPr>
            <w:r w:rsidRPr="00BD3BFB">
              <w:rPr>
                <w:rFonts w:ascii="Times New Roman" w:hAnsi="Times New Roman" w:cs="Times New Roman"/>
                <w:b/>
              </w:rPr>
              <w:t>Fotos dos dirigentes:</w:t>
            </w:r>
            <w:r w:rsidRPr="001762D6">
              <w:rPr>
                <w:rFonts w:ascii="Times New Roman" w:hAnsi="Times New Roman" w:cs="Times New Roman"/>
              </w:rPr>
              <w:t xml:space="preserve"> Levando em consideração que o Ministério passou por um processo de troca de gestores devido ao período eleitoral, alguns cargos foram ocupados por duas pessoas ou mais durante o ano de 2018, incluindo o cargo de ministro. Assim sendo, perguntamos se devem figurar foto, assinatura, perfil e mensagem dos dois Ministros que atuaram no ano de 2018, e se a orientação se estende aos demais cargos de Secretário Executivo e Secretários do Ministério.</w:t>
            </w:r>
          </w:p>
        </w:tc>
      </w:tr>
      <w:tr w:rsidR="000953D6" w:rsidRPr="00A72A87" w:rsidTr="00DF40D9">
        <w:tc>
          <w:tcPr>
            <w:tcW w:w="9214" w:type="dxa"/>
          </w:tcPr>
          <w:p w:rsidR="00E977C6" w:rsidRDefault="000953D6" w:rsidP="00E977C6">
            <w:pPr>
              <w:spacing w:before="120" w:after="120"/>
              <w:jc w:val="both"/>
              <w:rPr>
                <w:rFonts w:ascii="Times New Roman" w:hAnsi="Times New Roman" w:cs="Times New Roman"/>
              </w:rPr>
            </w:pPr>
            <w:r w:rsidRPr="00BD3BFB">
              <w:rPr>
                <w:rFonts w:ascii="Times New Roman" w:hAnsi="Times New Roman" w:cs="Times New Roman"/>
                <w:b/>
              </w:rPr>
              <w:t>Resposta:</w:t>
            </w:r>
            <w:r w:rsidRPr="001762D6">
              <w:rPr>
                <w:rFonts w:ascii="Times New Roman" w:hAnsi="Times New Roman" w:cs="Times New Roman"/>
              </w:rPr>
              <w:t xml:space="preserve"> </w:t>
            </w:r>
          </w:p>
          <w:p w:rsidR="000953D6" w:rsidRPr="001762D6" w:rsidRDefault="00495CB4" w:rsidP="00495CB4">
            <w:pPr>
              <w:spacing w:before="120" w:after="120"/>
              <w:jc w:val="both"/>
              <w:rPr>
                <w:rFonts w:ascii="Times New Roman" w:hAnsi="Times New Roman" w:cs="Times New Roman"/>
              </w:rPr>
            </w:pPr>
            <w:r>
              <w:rPr>
                <w:rFonts w:ascii="Times New Roman" w:hAnsi="Times New Roman" w:cs="Times New Roman"/>
              </w:rPr>
              <w:t>A recomendação é que seja a foto dos dirigentes que finalizaram a gestão. Contudo, a</w:t>
            </w:r>
            <w:r w:rsidR="000953D6" w:rsidRPr="001762D6">
              <w:rPr>
                <w:rFonts w:ascii="Times New Roman" w:hAnsi="Times New Roman" w:cs="Times New Roman"/>
              </w:rPr>
              <w:t xml:space="preserve"> forma recomendada para a elaboração dos relatórios não é de observância obrigatória, mas uma sugestão com base nas boas práticas internacionais.</w:t>
            </w:r>
            <w:r w:rsidR="00016ED8">
              <w:rPr>
                <w:rFonts w:ascii="Times New Roman" w:hAnsi="Times New Roman" w:cs="Times New Roman"/>
              </w:rPr>
              <w:t xml:space="preserve"> </w:t>
            </w:r>
          </w:p>
        </w:tc>
      </w:tr>
      <w:tr w:rsidR="00B0303F" w:rsidRPr="00A72A87" w:rsidTr="00DF40D9">
        <w:tc>
          <w:tcPr>
            <w:tcW w:w="9214" w:type="dxa"/>
            <w:shd w:val="clear" w:color="auto" w:fill="DEEAF6" w:themeFill="accent1" w:themeFillTint="33"/>
          </w:tcPr>
          <w:p w:rsidR="00B0303F" w:rsidRDefault="00B0303F" w:rsidP="00B0303F">
            <w:pPr>
              <w:autoSpaceDE w:val="0"/>
              <w:autoSpaceDN w:val="0"/>
              <w:spacing w:before="120" w:after="120"/>
              <w:jc w:val="both"/>
              <w:rPr>
                <w:rFonts w:ascii="Times New Roman" w:hAnsi="Times New Roman" w:cs="Times New Roman"/>
                <w:b/>
              </w:rPr>
            </w:pPr>
            <w:r w:rsidRPr="001762D6">
              <w:rPr>
                <w:rFonts w:ascii="Times New Roman" w:hAnsi="Times New Roman" w:cs="Times New Roman"/>
                <w:b/>
              </w:rPr>
              <w:t xml:space="preserve">Pergunta: </w:t>
            </w:r>
          </w:p>
          <w:p w:rsidR="00B0303F" w:rsidRPr="001762D6" w:rsidRDefault="00B0303F" w:rsidP="00B0303F">
            <w:pPr>
              <w:autoSpaceDE w:val="0"/>
              <w:autoSpaceDN w:val="0"/>
              <w:spacing w:before="120" w:after="120"/>
              <w:jc w:val="both"/>
              <w:rPr>
                <w:rFonts w:ascii="Times New Roman" w:hAnsi="Times New Roman" w:cs="Times New Roman"/>
              </w:rPr>
            </w:pPr>
            <w:r>
              <w:rPr>
                <w:rFonts w:ascii="Times New Roman" w:hAnsi="Times New Roman" w:cs="Times New Roman"/>
                <w:b/>
              </w:rPr>
              <w:t xml:space="preserve">Mensagem do dirigente máximo da unidade. </w:t>
            </w:r>
            <w:r w:rsidRPr="001762D6">
              <w:rPr>
                <w:rFonts w:ascii="Times New Roman" w:hAnsi="Times New Roman" w:cs="Times New Roman"/>
                <w:color w:val="000000"/>
              </w:rPr>
              <w:t>No relatório de gestão de 2018, a foto e a declaração serão do Ministro atual, que exerceu a gestão, ou do ministro do novo governo, que apresentará as contas?</w:t>
            </w:r>
          </w:p>
        </w:tc>
      </w:tr>
      <w:tr w:rsidR="00B0303F" w:rsidRPr="00A72A87" w:rsidTr="00DF40D9">
        <w:tc>
          <w:tcPr>
            <w:tcW w:w="9214" w:type="dxa"/>
          </w:tcPr>
          <w:p w:rsidR="00E977C6" w:rsidRDefault="00B0303F" w:rsidP="00B0303F">
            <w:pPr>
              <w:autoSpaceDE w:val="0"/>
              <w:autoSpaceDN w:val="0"/>
              <w:spacing w:before="120" w:after="120"/>
              <w:rPr>
                <w:rFonts w:ascii="Times New Roman" w:hAnsi="Times New Roman" w:cs="Times New Roman"/>
              </w:rPr>
            </w:pPr>
            <w:r w:rsidRPr="001762D6">
              <w:rPr>
                <w:rFonts w:ascii="Times New Roman" w:hAnsi="Times New Roman" w:cs="Times New Roman"/>
                <w:b/>
              </w:rPr>
              <w:lastRenderedPageBreak/>
              <w:t>Resposta:</w:t>
            </w:r>
            <w:r w:rsidRPr="001762D6">
              <w:rPr>
                <w:rFonts w:ascii="Times New Roman" w:hAnsi="Times New Roman" w:cs="Times New Roman"/>
              </w:rPr>
              <w:t xml:space="preserve"> </w:t>
            </w:r>
          </w:p>
          <w:p w:rsidR="00B0303F" w:rsidRPr="001762D6" w:rsidRDefault="00B0303F" w:rsidP="00B0303F">
            <w:pPr>
              <w:autoSpaceDE w:val="0"/>
              <w:autoSpaceDN w:val="0"/>
              <w:spacing w:before="120" w:after="120"/>
              <w:rPr>
                <w:rFonts w:ascii="Times New Roman" w:hAnsi="Times New Roman" w:cs="Times New Roman"/>
              </w:rPr>
            </w:pPr>
            <w:r w:rsidRPr="001762D6">
              <w:rPr>
                <w:rFonts w:ascii="Times New Roman" w:hAnsi="Times New Roman" w:cs="Times New Roman"/>
                <w:color w:val="000000"/>
              </w:rPr>
              <w:t>É do Ministro atual, o gestor. Apenas no impedimento dele, será do apresentador.</w:t>
            </w:r>
          </w:p>
        </w:tc>
      </w:tr>
      <w:tr w:rsidR="000953D6" w:rsidRPr="00A72A87" w:rsidTr="00DF40D9">
        <w:tc>
          <w:tcPr>
            <w:tcW w:w="9214" w:type="dxa"/>
            <w:shd w:val="clear" w:color="auto" w:fill="DEEAF6" w:themeFill="accent1" w:themeFillTint="33"/>
          </w:tcPr>
          <w:p w:rsidR="000953D6" w:rsidRPr="00BD3BFB" w:rsidRDefault="000953D6" w:rsidP="00B0303F">
            <w:pPr>
              <w:spacing w:before="120"/>
              <w:jc w:val="both"/>
              <w:rPr>
                <w:rFonts w:ascii="Times New Roman" w:hAnsi="Times New Roman" w:cs="Times New Roman"/>
                <w:b/>
              </w:rPr>
            </w:pPr>
            <w:r w:rsidRPr="00BD3BFB">
              <w:rPr>
                <w:rFonts w:ascii="Times New Roman" w:hAnsi="Times New Roman" w:cs="Times New Roman"/>
                <w:b/>
              </w:rPr>
              <w:t>Pergunta:</w:t>
            </w:r>
          </w:p>
          <w:p w:rsidR="000953D6" w:rsidRPr="001762D6" w:rsidRDefault="000953D6" w:rsidP="00B0303F">
            <w:pPr>
              <w:spacing w:after="120"/>
              <w:jc w:val="both"/>
              <w:rPr>
                <w:rFonts w:ascii="Times New Roman" w:hAnsi="Times New Roman" w:cs="Times New Roman"/>
              </w:rPr>
            </w:pPr>
            <w:r w:rsidRPr="00BD3BFB">
              <w:rPr>
                <w:rFonts w:ascii="Times New Roman" w:hAnsi="Times New Roman" w:cs="Times New Roman"/>
                <w:b/>
              </w:rPr>
              <w:t>Perfil dos dirigentes:</w:t>
            </w:r>
            <w:r w:rsidRPr="001762D6">
              <w:rPr>
                <w:rFonts w:ascii="Times New Roman" w:hAnsi="Times New Roman" w:cs="Times New Roman"/>
              </w:rPr>
              <w:t xml:space="preserve"> A orientação solicita que o Relatório apresente a foto e a descrição do perfil de cada Secretário. Perguntamos se a “descrição do perfil” corresponde ao mini currículo do servidor que ocupou o cargo.</w:t>
            </w:r>
          </w:p>
        </w:tc>
      </w:tr>
      <w:tr w:rsidR="000953D6" w:rsidRPr="00A72A87" w:rsidTr="00DF40D9">
        <w:tc>
          <w:tcPr>
            <w:tcW w:w="9214" w:type="dxa"/>
          </w:tcPr>
          <w:p w:rsidR="000953D6" w:rsidRPr="001762D6" w:rsidRDefault="000953D6" w:rsidP="00B0303F">
            <w:pPr>
              <w:spacing w:before="120" w:after="120"/>
              <w:rPr>
                <w:rFonts w:ascii="Times New Roman" w:hAnsi="Times New Roman" w:cs="Times New Roman"/>
              </w:rPr>
            </w:pPr>
            <w:r w:rsidRPr="00BD3BFB">
              <w:rPr>
                <w:rFonts w:ascii="Times New Roman" w:hAnsi="Times New Roman" w:cs="Times New Roman"/>
                <w:b/>
              </w:rPr>
              <w:t>Resposta:</w:t>
            </w:r>
            <w:r w:rsidRPr="001762D6">
              <w:rPr>
                <w:rFonts w:ascii="Times New Roman" w:hAnsi="Times New Roman" w:cs="Times New Roman"/>
              </w:rPr>
              <w:t xml:space="preserve"> pode ser nome e cargo do dirigente.</w:t>
            </w:r>
          </w:p>
        </w:tc>
      </w:tr>
      <w:tr w:rsidR="000953D6" w:rsidRPr="00A72A87" w:rsidTr="00DF40D9">
        <w:tc>
          <w:tcPr>
            <w:tcW w:w="9214" w:type="dxa"/>
            <w:shd w:val="clear" w:color="auto" w:fill="DEEAF6" w:themeFill="accent1" w:themeFillTint="33"/>
          </w:tcPr>
          <w:p w:rsidR="000953D6" w:rsidRPr="00BD3BFB" w:rsidRDefault="000953D6" w:rsidP="00495CB4">
            <w:pPr>
              <w:shd w:val="clear" w:color="auto" w:fill="DEEAF6" w:themeFill="accent1" w:themeFillTint="33"/>
              <w:spacing w:before="120"/>
              <w:ind w:right="34"/>
              <w:jc w:val="both"/>
              <w:rPr>
                <w:rFonts w:ascii="Times New Roman" w:hAnsi="Times New Roman" w:cs="Times New Roman"/>
                <w:b/>
              </w:rPr>
            </w:pPr>
            <w:r w:rsidRPr="00BD3BFB">
              <w:rPr>
                <w:rFonts w:ascii="Times New Roman" w:hAnsi="Times New Roman" w:cs="Times New Roman"/>
                <w:b/>
              </w:rPr>
              <w:t>Pergunta:</w:t>
            </w:r>
          </w:p>
          <w:p w:rsidR="000953D6" w:rsidRPr="001762D6" w:rsidRDefault="000953D6" w:rsidP="00495CB4">
            <w:pPr>
              <w:shd w:val="clear" w:color="auto" w:fill="DEEAF6" w:themeFill="accent1" w:themeFillTint="33"/>
              <w:spacing w:after="120"/>
              <w:ind w:right="34"/>
              <w:jc w:val="both"/>
              <w:rPr>
                <w:rFonts w:ascii="Times New Roman" w:hAnsi="Times New Roman" w:cs="Times New Roman"/>
              </w:rPr>
            </w:pPr>
            <w:r w:rsidRPr="00B0303F">
              <w:rPr>
                <w:rFonts w:ascii="Times New Roman" w:hAnsi="Times New Roman" w:cs="Times New Roman"/>
                <w:b/>
              </w:rPr>
              <w:t xml:space="preserve">Órgãos subordinados: </w:t>
            </w:r>
            <w:r w:rsidRPr="00495CB4">
              <w:rPr>
                <w:rFonts w:ascii="Times New Roman" w:hAnsi="Times New Roman" w:cs="Times New Roman"/>
              </w:rPr>
              <w:t xml:space="preserve">Na estrutura da administração direta do Ministério, estão subordinados </w:t>
            </w:r>
            <w:r w:rsidR="005B73E4" w:rsidRPr="00495CB4">
              <w:rPr>
                <w:rFonts w:ascii="Times New Roman" w:hAnsi="Times New Roman" w:cs="Times New Roman"/>
              </w:rPr>
              <w:t xml:space="preserve">dois órgãos. </w:t>
            </w:r>
            <w:r w:rsidRPr="00495CB4">
              <w:rPr>
                <w:rFonts w:ascii="Times New Roman" w:hAnsi="Times New Roman" w:cs="Times New Roman"/>
              </w:rPr>
              <w:t>Perguntamos se o Relatório de Gestão do Ministério deve abarcar tam</w:t>
            </w:r>
            <w:r w:rsidR="00495CB4">
              <w:rPr>
                <w:rFonts w:ascii="Times New Roman" w:hAnsi="Times New Roman" w:cs="Times New Roman"/>
              </w:rPr>
              <w:t>bém as informações desses dois órgãos</w:t>
            </w:r>
            <w:r w:rsidRPr="00495CB4">
              <w:rPr>
                <w:rFonts w:ascii="Times New Roman" w:hAnsi="Times New Roman" w:cs="Times New Roman"/>
              </w:rPr>
              <w:t>.</w:t>
            </w:r>
          </w:p>
        </w:tc>
      </w:tr>
      <w:tr w:rsidR="000953D6" w:rsidRPr="00A72A87" w:rsidTr="00DF40D9">
        <w:tc>
          <w:tcPr>
            <w:tcW w:w="9214" w:type="dxa"/>
          </w:tcPr>
          <w:p w:rsidR="000953D6" w:rsidRPr="00BD3BFB" w:rsidRDefault="005B73E4" w:rsidP="00495CB4">
            <w:pPr>
              <w:spacing w:before="120" w:after="120"/>
              <w:ind w:right="34"/>
              <w:jc w:val="both"/>
              <w:rPr>
                <w:rFonts w:ascii="Times New Roman" w:hAnsi="Times New Roman" w:cs="Times New Roman"/>
                <w:color w:val="1F497D"/>
              </w:rPr>
            </w:pPr>
            <w:r w:rsidRPr="00BD3BFB">
              <w:rPr>
                <w:rFonts w:ascii="Times New Roman" w:hAnsi="Times New Roman" w:cs="Times New Roman"/>
                <w:b/>
              </w:rPr>
              <w:t>Resposta:</w:t>
            </w:r>
            <w:r w:rsidRPr="00BD3BFB">
              <w:rPr>
                <w:rFonts w:ascii="Times New Roman" w:hAnsi="Times New Roman" w:cs="Times New Roman"/>
              </w:rPr>
              <w:t xml:space="preserve"> c</w:t>
            </w:r>
            <w:r w:rsidR="000953D6" w:rsidRPr="00BD3BFB">
              <w:rPr>
                <w:rFonts w:ascii="Times New Roman" w:hAnsi="Times New Roman" w:cs="Times New Roman"/>
              </w:rPr>
              <w:t xml:space="preserve">onsiderando que </w:t>
            </w:r>
            <w:r w:rsidRPr="00BD3BFB">
              <w:rPr>
                <w:rFonts w:ascii="Times New Roman" w:hAnsi="Times New Roman" w:cs="Times New Roman"/>
              </w:rPr>
              <w:t xml:space="preserve">os </w:t>
            </w:r>
            <w:r w:rsidR="00495CB4">
              <w:rPr>
                <w:rFonts w:ascii="Times New Roman" w:hAnsi="Times New Roman" w:cs="Times New Roman"/>
              </w:rPr>
              <w:t>órgãos</w:t>
            </w:r>
            <w:r w:rsidR="000953D6" w:rsidRPr="00BD3BFB">
              <w:rPr>
                <w:rFonts w:ascii="Times New Roman" w:hAnsi="Times New Roman" w:cs="Times New Roman"/>
              </w:rPr>
              <w:t xml:space="preserve"> são subordinados ao Ministério, fazendo parte de seu organograma, eles deve</w:t>
            </w:r>
            <w:r w:rsidR="00BD3BFB" w:rsidRPr="00BD3BFB">
              <w:rPr>
                <w:rFonts w:ascii="Times New Roman" w:hAnsi="Times New Roman" w:cs="Times New Roman"/>
              </w:rPr>
              <w:t>m</w:t>
            </w:r>
            <w:r w:rsidR="000953D6" w:rsidRPr="00BD3BFB">
              <w:rPr>
                <w:rFonts w:ascii="Times New Roman" w:hAnsi="Times New Roman" w:cs="Times New Roman"/>
              </w:rPr>
              <w:t xml:space="preserve"> constar do relatório de gestão de 2018 desse ministério, tendo em vista a consolidação </w:t>
            </w:r>
            <w:r w:rsidRPr="00BD3BFB">
              <w:rPr>
                <w:rFonts w:ascii="Times New Roman" w:hAnsi="Times New Roman" w:cs="Times New Roman"/>
              </w:rPr>
              <w:t>das contas no nível estratégico (Anexo I da DN TCU 170/2018).</w:t>
            </w:r>
          </w:p>
        </w:tc>
      </w:tr>
      <w:tr w:rsidR="000953D6" w:rsidRPr="00A72A87" w:rsidTr="00DF40D9">
        <w:tc>
          <w:tcPr>
            <w:tcW w:w="9214" w:type="dxa"/>
            <w:shd w:val="clear" w:color="auto" w:fill="DEEAF6" w:themeFill="accent1" w:themeFillTint="33"/>
          </w:tcPr>
          <w:p w:rsidR="000953D6" w:rsidRPr="00BD3BFB" w:rsidRDefault="00BD3BFB" w:rsidP="00495CB4">
            <w:pPr>
              <w:shd w:val="clear" w:color="auto" w:fill="DEEAF6" w:themeFill="accent1" w:themeFillTint="33"/>
              <w:spacing w:before="120"/>
              <w:ind w:right="34"/>
              <w:jc w:val="both"/>
              <w:rPr>
                <w:rFonts w:ascii="Times New Roman" w:hAnsi="Times New Roman" w:cs="Times New Roman"/>
                <w:b/>
              </w:rPr>
            </w:pPr>
            <w:r w:rsidRPr="00BD3BFB">
              <w:rPr>
                <w:rFonts w:ascii="Times New Roman" w:hAnsi="Times New Roman" w:cs="Times New Roman"/>
                <w:b/>
              </w:rPr>
              <w:t>Pergunta:</w:t>
            </w:r>
          </w:p>
          <w:p w:rsidR="00BD3BFB" w:rsidRPr="00BD3BFB" w:rsidRDefault="00BD3BFB" w:rsidP="00495CB4">
            <w:pPr>
              <w:shd w:val="clear" w:color="auto" w:fill="DEEAF6" w:themeFill="accent1" w:themeFillTint="33"/>
              <w:spacing w:after="120"/>
              <w:ind w:right="34"/>
              <w:jc w:val="both"/>
              <w:rPr>
                <w:rFonts w:ascii="Times New Roman" w:hAnsi="Times New Roman" w:cs="Times New Roman"/>
              </w:rPr>
            </w:pPr>
            <w:r w:rsidRPr="00BD3BFB">
              <w:rPr>
                <w:rFonts w:ascii="Times New Roman" w:hAnsi="Times New Roman" w:cs="Times New Roman"/>
                <w:b/>
              </w:rPr>
              <w:t xml:space="preserve">Ordem de apresentação dos capítulos: </w:t>
            </w:r>
            <w:r w:rsidRPr="00BD3BFB">
              <w:rPr>
                <w:rFonts w:ascii="Times New Roman" w:hAnsi="Times New Roman" w:cs="Times New Roman"/>
              </w:rPr>
              <w:t>É possível alterar a ordem de apresentação dos capítulos do relatório?</w:t>
            </w:r>
          </w:p>
        </w:tc>
      </w:tr>
      <w:tr w:rsidR="000953D6" w:rsidRPr="00A72A87" w:rsidTr="00DF40D9">
        <w:tc>
          <w:tcPr>
            <w:tcW w:w="9214" w:type="dxa"/>
          </w:tcPr>
          <w:p w:rsidR="000953D6" w:rsidRPr="00BD3BFB" w:rsidRDefault="00BD3BFB" w:rsidP="00495CB4">
            <w:pPr>
              <w:tabs>
                <w:tab w:val="left" w:pos="1134"/>
              </w:tabs>
              <w:spacing w:before="120" w:after="120"/>
              <w:ind w:right="34"/>
              <w:jc w:val="both"/>
              <w:rPr>
                <w:rFonts w:ascii="Times New Roman" w:hAnsi="Times New Roman" w:cs="Times New Roman"/>
                <w:b/>
              </w:rPr>
            </w:pPr>
            <w:r w:rsidRPr="00BD3BFB">
              <w:rPr>
                <w:rFonts w:ascii="Times New Roman" w:hAnsi="Times New Roman" w:cs="Times New Roman"/>
                <w:b/>
              </w:rPr>
              <w:t>Resposta:</w:t>
            </w:r>
            <w:r w:rsidRPr="00BD3BFB">
              <w:rPr>
                <w:rFonts w:ascii="Times New Roman" w:hAnsi="Times New Roman" w:cs="Times New Roman"/>
              </w:rPr>
              <w:t xml:space="preserve"> A ordem de apresentação do conteúdo do relatório, não deve ser vista como uma estrutura fixa, com as suas informações aparecendo em uma sequência obrigatória, ou como seções isoladas e autônomas. A informação deve ser apresentada de modo a tornar aparentes as conexões entre os elementos de conteúdo do relatório.</w:t>
            </w:r>
          </w:p>
        </w:tc>
      </w:tr>
      <w:tr w:rsidR="000953D6" w:rsidRPr="00A72A87" w:rsidTr="00DF40D9">
        <w:tc>
          <w:tcPr>
            <w:tcW w:w="9214" w:type="dxa"/>
            <w:shd w:val="clear" w:color="auto" w:fill="DEEAF6" w:themeFill="accent1" w:themeFillTint="33"/>
          </w:tcPr>
          <w:p w:rsidR="000953D6" w:rsidRPr="00BD3BFB" w:rsidRDefault="00BD3BFB" w:rsidP="00495CB4">
            <w:pPr>
              <w:shd w:val="clear" w:color="auto" w:fill="DEEAF6" w:themeFill="accent1" w:themeFillTint="33"/>
              <w:spacing w:before="120"/>
              <w:ind w:right="34"/>
              <w:jc w:val="both"/>
              <w:rPr>
                <w:rFonts w:ascii="Times New Roman" w:hAnsi="Times New Roman" w:cs="Times New Roman"/>
                <w:b/>
              </w:rPr>
            </w:pPr>
            <w:r w:rsidRPr="00BD3BFB">
              <w:rPr>
                <w:rFonts w:ascii="Times New Roman" w:hAnsi="Times New Roman" w:cs="Times New Roman"/>
                <w:b/>
              </w:rPr>
              <w:t>Pergunta:</w:t>
            </w:r>
          </w:p>
          <w:p w:rsidR="00BD3BFB" w:rsidRPr="00BD3BFB" w:rsidRDefault="00BD3BFB" w:rsidP="00495CB4">
            <w:pPr>
              <w:shd w:val="clear" w:color="auto" w:fill="DEEAF6" w:themeFill="accent1" w:themeFillTint="33"/>
              <w:spacing w:after="120"/>
              <w:ind w:right="34"/>
              <w:jc w:val="both"/>
              <w:rPr>
                <w:rFonts w:ascii="Times New Roman" w:hAnsi="Times New Roman" w:cs="Times New Roman"/>
                <w:b/>
              </w:rPr>
            </w:pPr>
            <w:r w:rsidRPr="00BD3BFB">
              <w:rPr>
                <w:rFonts w:ascii="Times New Roman" w:hAnsi="Times New Roman" w:cs="Times New Roman"/>
                <w:b/>
              </w:rPr>
              <w:t>Quadros e tabelas padronizados:</w:t>
            </w:r>
            <w:r>
              <w:rPr>
                <w:rFonts w:ascii="Times New Roman" w:hAnsi="Times New Roman" w:cs="Times New Roman"/>
              </w:rPr>
              <w:t xml:space="preserve"> </w:t>
            </w:r>
            <w:r w:rsidRPr="00BD3BFB">
              <w:rPr>
                <w:rFonts w:ascii="Times New Roman" w:hAnsi="Times New Roman" w:cs="Times New Roman"/>
              </w:rPr>
              <w:t>É possível utilizar os quadros e tabelas padronizados utilizados em relatórios de gestão de exercícios anteriores?</w:t>
            </w:r>
          </w:p>
        </w:tc>
      </w:tr>
      <w:tr w:rsidR="000953D6" w:rsidRPr="00A72A87" w:rsidTr="00DF40D9">
        <w:tc>
          <w:tcPr>
            <w:tcW w:w="9214" w:type="dxa"/>
          </w:tcPr>
          <w:p w:rsidR="000953D6" w:rsidRPr="00BD3BFB" w:rsidRDefault="00BD3BFB" w:rsidP="00495CB4">
            <w:pPr>
              <w:pStyle w:val="PargrafodaLista"/>
              <w:tabs>
                <w:tab w:val="left" w:pos="1134"/>
              </w:tabs>
              <w:ind w:left="0" w:right="34"/>
              <w:jc w:val="both"/>
            </w:pPr>
            <w:r w:rsidRPr="00BD3BFB">
              <w:rPr>
                <w:b/>
                <w:sz w:val="22"/>
                <w:szCs w:val="22"/>
              </w:rPr>
              <w:t>Resposta:</w:t>
            </w:r>
            <w:r w:rsidRPr="00BD3BFB">
              <w:rPr>
                <w:sz w:val="22"/>
                <w:szCs w:val="22"/>
              </w:rPr>
              <w:t xml:space="preserve"> </w:t>
            </w:r>
            <w:r w:rsidRPr="00DA5348">
              <w:t>Quanto ao uso de quadros e tabelas, salientamos que fica a critério da UPC, de acordo com o entendimento da relevância dos dados a serem apresentados dentro de cada tema do relatório de gestão. Quadros e tabelas utilizados em relatórios de gestão de exercícios anteriores poderão ser utilizados, mas deve ser observado que o grau de detalhamento, de materialidade e de relevância dos dados apresentados atendendo às diretrizes materialidade, concisão e clareza, e tendo em vista a possibilidade de utilização de referências externas como fonte de informação em nível mais operacional ou mais detalhado.</w:t>
            </w:r>
          </w:p>
        </w:tc>
      </w:tr>
      <w:tr w:rsidR="00A72A87" w:rsidRPr="00A72A87" w:rsidTr="00DF40D9">
        <w:tc>
          <w:tcPr>
            <w:tcW w:w="9214" w:type="dxa"/>
            <w:shd w:val="clear" w:color="auto" w:fill="DEEAF6" w:themeFill="accent1" w:themeFillTint="33"/>
          </w:tcPr>
          <w:p w:rsidR="00BD3BFB" w:rsidRDefault="0040026E" w:rsidP="00495CB4">
            <w:pPr>
              <w:spacing w:before="120"/>
              <w:ind w:right="34"/>
              <w:rPr>
                <w:rFonts w:ascii="Times New Roman" w:hAnsi="Times New Roman" w:cs="Times New Roman"/>
              </w:rPr>
            </w:pPr>
            <w:r w:rsidRPr="001762D6">
              <w:rPr>
                <w:rFonts w:ascii="Times New Roman" w:hAnsi="Times New Roman" w:cs="Times New Roman"/>
                <w:b/>
              </w:rPr>
              <w:t>Pergunta:</w:t>
            </w:r>
            <w:r w:rsidRPr="001762D6">
              <w:rPr>
                <w:rFonts w:ascii="Times New Roman" w:hAnsi="Times New Roman" w:cs="Times New Roman"/>
              </w:rPr>
              <w:t xml:space="preserve"> </w:t>
            </w:r>
          </w:p>
          <w:p w:rsidR="00A72A87" w:rsidRPr="001762D6" w:rsidRDefault="00BD3BFB" w:rsidP="00495CB4">
            <w:pPr>
              <w:spacing w:after="120"/>
              <w:ind w:right="34"/>
              <w:jc w:val="both"/>
              <w:rPr>
                <w:rFonts w:ascii="Times New Roman" w:hAnsi="Times New Roman" w:cs="Times New Roman"/>
                <w:b/>
              </w:rPr>
            </w:pPr>
            <w:r w:rsidRPr="00B0303F">
              <w:rPr>
                <w:rFonts w:ascii="Times New Roman" w:hAnsi="Times New Roman" w:cs="Times New Roman"/>
                <w:b/>
              </w:rPr>
              <w:t xml:space="preserve">Orientações referentes ao capítulo </w:t>
            </w:r>
            <w:r w:rsidR="00B0303F" w:rsidRPr="00B0303F">
              <w:rPr>
                <w:rFonts w:ascii="Times New Roman" w:hAnsi="Times New Roman" w:cs="Times New Roman"/>
                <w:b/>
              </w:rPr>
              <w:t>Alocação de recursos e áreas especiais de gestão</w:t>
            </w:r>
            <w:r w:rsidR="00B0303F">
              <w:rPr>
                <w:rFonts w:ascii="Times New Roman" w:hAnsi="Times New Roman" w:cs="Times New Roman"/>
                <w:b/>
              </w:rPr>
              <w:t xml:space="preserve">. </w:t>
            </w:r>
            <w:r w:rsidR="00B0303F" w:rsidRPr="00B0303F">
              <w:rPr>
                <w:rFonts w:ascii="Times New Roman" w:hAnsi="Times New Roman" w:cs="Times New Roman"/>
              </w:rPr>
              <w:t>N</w:t>
            </w:r>
            <w:r w:rsidR="0040026E" w:rsidRPr="00B0303F">
              <w:rPr>
                <w:rFonts w:ascii="Times New Roman" w:hAnsi="Times New Roman" w:cs="Times New Roman"/>
              </w:rPr>
              <w:t>a</w:t>
            </w:r>
            <w:r w:rsidR="0040026E" w:rsidRPr="001762D6">
              <w:rPr>
                <w:rFonts w:ascii="Times New Roman" w:hAnsi="Times New Roman" w:cs="Times New Roman"/>
              </w:rPr>
              <w:t xml:space="preserve"> página 36 da Cartilha sobre Relato integrado, </w:t>
            </w:r>
            <w:r w:rsidR="000953D6" w:rsidRPr="001762D6">
              <w:rPr>
                <w:rFonts w:ascii="Times New Roman" w:hAnsi="Times New Roman" w:cs="Times New Roman"/>
              </w:rPr>
              <w:t xml:space="preserve">no </w:t>
            </w:r>
            <w:r w:rsidR="009A70E5" w:rsidRPr="001762D6">
              <w:rPr>
                <w:rFonts w:ascii="Times New Roman" w:hAnsi="Times New Roman" w:cs="Times New Roman"/>
              </w:rPr>
              <w:t xml:space="preserve">capítulo que trata </w:t>
            </w:r>
            <w:r w:rsidR="0040026E" w:rsidRPr="001762D6">
              <w:rPr>
                <w:rFonts w:ascii="Times New Roman" w:hAnsi="Times New Roman" w:cs="Times New Roman"/>
              </w:rPr>
              <w:t>da alocação de recursos e áreas especiais</w:t>
            </w:r>
            <w:r w:rsidR="009A70E5" w:rsidRPr="001762D6">
              <w:rPr>
                <w:rFonts w:ascii="Times New Roman" w:hAnsi="Times New Roman" w:cs="Times New Roman"/>
              </w:rPr>
              <w:t xml:space="preserve"> de gestão</w:t>
            </w:r>
            <w:r w:rsidR="0040026E" w:rsidRPr="001762D6">
              <w:rPr>
                <w:rFonts w:ascii="Times New Roman" w:hAnsi="Times New Roman" w:cs="Times New Roman"/>
              </w:rPr>
              <w:t xml:space="preserve">, há a seguinte referência: "No caso de prestação de contas de ministérios, observar ainda as seguintes orientações adicionais do sistema e-Contas". Isso significa que </w:t>
            </w:r>
            <w:r w:rsidR="009A70E5" w:rsidRPr="001762D6">
              <w:rPr>
                <w:rFonts w:ascii="Times New Roman" w:hAnsi="Times New Roman" w:cs="Times New Roman"/>
              </w:rPr>
              <w:t>ess</w:t>
            </w:r>
            <w:r w:rsidR="0040026E" w:rsidRPr="001762D6">
              <w:rPr>
                <w:rFonts w:ascii="Times New Roman" w:hAnsi="Times New Roman" w:cs="Times New Roman"/>
              </w:rPr>
              <w:t xml:space="preserve">as orientações </w:t>
            </w:r>
            <w:r w:rsidR="00495CB4">
              <w:rPr>
                <w:rFonts w:ascii="Times New Roman" w:hAnsi="Times New Roman" w:cs="Times New Roman"/>
              </w:rPr>
              <w:t xml:space="preserve">se </w:t>
            </w:r>
            <w:r w:rsidR="0040026E" w:rsidRPr="001762D6">
              <w:rPr>
                <w:rFonts w:ascii="Times New Roman" w:hAnsi="Times New Roman" w:cs="Times New Roman"/>
              </w:rPr>
              <w:t>aplica</w:t>
            </w:r>
            <w:r w:rsidR="009A70E5" w:rsidRPr="001762D6">
              <w:rPr>
                <w:rFonts w:ascii="Times New Roman" w:hAnsi="Times New Roman" w:cs="Times New Roman"/>
              </w:rPr>
              <w:t>m</w:t>
            </w:r>
            <w:r w:rsidR="0040026E" w:rsidRPr="001762D6">
              <w:rPr>
                <w:rFonts w:ascii="Times New Roman" w:hAnsi="Times New Roman" w:cs="Times New Roman"/>
              </w:rPr>
              <w:t xml:space="preserve"> </w:t>
            </w:r>
            <w:r w:rsidR="00B0303F">
              <w:rPr>
                <w:rFonts w:ascii="Times New Roman" w:hAnsi="Times New Roman" w:cs="Times New Roman"/>
              </w:rPr>
              <w:t xml:space="preserve">somente </w:t>
            </w:r>
            <w:r w:rsidR="0040026E" w:rsidRPr="001762D6">
              <w:rPr>
                <w:rFonts w:ascii="Times New Roman" w:hAnsi="Times New Roman" w:cs="Times New Roman"/>
              </w:rPr>
              <w:t>aos ministérios?</w:t>
            </w:r>
          </w:p>
        </w:tc>
      </w:tr>
      <w:tr w:rsidR="00A72A87" w:rsidRPr="00A72A87" w:rsidTr="00DF40D9">
        <w:tc>
          <w:tcPr>
            <w:tcW w:w="9214" w:type="dxa"/>
          </w:tcPr>
          <w:p w:rsidR="009A70E5" w:rsidRPr="001762D6" w:rsidRDefault="009A70E5" w:rsidP="00495CB4">
            <w:pPr>
              <w:spacing w:before="120"/>
              <w:ind w:right="34"/>
              <w:jc w:val="both"/>
              <w:rPr>
                <w:rFonts w:ascii="Times New Roman" w:hAnsi="Times New Roman" w:cs="Times New Roman"/>
              </w:rPr>
            </w:pPr>
            <w:r w:rsidRPr="001762D6">
              <w:rPr>
                <w:rFonts w:ascii="Times New Roman" w:hAnsi="Times New Roman" w:cs="Times New Roman"/>
                <w:b/>
              </w:rPr>
              <w:t>Resposta:</w:t>
            </w:r>
            <w:r w:rsidRPr="001762D6">
              <w:rPr>
                <w:rFonts w:ascii="Times New Roman" w:hAnsi="Times New Roman" w:cs="Times New Roman"/>
              </w:rPr>
              <w:t xml:space="preserve"> Parte das informações relativas ao tópico “Alocação de recursos e áreas especiais de gestão” detalhadas na cartilha “Relatório de gestão na forma de relatório integrado” foram baseadas em boas práticas identificadas na iniciativa-piloto realizada com o Relatório de Gestão de 2017 do Ministério da Fazenda. Embora desenvolvidas especialmente para prestação de contas de ministérios, tais informações devem ser adaptadas, no que couber, às demais unidades de prestadoras de contas, inclusive quanto à</w:t>
            </w:r>
            <w:r w:rsidR="00495CB4">
              <w:rPr>
                <w:rFonts w:ascii="Times New Roman" w:hAnsi="Times New Roman" w:cs="Times New Roman"/>
              </w:rPr>
              <w:t xml:space="preserve"> seguinte</w:t>
            </w:r>
            <w:r w:rsidRPr="001762D6">
              <w:rPr>
                <w:rFonts w:ascii="Times New Roman" w:hAnsi="Times New Roman" w:cs="Times New Roman"/>
              </w:rPr>
              <w:t xml:space="preserve"> declaração exigida: </w:t>
            </w:r>
            <w:bookmarkStart w:id="1" w:name="_Toc525828947"/>
            <w:bookmarkEnd w:id="1"/>
          </w:p>
          <w:p w:rsidR="009A70E5" w:rsidRPr="001762D6" w:rsidRDefault="009A70E5" w:rsidP="00495CB4">
            <w:pPr>
              <w:pStyle w:val="pTtulo2"/>
              <w:spacing w:before="120"/>
              <w:ind w:right="34"/>
              <w:jc w:val="both"/>
              <w:rPr>
                <w:rFonts w:ascii="Times New Roman" w:hAnsi="Times New Roman"/>
                <w:b/>
                <w:color w:val="auto"/>
              </w:rPr>
            </w:pPr>
            <w:r w:rsidRPr="001762D6">
              <w:rPr>
                <w:rFonts w:ascii="Times New Roman" w:hAnsi="Times New Roman"/>
                <w:b/>
                <w:color w:val="auto"/>
              </w:rPr>
              <w:lastRenderedPageBreak/>
              <w:t>“Declaração dos titulares da secretaria-executiva e da unidade responsável pelo planejamento, orçamento e administração (ou cargos de natureza equivalente)</w:t>
            </w:r>
          </w:p>
          <w:p w:rsidR="009A70E5" w:rsidRPr="001762D6" w:rsidRDefault="009A70E5" w:rsidP="00495CB4">
            <w:pPr>
              <w:pStyle w:val="pTextoSubpargrafo"/>
              <w:ind w:left="0" w:right="34" w:firstLine="0"/>
              <w:rPr>
                <w:rFonts w:ascii="Times New Roman" w:hAnsi="Times New Roman"/>
                <w:color w:val="auto"/>
                <w:sz w:val="22"/>
                <w:szCs w:val="22"/>
              </w:rPr>
            </w:pPr>
            <w:r w:rsidRPr="001762D6">
              <w:rPr>
                <w:rFonts w:ascii="Times New Roman" w:hAnsi="Times New Roman"/>
                <w:color w:val="auto"/>
                <w:sz w:val="22"/>
                <w:szCs w:val="22"/>
              </w:rPr>
              <w:t xml:space="preserve">Deverá ser apresentada uma declaração dos titulares da secretaria-executiva e da unidade responsável pelo planejamento, orçamento e administração (ou cargos de natureza equivalente), na qual conste: objetivos estratégicos das áreas de gestão da UPC; estratégia e metas de implementação dos objetivos; principais ações realizadas, incluindo os contratos de serviços significativos e os investimentos de capital. Quanto a estes, a avaliação do seu custo-benefício e o impacto sobre os objetivos; desafios e oportunidades; conformidade com a legislação que rege a UPC; confiabilidade das informações </w:t>
            </w:r>
            <w:proofErr w:type="gramStart"/>
            <w:r w:rsidRPr="001762D6">
              <w:rPr>
                <w:rFonts w:ascii="Times New Roman" w:hAnsi="Times New Roman"/>
                <w:color w:val="auto"/>
                <w:sz w:val="22"/>
                <w:szCs w:val="22"/>
              </w:rPr>
              <w:t>prestadas.”</w:t>
            </w:r>
            <w:proofErr w:type="gramEnd"/>
          </w:p>
          <w:p w:rsidR="00A72A87" w:rsidRPr="001762D6" w:rsidRDefault="009A70E5" w:rsidP="00495CB4">
            <w:pPr>
              <w:spacing w:before="120" w:after="120"/>
              <w:ind w:right="34"/>
              <w:jc w:val="both"/>
              <w:rPr>
                <w:rFonts w:ascii="Times New Roman" w:hAnsi="Times New Roman" w:cs="Times New Roman"/>
                <w:color w:val="1F497D"/>
              </w:rPr>
            </w:pPr>
            <w:r w:rsidRPr="001762D6">
              <w:rPr>
                <w:rFonts w:ascii="Times New Roman" w:hAnsi="Times New Roman" w:cs="Times New Roman"/>
              </w:rPr>
              <w:t>Lembramos, por oportuno, que esse capítulo do relatório de gestão dever responder à pergunta “Para onde a UPC deseja ir e como ela pretende chegar lá?”, abordando necessariamente o seguinte conteúdo: estratégia para alcançar os principais objetivos da UPC e planos de alocação de recursos para implementar essa estratégia no exercício, assim como principais desafios e ações futuras; gestão orçamentária e financeira; gestão de pessoas; gestão de licitação e contratos; gestão patrimonial e infraestrutura; gestão da tecnologia da informação; gestão de custos; sustentabilidade ambiental.</w:t>
            </w:r>
          </w:p>
        </w:tc>
      </w:tr>
      <w:tr w:rsidR="00D60BF8" w:rsidRPr="00A72A87" w:rsidTr="00D60BF8">
        <w:tc>
          <w:tcPr>
            <w:tcW w:w="9214" w:type="dxa"/>
            <w:shd w:val="clear" w:color="auto" w:fill="DEEAF6" w:themeFill="accent1" w:themeFillTint="33"/>
          </w:tcPr>
          <w:p w:rsidR="00D60BF8" w:rsidRPr="003F412D" w:rsidRDefault="00D60BF8" w:rsidP="00D60BF8">
            <w:pPr>
              <w:pStyle w:val="pTextoSubpargrafo"/>
              <w:ind w:left="0" w:firstLine="0"/>
              <w:rPr>
                <w:rFonts w:ascii="Times New Roman" w:eastAsia="Times New Roman" w:hAnsi="Times New Roman"/>
                <w:b/>
                <w:sz w:val="22"/>
                <w:szCs w:val="22"/>
                <w:lang w:eastAsia="pt-BR"/>
              </w:rPr>
            </w:pPr>
            <w:r w:rsidRPr="003F412D">
              <w:rPr>
                <w:rFonts w:ascii="Times New Roman" w:hAnsi="Times New Roman"/>
                <w:b/>
                <w:color w:val="auto"/>
                <w:sz w:val="22"/>
                <w:szCs w:val="22"/>
              </w:rPr>
              <w:lastRenderedPageBreak/>
              <w:t>Pergunta</w:t>
            </w:r>
            <w:r w:rsidR="00D34115">
              <w:rPr>
                <w:rFonts w:ascii="Times New Roman" w:hAnsi="Times New Roman"/>
                <w:b/>
                <w:color w:val="auto"/>
                <w:sz w:val="22"/>
                <w:szCs w:val="22"/>
              </w:rPr>
              <w:t xml:space="preserve"> </w:t>
            </w:r>
            <w:r w:rsidR="00D34115" w:rsidRPr="00D34115">
              <w:rPr>
                <w:rFonts w:ascii="Times New Roman" w:hAnsi="Times New Roman"/>
                <w:color w:val="auto"/>
                <w:sz w:val="22"/>
                <w:szCs w:val="22"/>
              </w:rPr>
              <w:t>(incluída em 18/01/2019)</w:t>
            </w:r>
            <w:r w:rsidRPr="003F412D">
              <w:rPr>
                <w:rFonts w:ascii="Times New Roman" w:eastAsia="Times New Roman" w:hAnsi="Times New Roman"/>
                <w:b/>
                <w:sz w:val="22"/>
                <w:szCs w:val="22"/>
                <w:lang w:eastAsia="pt-BR"/>
              </w:rPr>
              <w:t xml:space="preserve">: </w:t>
            </w:r>
          </w:p>
          <w:p w:rsidR="00D60BF8" w:rsidRPr="001762D6" w:rsidRDefault="00D60BF8" w:rsidP="00D60BF8">
            <w:pPr>
              <w:jc w:val="both"/>
              <w:rPr>
                <w:rFonts w:ascii="Times New Roman" w:hAnsi="Times New Roman" w:cs="Times New Roman"/>
                <w:b/>
              </w:rPr>
            </w:pPr>
            <w:r w:rsidRPr="00D60BF8">
              <w:rPr>
                <w:rFonts w:ascii="Times New Roman" w:hAnsi="Times New Roman" w:cs="Times New Roman"/>
              </w:rPr>
              <w:t xml:space="preserve">É obrigatório constar no Relatório de Gestão todos os itens do tópico de Elementos </w:t>
            </w:r>
            <w:proofErr w:type="spellStart"/>
            <w:r w:rsidRPr="00D60BF8">
              <w:rPr>
                <w:rFonts w:ascii="Times New Roman" w:hAnsi="Times New Roman" w:cs="Times New Roman"/>
              </w:rPr>
              <w:t>pré</w:t>
            </w:r>
            <w:proofErr w:type="spellEnd"/>
            <w:r w:rsidRPr="00D60BF8">
              <w:rPr>
                <w:rFonts w:ascii="Times New Roman" w:hAnsi="Times New Roman" w:cs="Times New Roman"/>
              </w:rPr>
              <w:t>-textuais (Lista de siglas e abreviações, Lista de tabelas, quadros, gráficos e figuras e Lista de anexos e apêndices)?</w:t>
            </w:r>
          </w:p>
        </w:tc>
      </w:tr>
      <w:tr w:rsidR="00D60BF8" w:rsidRPr="00A72A87" w:rsidTr="00DF40D9">
        <w:tc>
          <w:tcPr>
            <w:tcW w:w="9214" w:type="dxa"/>
          </w:tcPr>
          <w:p w:rsidR="00D60BF8" w:rsidRDefault="00D60BF8" w:rsidP="00D60BF8">
            <w:pPr>
              <w:jc w:val="both"/>
              <w:rPr>
                <w:rFonts w:ascii="Times New Roman" w:hAnsi="Times New Roman" w:cs="Times New Roman"/>
                <w:b/>
              </w:rPr>
            </w:pPr>
            <w:r w:rsidRPr="001762D6">
              <w:rPr>
                <w:rFonts w:ascii="Times New Roman" w:hAnsi="Times New Roman" w:cs="Times New Roman"/>
                <w:b/>
              </w:rPr>
              <w:t>Resposta:</w:t>
            </w:r>
          </w:p>
          <w:p w:rsidR="00D60BF8" w:rsidRPr="001762D6" w:rsidRDefault="00D60BF8" w:rsidP="00D60BF8">
            <w:pPr>
              <w:jc w:val="both"/>
              <w:rPr>
                <w:rFonts w:ascii="Times New Roman" w:hAnsi="Times New Roman" w:cs="Times New Roman"/>
                <w:b/>
              </w:rPr>
            </w:pPr>
            <w:r w:rsidRPr="00062743">
              <w:rPr>
                <w:rFonts w:ascii="Times New Roman" w:hAnsi="Times New Roman" w:cs="Times New Roman"/>
              </w:rPr>
              <w:t xml:space="preserve">Os elementos </w:t>
            </w:r>
            <w:proofErr w:type="spellStart"/>
            <w:r w:rsidRPr="00062743">
              <w:rPr>
                <w:rFonts w:ascii="Times New Roman" w:hAnsi="Times New Roman" w:cs="Times New Roman"/>
              </w:rPr>
              <w:t>pré</w:t>
            </w:r>
            <w:proofErr w:type="spellEnd"/>
            <w:r w:rsidRPr="00062743">
              <w:rPr>
                <w:rFonts w:ascii="Times New Roman" w:hAnsi="Times New Roman" w:cs="Times New Roman"/>
              </w:rPr>
              <w:t xml:space="preserve">-textuais servem para auxiliar a leitura pelos usuários do relatório, mas </w:t>
            </w:r>
            <w:r w:rsidRPr="00062743">
              <w:rPr>
                <w:rFonts w:ascii="Times New Roman" w:hAnsi="Times New Roman" w:cs="Times New Roman"/>
                <w:b/>
                <w:bCs/>
              </w:rPr>
              <w:t>não</w:t>
            </w:r>
            <w:r w:rsidRPr="00062743">
              <w:rPr>
                <w:rFonts w:ascii="Times New Roman" w:hAnsi="Times New Roman" w:cs="Times New Roman"/>
              </w:rPr>
              <w:t xml:space="preserve"> correspondem aos elementos de conteúdo requeridos para elaboração de um </w:t>
            </w:r>
            <w:r w:rsidRPr="00062743">
              <w:rPr>
                <w:rFonts w:ascii="Times New Roman" w:hAnsi="Times New Roman" w:cs="Times New Roman"/>
                <w:b/>
                <w:bCs/>
              </w:rPr>
              <w:t>relatório integrado</w:t>
            </w:r>
            <w:r w:rsidRPr="00062743">
              <w:rPr>
                <w:rFonts w:ascii="Times New Roman" w:hAnsi="Times New Roman" w:cs="Times New Roman"/>
              </w:rPr>
              <w:t xml:space="preserve">. Assim, se o relatório ficar muito extenso, os elementos </w:t>
            </w:r>
            <w:proofErr w:type="spellStart"/>
            <w:r w:rsidRPr="00062743">
              <w:rPr>
                <w:rFonts w:ascii="Times New Roman" w:hAnsi="Times New Roman" w:cs="Times New Roman"/>
              </w:rPr>
              <w:t>pré</w:t>
            </w:r>
            <w:proofErr w:type="spellEnd"/>
            <w:r w:rsidRPr="00062743">
              <w:rPr>
                <w:rFonts w:ascii="Times New Roman" w:hAnsi="Times New Roman" w:cs="Times New Roman"/>
              </w:rPr>
              <w:t>-textuais poderão ser suprimidos caso a sua eliminação não prejudique o entendimento do relatório pelos usuários.</w:t>
            </w:r>
          </w:p>
        </w:tc>
      </w:tr>
      <w:tr w:rsidR="00596587" w:rsidRPr="00A72A87" w:rsidTr="00596587">
        <w:tc>
          <w:tcPr>
            <w:tcW w:w="9214" w:type="dxa"/>
            <w:shd w:val="clear" w:color="auto" w:fill="DEEAF6" w:themeFill="accent1" w:themeFillTint="33"/>
          </w:tcPr>
          <w:p w:rsidR="00596587" w:rsidRPr="003F412D" w:rsidRDefault="00596587" w:rsidP="00596587">
            <w:pPr>
              <w:pStyle w:val="pTextoSubpargrafo"/>
              <w:ind w:left="0" w:firstLine="0"/>
              <w:rPr>
                <w:rFonts w:ascii="Times New Roman" w:eastAsia="Times New Roman" w:hAnsi="Times New Roman"/>
                <w:b/>
                <w:sz w:val="22"/>
                <w:szCs w:val="22"/>
                <w:lang w:eastAsia="pt-BR"/>
              </w:rPr>
            </w:pPr>
            <w:r w:rsidRPr="003F412D">
              <w:rPr>
                <w:rFonts w:ascii="Times New Roman" w:hAnsi="Times New Roman"/>
                <w:b/>
                <w:color w:val="auto"/>
                <w:sz w:val="22"/>
                <w:szCs w:val="22"/>
              </w:rPr>
              <w:t>Pergunta</w:t>
            </w:r>
            <w:r>
              <w:rPr>
                <w:rFonts w:ascii="Times New Roman" w:hAnsi="Times New Roman"/>
                <w:b/>
                <w:color w:val="auto"/>
                <w:sz w:val="22"/>
                <w:szCs w:val="22"/>
              </w:rPr>
              <w:t xml:space="preserve"> </w:t>
            </w:r>
            <w:r w:rsidRPr="00D34115">
              <w:rPr>
                <w:rFonts w:ascii="Times New Roman" w:hAnsi="Times New Roman"/>
                <w:color w:val="auto"/>
                <w:sz w:val="22"/>
                <w:szCs w:val="22"/>
              </w:rPr>
              <w:t>(incluída em 1</w:t>
            </w:r>
            <w:r>
              <w:rPr>
                <w:rFonts w:ascii="Times New Roman" w:hAnsi="Times New Roman"/>
                <w:color w:val="auto"/>
                <w:sz w:val="22"/>
                <w:szCs w:val="22"/>
              </w:rPr>
              <w:t>1</w:t>
            </w:r>
            <w:r w:rsidRPr="00D34115">
              <w:rPr>
                <w:rFonts w:ascii="Times New Roman" w:hAnsi="Times New Roman"/>
                <w:color w:val="auto"/>
                <w:sz w:val="22"/>
                <w:szCs w:val="22"/>
              </w:rPr>
              <w:t>/0</w:t>
            </w:r>
            <w:r>
              <w:rPr>
                <w:rFonts w:ascii="Times New Roman" w:hAnsi="Times New Roman"/>
                <w:color w:val="auto"/>
                <w:sz w:val="22"/>
                <w:szCs w:val="22"/>
              </w:rPr>
              <w:t>2</w:t>
            </w:r>
            <w:r w:rsidRPr="00D34115">
              <w:rPr>
                <w:rFonts w:ascii="Times New Roman" w:hAnsi="Times New Roman"/>
                <w:color w:val="auto"/>
                <w:sz w:val="22"/>
                <w:szCs w:val="22"/>
              </w:rPr>
              <w:t>/2019)</w:t>
            </w:r>
            <w:r w:rsidRPr="003F412D">
              <w:rPr>
                <w:rFonts w:ascii="Times New Roman" w:eastAsia="Times New Roman" w:hAnsi="Times New Roman"/>
                <w:b/>
                <w:sz w:val="22"/>
                <w:szCs w:val="22"/>
                <w:lang w:eastAsia="pt-BR"/>
              </w:rPr>
              <w:t xml:space="preserve">: </w:t>
            </w:r>
          </w:p>
          <w:p w:rsidR="00596587" w:rsidRPr="001762D6" w:rsidRDefault="00596587" w:rsidP="00596587">
            <w:pPr>
              <w:jc w:val="both"/>
              <w:rPr>
                <w:rFonts w:ascii="Times New Roman" w:hAnsi="Times New Roman" w:cs="Times New Roman"/>
                <w:b/>
              </w:rPr>
            </w:pPr>
            <w:r w:rsidRPr="002C06C3">
              <w:rPr>
                <w:rFonts w:ascii="Times New Roman" w:hAnsi="Times New Roman" w:cs="Times New Roman"/>
              </w:rPr>
              <w:t>Existe algum padrão</w:t>
            </w:r>
            <w:r>
              <w:rPr>
                <w:rFonts w:ascii="Times New Roman" w:hAnsi="Times New Roman" w:cs="Times New Roman"/>
              </w:rPr>
              <w:t xml:space="preserve"> (</w:t>
            </w:r>
            <w:r w:rsidRPr="002C06C3">
              <w:rPr>
                <w:rFonts w:ascii="Times New Roman" w:hAnsi="Times New Roman" w:cs="Times New Roman"/>
              </w:rPr>
              <w:t xml:space="preserve">programa de design </w:t>
            </w:r>
            <w:r>
              <w:rPr>
                <w:rFonts w:ascii="Times New Roman" w:hAnsi="Times New Roman" w:cs="Times New Roman"/>
              </w:rPr>
              <w:t xml:space="preserve">ou </w:t>
            </w:r>
            <w:r w:rsidRPr="002C06C3">
              <w:rPr>
                <w:rFonts w:ascii="Times New Roman" w:hAnsi="Times New Roman" w:cs="Times New Roman"/>
              </w:rPr>
              <w:t xml:space="preserve">editor </w:t>
            </w:r>
            <w:r>
              <w:rPr>
                <w:rFonts w:ascii="Times New Roman" w:hAnsi="Times New Roman" w:cs="Times New Roman"/>
              </w:rPr>
              <w:t xml:space="preserve">texto) </w:t>
            </w:r>
            <w:r w:rsidRPr="002C06C3">
              <w:rPr>
                <w:rFonts w:ascii="Times New Roman" w:hAnsi="Times New Roman" w:cs="Times New Roman"/>
              </w:rPr>
              <w:t>recomendado para elaborar os infográficos do relatório de gestão</w:t>
            </w:r>
            <w:r>
              <w:rPr>
                <w:rFonts w:ascii="Times New Roman" w:hAnsi="Times New Roman" w:cs="Times New Roman"/>
              </w:rPr>
              <w:t>?</w:t>
            </w:r>
          </w:p>
        </w:tc>
      </w:tr>
      <w:tr w:rsidR="00596587" w:rsidRPr="00A72A87" w:rsidTr="00DF40D9">
        <w:tc>
          <w:tcPr>
            <w:tcW w:w="9214" w:type="dxa"/>
          </w:tcPr>
          <w:p w:rsidR="00596587" w:rsidRDefault="00596587" w:rsidP="00596587">
            <w:pPr>
              <w:jc w:val="both"/>
              <w:rPr>
                <w:rFonts w:ascii="Times New Roman" w:hAnsi="Times New Roman" w:cs="Times New Roman"/>
                <w:b/>
              </w:rPr>
            </w:pPr>
            <w:r w:rsidRPr="002C06C3">
              <w:rPr>
                <w:rFonts w:ascii="Times New Roman" w:hAnsi="Times New Roman" w:cs="Times New Roman"/>
                <w:b/>
              </w:rPr>
              <w:t>Resposta:</w:t>
            </w:r>
          </w:p>
          <w:p w:rsidR="00596587" w:rsidRPr="00596587" w:rsidRDefault="00596587" w:rsidP="00D60BF8">
            <w:pPr>
              <w:jc w:val="both"/>
              <w:rPr>
                <w:rFonts w:ascii="Times New Roman" w:hAnsi="Times New Roman" w:cs="Times New Roman"/>
              </w:rPr>
            </w:pPr>
            <w:r>
              <w:rPr>
                <w:rFonts w:ascii="Times New Roman" w:hAnsi="Times New Roman" w:cs="Times New Roman"/>
              </w:rPr>
              <w:t>Não existe padrão recomendado para a elaboração de infográficos. O infográfico é excelente para chama</w:t>
            </w:r>
            <w:r w:rsidRPr="00B330AB">
              <w:rPr>
                <w:rFonts w:ascii="Times New Roman" w:hAnsi="Times New Roman" w:cs="Times New Roman"/>
              </w:rPr>
              <w:t xml:space="preserve">r a atenção do leitor e passar informações complexas de maneira simples. </w:t>
            </w:r>
            <w:r>
              <w:rPr>
                <w:rFonts w:ascii="Times New Roman" w:hAnsi="Times New Roman" w:cs="Times New Roman"/>
              </w:rPr>
              <w:t>Caso a</w:t>
            </w:r>
            <w:r w:rsidRPr="002C06C3">
              <w:rPr>
                <w:rFonts w:ascii="Times New Roman" w:hAnsi="Times New Roman" w:cs="Times New Roman"/>
              </w:rPr>
              <w:t xml:space="preserve"> UPC</w:t>
            </w:r>
            <w:r>
              <w:rPr>
                <w:rFonts w:ascii="Times New Roman" w:hAnsi="Times New Roman" w:cs="Times New Roman"/>
              </w:rPr>
              <w:t xml:space="preserve"> não tenha uma unidade de comunicação que disponha de recursos de editoração, a equipe designada para a elaboração do relatório poderá utilizar os recursos gráficos de qualquer editor de texto (como o Word) para a elaboração de gráficos, diagramas e outros recursos visuais que destaquem de forma clara as informações mais importantes do relatório (diretriz clareza). É preciso que o gestor se preocupe mais com a qualidade da informação que será inserida no relatório, do que com um projeto gráfico que cause impacto. </w:t>
            </w:r>
          </w:p>
        </w:tc>
      </w:tr>
      <w:tr w:rsidR="00291523" w:rsidRPr="00A72A87" w:rsidTr="00291523">
        <w:tc>
          <w:tcPr>
            <w:tcW w:w="9214" w:type="dxa"/>
            <w:shd w:val="clear" w:color="auto" w:fill="9CC2E5" w:themeFill="accent1" w:themeFillTint="99"/>
          </w:tcPr>
          <w:p w:rsidR="00291523" w:rsidRPr="001762D6" w:rsidRDefault="00291523" w:rsidP="00291523">
            <w:pPr>
              <w:spacing w:before="120" w:after="120"/>
              <w:rPr>
                <w:rFonts w:ascii="Times New Roman" w:hAnsi="Times New Roman" w:cs="Times New Roman"/>
                <w:b/>
              </w:rPr>
            </w:pPr>
            <w:r>
              <w:rPr>
                <w:rFonts w:ascii="Times New Roman" w:hAnsi="Times New Roman" w:cs="Times New Roman"/>
                <w:b/>
              </w:rPr>
              <w:t>Relatório das estatais</w:t>
            </w:r>
          </w:p>
        </w:tc>
      </w:tr>
      <w:tr w:rsidR="00291523" w:rsidRPr="00A72A87" w:rsidTr="00291523">
        <w:tc>
          <w:tcPr>
            <w:tcW w:w="9214" w:type="dxa"/>
            <w:shd w:val="clear" w:color="auto" w:fill="DEEAF6" w:themeFill="accent1" w:themeFillTint="33"/>
          </w:tcPr>
          <w:p w:rsidR="00291523" w:rsidRPr="003F412D" w:rsidRDefault="00291523" w:rsidP="00291523">
            <w:pPr>
              <w:pStyle w:val="pTextoSubpargrafo"/>
              <w:ind w:left="0" w:firstLine="0"/>
              <w:rPr>
                <w:rFonts w:ascii="Times New Roman" w:eastAsia="Times New Roman" w:hAnsi="Times New Roman"/>
                <w:b/>
                <w:sz w:val="22"/>
                <w:szCs w:val="22"/>
                <w:lang w:eastAsia="pt-BR"/>
              </w:rPr>
            </w:pPr>
            <w:r w:rsidRPr="003F412D">
              <w:rPr>
                <w:rFonts w:ascii="Times New Roman" w:hAnsi="Times New Roman"/>
                <w:b/>
                <w:color w:val="auto"/>
                <w:sz w:val="22"/>
                <w:szCs w:val="22"/>
              </w:rPr>
              <w:t>Pergunta</w:t>
            </w:r>
            <w:r>
              <w:rPr>
                <w:rFonts w:ascii="Times New Roman" w:hAnsi="Times New Roman"/>
                <w:b/>
                <w:color w:val="auto"/>
                <w:sz w:val="22"/>
                <w:szCs w:val="22"/>
              </w:rPr>
              <w:t xml:space="preserve"> </w:t>
            </w:r>
            <w:r w:rsidRPr="00D34115">
              <w:rPr>
                <w:rFonts w:ascii="Times New Roman" w:hAnsi="Times New Roman"/>
                <w:color w:val="auto"/>
                <w:sz w:val="22"/>
                <w:szCs w:val="22"/>
              </w:rPr>
              <w:t>(incluída em 18/01/2019)</w:t>
            </w:r>
            <w:r w:rsidRPr="003F412D">
              <w:rPr>
                <w:rFonts w:ascii="Times New Roman" w:eastAsia="Times New Roman" w:hAnsi="Times New Roman"/>
                <w:b/>
                <w:sz w:val="22"/>
                <w:szCs w:val="22"/>
                <w:lang w:eastAsia="pt-BR"/>
              </w:rPr>
              <w:t xml:space="preserve">: </w:t>
            </w:r>
          </w:p>
          <w:p w:rsidR="00291523" w:rsidRPr="00804A49" w:rsidRDefault="00804A49" w:rsidP="00804A49">
            <w:pPr>
              <w:pStyle w:val="NormalWeb"/>
              <w:jc w:val="both"/>
              <w:rPr>
                <w:rFonts w:eastAsia="Times New Roman"/>
                <w:szCs w:val="20"/>
              </w:rPr>
            </w:pPr>
            <w:r w:rsidRPr="00804A49">
              <w:rPr>
                <w:rFonts w:eastAsia="Times New Roman"/>
                <w:szCs w:val="20"/>
              </w:rPr>
              <w:t>É possível substituir as informações que vem sendo prestadas no relatório de gestão da estatal pelas informações que são divulgadas no relatório integrado ou de sustentabilidade (art. 8º, inciso IX, da Lei 13.303/2016), quando aplicável, e encaminhar de forma complementar (Anexos e apêndices) as informações não disponíveis no relatório previsto pela Lei das Estatais?</w:t>
            </w:r>
          </w:p>
        </w:tc>
      </w:tr>
      <w:tr w:rsidR="00291523" w:rsidRPr="00A72A87" w:rsidTr="00DF40D9">
        <w:tc>
          <w:tcPr>
            <w:tcW w:w="9214" w:type="dxa"/>
          </w:tcPr>
          <w:p w:rsidR="00291523" w:rsidRDefault="00291523" w:rsidP="00291523">
            <w:pPr>
              <w:jc w:val="both"/>
              <w:rPr>
                <w:rFonts w:ascii="Times New Roman" w:hAnsi="Times New Roman" w:cs="Times New Roman"/>
                <w:b/>
              </w:rPr>
            </w:pPr>
            <w:r w:rsidRPr="001762D6">
              <w:rPr>
                <w:rFonts w:ascii="Times New Roman" w:hAnsi="Times New Roman" w:cs="Times New Roman"/>
                <w:b/>
              </w:rPr>
              <w:t>Resposta:</w:t>
            </w:r>
          </w:p>
          <w:p w:rsidR="00291523" w:rsidRPr="00804A49" w:rsidRDefault="00534A1B" w:rsidP="00534A1B">
            <w:pPr>
              <w:jc w:val="both"/>
              <w:rPr>
                <w:rFonts w:ascii="Times New Roman" w:hAnsi="Times New Roman" w:cs="Times New Roman"/>
              </w:rPr>
            </w:pPr>
            <w:r>
              <w:rPr>
                <w:rFonts w:ascii="Times New Roman" w:hAnsi="Times New Roman" w:cs="Times New Roman"/>
              </w:rPr>
              <w:t xml:space="preserve">Deverá ser encaminhado </w:t>
            </w:r>
            <w:r w:rsidRPr="00534A1B">
              <w:rPr>
                <w:rFonts w:ascii="Times New Roman" w:hAnsi="Times New Roman" w:cs="Times New Roman"/>
              </w:rPr>
              <w:t>arquivo único, com tamanho máximo de 50Mb, c</w:t>
            </w:r>
            <w:r>
              <w:rPr>
                <w:rFonts w:ascii="Times New Roman" w:hAnsi="Times New Roman" w:cs="Times New Roman"/>
              </w:rPr>
              <w:t>om todas as informações requeridas.</w:t>
            </w:r>
          </w:p>
        </w:tc>
      </w:tr>
      <w:tr w:rsidR="00A72A87" w:rsidRPr="00A72A87" w:rsidTr="00DF40D9">
        <w:tc>
          <w:tcPr>
            <w:tcW w:w="9214" w:type="dxa"/>
            <w:shd w:val="clear" w:color="auto" w:fill="9CC2E5" w:themeFill="accent1" w:themeFillTint="99"/>
          </w:tcPr>
          <w:p w:rsidR="00A72A87" w:rsidRPr="001762D6" w:rsidRDefault="00A72A87" w:rsidP="00A72A87">
            <w:pPr>
              <w:spacing w:before="120" w:after="120"/>
              <w:rPr>
                <w:rFonts w:ascii="Times New Roman" w:hAnsi="Times New Roman" w:cs="Times New Roman"/>
                <w:b/>
              </w:rPr>
            </w:pPr>
            <w:r w:rsidRPr="001762D6">
              <w:rPr>
                <w:rFonts w:ascii="Times New Roman" w:hAnsi="Times New Roman" w:cs="Times New Roman"/>
                <w:b/>
              </w:rPr>
              <w:t xml:space="preserve">Forma de encaminhamento do relatório de gestão de 2018 </w:t>
            </w:r>
          </w:p>
        </w:tc>
      </w:tr>
      <w:tr w:rsidR="00A72A87" w:rsidRPr="00A72A87" w:rsidTr="00DF40D9">
        <w:tc>
          <w:tcPr>
            <w:tcW w:w="9214" w:type="dxa"/>
            <w:shd w:val="clear" w:color="auto" w:fill="DEEAF6" w:themeFill="accent1" w:themeFillTint="33"/>
          </w:tcPr>
          <w:p w:rsidR="00A72A87" w:rsidRPr="003F412D" w:rsidRDefault="00A72A87" w:rsidP="003F412D">
            <w:pPr>
              <w:pStyle w:val="pTextoSubpargrafo"/>
              <w:ind w:left="0" w:firstLine="0"/>
              <w:rPr>
                <w:rFonts w:ascii="Times New Roman" w:eastAsia="Times New Roman" w:hAnsi="Times New Roman"/>
                <w:b/>
                <w:sz w:val="22"/>
                <w:szCs w:val="22"/>
                <w:lang w:eastAsia="pt-BR"/>
              </w:rPr>
            </w:pPr>
            <w:r w:rsidRPr="003F412D">
              <w:rPr>
                <w:rFonts w:ascii="Times New Roman" w:hAnsi="Times New Roman"/>
                <w:b/>
                <w:color w:val="auto"/>
                <w:sz w:val="22"/>
                <w:szCs w:val="22"/>
              </w:rPr>
              <w:t>Perguntas</w:t>
            </w:r>
            <w:r w:rsidRPr="003F412D">
              <w:rPr>
                <w:rFonts w:ascii="Times New Roman" w:eastAsia="Times New Roman" w:hAnsi="Times New Roman"/>
                <w:b/>
                <w:sz w:val="22"/>
                <w:szCs w:val="22"/>
                <w:lang w:eastAsia="pt-BR"/>
              </w:rPr>
              <w:t xml:space="preserve">: </w:t>
            </w:r>
          </w:p>
          <w:p w:rsidR="00A72A87" w:rsidRPr="003F412D" w:rsidRDefault="00A72A87" w:rsidP="003F412D">
            <w:pPr>
              <w:pStyle w:val="pTextoSubpargrafo"/>
              <w:ind w:left="0" w:firstLine="0"/>
              <w:rPr>
                <w:rFonts w:ascii="Times New Roman" w:hAnsi="Times New Roman"/>
                <w:color w:val="auto"/>
                <w:sz w:val="22"/>
                <w:szCs w:val="22"/>
              </w:rPr>
            </w:pPr>
            <w:r w:rsidRPr="003F412D">
              <w:rPr>
                <w:rFonts w:ascii="Times New Roman" w:hAnsi="Times New Roman"/>
                <w:color w:val="auto"/>
                <w:sz w:val="22"/>
                <w:szCs w:val="22"/>
              </w:rPr>
              <w:t>O upload do relatório hoje no e-contas é feito por capítulos, ou seja, por temas segmentados. Essa estrutura para envio do relato vai ser alterada?</w:t>
            </w:r>
          </w:p>
          <w:p w:rsidR="00A72A87" w:rsidRPr="003F412D" w:rsidRDefault="00A72A87" w:rsidP="003F412D">
            <w:pPr>
              <w:pStyle w:val="pTextoSubpargrafo"/>
              <w:ind w:left="0" w:firstLine="0"/>
              <w:rPr>
                <w:rFonts w:ascii="Times New Roman" w:hAnsi="Times New Roman"/>
                <w:color w:val="auto"/>
                <w:sz w:val="22"/>
                <w:szCs w:val="22"/>
              </w:rPr>
            </w:pPr>
            <w:r w:rsidRPr="003F412D">
              <w:rPr>
                <w:rFonts w:ascii="Times New Roman" w:hAnsi="Times New Roman"/>
                <w:color w:val="auto"/>
                <w:sz w:val="22"/>
                <w:szCs w:val="22"/>
              </w:rPr>
              <w:lastRenderedPageBreak/>
              <w:t xml:space="preserve">Haverá o aumento do tamanho do arquivo no e-contas, bem como o aumento do limite de imagem, considerando o novo modelo impulsionar o uso/apresentação por meio de gráficos, imagens, tabela, </w:t>
            </w:r>
            <w:proofErr w:type="spellStart"/>
            <w:r w:rsidRPr="003F412D">
              <w:rPr>
                <w:rFonts w:ascii="Times New Roman" w:hAnsi="Times New Roman"/>
                <w:color w:val="auto"/>
                <w:sz w:val="22"/>
                <w:szCs w:val="22"/>
              </w:rPr>
              <w:t>etc</w:t>
            </w:r>
            <w:proofErr w:type="spellEnd"/>
            <w:r w:rsidRPr="003F412D">
              <w:rPr>
                <w:rFonts w:ascii="Times New Roman" w:hAnsi="Times New Roman"/>
                <w:color w:val="auto"/>
                <w:sz w:val="22"/>
                <w:szCs w:val="22"/>
              </w:rPr>
              <w:t>?</w:t>
            </w:r>
          </w:p>
          <w:p w:rsidR="00A72A87" w:rsidRPr="001762D6" w:rsidRDefault="00A72A87" w:rsidP="003F412D">
            <w:pPr>
              <w:pStyle w:val="pTextoSubpargrafo"/>
              <w:ind w:left="0" w:firstLine="0"/>
              <w:rPr>
                <w:rFonts w:ascii="Times New Roman" w:eastAsia="Times New Roman" w:hAnsi="Times New Roman"/>
                <w:sz w:val="22"/>
                <w:szCs w:val="22"/>
                <w:lang w:eastAsia="pt-BR"/>
              </w:rPr>
            </w:pPr>
            <w:r w:rsidRPr="003F412D">
              <w:rPr>
                <w:rFonts w:ascii="Times New Roman" w:hAnsi="Times New Roman"/>
                <w:color w:val="auto"/>
                <w:sz w:val="22"/>
                <w:szCs w:val="22"/>
              </w:rPr>
              <w:t>O sistema e-contas vai seguir esse novo modelo de prestação de contas? A estrutura sofrerá alterações? Ou o sistema não será mais utilizado?</w:t>
            </w:r>
          </w:p>
        </w:tc>
      </w:tr>
      <w:tr w:rsidR="00A72A87" w:rsidRPr="00A72A87" w:rsidTr="00DF40D9">
        <w:tc>
          <w:tcPr>
            <w:tcW w:w="9214" w:type="dxa"/>
          </w:tcPr>
          <w:p w:rsidR="00A72A87" w:rsidRPr="001762D6" w:rsidRDefault="00A72A87" w:rsidP="00CE4744">
            <w:pPr>
              <w:pStyle w:val="PargrafodaLista"/>
              <w:tabs>
                <w:tab w:val="left" w:pos="1134"/>
              </w:tabs>
              <w:ind w:left="0"/>
              <w:jc w:val="both"/>
              <w:rPr>
                <w:sz w:val="22"/>
                <w:szCs w:val="22"/>
              </w:rPr>
            </w:pPr>
            <w:r w:rsidRPr="001762D6">
              <w:rPr>
                <w:b/>
                <w:sz w:val="22"/>
                <w:szCs w:val="22"/>
              </w:rPr>
              <w:lastRenderedPageBreak/>
              <w:t>Resposta:</w:t>
            </w:r>
            <w:r w:rsidRPr="001762D6">
              <w:rPr>
                <w:sz w:val="22"/>
                <w:szCs w:val="22"/>
              </w:rPr>
              <w:t xml:space="preserve"> o relatório de gestão deve ser enviado pelo s</w:t>
            </w:r>
            <w:r w:rsidRPr="001762D6">
              <w:rPr>
                <w:sz w:val="22"/>
                <w:szCs w:val="22"/>
                <w:u w:val="single"/>
              </w:rPr>
              <w:t>istema e-Contas em arquivo único</w:t>
            </w:r>
            <w:r w:rsidRPr="001762D6">
              <w:rPr>
                <w:sz w:val="22"/>
                <w:szCs w:val="22"/>
              </w:rPr>
              <w:t xml:space="preserve">, </w:t>
            </w:r>
            <w:r w:rsidRPr="001762D6">
              <w:rPr>
                <w:sz w:val="22"/>
                <w:szCs w:val="22"/>
                <w:u w:val="single"/>
              </w:rPr>
              <w:t>com tamanho máximo de 50Mb</w:t>
            </w:r>
            <w:r w:rsidRPr="001762D6">
              <w:rPr>
                <w:sz w:val="22"/>
                <w:szCs w:val="22"/>
              </w:rPr>
              <w:t xml:space="preserve">, razão pela qual a UPC deve atentar para esse limite ao elaborar seu relatório. Além do relatório de gestão, as unidades deverão encaminhar também peças </w:t>
            </w:r>
            <w:r w:rsidRPr="00E977C6">
              <w:rPr>
                <w:sz w:val="22"/>
                <w:szCs w:val="22"/>
              </w:rPr>
              <w:t xml:space="preserve">referentes ao rol de responsáveis, declarações, pareceres e informações suplementares, conforme </w:t>
            </w:r>
            <w:r w:rsidR="00495CB4">
              <w:rPr>
                <w:sz w:val="22"/>
                <w:szCs w:val="22"/>
              </w:rPr>
              <w:t xml:space="preserve">previsto </w:t>
            </w:r>
            <w:r w:rsidRPr="00E977C6">
              <w:rPr>
                <w:sz w:val="22"/>
                <w:szCs w:val="22"/>
              </w:rPr>
              <w:t>na Portaria TCU.</w:t>
            </w:r>
            <w:r w:rsidRPr="001762D6">
              <w:rPr>
                <w:sz w:val="22"/>
                <w:szCs w:val="22"/>
              </w:rPr>
              <w:t xml:space="preserve"> Quanto ao rol de responsáveis, atentar ao disposto no art. 6º da DN 170/2018.</w:t>
            </w:r>
          </w:p>
        </w:tc>
      </w:tr>
      <w:tr w:rsidR="00D60BF8" w:rsidRPr="00A72A87" w:rsidTr="00D60BF8">
        <w:tc>
          <w:tcPr>
            <w:tcW w:w="9214" w:type="dxa"/>
            <w:shd w:val="clear" w:color="auto" w:fill="9CC2E5" w:themeFill="accent1" w:themeFillTint="99"/>
          </w:tcPr>
          <w:p w:rsidR="00D60BF8" w:rsidRPr="001762D6" w:rsidRDefault="00D60BF8" w:rsidP="00D60BF8">
            <w:pPr>
              <w:spacing w:before="120" w:after="120"/>
              <w:rPr>
                <w:b/>
              </w:rPr>
            </w:pPr>
            <w:r w:rsidRPr="00D60BF8">
              <w:rPr>
                <w:rFonts w:ascii="Times New Roman" w:hAnsi="Times New Roman" w:cs="Times New Roman"/>
                <w:b/>
              </w:rPr>
              <w:t>Peças e informações suplementares da prestação de contas 2018</w:t>
            </w:r>
          </w:p>
        </w:tc>
      </w:tr>
      <w:tr w:rsidR="00D34115" w:rsidRPr="00A72A87" w:rsidTr="00D34115">
        <w:tc>
          <w:tcPr>
            <w:tcW w:w="9214" w:type="dxa"/>
            <w:shd w:val="clear" w:color="auto" w:fill="DEEAF6" w:themeFill="accent1" w:themeFillTint="33"/>
          </w:tcPr>
          <w:p w:rsidR="00D34115" w:rsidRDefault="00D34115" w:rsidP="00D34115">
            <w:pPr>
              <w:pStyle w:val="pTextoSubpargrafo"/>
              <w:ind w:left="0" w:firstLine="0"/>
              <w:rPr>
                <w:rFonts w:ascii="Times New Roman" w:eastAsia="Times New Roman" w:hAnsi="Times New Roman"/>
                <w:b/>
                <w:sz w:val="22"/>
                <w:szCs w:val="22"/>
                <w:lang w:eastAsia="pt-BR"/>
              </w:rPr>
            </w:pPr>
            <w:r w:rsidRPr="003F412D">
              <w:rPr>
                <w:rFonts w:ascii="Times New Roman" w:hAnsi="Times New Roman"/>
                <w:b/>
                <w:color w:val="auto"/>
                <w:sz w:val="22"/>
                <w:szCs w:val="22"/>
              </w:rPr>
              <w:t>Pergunta</w:t>
            </w:r>
            <w:r>
              <w:rPr>
                <w:rFonts w:ascii="Times New Roman" w:hAnsi="Times New Roman"/>
                <w:b/>
                <w:color w:val="auto"/>
                <w:sz w:val="22"/>
                <w:szCs w:val="22"/>
              </w:rPr>
              <w:t xml:space="preserve"> </w:t>
            </w:r>
            <w:r w:rsidRPr="00D34115">
              <w:rPr>
                <w:rFonts w:ascii="Times New Roman" w:hAnsi="Times New Roman"/>
                <w:color w:val="auto"/>
                <w:sz w:val="22"/>
                <w:szCs w:val="22"/>
              </w:rPr>
              <w:t>(incluída em 18/01/2019)</w:t>
            </w:r>
            <w:r w:rsidRPr="003F412D">
              <w:rPr>
                <w:rFonts w:ascii="Times New Roman" w:eastAsia="Times New Roman" w:hAnsi="Times New Roman"/>
                <w:b/>
                <w:sz w:val="22"/>
                <w:szCs w:val="22"/>
                <w:lang w:eastAsia="pt-BR"/>
              </w:rPr>
              <w:t xml:space="preserve">: </w:t>
            </w:r>
          </w:p>
          <w:p w:rsidR="00D34115" w:rsidRPr="00D34115" w:rsidRDefault="00D34115" w:rsidP="00D34115">
            <w:pPr>
              <w:jc w:val="both"/>
              <w:rPr>
                <w:rFonts w:ascii="Times New Roman" w:eastAsia="Times New Roman" w:hAnsi="Times New Roman" w:cs="Times New Roman"/>
                <w:b/>
                <w:lang w:eastAsia="pt-BR"/>
              </w:rPr>
            </w:pPr>
            <w:r w:rsidRPr="00D34115">
              <w:rPr>
                <w:rFonts w:ascii="Times New Roman" w:eastAsia="Times New Roman" w:hAnsi="Times New Roman" w:cs="Times New Roman"/>
                <w:sz w:val="24"/>
                <w:szCs w:val="20"/>
                <w:lang w:eastAsia="pt-BR"/>
              </w:rPr>
              <w:t>No caso de uma unidade que não terá julgamento de suas contas, é preciso elaborar o</w:t>
            </w:r>
            <w:r>
              <w:rPr>
                <w:rFonts w:ascii="Times New Roman" w:eastAsia="Times New Roman" w:hAnsi="Times New Roman" w:cs="Times New Roman"/>
                <w:sz w:val="24"/>
                <w:szCs w:val="20"/>
                <w:lang w:eastAsia="pt-BR"/>
              </w:rPr>
              <w:t xml:space="preserve"> Parecer/Relatório de Auditoria</w:t>
            </w:r>
            <w:r w:rsidRPr="00D34115">
              <w:rPr>
                <w:rFonts w:ascii="Times New Roman" w:eastAsia="Times New Roman" w:hAnsi="Times New Roman" w:cs="Times New Roman"/>
                <w:sz w:val="24"/>
                <w:szCs w:val="20"/>
                <w:lang w:eastAsia="pt-BR"/>
              </w:rPr>
              <w:t xml:space="preserve"> com a manifestação da auditoria interna. O sistema e-Contas exigirá o mencionado relatório? E qual o conteúdo?</w:t>
            </w:r>
          </w:p>
        </w:tc>
      </w:tr>
      <w:tr w:rsidR="00D34115" w:rsidRPr="00A72A87" w:rsidTr="00DF40D9">
        <w:tc>
          <w:tcPr>
            <w:tcW w:w="9214" w:type="dxa"/>
          </w:tcPr>
          <w:p w:rsidR="00D34115" w:rsidRDefault="00D34115" w:rsidP="00D34115">
            <w:pPr>
              <w:jc w:val="both"/>
              <w:rPr>
                <w:rFonts w:ascii="Times New Roman" w:hAnsi="Times New Roman" w:cs="Times New Roman"/>
                <w:b/>
              </w:rPr>
            </w:pPr>
            <w:r w:rsidRPr="001762D6">
              <w:rPr>
                <w:rFonts w:ascii="Times New Roman" w:hAnsi="Times New Roman" w:cs="Times New Roman"/>
                <w:b/>
              </w:rPr>
              <w:t>Resposta:</w:t>
            </w:r>
          </w:p>
          <w:p w:rsidR="00D34115" w:rsidRDefault="00D34115" w:rsidP="00D34115">
            <w:pPr>
              <w:pStyle w:val="NormalWeb"/>
              <w:jc w:val="both"/>
              <w:rPr>
                <w:rFonts w:eastAsia="Times New Roman"/>
                <w:szCs w:val="20"/>
              </w:rPr>
            </w:pPr>
            <w:r>
              <w:rPr>
                <w:rFonts w:eastAsia="Times New Roman"/>
                <w:szCs w:val="20"/>
              </w:rPr>
              <w:t>Sim, todas as unidades prestadoras de contas (UPC) devem elaborar o Parecer/Relatório de Auditoria</w:t>
            </w:r>
            <w:r w:rsidRPr="00D34115">
              <w:rPr>
                <w:rFonts w:eastAsia="Times New Roman"/>
                <w:szCs w:val="20"/>
              </w:rPr>
              <w:t xml:space="preserve"> com a manifestação da auditoria interna</w:t>
            </w:r>
            <w:r>
              <w:rPr>
                <w:rFonts w:eastAsia="Times New Roman"/>
                <w:szCs w:val="20"/>
              </w:rPr>
              <w:t>.</w:t>
            </w:r>
          </w:p>
          <w:p w:rsidR="00D34115" w:rsidRPr="00D34115" w:rsidRDefault="00D34115" w:rsidP="00D34115">
            <w:pPr>
              <w:pStyle w:val="NormalWeb"/>
              <w:jc w:val="both"/>
              <w:rPr>
                <w:rFonts w:eastAsia="Times New Roman"/>
                <w:szCs w:val="20"/>
              </w:rPr>
            </w:pPr>
            <w:r w:rsidRPr="00D34115">
              <w:rPr>
                <w:rFonts w:eastAsia="Times New Roman"/>
                <w:szCs w:val="20"/>
              </w:rPr>
              <w:t xml:space="preserve">O relatório da auditoria interna não se confunde com o relatório de auditoria de contas. Esse último somente é feito para as UPC que terão contas julgadas, enquanto o primeiro deve ser apresentado por todas as </w:t>
            </w:r>
            <w:proofErr w:type="spellStart"/>
            <w:r w:rsidRPr="00D34115">
              <w:rPr>
                <w:rFonts w:eastAsia="Times New Roman"/>
                <w:szCs w:val="20"/>
              </w:rPr>
              <w:t>UPCs</w:t>
            </w:r>
            <w:proofErr w:type="spellEnd"/>
            <w:r w:rsidRPr="00D34115">
              <w:rPr>
                <w:rFonts w:eastAsia="Times New Roman"/>
                <w:szCs w:val="20"/>
              </w:rPr>
              <w:t>.</w:t>
            </w:r>
          </w:p>
          <w:p w:rsidR="00D34115" w:rsidRPr="00D34115" w:rsidRDefault="00D34115" w:rsidP="00D34115">
            <w:pPr>
              <w:pStyle w:val="NormalWeb"/>
              <w:jc w:val="both"/>
              <w:rPr>
                <w:rFonts w:eastAsia="Times New Roman"/>
                <w:szCs w:val="20"/>
              </w:rPr>
            </w:pPr>
            <w:r w:rsidRPr="00D34115">
              <w:rPr>
                <w:rFonts w:eastAsia="Times New Roman"/>
                <w:szCs w:val="20"/>
              </w:rPr>
              <w:t>O relatório de auditoria interna já vem sendo exigido há bastante tempo e deve conter informações sobre a atuação da área de auditoria interna, como informações sobre controles internos, irregularidades apuradas, regularidade das informações contábeis e outras, a ainda informações sobre os planos anuais de auditoria interna (PAAI). Não se propõe a fornecer opinião sobre a regularidade da gestão e da atuação dos gestores, embora deva fornecer informações sobre responsabilizações em caso de irregularidades.</w:t>
            </w:r>
          </w:p>
          <w:p w:rsidR="00D34115" w:rsidRPr="00D34115" w:rsidRDefault="00D34115" w:rsidP="00D34115">
            <w:pPr>
              <w:pStyle w:val="NormalWeb"/>
              <w:jc w:val="both"/>
              <w:rPr>
                <w:rFonts w:ascii="Calibri" w:hAnsi="Calibri" w:cs="Calibri"/>
                <w:color w:val="000000"/>
              </w:rPr>
            </w:pPr>
            <w:r w:rsidRPr="00D34115">
              <w:rPr>
                <w:rFonts w:eastAsia="Times New Roman"/>
                <w:szCs w:val="20"/>
              </w:rPr>
              <w:t>Esse relatório vem sendo exigido como elemento importante para conferir confiabilidade às informações apresentadas nas contas e no relatório de gestão. O relatório de auditoria interna somente é dispensado se a UPC não tiver um setor de auditoria interna, distinto do órgão de controle interno, ou se, nos casos de contas julgadas, esses dois órgãos forem o mesmo.</w:t>
            </w:r>
          </w:p>
        </w:tc>
      </w:tr>
      <w:tr w:rsidR="009B3010" w:rsidRPr="00A72A87" w:rsidTr="00DF40D9">
        <w:tc>
          <w:tcPr>
            <w:tcW w:w="9214" w:type="dxa"/>
            <w:shd w:val="clear" w:color="auto" w:fill="9CC2E5" w:themeFill="accent1" w:themeFillTint="99"/>
          </w:tcPr>
          <w:p w:rsidR="009B3010" w:rsidRPr="00A72A87" w:rsidRDefault="001628FE" w:rsidP="001628FE">
            <w:pPr>
              <w:spacing w:before="120" w:after="120"/>
              <w:rPr>
                <w:b/>
              </w:rPr>
            </w:pPr>
            <w:r>
              <w:rPr>
                <w:rFonts w:ascii="Times New Roman" w:hAnsi="Times New Roman" w:cs="Times New Roman"/>
                <w:b/>
              </w:rPr>
              <w:t>P</w:t>
            </w:r>
            <w:r w:rsidRPr="001628FE">
              <w:rPr>
                <w:rFonts w:ascii="Times New Roman" w:hAnsi="Times New Roman" w:cs="Times New Roman"/>
                <w:b/>
              </w:rPr>
              <w:t>restações de contas extraordinárias</w:t>
            </w:r>
          </w:p>
        </w:tc>
      </w:tr>
      <w:tr w:rsidR="009B3010" w:rsidRPr="00A72A87" w:rsidTr="00DF40D9">
        <w:tc>
          <w:tcPr>
            <w:tcW w:w="9214" w:type="dxa"/>
            <w:shd w:val="clear" w:color="auto" w:fill="DEEAF6" w:themeFill="accent1" w:themeFillTint="33"/>
          </w:tcPr>
          <w:p w:rsidR="001628FE" w:rsidRPr="003F412D" w:rsidRDefault="001628FE" w:rsidP="001628FE">
            <w:pPr>
              <w:pStyle w:val="pTextoSubpargrafo"/>
              <w:ind w:left="0" w:firstLine="0"/>
              <w:rPr>
                <w:rFonts w:ascii="Times New Roman" w:eastAsia="Times New Roman" w:hAnsi="Times New Roman"/>
                <w:b/>
                <w:sz w:val="22"/>
                <w:szCs w:val="22"/>
                <w:lang w:eastAsia="pt-BR"/>
              </w:rPr>
            </w:pPr>
            <w:r w:rsidRPr="003F412D">
              <w:rPr>
                <w:rFonts w:ascii="Times New Roman" w:hAnsi="Times New Roman"/>
                <w:b/>
                <w:color w:val="auto"/>
                <w:sz w:val="22"/>
                <w:szCs w:val="22"/>
              </w:rPr>
              <w:t>Pergunta</w:t>
            </w:r>
            <w:r w:rsidRPr="003F412D">
              <w:rPr>
                <w:rFonts w:ascii="Times New Roman" w:eastAsia="Times New Roman" w:hAnsi="Times New Roman"/>
                <w:b/>
                <w:sz w:val="22"/>
                <w:szCs w:val="22"/>
                <w:lang w:eastAsia="pt-BR"/>
              </w:rPr>
              <w:t xml:space="preserve">: </w:t>
            </w:r>
          </w:p>
          <w:p w:rsidR="009B3010" w:rsidRPr="001628FE" w:rsidRDefault="001628FE" w:rsidP="001628FE">
            <w:pPr>
              <w:jc w:val="both"/>
              <w:rPr>
                <w:rFonts w:ascii="Times New Roman" w:eastAsia="Times New Roman" w:hAnsi="Times New Roman" w:cs="Times New Roman"/>
                <w:sz w:val="24"/>
                <w:szCs w:val="20"/>
                <w:lang w:eastAsia="pt-BR"/>
              </w:rPr>
            </w:pPr>
            <w:r w:rsidRPr="001628FE">
              <w:rPr>
                <w:rFonts w:ascii="Times New Roman" w:eastAsia="Times New Roman" w:hAnsi="Times New Roman" w:cs="Times New Roman"/>
                <w:sz w:val="24"/>
                <w:szCs w:val="20"/>
                <w:lang w:eastAsia="pt-BR"/>
              </w:rPr>
              <w:t>Em decorrência da desestatização da UPC, daremos início ao processo de Prestação de Contas Extraordinária. Diante disso, a primeira dúvida que surge é quando será disponibilizado no e-Contas o cadastro da Companhia para lançamento das informações relacionadas ao Relatório de Gestão.</w:t>
            </w:r>
          </w:p>
        </w:tc>
      </w:tr>
      <w:tr w:rsidR="009B3010" w:rsidRPr="00A72A87" w:rsidTr="00DF40D9">
        <w:tc>
          <w:tcPr>
            <w:tcW w:w="9214" w:type="dxa"/>
          </w:tcPr>
          <w:p w:rsidR="001628FE" w:rsidRPr="001628FE" w:rsidRDefault="001628FE" w:rsidP="001628FE">
            <w:pPr>
              <w:jc w:val="both"/>
              <w:rPr>
                <w:rFonts w:ascii="Times New Roman" w:eastAsia="Times New Roman" w:hAnsi="Times New Roman" w:cs="Times New Roman"/>
                <w:sz w:val="24"/>
                <w:szCs w:val="20"/>
                <w:lang w:eastAsia="pt-BR"/>
              </w:rPr>
            </w:pPr>
            <w:r w:rsidRPr="001762D6">
              <w:rPr>
                <w:rFonts w:ascii="Times New Roman" w:hAnsi="Times New Roman" w:cs="Times New Roman"/>
                <w:b/>
              </w:rPr>
              <w:t>Resposta:</w:t>
            </w:r>
            <w:r w:rsidRPr="001762D6">
              <w:rPr>
                <w:rFonts w:ascii="Times New Roman" w:hAnsi="Times New Roman" w:cs="Times New Roman"/>
              </w:rPr>
              <w:t xml:space="preserve"> </w:t>
            </w:r>
            <w:r>
              <w:rPr>
                <w:rFonts w:ascii="Times New Roman" w:hAnsi="Times New Roman" w:cs="Times New Roman"/>
              </w:rPr>
              <w:t>A</w:t>
            </w:r>
            <w:r w:rsidRPr="001628FE">
              <w:rPr>
                <w:rFonts w:ascii="Times New Roman" w:eastAsia="Times New Roman" w:hAnsi="Times New Roman" w:cs="Times New Roman"/>
                <w:sz w:val="24"/>
                <w:szCs w:val="20"/>
                <w:lang w:eastAsia="pt-BR"/>
              </w:rPr>
              <w:t>s prestações de contas extraordinárias não devem ser feitas no Sistema e-Contas, mas sim por meio de documentação a ser apresentada nos termos do disposto na IN 63/2010 e na DN 170/2018 em relação a unidades que tiverem encerrado suas atividades durante o exercício.</w:t>
            </w:r>
          </w:p>
          <w:p w:rsidR="009B3010" w:rsidRPr="001628FE" w:rsidRDefault="001628FE" w:rsidP="001628FE">
            <w:pPr>
              <w:jc w:val="both"/>
              <w:rPr>
                <w:rFonts w:ascii="Times New Roman" w:eastAsia="Times New Roman" w:hAnsi="Times New Roman" w:cs="Times New Roman"/>
                <w:sz w:val="24"/>
                <w:szCs w:val="20"/>
                <w:lang w:eastAsia="pt-BR"/>
              </w:rPr>
            </w:pPr>
            <w:r w:rsidRPr="001628FE">
              <w:rPr>
                <w:rFonts w:ascii="Times New Roman" w:eastAsia="Times New Roman" w:hAnsi="Times New Roman" w:cs="Times New Roman"/>
                <w:sz w:val="24"/>
                <w:szCs w:val="20"/>
                <w:lang w:eastAsia="pt-BR"/>
              </w:rPr>
              <w:t>Essa documentação deve ser encaminhada ao órgão de controle interno e posteriormente ao Tribunal, e será autuada em processo de prestação de conta extraordinária no sistema e-TCU.</w:t>
            </w:r>
          </w:p>
        </w:tc>
      </w:tr>
    </w:tbl>
    <w:p w:rsidR="008D6013" w:rsidRDefault="008D6013" w:rsidP="009B3010">
      <w:pPr>
        <w:spacing w:after="0"/>
        <w:rPr>
          <w:rFonts w:ascii="Times New Roman" w:hAnsi="Times New Roman" w:cs="Times New Roman"/>
        </w:rPr>
      </w:pPr>
    </w:p>
    <w:sectPr w:rsidR="008D6013" w:rsidSect="00DF40D9">
      <w:headerReference w:type="default" r:id="rId7"/>
      <w:pgSz w:w="11906" w:h="16838"/>
      <w:pgMar w:top="1985" w:right="765" w:bottom="76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CD" w:rsidRDefault="00044CCD" w:rsidP="00DF40D9">
      <w:pPr>
        <w:spacing w:after="0" w:line="240" w:lineRule="auto"/>
      </w:pPr>
      <w:r>
        <w:separator/>
      </w:r>
    </w:p>
  </w:endnote>
  <w:endnote w:type="continuationSeparator" w:id="0">
    <w:p w:rsidR="00044CCD" w:rsidRDefault="00044CCD" w:rsidP="00DF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Transit521 B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CD" w:rsidRDefault="00044CCD" w:rsidP="00DF40D9">
      <w:pPr>
        <w:spacing w:after="0" w:line="240" w:lineRule="auto"/>
      </w:pPr>
      <w:r>
        <w:separator/>
      </w:r>
    </w:p>
  </w:footnote>
  <w:footnote w:type="continuationSeparator" w:id="0">
    <w:p w:rsidR="00044CCD" w:rsidRDefault="00044CCD" w:rsidP="00DF4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D9" w:rsidRPr="00D944B7" w:rsidRDefault="00DF40D9" w:rsidP="00DF40D9">
    <w:pPr>
      <w:pStyle w:val="Cabealho"/>
      <w:ind w:left="-284"/>
    </w:pPr>
    <w:r>
      <w:rPr>
        <w:noProof/>
        <w:lang w:eastAsia="pt-BR"/>
      </w:rPr>
      <w:drawing>
        <wp:anchor distT="0" distB="0" distL="114300" distR="114300" simplePos="0" relativeHeight="251659264" behindDoc="0" locked="0" layoutInCell="1" allowOverlap="1" wp14:anchorId="79ECBF38" wp14:editId="0A70BBB6">
          <wp:simplePos x="0" y="0"/>
          <wp:positionH relativeFrom="column">
            <wp:posOffset>9525</wp:posOffset>
          </wp:positionH>
          <wp:positionV relativeFrom="paragraph">
            <wp:posOffset>152400</wp:posOffset>
          </wp:positionV>
          <wp:extent cx="542925" cy="434340"/>
          <wp:effectExtent l="19050" t="0" r="9525" b="0"/>
          <wp:wrapNone/>
          <wp:docPr id="9" name="Imagem 9"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a:ln w="9525">
                    <a:noFill/>
                    <a:miter lim="800000"/>
                    <a:headEnd/>
                    <a:tailEnd/>
                  </a:ln>
                </pic:spPr>
              </pic:pic>
            </a:graphicData>
          </a:graphic>
        </wp:anchor>
      </w:drawing>
    </w:r>
    <w:r>
      <w:rPr>
        <w:noProof/>
        <w:lang w:eastAsia="pt-BR"/>
      </w:rPr>
      <mc:AlternateContent>
        <mc:Choice Requires="wps">
          <w:drawing>
            <wp:anchor distT="0" distB="0" distL="114300" distR="114300" simplePos="0" relativeHeight="251660288" behindDoc="0" locked="0" layoutInCell="1" allowOverlap="1" wp14:anchorId="60B92FAE" wp14:editId="3B67030C">
              <wp:simplePos x="0" y="0"/>
              <wp:positionH relativeFrom="margin">
                <wp:posOffset>604520</wp:posOffset>
              </wp:positionH>
              <wp:positionV relativeFrom="page">
                <wp:posOffset>552450</wp:posOffset>
              </wp:positionV>
              <wp:extent cx="4330700" cy="521970"/>
              <wp:effectExtent l="4445" t="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0D9" w:rsidRPr="008B5258" w:rsidRDefault="00DF40D9" w:rsidP="00DF40D9">
                          <w:pPr>
                            <w:spacing w:after="0"/>
                            <w:rPr>
                              <w:rFonts w:ascii="Arial" w:hAnsi="Arial" w:cs="Arial"/>
                              <w:sz w:val="20"/>
                            </w:rPr>
                          </w:pPr>
                          <w:r w:rsidRPr="008B5258">
                            <w:rPr>
                              <w:rFonts w:ascii="Arial" w:hAnsi="Arial" w:cs="Arial"/>
                              <w:sz w:val="20"/>
                            </w:rPr>
                            <w:t>TRIBUNAL DE CONTAS DA UNIÃO</w:t>
                          </w:r>
                        </w:p>
                        <w:p w:rsidR="00DF40D9" w:rsidRDefault="00DF40D9" w:rsidP="00DF40D9">
                          <w:pPr>
                            <w:spacing w:after="0"/>
                            <w:rPr>
                              <w:rFonts w:ascii="Arial" w:hAnsi="Arial" w:cs="Arial"/>
                              <w:sz w:val="20"/>
                            </w:rPr>
                          </w:pPr>
                          <w:r>
                            <w:rPr>
                              <w:rFonts w:ascii="Arial" w:hAnsi="Arial" w:cs="Arial"/>
                              <w:sz w:val="20"/>
                            </w:rPr>
                            <w:t>Secretaria Adjunta de Controle Externo</w:t>
                          </w:r>
                        </w:p>
                        <w:p w:rsidR="00DF40D9" w:rsidRPr="008B5258" w:rsidRDefault="00DF40D9" w:rsidP="00DF40D9">
                          <w:pPr>
                            <w:spacing w:after="0"/>
                            <w:rPr>
                              <w:rFonts w:ascii="Arial" w:hAnsi="Arial" w:cs="Arial"/>
                              <w:sz w:val="20"/>
                            </w:rPr>
                          </w:pPr>
                          <w:r w:rsidRPr="008B5258">
                            <w:rPr>
                              <w:rFonts w:ascii="Arial" w:hAnsi="Arial" w:cs="Arial"/>
                              <w:sz w:val="20"/>
                            </w:rPr>
                            <w:t>Secretaria de Métodos e Suporte a Controle Externo</w:t>
                          </w:r>
                        </w:p>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92FAE" id="_x0000_t202" coordsize="21600,21600" o:spt="202" path="m,l,21600r21600,l21600,xe">
              <v:stroke joinstyle="miter"/>
              <v:path gradientshapeok="t" o:connecttype="rect"/>
            </v:shapetype>
            <v:shape id="Text Box 3" o:spid="_x0000_s1026" type="#_x0000_t202" style="position:absolute;left:0;text-align:left;margin-left:47.6pt;margin-top:43.5pt;width:341pt;height:4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" stroked="f">
              <v:textbox inset=",2.83pt">
                <w:txbxContent>
                  <w:p w:rsidR="00DF40D9" w:rsidRPr="008B5258" w:rsidRDefault="00DF40D9" w:rsidP="00DF40D9">
                    <w:pPr>
                      <w:spacing w:after="0"/>
                      <w:rPr>
                        <w:rFonts w:ascii="Arial" w:hAnsi="Arial" w:cs="Arial"/>
                        <w:sz w:val="20"/>
                      </w:rPr>
                    </w:pPr>
                    <w:r w:rsidRPr="008B5258">
                      <w:rPr>
                        <w:rFonts w:ascii="Arial" w:hAnsi="Arial" w:cs="Arial"/>
                        <w:sz w:val="20"/>
                      </w:rPr>
                      <w:t>TRIBUNAL DE CONTAS DA UNIÃO</w:t>
                    </w:r>
                  </w:p>
                  <w:p w:rsidR="00DF40D9" w:rsidRDefault="00DF40D9" w:rsidP="00DF40D9">
                    <w:pPr>
                      <w:spacing w:after="0"/>
                      <w:rPr>
                        <w:rFonts w:ascii="Arial" w:hAnsi="Arial" w:cs="Arial"/>
                        <w:sz w:val="20"/>
                      </w:rPr>
                    </w:pPr>
                    <w:r>
                      <w:rPr>
                        <w:rFonts w:ascii="Arial" w:hAnsi="Arial" w:cs="Arial"/>
                        <w:sz w:val="20"/>
                      </w:rPr>
                      <w:t>Secretaria Adjunta de Controle Externo</w:t>
                    </w:r>
                  </w:p>
                  <w:p w:rsidR="00DF40D9" w:rsidRPr="008B5258" w:rsidRDefault="00DF40D9" w:rsidP="00DF40D9">
                    <w:pPr>
                      <w:spacing w:after="0"/>
                      <w:rPr>
                        <w:rFonts w:ascii="Arial" w:hAnsi="Arial" w:cs="Arial"/>
                        <w:sz w:val="20"/>
                      </w:rPr>
                    </w:pPr>
                    <w:r w:rsidRPr="008B5258">
                      <w:rPr>
                        <w:rFonts w:ascii="Arial" w:hAnsi="Arial" w:cs="Arial"/>
                        <w:sz w:val="20"/>
                      </w:rPr>
                      <w:t>Secretaria de Métodos e Suporte a Controle Externo</w:t>
                    </w:r>
                  </w:p>
                </w:txbxContent>
              </v:textbox>
              <w10:wrap anchorx="margin" anchory="page"/>
            </v:shape>
          </w:pict>
        </mc:Fallback>
      </mc:AlternateContent>
    </w:r>
  </w:p>
  <w:p w:rsidR="00DF40D9" w:rsidRPr="00DF40D9" w:rsidRDefault="00DF40D9" w:rsidP="00DF40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C1D"/>
    <w:multiLevelType w:val="hybridMultilevel"/>
    <w:tmpl w:val="31D2A904"/>
    <w:lvl w:ilvl="0" w:tplc="161C99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782C98"/>
    <w:multiLevelType w:val="hybridMultilevel"/>
    <w:tmpl w:val="DA64BA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BF52C49"/>
    <w:multiLevelType w:val="hybridMultilevel"/>
    <w:tmpl w:val="53B6D59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3" w15:restartNumberingAfterBreak="0">
    <w:nsid w:val="4FB34458"/>
    <w:multiLevelType w:val="multilevel"/>
    <w:tmpl w:val="60DA016A"/>
    <w:lvl w:ilvl="0">
      <w:start w:val="2"/>
      <w:numFmt w:val="decimal"/>
      <w:lvlText w:val="%1."/>
      <w:lvlJc w:val="left"/>
      <w:pPr>
        <w:ind w:left="1495" w:hanging="360"/>
      </w:pPr>
      <w:rPr>
        <w:rFonts w:hint="default"/>
        <w:b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13"/>
    <w:rsid w:val="00016ED8"/>
    <w:rsid w:val="00044CCD"/>
    <w:rsid w:val="00062743"/>
    <w:rsid w:val="000953D6"/>
    <w:rsid w:val="00122EA6"/>
    <w:rsid w:val="001628FE"/>
    <w:rsid w:val="001762D6"/>
    <w:rsid w:val="001B5044"/>
    <w:rsid w:val="001E45AC"/>
    <w:rsid w:val="00286271"/>
    <w:rsid w:val="00291523"/>
    <w:rsid w:val="003F412D"/>
    <w:rsid w:val="0040026E"/>
    <w:rsid w:val="00495CB4"/>
    <w:rsid w:val="00534A1B"/>
    <w:rsid w:val="005901A7"/>
    <w:rsid w:val="00596587"/>
    <w:rsid w:val="005B73E4"/>
    <w:rsid w:val="006835B3"/>
    <w:rsid w:val="00804A49"/>
    <w:rsid w:val="00816A8F"/>
    <w:rsid w:val="00873D9C"/>
    <w:rsid w:val="008B289E"/>
    <w:rsid w:val="008D6013"/>
    <w:rsid w:val="009A70E5"/>
    <w:rsid w:val="009B3010"/>
    <w:rsid w:val="00A7196A"/>
    <w:rsid w:val="00A72A87"/>
    <w:rsid w:val="00B0303F"/>
    <w:rsid w:val="00BD3BFB"/>
    <w:rsid w:val="00C10159"/>
    <w:rsid w:val="00C40498"/>
    <w:rsid w:val="00C648A1"/>
    <w:rsid w:val="00C7504C"/>
    <w:rsid w:val="00CC241B"/>
    <w:rsid w:val="00D34115"/>
    <w:rsid w:val="00D54EA9"/>
    <w:rsid w:val="00D5592F"/>
    <w:rsid w:val="00D60BF8"/>
    <w:rsid w:val="00DA1339"/>
    <w:rsid w:val="00DF40D9"/>
    <w:rsid w:val="00E977C6"/>
    <w:rsid w:val="00EB0DE9"/>
    <w:rsid w:val="00EC01BF"/>
    <w:rsid w:val="00FD7D08"/>
    <w:rsid w:val="00FF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30B9C7-2A56-4F3B-BA5B-1BFA60BE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72A87"/>
    <w:pPr>
      <w:spacing w:before="120" w:after="120" w:line="240" w:lineRule="auto"/>
      <w:ind w:left="720"/>
      <w:contextualSpacing/>
    </w:pPr>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A72A87"/>
    <w:rPr>
      <w:rFonts w:ascii="Times New Roman" w:eastAsia="Times New Roman" w:hAnsi="Times New Roman" w:cs="Times New Roman"/>
      <w:sz w:val="24"/>
      <w:szCs w:val="20"/>
      <w:lang w:eastAsia="pt-BR"/>
    </w:rPr>
  </w:style>
  <w:style w:type="character" w:styleId="Forte">
    <w:name w:val="Strong"/>
    <w:basedOn w:val="Fontepargpadro"/>
    <w:uiPriority w:val="22"/>
    <w:qFormat/>
    <w:rsid w:val="00A72A87"/>
    <w:rPr>
      <w:b/>
      <w:bCs/>
    </w:rPr>
  </w:style>
  <w:style w:type="paragraph" w:customStyle="1" w:styleId="ListaColorida-nfase11">
    <w:name w:val="Lista Colorida - Ênfase 11"/>
    <w:basedOn w:val="Normal"/>
    <w:uiPriority w:val="34"/>
    <w:qFormat/>
    <w:rsid w:val="009B3010"/>
    <w:pPr>
      <w:spacing w:before="120" w:after="120" w:line="240" w:lineRule="auto"/>
      <w:ind w:left="720"/>
      <w:contextualSpacing/>
    </w:pPr>
    <w:rPr>
      <w:rFonts w:ascii="Times New Roman" w:eastAsia="Times New Roman" w:hAnsi="Times New Roman" w:cs="Times New Roman"/>
      <w:sz w:val="24"/>
      <w:szCs w:val="20"/>
      <w:lang w:eastAsia="pt-BR"/>
    </w:rPr>
  </w:style>
  <w:style w:type="paragraph" w:customStyle="1" w:styleId="pTtulo2">
    <w:name w:val="_p Título 2"/>
    <w:basedOn w:val="Normal"/>
    <w:uiPriority w:val="99"/>
    <w:rsid w:val="009A70E5"/>
    <w:pPr>
      <w:keepNext/>
      <w:autoSpaceDE w:val="0"/>
      <w:autoSpaceDN w:val="0"/>
      <w:spacing w:before="283" w:after="0" w:line="200" w:lineRule="atLeast"/>
    </w:pPr>
    <w:rPr>
      <w:rFonts w:ascii="Eras Light ITC" w:hAnsi="Eras Light ITC" w:cs="Times New Roman"/>
      <w:color w:val="003782"/>
    </w:rPr>
  </w:style>
  <w:style w:type="paragraph" w:customStyle="1" w:styleId="pTextoSubpargrafo">
    <w:name w:val="_p Texto Subparágrafo"/>
    <w:basedOn w:val="Normal"/>
    <w:uiPriority w:val="99"/>
    <w:rsid w:val="009A70E5"/>
    <w:pPr>
      <w:autoSpaceDE w:val="0"/>
      <w:autoSpaceDN w:val="0"/>
      <w:spacing w:before="57" w:after="57" w:line="240" w:lineRule="atLeast"/>
      <w:ind w:left="283" w:firstLine="283"/>
      <w:jc w:val="both"/>
    </w:pPr>
    <w:rPr>
      <w:rFonts w:ascii="Transit521 BT" w:hAnsi="Transit521 BT" w:cs="Times New Roman"/>
      <w:color w:val="000000"/>
      <w:sz w:val="18"/>
      <w:szCs w:val="18"/>
    </w:rPr>
  </w:style>
  <w:style w:type="paragraph" w:styleId="Cabealho">
    <w:name w:val="header"/>
    <w:basedOn w:val="Normal"/>
    <w:link w:val="CabealhoChar"/>
    <w:uiPriority w:val="99"/>
    <w:unhideWhenUsed/>
    <w:rsid w:val="00DF40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40D9"/>
  </w:style>
  <w:style w:type="paragraph" w:styleId="Rodap">
    <w:name w:val="footer"/>
    <w:basedOn w:val="Normal"/>
    <w:link w:val="RodapChar"/>
    <w:uiPriority w:val="99"/>
    <w:unhideWhenUsed/>
    <w:rsid w:val="00DF40D9"/>
    <w:pPr>
      <w:tabs>
        <w:tab w:val="center" w:pos="4252"/>
        <w:tab w:val="right" w:pos="8504"/>
      </w:tabs>
      <w:spacing w:after="0" w:line="240" w:lineRule="auto"/>
    </w:pPr>
  </w:style>
  <w:style w:type="character" w:customStyle="1" w:styleId="RodapChar">
    <w:name w:val="Rodapé Char"/>
    <w:basedOn w:val="Fontepargpadro"/>
    <w:link w:val="Rodap"/>
    <w:uiPriority w:val="99"/>
    <w:rsid w:val="00DF40D9"/>
  </w:style>
  <w:style w:type="paragraph" w:styleId="Textodebalo">
    <w:name w:val="Balloon Text"/>
    <w:basedOn w:val="Normal"/>
    <w:link w:val="TextodebaloChar"/>
    <w:uiPriority w:val="99"/>
    <w:semiHidden/>
    <w:unhideWhenUsed/>
    <w:rsid w:val="001E45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45AC"/>
    <w:rPr>
      <w:rFonts w:ascii="Segoe UI" w:hAnsi="Segoe UI" w:cs="Segoe UI"/>
      <w:sz w:val="18"/>
      <w:szCs w:val="18"/>
    </w:rPr>
  </w:style>
  <w:style w:type="paragraph" w:styleId="NormalWeb">
    <w:name w:val="Normal (Web)"/>
    <w:basedOn w:val="Normal"/>
    <w:uiPriority w:val="99"/>
    <w:unhideWhenUsed/>
    <w:rsid w:val="00C7504C"/>
    <w:pPr>
      <w:spacing w:after="0" w:line="240" w:lineRule="auto"/>
    </w:pPr>
    <w:rPr>
      <w:rFonts w:ascii="Times New Roman" w:hAnsi="Times New Roman" w:cs="Times New Roman"/>
      <w:sz w:val="24"/>
      <w:szCs w:val="24"/>
      <w:lang w:eastAsia="pt-BR"/>
    </w:rPr>
  </w:style>
  <w:style w:type="paragraph" w:customStyle="1" w:styleId="Default">
    <w:name w:val="Default"/>
    <w:rsid w:val="008B28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37861">
      <w:bodyDiv w:val="1"/>
      <w:marLeft w:val="0"/>
      <w:marRight w:val="0"/>
      <w:marTop w:val="0"/>
      <w:marBottom w:val="0"/>
      <w:divBdr>
        <w:top w:val="none" w:sz="0" w:space="0" w:color="auto"/>
        <w:left w:val="none" w:sz="0" w:space="0" w:color="auto"/>
        <w:bottom w:val="none" w:sz="0" w:space="0" w:color="auto"/>
        <w:right w:val="none" w:sz="0" w:space="0" w:color="auto"/>
      </w:divBdr>
    </w:div>
    <w:div w:id="1027872322">
      <w:bodyDiv w:val="1"/>
      <w:marLeft w:val="0"/>
      <w:marRight w:val="0"/>
      <w:marTop w:val="0"/>
      <w:marBottom w:val="0"/>
      <w:divBdr>
        <w:top w:val="none" w:sz="0" w:space="0" w:color="auto"/>
        <w:left w:val="none" w:sz="0" w:space="0" w:color="auto"/>
        <w:bottom w:val="none" w:sz="0" w:space="0" w:color="auto"/>
        <w:right w:val="none" w:sz="0" w:space="0" w:color="auto"/>
      </w:divBdr>
    </w:div>
    <w:div w:id="1334068072">
      <w:bodyDiv w:val="1"/>
      <w:marLeft w:val="0"/>
      <w:marRight w:val="0"/>
      <w:marTop w:val="0"/>
      <w:marBottom w:val="0"/>
      <w:divBdr>
        <w:top w:val="none" w:sz="0" w:space="0" w:color="auto"/>
        <w:left w:val="none" w:sz="0" w:space="0" w:color="auto"/>
        <w:bottom w:val="none" w:sz="0" w:space="0" w:color="auto"/>
        <w:right w:val="none" w:sz="0" w:space="0" w:color="auto"/>
      </w:divBdr>
    </w:div>
    <w:div w:id="1516306905">
      <w:bodyDiv w:val="1"/>
      <w:marLeft w:val="0"/>
      <w:marRight w:val="0"/>
      <w:marTop w:val="0"/>
      <w:marBottom w:val="0"/>
      <w:divBdr>
        <w:top w:val="none" w:sz="0" w:space="0" w:color="auto"/>
        <w:left w:val="none" w:sz="0" w:space="0" w:color="auto"/>
        <w:bottom w:val="none" w:sz="0" w:space="0" w:color="auto"/>
        <w:right w:val="none" w:sz="0" w:space="0" w:color="auto"/>
      </w:divBdr>
    </w:div>
    <w:div w:id="1645693979">
      <w:bodyDiv w:val="1"/>
      <w:marLeft w:val="0"/>
      <w:marRight w:val="0"/>
      <w:marTop w:val="0"/>
      <w:marBottom w:val="0"/>
      <w:divBdr>
        <w:top w:val="none" w:sz="0" w:space="0" w:color="auto"/>
        <w:left w:val="none" w:sz="0" w:space="0" w:color="auto"/>
        <w:bottom w:val="none" w:sz="0" w:space="0" w:color="auto"/>
        <w:right w:val="none" w:sz="0" w:space="0" w:color="auto"/>
      </w:divBdr>
    </w:div>
    <w:div w:id="17688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2584</Words>
  <Characters>13957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Epaminondas</dc:creator>
  <cp:keywords/>
  <dc:description/>
  <cp:lastModifiedBy>CARIN LEINIG CAVALCANTI CORREA</cp:lastModifiedBy>
  <cp:revision>2</cp:revision>
  <cp:lastPrinted>2018-12-14T22:51:00Z</cp:lastPrinted>
  <dcterms:created xsi:type="dcterms:W3CDTF">2019-03-13T22:03:00Z</dcterms:created>
  <dcterms:modified xsi:type="dcterms:W3CDTF">2019-03-13T22:03:00Z</dcterms:modified>
</cp:coreProperties>
</file>