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TERMO DE REFERÊNCIA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99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37"/>
        <w:gridCol w:w="9356"/>
        <w:tblGridChange w:id="0">
          <w:tblGrid>
            <w:gridCol w:w="637"/>
            <w:gridCol w:w="9356"/>
          </w:tblGrid>
        </w:tblGridChange>
      </w:tblGrid>
      <w:tr>
        <w:tc>
          <w:tcPr>
            <w:vAlign w:val="top"/>
          </w:tcPr>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A</w:t>
            </w:r>
          </w:p>
        </w:tc>
        <w:tc>
          <w:tcPr>
            <w:vAlign w:val="top"/>
          </w:tcPr>
          <w:p w:rsidR="00000000" w:rsidDel="00000000" w:rsidP="00000000" w:rsidRDefault="00000000" w:rsidRPr="00000000" w14:paraId="00000004">
            <w:pPr>
              <w:spacing w:line="240" w:lineRule="auto"/>
              <w:ind w:right="-1"/>
              <w:jc w:val="both"/>
              <w:rPr>
                <w:b w:val="1"/>
                <w:sz w:val="20"/>
                <w:szCs w:val="20"/>
              </w:rPr>
            </w:pPr>
            <w:r w:rsidDel="00000000" w:rsidR="00000000" w:rsidRPr="00000000">
              <w:rPr>
                <w:b w:val="1"/>
                <w:sz w:val="20"/>
                <w:szCs w:val="20"/>
                <w:rtl w:val="0"/>
              </w:rPr>
              <w:t xml:space="preserve">Objeto: </w:t>
            </w:r>
          </w:p>
          <w:p w:rsidR="00000000" w:rsidDel="00000000" w:rsidP="00000000" w:rsidRDefault="00000000" w:rsidRPr="00000000" w14:paraId="00000005">
            <w:pPr>
              <w:spacing w:line="240" w:lineRule="auto"/>
              <w:ind w:right="-1"/>
              <w:jc w:val="both"/>
              <w:rPr>
                <w:b w:val="1"/>
                <w:sz w:val="20"/>
                <w:szCs w:val="20"/>
              </w:rPr>
            </w:pPr>
            <w:r w:rsidDel="00000000" w:rsidR="00000000" w:rsidRPr="00000000">
              <w:rPr>
                <w:sz w:val="20"/>
                <w:szCs w:val="20"/>
                <w:rtl w:val="0"/>
              </w:rPr>
              <w:t xml:space="preserve">Aquisição de scanner de mesa para digitalização de documentos nas quantidades e especificações abaixo informadas para a Secretaria do TCU no Estado de Pernambuco - SEC-PE.</w:t>
            </w:r>
            <w:r w:rsidDel="00000000" w:rsidR="00000000" w:rsidRPr="00000000">
              <w:rPr>
                <w:rtl w:val="0"/>
              </w:rPr>
            </w:r>
          </w:p>
        </w:tc>
      </w:tr>
    </w:tbl>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bl>
      <w:tblPr>
        <w:tblStyle w:val="Table2"/>
        <w:tblW w:w="999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37"/>
        <w:gridCol w:w="9356"/>
        <w:tblGridChange w:id="0">
          <w:tblGrid>
            <w:gridCol w:w="637"/>
            <w:gridCol w:w="9356"/>
          </w:tblGrid>
        </w:tblGridChange>
      </w:tblGrid>
      <w:tr>
        <w:tc>
          <w:tcPr>
            <w:vAlign w:val="top"/>
          </w:tcPr>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B</w:t>
            </w:r>
          </w:p>
        </w:tc>
        <w:tc>
          <w:tcPr>
            <w:vAlign w:val="top"/>
          </w:tcPr>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Justificativa:</w:t>
            </w:r>
            <w:r w:rsidDel="00000000" w:rsidR="00000000" w:rsidRPr="00000000">
              <w:rPr>
                <w:rtl w:val="0"/>
              </w:rPr>
            </w:r>
          </w:p>
          <w:p w:rsidR="00000000" w:rsidDel="00000000" w:rsidP="00000000" w:rsidRDefault="00000000" w:rsidRPr="00000000" w14:paraId="00000009">
            <w:pPr>
              <w:keepLines w:val="1"/>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sz w:val="20"/>
                <w:szCs w:val="20"/>
                <w:rtl w:val="0"/>
              </w:rPr>
              <w:t xml:space="preserve">A aquisição visa substituir equipamento fora de garantia e que apresenta sinais de mau funcionamento. É necessário que haja, na secretaria, equipamento capaz de digitalizar imagens de qualidade para transmissão ao setor responsável pela centralização das atividades na Sede, bem como promover melhor aproveitamento dos servidores no serviço  administrativo da SEC-PE.</w:t>
            </w:r>
            <w:r w:rsidDel="00000000" w:rsidR="00000000" w:rsidRPr="00000000">
              <w:rPr>
                <w:rtl w:val="0"/>
              </w:rPr>
            </w:r>
          </w:p>
        </w:tc>
      </w:tr>
    </w:tbl>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bl>
      <w:tblPr>
        <w:tblStyle w:val="Table3"/>
        <w:tblW w:w="9993.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37"/>
        <w:gridCol w:w="9356"/>
        <w:tblGridChange w:id="0">
          <w:tblGrid>
            <w:gridCol w:w="637"/>
            <w:gridCol w:w="9356"/>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sz w:val="20"/>
                <w:szCs w:val="20"/>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Da entrega dos produtos:</w:t>
            </w:r>
            <w:r w:rsidDel="00000000" w:rsidR="00000000" w:rsidRPr="00000000">
              <w:rPr>
                <w:rtl w:val="0"/>
              </w:rPr>
            </w:r>
          </w:p>
          <w:p w:rsidR="00000000" w:rsidDel="00000000" w:rsidP="00000000" w:rsidRDefault="00000000" w:rsidRPr="00000000" w14:paraId="0000000D">
            <w:pPr>
              <w:keepLines w:val="1"/>
              <w:spacing w:line="240" w:lineRule="auto"/>
              <w:jc w:val="both"/>
              <w:rPr>
                <w:sz w:val="20"/>
                <w:szCs w:val="20"/>
              </w:rPr>
            </w:pPr>
            <w:r w:rsidDel="00000000" w:rsidR="00000000" w:rsidRPr="00000000">
              <w:rPr>
                <w:sz w:val="20"/>
                <w:szCs w:val="20"/>
                <w:rtl w:val="0"/>
              </w:rPr>
              <w:t xml:space="preserve">A licitante vencedora fornecerá os produtos no prazo máximo de 30 dias corridos contados a partir da emissão da respectiva nota de empenho. A entrega será realizada na Secretaria do TCU no Estado de Pernambuco (SEC-PE). Endereço: </w:t>
            </w:r>
            <w:r w:rsidDel="00000000" w:rsidR="00000000" w:rsidRPr="00000000">
              <w:rPr>
                <w:sz w:val="20"/>
                <w:szCs w:val="20"/>
                <w:rtl w:val="0"/>
              </w:rPr>
              <w:t xml:space="preserve">Rua Major Codeceira 121, Santo Amaro - Recife-PE, CEP : 50100-070.</w:t>
            </w:r>
            <w:r w:rsidDel="00000000" w:rsidR="00000000" w:rsidRPr="00000000">
              <w:rPr>
                <w:rtl w:val="0"/>
              </w:rPr>
            </w:r>
          </w:p>
        </w:tc>
      </w:tr>
    </w:tbl>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bl>
      <w:tblPr>
        <w:tblStyle w:val="Table4"/>
        <w:tblW w:w="999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37"/>
        <w:gridCol w:w="9356"/>
        <w:tblGridChange w:id="0">
          <w:tblGrid>
            <w:gridCol w:w="637"/>
            <w:gridCol w:w="9356"/>
          </w:tblGrid>
        </w:tblGridChange>
      </w:tblGrid>
      <w:tr>
        <w:tc>
          <w:tcPr>
            <w:vAlign w:val="top"/>
          </w:tcPr>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sz w:val="20"/>
                <w:szCs w:val="20"/>
                <w:rtl w:val="0"/>
              </w:rPr>
              <w:t xml:space="preserve">D</w:t>
            </w:r>
            <w:r w:rsidDel="00000000" w:rsidR="00000000" w:rsidRPr="00000000">
              <w:rPr>
                <w:rtl w:val="0"/>
              </w:rPr>
            </w:r>
          </w:p>
        </w:tc>
        <w:tc>
          <w:tcPr>
            <w:vAlign w:val="top"/>
          </w:tcPr>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b w:val="1"/>
                <w:sz w:val="20"/>
                <w:szCs w:val="20"/>
                <w:rtl w:val="0"/>
              </w:rPr>
              <w:t xml:space="preserve">Orçamento Estimado</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spacing w:line="240" w:lineRule="auto"/>
              <w:ind w:right="-1"/>
              <w:jc w:val="both"/>
              <w:rPr>
                <w:sz w:val="20"/>
                <w:szCs w:val="20"/>
                <w:highlight w:val="yellow"/>
              </w:rPr>
            </w:pPr>
            <w:r w:rsidDel="00000000" w:rsidR="00000000" w:rsidRPr="00000000">
              <w:rPr>
                <w:sz w:val="20"/>
                <w:szCs w:val="20"/>
                <w:rtl w:val="0"/>
              </w:rPr>
              <w:t xml:space="preserve">R$ 3.303,50 (Três mil, trezentos e três reais e cinquenta centavos)</w:t>
            </w:r>
            <w:r w:rsidDel="00000000" w:rsidR="00000000" w:rsidRPr="00000000">
              <w:rPr>
                <w:rtl w:val="0"/>
              </w:rPr>
            </w:r>
          </w:p>
        </w:tc>
      </w:tr>
    </w:tbl>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5"/>
        <w:tblW w:w="9930.0" w:type="dxa"/>
        <w:jc w:val="left"/>
        <w:tblInd w:w="40.0" w:type="dxa"/>
        <w:tblLayout w:type="fixed"/>
        <w:tblLook w:val="0600"/>
      </w:tblPr>
      <w:tblGrid>
        <w:gridCol w:w="690"/>
        <w:gridCol w:w="4770"/>
        <w:gridCol w:w="1200"/>
        <w:gridCol w:w="1695"/>
        <w:gridCol w:w="1575"/>
        <w:tblGridChange w:id="0">
          <w:tblGrid>
            <w:gridCol w:w="690"/>
            <w:gridCol w:w="4770"/>
            <w:gridCol w:w="1200"/>
            <w:gridCol w:w="1695"/>
            <w:gridCol w:w="1575"/>
          </w:tblGrid>
        </w:tblGridChange>
      </w:tblGrid>
      <w:tr>
        <w:trPr>
          <w:trHeight w:val="4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keepLines w:val="0"/>
              <w:spacing w:line="288" w:lineRule="auto"/>
              <w:ind w:left="-80" w:firstLine="0"/>
              <w:jc w:val="center"/>
              <w:rPr>
                <w:b w:val="1"/>
                <w:sz w:val="20"/>
                <w:szCs w:val="20"/>
              </w:rPr>
            </w:pPr>
            <w:r w:rsidDel="00000000" w:rsidR="00000000" w:rsidRPr="00000000">
              <w:rPr>
                <w:b w:val="1"/>
                <w:sz w:val="20"/>
                <w:szCs w:val="20"/>
                <w:rtl w:val="0"/>
              </w:rPr>
              <w:t xml:space="preserve">Item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keepLines w:val="0"/>
              <w:spacing w:line="288" w:lineRule="auto"/>
              <w:ind w:left="-80" w:firstLine="0"/>
              <w:jc w:val="center"/>
              <w:rPr>
                <w:b w:val="1"/>
                <w:sz w:val="20"/>
                <w:szCs w:val="20"/>
              </w:rPr>
            </w:pPr>
            <w:r w:rsidDel="00000000" w:rsidR="00000000" w:rsidRPr="00000000">
              <w:rPr>
                <w:b w:val="1"/>
                <w:sz w:val="20"/>
                <w:szCs w:val="20"/>
                <w:rtl w:val="0"/>
              </w:rPr>
              <w:t xml:space="preserve">Descrição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keepLines w:val="0"/>
              <w:spacing w:line="288" w:lineRule="auto"/>
              <w:ind w:left="-80" w:firstLine="0"/>
              <w:jc w:val="center"/>
              <w:rPr>
                <w:b w:val="1"/>
                <w:sz w:val="20"/>
                <w:szCs w:val="20"/>
              </w:rPr>
            </w:pPr>
            <w:r w:rsidDel="00000000" w:rsidR="00000000" w:rsidRPr="00000000">
              <w:rPr>
                <w:b w:val="1"/>
                <w:sz w:val="20"/>
                <w:szCs w:val="20"/>
                <w:rtl w:val="0"/>
              </w:rPr>
              <w:t xml:space="preserve">Quantidade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keepLines w:val="0"/>
              <w:spacing w:line="288" w:lineRule="auto"/>
              <w:ind w:left="-80" w:firstLine="0"/>
              <w:jc w:val="center"/>
              <w:rPr>
                <w:b w:val="1"/>
                <w:sz w:val="20"/>
                <w:szCs w:val="20"/>
              </w:rPr>
            </w:pPr>
            <w:r w:rsidDel="00000000" w:rsidR="00000000" w:rsidRPr="00000000">
              <w:rPr>
                <w:b w:val="1"/>
                <w:sz w:val="20"/>
                <w:szCs w:val="20"/>
                <w:rtl w:val="0"/>
              </w:rPr>
              <w:t xml:space="preserve">Valor Unitário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keepLines w:val="0"/>
              <w:spacing w:line="288" w:lineRule="auto"/>
              <w:ind w:left="-80" w:firstLine="0"/>
              <w:jc w:val="center"/>
              <w:rPr>
                <w:b w:val="1"/>
                <w:sz w:val="20"/>
                <w:szCs w:val="20"/>
              </w:rPr>
            </w:pPr>
            <w:r w:rsidDel="00000000" w:rsidR="00000000" w:rsidRPr="00000000">
              <w:rPr>
                <w:b w:val="1"/>
                <w:sz w:val="20"/>
                <w:szCs w:val="20"/>
                <w:rtl w:val="0"/>
              </w:rPr>
              <w:t xml:space="preserve">Valor Total</w:t>
            </w:r>
          </w:p>
        </w:tc>
      </w:tr>
      <w:tr>
        <w:trPr>
          <w:trHeight w:val="3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keepLines w:val="0"/>
              <w:spacing w:line="288" w:lineRule="auto"/>
              <w:ind w:left="-80" w:firstLine="0"/>
              <w:jc w:val="center"/>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keepLines w:val="0"/>
              <w:shd w:fill="ffffff" w:val="clear"/>
              <w:spacing w:after="240" w:before="240" w:line="240" w:lineRule="auto"/>
              <w:jc w:val="both"/>
              <w:rPr>
                <w:sz w:val="20"/>
                <w:szCs w:val="20"/>
              </w:rPr>
            </w:pPr>
            <w:r w:rsidDel="00000000" w:rsidR="00000000" w:rsidRPr="00000000">
              <w:rPr>
                <w:sz w:val="20"/>
                <w:szCs w:val="20"/>
                <w:rtl w:val="0"/>
              </w:rPr>
              <w:t xml:space="preserve">Scanner de mesa com sensor ultrassônico e alimentador automático de documentos (ADF). Modos de digitalização simplex (frente) e duplex (frente e verso) em uma única passagem de papel. Sistema mecânico de prevenção de dupla alimentação. Resolução óptica de captura e de saída de, no mínimo, 600 dpi. Suporte a documentos com gramaturas entre 41-200 g/m2, no mínimo, e cartões duro tipo PVC (ex.: crachás e e-CPFs) pelo ADF do scanner. Digitalização de documentos com tamanho mínimo de 52 mm x 74 mm (A8) e tamanho máximo de, no mínimo, 356 mm x 216 mm (Legal/Ofício). Interface USB (compatível com USB 2.0 ou superior). Suporte drive TWAIN e ISIS compatíveis com os sistemas operacionais Windows 8, Windows 8.1, Windows 10,  32 e 64 bits. Mecanismo de detecção automática de dupla alimentação de documentos. Alimentação elétrica bivolt 100-240 v automática. Velocidade no modo preto e branco, cores e tons de cinza com resolução de saída a 200 dpi, papel A4, orientação Retrato: mínimo de 40 (cinquenta) ppm (páginas por minuto). O equipamento deverá vir acompanhado de todas as partes consumíveis, que deverão ser capazes de escanear, no mínimo, 200.000 páginas. Caso o equipamento possua qualquer parte consumível original que não garanta o escaneamento do número mínimo de páginas especificado, serão aceitos partes consumíveis adicionais, de forma a garantir o número mínimo de páginas escaneadas. Suporte aos formatos de saída TIFF, PDF, PDF Pesquisável e JPEG via pacote de software; O software OCR deverá ser capaz de realizar a conversão dos arquivos digitalizados para formato “PDF – Portable Document Format” pesquisável, bem como para formatos de imagem digital. Capacidade de conversão automática de documentos digitalizados com recursos de OCR em português do Brasil, em documentos Word, Excel, Power Point e Adobe. Capacidade de detecção automática de documentos coloridos e/ou preto e branco, no processo de digitalização, bem como alinhamento automático de imagem. Detecção e eliminação automática de folhas em branco. Deverá permitir o ajuste manual e automático da orientação das imagens digitalizadas; realizar rotação de imagens, permitindo a alimentação de documentos diferentes; permitir recorte automático de tamanho da imagem dos documentos, reorganização das imagens de um documento com múltiplas imagens e eliminação de bordas pretas. Apresentar recursos para digitalização de documentos A3. Deverá vir acompanhado de manuais, termos de garantia, etc. em português do Brasil; Equipamento deve vir acompanhado de cabos, adaptadores, drivers, mídias e demais acessórios necessários para o seu perfeito funcionamento. O equipamento ofertado não poderá ter sido descontinuado pelo fabricante, ou seja, deverá estar em linha de produção. Deverá apresentar garantia mínima de 12 meses.</w:t>
            </w:r>
          </w:p>
          <w:p w:rsidR="00000000" w:rsidDel="00000000" w:rsidP="00000000" w:rsidRDefault="00000000" w:rsidRPr="00000000" w14:paraId="0000001A">
            <w:pPr>
              <w:keepLines w:val="0"/>
              <w:shd w:fill="ffffff" w:val="clear"/>
              <w:spacing w:after="240" w:before="240" w:line="240" w:lineRule="auto"/>
              <w:jc w:val="both"/>
              <w:rPr>
                <w:sz w:val="20"/>
                <w:szCs w:val="20"/>
              </w:rPr>
            </w:pPr>
            <w:r w:rsidDel="00000000" w:rsidR="00000000" w:rsidRPr="00000000">
              <w:rPr>
                <w:sz w:val="20"/>
                <w:szCs w:val="20"/>
                <w:rtl w:val="0"/>
              </w:rPr>
              <w:t xml:space="preserve">Marca/Modelo de referência: </w:t>
            </w:r>
            <w:r w:rsidDel="00000000" w:rsidR="00000000" w:rsidRPr="00000000">
              <w:rPr>
                <w:sz w:val="20"/>
                <w:szCs w:val="20"/>
                <w:rtl w:val="0"/>
              </w:rPr>
              <w:t xml:space="preserve">Panasonic KV-SL 1056, </w:t>
            </w:r>
            <w:r w:rsidDel="00000000" w:rsidR="00000000" w:rsidRPr="00000000">
              <w:rPr>
                <w:sz w:val="20"/>
                <w:szCs w:val="20"/>
                <w:rtl w:val="0"/>
              </w:rPr>
              <w:t xml:space="preserve">Fujitsu Fi-7160.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keepLines w:val="0"/>
              <w:spacing w:line="288" w:lineRule="auto"/>
              <w:ind w:left="-80" w:firstLine="0"/>
              <w:jc w:val="center"/>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keepLines w:val="0"/>
              <w:spacing w:line="288" w:lineRule="auto"/>
              <w:ind w:left="-80" w:firstLine="0"/>
              <w:jc w:val="center"/>
              <w:rPr>
                <w:sz w:val="20"/>
                <w:szCs w:val="20"/>
              </w:rPr>
            </w:pPr>
            <w:r w:rsidDel="00000000" w:rsidR="00000000" w:rsidRPr="00000000">
              <w:rPr>
                <w:sz w:val="20"/>
                <w:szCs w:val="20"/>
                <w:rtl w:val="0"/>
              </w:rPr>
              <w:t xml:space="preserve">R$ 3.303,50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keepLines w:val="0"/>
              <w:spacing w:line="288" w:lineRule="auto"/>
              <w:ind w:left="-80" w:right="-180" w:firstLine="0"/>
              <w:jc w:val="center"/>
              <w:rPr>
                <w:sz w:val="20"/>
                <w:szCs w:val="20"/>
              </w:rPr>
            </w:pPr>
            <w:r w:rsidDel="00000000" w:rsidR="00000000" w:rsidRPr="00000000">
              <w:rPr>
                <w:sz w:val="20"/>
                <w:szCs w:val="20"/>
                <w:rtl w:val="0"/>
              </w:rPr>
              <w:t xml:space="preserve">R$ 3.303,50</w:t>
            </w:r>
          </w:p>
        </w:tc>
      </w:tr>
    </w:tbl>
    <w:p w:rsidR="00000000" w:rsidDel="00000000" w:rsidP="00000000" w:rsidRDefault="00000000" w:rsidRPr="00000000" w14:paraId="0000001E">
      <w:pPr>
        <w:keepLines w:val="0"/>
        <w:rPr>
          <w:sz w:val="20"/>
          <w:szCs w:val="20"/>
        </w:rPr>
      </w:pPr>
      <w:r w:rsidDel="00000000" w:rsidR="00000000" w:rsidRPr="00000000">
        <w:rPr>
          <w:rtl w:val="0"/>
        </w:rPr>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6"/>
        <w:tblW w:w="996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9375"/>
        <w:tblGridChange w:id="0">
          <w:tblGrid>
            <w:gridCol w:w="585"/>
            <w:gridCol w:w="9375"/>
          </w:tblGrid>
        </w:tblGridChange>
      </w:tblGrid>
      <w:tr>
        <w:trPr>
          <w:trHeight w:val="1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keepLines w:val="1"/>
              <w:spacing w:line="240" w:lineRule="auto"/>
              <w:jc w:val="center"/>
              <w:rPr>
                <w:sz w:val="20"/>
                <w:szCs w:val="20"/>
              </w:rPr>
            </w:pPr>
            <w:r w:rsidDel="00000000" w:rsidR="00000000" w:rsidRPr="00000000">
              <w:rPr>
                <w:sz w:val="20"/>
                <w:szCs w:val="20"/>
                <w:rtl w:val="0"/>
              </w:rPr>
              <w:t xml:space="preserve">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keepLines w:val="1"/>
              <w:spacing w:line="240" w:lineRule="auto"/>
              <w:rPr>
                <w:b w:val="1"/>
                <w:sz w:val="20"/>
                <w:szCs w:val="20"/>
              </w:rPr>
            </w:pPr>
            <w:r w:rsidDel="00000000" w:rsidR="00000000" w:rsidRPr="00000000">
              <w:rPr>
                <w:b w:val="1"/>
                <w:sz w:val="20"/>
                <w:szCs w:val="20"/>
                <w:rtl w:val="0"/>
              </w:rPr>
              <w:t xml:space="preserve">Obrigações:</w:t>
            </w:r>
          </w:p>
          <w:p w:rsidR="00000000" w:rsidDel="00000000" w:rsidP="00000000" w:rsidRDefault="00000000" w:rsidRPr="00000000" w14:paraId="00000022">
            <w:pPr>
              <w:keepLines w:val="1"/>
              <w:spacing w:line="240" w:lineRule="auto"/>
              <w:jc w:val="both"/>
              <w:rPr>
                <w:sz w:val="20"/>
                <w:szCs w:val="20"/>
              </w:rPr>
            </w:pPr>
            <w:r w:rsidDel="00000000" w:rsidR="00000000" w:rsidRPr="00000000">
              <w:rPr>
                <w:sz w:val="20"/>
                <w:szCs w:val="20"/>
                <w:rtl w:val="0"/>
              </w:rPr>
              <w:t xml:space="preserve">Os produtos devem ser novos, entregues em embalagem lacrada e ter garantia contra defeitos de fabricação e de funcionamento. O valor da proposta deve abranger o frete, impostos, entre outros custos. Informar marca e modelo. Em caso de desconformidade, os produtos deverão ser substituídos às custas da fornecedora. A cotação não será adjudicada em preço superior ao valor de referência.</w:t>
            </w:r>
          </w:p>
        </w:tc>
      </w:tr>
    </w:tbl>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7"/>
        <w:tblW w:w="996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9375"/>
        <w:tblGridChange w:id="0">
          <w:tblGrid>
            <w:gridCol w:w="585"/>
            <w:gridCol w:w="9375"/>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keepLines w:val="1"/>
              <w:spacing w:line="240" w:lineRule="auto"/>
              <w:ind w:left="0" w:firstLine="0"/>
              <w:jc w:val="center"/>
              <w:rPr>
                <w:sz w:val="20"/>
                <w:szCs w:val="20"/>
              </w:rPr>
            </w:pPr>
            <w:r w:rsidDel="00000000" w:rsidR="00000000" w:rsidRPr="00000000">
              <w:rPr>
                <w:sz w:val="20"/>
                <w:szCs w:val="20"/>
                <w:rtl w:val="0"/>
              </w:rPr>
              <w:t xml:space="preserve">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keepLines w:val="1"/>
              <w:spacing w:line="240" w:lineRule="auto"/>
              <w:rPr>
                <w:b w:val="1"/>
                <w:sz w:val="20"/>
                <w:szCs w:val="20"/>
              </w:rPr>
            </w:pPr>
            <w:r w:rsidDel="00000000" w:rsidR="00000000" w:rsidRPr="00000000">
              <w:rPr>
                <w:b w:val="1"/>
                <w:sz w:val="20"/>
                <w:szCs w:val="20"/>
                <w:rtl w:val="0"/>
              </w:rPr>
              <w:t xml:space="preserve">Fiscalização/atestação: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 w:firstLine="0"/>
              <w:jc w:val="left"/>
              <w:rPr>
                <w:sz w:val="20"/>
                <w:szCs w:val="20"/>
              </w:rPr>
            </w:pPr>
            <w:r w:rsidDel="00000000" w:rsidR="00000000" w:rsidRPr="00000000">
              <w:rPr>
                <w:sz w:val="20"/>
                <w:szCs w:val="20"/>
                <w:rtl w:val="0"/>
              </w:rPr>
              <w:t xml:space="preserve">Secretaria do Tribunal de Contas da União no Estado de Pernambuco (SEC-PE).</w:t>
            </w:r>
          </w:p>
        </w:tc>
      </w:tr>
    </w:tbl>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8"/>
        <w:tblW w:w="999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30"/>
        <w:gridCol w:w="9360"/>
        <w:tblGridChange w:id="0">
          <w:tblGrid>
            <w:gridCol w:w="630"/>
            <w:gridCol w:w="9360"/>
          </w:tblGrid>
        </w:tblGridChange>
      </w:tblGrid>
      <w:tr>
        <w:tc>
          <w:tcPr>
            <w:vAlign w:val="top"/>
          </w:tcPr>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sz w:val="20"/>
                <w:szCs w:val="20"/>
                <w:rtl w:val="0"/>
              </w:rPr>
              <w:t xml:space="preserve">G</w:t>
            </w:r>
            <w:r w:rsidDel="00000000" w:rsidR="00000000" w:rsidRPr="00000000">
              <w:rPr>
                <w:rtl w:val="0"/>
              </w:rPr>
            </w:r>
          </w:p>
        </w:tc>
        <w:tc>
          <w:tcPr>
            <w:vAlign w:val="top"/>
          </w:tcPr>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62.5984251968498" w:firstLine="0"/>
              <w:jc w:val="left"/>
              <w:rPr>
                <w:b w:val="1"/>
                <w:sz w:val="20"/>
                <w:szCs w:val="20"/>
              </w:rPr>
            </w:pPr>
            <w:r w:rsidDel="00000000" w:rsidR="00000000" w:rsidRPr="00000000">
              <w:rPr>
                <w:b w:val="1"/>
                <w:sz w:val="20"/>
                <w:szCs w:val="20"/>
                <w:rtl w:val="0"/>
              </w:rPr>
              <w:t xml:space="preserve">Responsável pela elaboração do termo de referência:</w:t>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62.5984251968498" w:firstLine="0"/>
              <w:jc w:val="left"/>
              <w:rPr>
                <w:b w:val="1"/>
                <w:sz w:val="20"/>
                <w:szCs w:val="20"/>
              </w:rPr>
            </w:pPr>
            <w:r w:rsidDel="00000000" w:rsidR="00000000" w:rsidRPr="00000000">
              <w:rPr>
                <w:sz w:val="20"/>
                <w:szCs w:val="20"/>
                <w:rtl w:val="0"/>
              </w:rPr>
              <w:t xml:space="preserve">SGE/Dirac/Selip</w:t>
            </w:r>
            <w:r w:rsidDel="00000000" w:rsidR="00000000" w:rsidRPr="00000000">
              <w:rPr>
                <w:rtl w:val="0"/>
              </w:rPr>
            </w:r>
          </w:p>
        </w:tc>
      </w:tr>
    </w:tbl>
    <w:p w:rsidR="00000000" w:rsidDel="00000000" w:rsidP="00000000" w:rsidRDefault="00000000" w:rsidRPr="00000000" w14:paraId="0000002B">
      <w:pPr>
        <w:spacing w:line="240" w:lineRule="auto"/>
        <w:rPr>
          <w:sz w:val="20"/>
          <w:szCs w:val="20"/>
        </w:rPr>
      </w:pPr>
      <w:r w:rsidDel="00000000" w:rsidR="00000000" w:rsidRPr="00000000">
        <w:rPr>
          <w:rtl w:val="0"/>
        </w:rPr>
      </w:r>
    </w:p>
    <w:tbl>
      <w:tblPr>
        <w:tblStyle w:val="Table9"/>
        <w:tblW w:w="999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15"/>
        <w:gridCol w:w="9375"/>
        <w:tblGridChange w:id="0">
          <w:tblGrid>
            <w:gridCol w:w="615"/>
            <w:gridCol w:w="9375"/>
          </w:tblGrid>
        </w:tblGridChange>
      </w:tblGrid>
      <w:tr>
        <w:trPr>
          <w:trHeight w:val="1600" w:hRule="atLeast"/>
        </w:trPr>
        <w:tc>
          <w:tcPr>
            <w:vAlign w:val="top"/>
          </w:tcPr>
          <w:p w:rsidR="00000000" w:rsidDel="00000000" w:rsidP="00000000" w:rsidRDefault="00000000" w:rsidRPr="00000000" w14:paraId="0000002C">
            <w:pPr>
              <w:keepLines w:val="1"/>
              <w:spacing w:line="240" w:lineRule="auto"/>
              <w:jc w:val="center"/>
              <w:rPr>
                <w:sz w:val="20"/>
                <w:szCs w:val="20"/>
              </w:rPr>
            </w:pPr>
            <w:r w:rsidDel="00000000" w:rsidR="00000000" w:rsidRPr="00000000">
              <w:rPr>
                <w:sz w:val="20"/>
                <w:szCs w:val="20"/>
                <w:rtl w:val="0"/>
              </w:rPr>
              <w:t xml:space="preserve">H</w:t>
            </w:r>
          </w:p>
        </w:tc>
        <w:tc>
          <w:tcPr>
            <w:vAlign w:val="top"/>
          </w:tcPr>
          <w:p w:rsidR="00000000" w:rsidDel="00000000" w:rsidP="00000000" w:rsidRDefault="00000000" w:rsidRPr="00000000" w14:paraId="0000002D">
            <w:pPr>
              <w:keepLines w:val="1"/>
              <w:spacing w:line="240" w:lineRule="auto"/>
              <w:rPr>
                <w:b w:val="1"/>
                <w:sz w:val="20"/>
                <w:szCs w:val="20"/>
              </w:rPr>
            </w:pPr>
            <w:r w:rsidDel="00000000" w:rsidR="00000000" w:rsidRPr="00000000">
              <w:rPr>
                <w:b w:val="1"/>
                <w:sz w:val="20"/>
                <w:szCs w:val="20"/>
                <w:rtl w:val="0"/>
              </w:rPr>
              <w:t xml:space="preserve">Sanção:</w:t>
            </w:r>
          </w:p>
          <w:p w:rsidR="00000000" w:rsidDel="00000000" w:rsidP="00000000" w:rsidRDefault="00000000" w:rsidRPr="00000000" w14:paraId="0000002E">
            <w:pPr>
              <w:keepLines w:val="1"/>
              <w:spacing w:line="240" w:lineRule="auto"/>
              <w:rPr>
                <w:sz w:val="20"/>
                <w:szCs w:val="20"/>
              </w:rPr>
            </w:pPr>
            <w:r w:rsidDel="00000000" w:rsidR="00000000" w:rsidRPr="00000000">
              <w:rPr>
                <w:sz w:val="20"/>
                <w:szCs w:val="20"/>
                <w:rtl w:val="0"/>
              </w:rPr>
              <w:t xml:space="preserve">- Pelo descumprimento do pacto, a contratada sujeita-se às penalidades previstas na Lei 8.666/93. </w:t>
            </w:r>
          </w:p>
          <w:p w:rsidR="00000000" w:rsidDel="00000000" w:rsidP="00000000" w:rsidRDefault="00000000" w:rsidRPr="00000000" w14:paraId="0000002F">
            <w:pPr>
              <w:keepLines w:val="1"/>
              <w:spacing w:line="240" w:lineRule="auto"/>
              <w:jc w:val="both"/>
              <w:rPr>
                <w:sz w:val="20"/>
                <w:szCs w:val="20"/>
              </w:rPr>
            </w:pPr>
            <w:r w:rsidDel="00000000" w:rsidR="00000000" w:rsidRPr="00000000">
              <w:rPr>
                <w:sz w:val="20"/>
                <w:szCs w:val="20"/>
                <w:rtl w:val="0"/>
              </w:rPr>
              <w:t xml:space="preserve">- Pelo atraso injustificado na entrega ou pela entrega parcial dos produtos, após feita a autorização de fornecimento, sujeitará a fornecedora à multa de 1,00 % (um por cento) sobre o valor total da entrega, por dia de atraso.</w:t>
            </w:r>
          </w:p>
          <w:p w:rsidR="00000000" w:rsidDel="00000000" w:rsidP="00000000" w:rsidRDefault="00000000" w:rsidRPr="00000000" w14:paraId="00000030">
            <w:pPr>
              <w:keepLines w:val="1"/>
              <w:spacing w:line="240" w:lineRule="auto"/>
              <w:jc w:val="both"/>
              <w:rPr>
                <w:b w:val="1"/>
                <w:sz w:val="20"/>
                <w:szCs w:val="20"/>
              </w:rPr>
            </w:pPr>
            <w:r w:rsidDel="00000000" w:rsidR="00000000" w:rsidRPr="00000000">
              <w:rPr>
                <w:sz w:val="20"/>
                <w:szCs w:val="20"/>
                <w:rtl w:val="0"/>
              </w:rPr>
              <w:t xml:space="preserve">- Pelo fornecimento de produtos inadequados, sujeitar-se-á a fornecedora à multa de 10% (dez por cento) sobre o valor total do contrato.</w:t>
            </w:r>
            <w:r w:rsidDel="00000000" w:rsidR="00000000" w:rsidRPr="00000000">
              <w:rPr>
                <w:rtl w:val="0"/>
              </w:rPr>
            </w:r>
          </w:p>
        </w:tc>
      </w:tr>
    </w:tbl>
    <w:p w:rsidR="00000000" w:rsidDel="00000000" w:rsidP="00000000" w:rsidRDefault="00000000" w:rsidRPr="00000000" w14:paraId="00000031">
      <w:pPr>
        <w:spacing w:before="120" w:line="240" w:lineRule="auto"/>
        <w:rPr>
          <w:sz w:val="2"/>
          <w:szCs w:val="2"/>
        </w:rPr>
      </w:pPr>
      <w:r w:rsidDel="00000000" w:rsidR="00000000" w:rsidRPr="00000000">
        <w:rPr>
          <w:rtl w:val="0"/>
        </w:rPr>
      </w:r>
    </w:p>
    <w:sectPr>
      <w:footerReference r:id="rId6" w:type="default"/>
      <w:pgSz w:h="16840" w:w="11907"/>
      <w:pgMar w:bottom="907" w:top="907" w:left="680" w:right="680"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