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TERMO DE REFERÊNCIA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637"/>
        <w:gridCol w:w="9356"/>
      </w:tblGrid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A</w:t>
            </w:r>
          </w:p>
        </w:tc>
        <w:tc>
          <w:tcPr>
            <w:tcW w:w="93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Objeto: </w:t>
            </w: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Aquisição de 8 No-Breaks com as seguintes especificações</w:t>
            </w: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Potência nominal: 1KVA a 1,5KV</w:t>
            </w: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Potencial real de saída: igual ou maior a 800W</w:t>
            </w: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Fator de potência: maior que 0,6</w:t>
            </w: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Bivolt</w:t>
            </w: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Autodiagnóstico de bateria (informa o momento certo de troca da bateria)</w:t>
            </w: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DC Start (permite ser ligado na ausência de rede elétrica)</w:t>
            </w: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Quantidade mínima de tomadas: 4 de saída padrão NBR 14136, todas alimentadas pela saida do No-Break</w:t>
            </w: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Cor: preta</w:t>
            </w: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Microprocessador de alta velocidade</w:t>
            </w: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Topologia do tipo Online com entrada do tipo bifásico (127/220V) automático e saída 127V</w:t>
            </w: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Forma de onrda de saída senoidal pura</w:t>
            </w: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Acesso para substituição das baterias</w:t>
            </w: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Proteções contra faltas de energia, sobretensão, subtensão, sobrecarga, picos e ruídos na rede.</w:t>
            </w: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Autonomia aproximada de 45 para carga instalada de aproximadamente 450W.</w:t>
            </w: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Garantia mínima de 12 meses</w:t>
            </w: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Modelos de referência: Manager III Senoidal NG 1500VA da fabricante SMS/Legrand ou Volt 1400 da fabricante Engetron</w:t>
            </w:r>
          </w:p>
        </w:tc>
      </w:tr>
    </w:tbl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637"/>
        <w:gridCol w:w="9356"/>
      </w:tblGrid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</w:t>
            </w:r>
          </w:p>
        </w:tc>
        <w:tc>
          <w:tcPr>
            <w:tcW w:w="93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Justificativa:</w:t>
            </w:r>
          </w:p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 aquisição do material visa o proteção dos computadores da Sec-AM, bem como a possibilidade de continuar os trabalhos por algum tempo após a queda de energia elétrica.</w:t>
            </w:r>
          </w:p>
        </w:tc>
      </w:tr>
    </w:tbl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637"/>
        <w:gridCol w:w="9356"/>
      </w:tblGrid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  <w:tc>
          <w:tcPr>
            <w:tcW w:w="93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Meta física:</w:t>
            </w:r>
          </w:p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Não tem.</w:t>
            </w:r>
          </w:p>
        </w:tc>
      </w:tr>
    </w:tbl>
    <w:p>
      <w:pPr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40" w:type="dxa"/>
      </w:tblPr>
      <w:tblGrid>
        <w:gridCol w:w="585"/>
        <w:gridCol w:w="9375"/>
      </w:tblGrid>
      <w:tr>
        <w:trPr>
          <w:trHeight w:val="1280" w:hRule="auto"/>
          <w:jc w:val="left"/>
        </w:trPr>
        <w:tc>
          <w:tcPr>
            <w:tcW w:w="5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  <w:tc>
          <w:tcPr>
            <w:tcW w:w="937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 entrega dos produtos:</w:t>
            </w:r>
          </w:p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 licitante vencedora fornecerá os produtos no prazo máximo de 15 dias corridos contados a respectiva nota de empenho. A entrega será realizada na Secretaria do Tribunal de Contas da União no Estado do Amazonas(SEC-AM)</w:t>
            </w:r>
          </w:p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Endereço: Secretaria do TCU no Estado do Amazonas, Av. Joaquim Nabuco, 1193 - Centro, Manaus - 69020-030.</w:t>
            </w:r>
          </w:p>
        </w:tc>
      </w:tr>
    </w:tbl>
    <w:p>
      <w:pPr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40" w:type="dxa"/>
      </w:tblPr>
      <w:tblGrid>
        <w:gridCol w:w="585"/>
        <w:gridCol w:w="9375"/>
      </w:tblGrid>
      <w:tr>
        <w:trPr>
          <w:trHeight w:val="580" w:hRule="auto"/>
          <w:jc w:val="left"/>
        </w:trPr>
        <w:tc>
          <w:tcPr>
            <w:tcW w:w="5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937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75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Orçamento Estimado:</w:t>
            </w:r>
          </w:p>
          <w:p>
            <w:pPr>
              <w:spacing w:before="0" w:after="0" w:line="240"/>
              <w:ind w:right="-7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Orçamento total estimado com o frete incluso de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FFFFFF" w:val="clear"/>
              </w:rPr>
              <w:t xml:space="preserve">R$ 1.800</w:t>
            </w:r>
          </w:p>
        </w:tc>
      </w:tr>
    </w:tbl>
    <w:p>
      <w:pPr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0" w:type="dxa"/>
      </w:tblPr>
      <w:tblGrid>
        <w:gridCol w:w="705"/>
        <w:gridCol w:w="3510"/>
        <w:gridCol w:w="1230"/>
        <w:gridCol w:w="1290"/>
        <w:gridCol w:w="1515"/>
        <w:gridCol w:w="1710"/>
      </w:tblGrid>
      <w:tr>
        <w:trPr>
          <w:trHeight w:val="336" w:hRule="auto"/>
          <w:jc w:val="left"/>
        </w:trPr>
        <w:tc>
          <w:tcPr>
            <w:tcW w:w="7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Item</w:t>
            </w:r>
          </w:p>
        </w:tc>
        <w:tc>
          <w:tcPr>
            <w:tcW w:w="351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Descrição</w:t>
            </w:r>
          </w:p>
        </w:tc>
        <w:tc>
          <w:tcPr>
            <w:tcW w:w="123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129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Quantidade</w:t>
            </w:r>
          </w:p>
        </w:tc>
        <w:tc>
          <w:tcPr>
            <w:tcW w:w="151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Valor Unitário</w:t>
            </w:r>
          </w:p>
        </w:tc>
        <w:tc>
          <w:tcPr>
            <w:tcW w:w="171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Valor Total</w:t>
            </w:r>
          </w:p>
        </w:tc>
      </w:tr>
      <w:tr>
        <w:trPr>
          <w:trHeight w:val="460" w:hRule="auto"/>
          <w:jc w:val="left"/>
        </w:trPr>
        <w:tc>
          <w:tcPr>
            <w:tcW w:w="70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  <w:p>
            <w:pPr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Aquisição de No-Breaks conforme descrição acima</w:t>
            </w:r>
          </w:p>
        </w:tc>
        <w:tc>
          <w:tcPr>
            <w:tcW w:w="123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Unid.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FFFFFF" w:val="clear"/>
              </w:rPr>
              <w:t xml:space="preserve">R$ 1.800,00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FFFFFF" w:val="clear"/>
              </w:rPr>
              <w:t xml:space="preserve">R$ 14.400,00</w:t>
            </w:r>
          </w:p>
        </w:tc>
      </w:tr>
    </w:tbl>
    <w:p>
      <w:pPr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630"/>
        <w:gridCol w:w="9360"/>
      </w:tblGrid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</w:t>
            </w:r>
          </w:p>
        </w:tc>
        <w:tc>
          <w:tcPr>
            <w:tcW w:w="9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Lines w:val="true"/>
              <w:spacing w:before="0" w:after="0" w:line="240"/>
              <w:ind w:right="-62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Obrigações:</w:t>
            </w:r>
          </w:p>
          <w:p>
            <w:pPr>
              <w:keepLines w:val="true"/>
              <w:spacing w:before="0" w:after="0" w:line="240"/>
              <w:ind w:right="-6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Os produtos devem ser novos, entregues em embalagem lacrada e ter garantia contra defeitos de fabricação e de funcionamento. O valor da proposta deve abranger o frete, impostos, entre outros custos. Informar marca e modelo. Em caso de desconformidade, os produtos deverão ser substituídos às custas da fornecedora. A cotação não será adjudicada em preço superior ao valor de referência.</w:t>
            </w:r>
          </w:p>
        </w:tc>
      </w:tr>
    </w:tbl>
    <w:p>
      <w:pPr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630"/>
        <w:gridCol w:w="9360"/>
      </w:tblGrid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</w:t>
            </w:r>
          </w:p>
        </w:tc>
        <w:tc>
          <w:tcPr>
            <w:tcW w:w="9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Lines w:val="true"/>
              <w:spacing w:before="0" w:after="0" w:line="240"/>
              <w:ind w:right="-62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Fiscalização/atestação:</w:t>
            </w:r>
          </w:p>
          <w:p>
            <w:pPr>
              <w:keepLines w:val="true"/>
              <w:spacing w:before="0" w:after="0" w:line="240"/>
              <w:ind w:right="-6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Secretaria do Tribunal de Contas da União no Estado do Amazonas (Sec-AM)</w:t>
            </w:r>
          </w:p>
        </w:tc>
      </w:tr>
    </w:tbl>
    <w:p>
      <w:pPr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630"/>
        <w:gridCol w:w="9360"/>
      </w:tblGrid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H</w:t>
            </w:r>
          </w:p>
        </w:tc>
        <w:tc>
          <w:tcPr>
            <w:tcW w:w="9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Lines w:val="true"/>
              <w:spacing w:before="0" w:after="0" w:line="240"/>
              <w:ind w:right="-62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Responsável pela elaboração do termo de referência:</w:t>
            </w:r>
          </w:p>
          <w:p>
            <w:pPr>
              <w:keepLines w:val="true"/>
              <w:spacing w:before="0" w:after="0" w:line="240"/>
              <w:ind w:right="-6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SGE/Dirac/Selip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615"/>
        <w:gridCol w:w="9375"/>
      </w:tblGrid>
      <w:tr>
        <w:trPr>
          <w:trHeight w:val="1600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  <w:tc>
          <w:tcPr>
            <w:tcW w:w="93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Sanção:</w:t>
            </w:r>
          </w:p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Pelo descumprimento do pacto, a contratada sujeita-se às penalidades previstas na Lei 8.666/93. </w:t>
            </w:r>
          </w:p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 Pelo atraso injustificado na prestação do serviço, após feita a autorização de fornecimento, sujeitará a fornecedora à multa de 1,00 % (um por cento) sobre o valor total da entrega, por dia de atraso.</w:t>
            </w:r>
          </w:p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 Pela inadequada prestação do serviço, sujeitar-se-á a fornecedora à multa de 10% (dez por cento) sobre o valor total do contrato.</w:t>
            </w:r>
          </w:p>
        </w:tc>
      </w:tr>
    </w:tbl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