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ED0" w:rsidRDefault="007A5822" w:rsidP="008844B4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C57EE">
        <w:rPr>
          <w:rFonts w:ascii="Times New Roman" w:hAnsi="Times New Roman"/>
          <w:b/>
          <w:sz w:val="24"/>
          <w:szCs w:val="24"/>
          <w:u w:val="single"/>
        </w:rPr>
        <w:t>PLANO AMOSTRAL</w:t>
      </w:r>
    </w:p>
    <w:p w:rsidR="00555BE5" w:rsidRPr="00996DBC" w:rsidRDefault="00555BE5" w:rsidP="00996DBC">
      <w:pPr>
        <w:pStyle w:val="Corpodetexto"/>
        <w:jc w:val="center"/>
        <w:rPr>
          <w:b/>
        </w:rPr>
      </w:pPr>
      <w:r w:rsidRPr="00555BE5">
        <w:rPr>
          <w:b/>
        </w:rPr>
        <w:t xml:space="preserve">Avaliação do percentual de benefícios de auxílio-doença calculados indevidamente pelo INSS - </w:t>
      </w:r>
      <w:r w:rsidRPr="00996DBC">
        <w:rPr>
          <w:b/>
        </w:rPr>
        <w:t xml:space="preserve">TC 012.034/2008-7, Acórdão 2205/09, ata 38/2009 - </w:t>
      </w:r>
      <w:proofErr w:type="gramStart"/>
      <w:r w:rsidRPr="00996DBC">
        <w:rPr>
          <w:b/>
        </w:rPr>
        <w:t>Plenário</w:t>
      </w:r>
      <w:proofErr w:type="gramEnd"/>
    </w:p>
    <w:p w:rsidR="00555BE5" w:rsidRPr="006D4DA2" w:rsidRDefault="00555BE5" w:rsidP="006D4DA2">
      <w:pPr>
        <w:spacing w:before="120" w:after="0"/>
        <w:rPr>
          <w:rFonts w:ascii="Times New Roman" w:hAnsi="Times New Roman"/>
          <w:b/>
          <w:i/>
          <w:sz w:val="24"/>
          <w:szCs w:val="24"/>
        </w:rPr>
      </w:pPr>
      <w:r w:rsidRPr="006D4DA2">
        <w:rPr>
          <w:rFonts w:ascii="Times New Roman" w:hAnsi="Times New Roman"/>
          <w:b/>
          <w:i/>
          <w:sz w:val="24"/>
          <w:szCs w:val="24"/>
        </w:rPr>
        <w:t>Contextualização:</w:t>
      </w:r>
    </w:p>
    <w:p w:rsidR="00555BE5" w:rsidRPr="006D4DA2" w:rsidRDefault="00555BE5" w:rsidP="006D4DA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D4DA2">
        <w:rPr>
          <w:rFonts w:ascii="Times New Roman" w:hAnsi="Times New Roman"/>
          <w:i/>
          <w:sz w:val="24"/>
          <w:szCs w:val="24"/>
        </w:rPr>
        <w:t>Em 2008, o TCU realizou auditoria operacional com o objetivo de avaliar a concessão e manutenção do auxílio-doença. Essa fiscalização seguiu-se à auditoria de regularidade no mesmo tema, realizada em 2005. A motivação para realização da auditoria foi o desconhecimento das causas do aumento expressivo dos dispêndios governamentais com os benefícios de auxílio-doença na década anterior ao ano da fiscalização</w:t>
      </w:r>
      <w:r w:rsidRPr="006D4DA2">
        <w:rPr>
          <w:rFonts w:ascii="Times New Roman" w:hAnsi="Times New Roman"/>
          <w:i/>
          <w:sz w:val="24"/>
          <w:szCs w:val="24"/>
          <w:vertAlign w:val="superscript"/>
        </w:rPr>
        <w:footnoteReference w:id="1"/>
      </w:r>
      <w:r w:rsidRPr="006D4DA2">
        <w:rPr>
          <w:rFonts w:ascii="Times New Roman" w:hAnsi="Times New Roman"/>
          <w:i/>
          <w:sz w:val="24"/>
          <w:szCs w:val="24"/>
        </w:rPr>
        <w:t>.</w:t>
      </w:r>
    </w:p>
    <w:p w:rsidR="00555BE5" w:rsidRPr="006D4DA2" w:rsidRDefault="00555BE5" w:rsidP="006D4DA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D4DA2">
        <w:rPr>
          <w:rFonts w:ascii="Times New Roman" w:hAnsi="Times New Roman"/>
          <w:i/>
          <w:sz w:val="24"/>
          <w:szCs w:val="24"/>
        </w:rPr>
        <w:t>O auxílio é um benefício previdenciário constitucional concedido aos segurados da Previdência Social que permanecem incapacitados p</w:t>
      </w:r>
      <w:bookmarkStart w:id="0" w:name="_GoBack"/>
      <w:bookmarkEnd w:id="0"/>
      <w:r w:rsidRPr="006D4DA2">
        <w:rPr>
          <w:rFonts w:ascii="Times New Roman" w:hAnsi="Times New Roman"/>
          <w:i/>
          <w:sz w:val="24"/>
          <w:szCs w:val="24"/>
        </w:rPr>
        <w:t>ara o exercício de seu trabalho em função de doença ou de acidente por um período maior do que 15 dias consecutivos. O benefício é concedido pelo Instituto Nacional do Seguro Social (INSS)</w:t>
      </w:r>
      <w:r w:rsidR="00996DBC" w:rsidRPr="006D4DA2">
        <w:rPr>
          <w:rFonts w:ascii="Times New Roman" w:hAnsi="Times New Roman"/>
          <w:i/>
          <w:sz w:val="24"/>
          <w:szCs w:val="24"/>
        </w:rPr>
        <w:t xml:space="preserve"> por meio do </w:t>
      </w:r>
      <w:r w:rsidRPr="006D4DA2">
        <w:rPr>
          <w:rFonts w:ascii="Times New Roman" w:hAnsi="Times New Roman"/>
          <w:i/>
          <w:sz w:val="24"/>
          <w:szCs w:val="24"/>
        </w:rPr>
        <w:t>Sistema de Administração de Benefício por Incapacidade (</w:t>
      </w:r>
      <w:proofErr w:type="spellStart"/>
      <w:r w:rsidRPr="006D4DA2">
        <w:rPr>
          <w:rFonts w:ascii="Times New Roman" w:hAnsi="Times New Roman"/>
          <w:i/>
          <w:sz w:val="24"/>
          <w:szCs w:val="24"/>
        </w:rPr>
        <w:t>Sabi</w:t>
      </w:r>
      <w:proofErr w:type="spellEnd"/>
      <w:r w:rsidRPr="006D4DA2">
        <w:rPr>
          <w:rFonts w:ascii="Times New Roman" w:hAnsi="Times New Roman"/>
          <w:i/>
          <w:sz w:val="24"/>
          <w:szCs w:val="24"/>
        </w:rPr>
        <w:t>).</w:t>
      </w:r>
    </w:p>
    <w:p w:rsidR="00996DBC" w:rsidRPr="006D4DA2" w:rsidRDefault="00996DBC" w:rsidP="006D4DA2">
      <w:pPr>
        <w:spacing w:after="12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D4DA2">
        <w:rPr>
          <w:rFonts w:ascii="Times New Roman" w:hAnsi="Times New Roman"/>
          <w:i/>
          <w:sz w:val="24"/>
          <w:szCs w:val="24"/>
        </w:rPr>
        <w:t xml:space="preserve">Um dos problemas detectados durante a auditoria foi que o Sistema </w:t>
      </w:r>
      <w:proofErr w:type="spellStart"/>
      <w:r w:rsidRPr="006D4DA2">
        <w:rPr>
          <w:rFonts w:ascii="Times New Roman" w:hAnsi="Times New Roman"/>
          <w:i/>
          <w:sz w:val="24"/>
          <w:szCs w:val="24"/>
        </w:rPr>
        <w:t>Sabi</w:t>
      </w:r>
      <w:proofErr w:type="spellEnd"/>
      <w:r w:rsidRPr="006D4DA2">
        <w:rPr>
          <w:rFonts w:ascii="Times New Roman" w:hAnsi="Times New Roman"/>
          <w:i/>
          <w:sz w:val="24"/>
          <w:szCs w:val="24"/>
        </w:rPr>
        <w:t xml:space="preserve"> não identificou como pendência, para alguns benefícios, vínculos empregatícios que estavam, indevidamente, duplicados. Esse problema tende a resultar em cálculo a maior da renda mensal, que pode chegar ao dobro do que seria devido, caso a duplicidade recaia sobre todo o período. Como forma de avaliar a dimensão do problema, foi extraída dos bancos de dados da Previdência Social uma amostra aleatória de 400 benefícios concedidos em janeiro e fevereiro de 2008, que tiveram seus cálculos conferidos pela equipe de auditoria.</w:t>
      </w:r>
    </w:p>
    <w:p w:rsidR="00F56ED0" w:rsidRDefault="00F56ED0" w:rsidP="00832385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356A2">
        <w:rPr>
          <w:rFonts w:ascii="Times New Roman" w:hAnsi="Times New Roman"/>
          <w:b/>
          <w:sz w:val="24"/>
          <w:szCs w:val="24"/>
        </w:rPr>
        <w:t>I – Elementos Amostrais:</w:t>
      </w:r>
      <w:r>
        <w:rPr>
          <w:rFonts w:ascii="Times New Roman" w:hAnsi="Times New Roman"/>
          <w:sz w:val="24"/>
          <w:szCs w:val="24"/>
        </w:rPr>
        <w:t xml:space="preserve"> </w:t>
      </w:r>
      <w:r w:rsidR="000F20F1">
        <w:rPr>
          <w:rFonts w:ascii="Times New Roman" w:hAnsi="Times New Roman"/>
          <w:sz w:val="24"/>
          <w:szCs w:val="24"/>
        </w:rPr>
        <w:t xml:space="preserve">Os elementos amostrais eram os </w:t>
      </w:r>
      <w:r>
        <w:rPr>
          <w:rFonts w:ascii="Times New Roman" w:hAnsi="Times New Roman"/>
          <w:sz w:val="24"/>
          <w:szCs w:val="24"/>
        </w:rPr>
        <w:t xml:space="preserve">processos de </w:t>
      </w:r>
      <w:r w:rsidR="00832385">
        <w:rPr>
          <w:rFonts w:ascii="Times New Roman" w:hAnsi="Times New Roman"/>
          <w:sz w:val="24"/>
          <w:szCs w:val="24"/>
        </w:rPr>
        <w:t>concessão de benefícios de auxílio-doença durante os meses de janeiro e fevereiro de 2008, excluídos os</w:t>
      </w:r>
      <w:r w:rsidR="00832385" w:rsidRPr="00832385">
        <w:rPr>
          <w:rFonts w:ascii="Times New Roman" w:hAnsi="Times New Roman"/>
          <w:sz w:val="24"/>
          <w:szCs w:val="24"/>
        </w:rPr>
        <w:t xml:space="preserve"> que possuíam informação de benefício anterior e os que se referiam a pagamento de pensão alimentícia</w:t>
      </w:r>
      <w:r w:rsidR="00832385">
        <w:rPr>
          <w:rFonts w:ascii="Times New Roman" w:hAnsi="Times New Roman"/>
          <w:sz w:val="24"/>
          <w:szCs w:val="24"/>
        </w:rPr>
        <w:t>.</w:t>
      </w:r>
    </w:p>
    <w:p w:rsidR="00F56ED0" w:rsidRDefault="00B356A2" w:rsidP="00832385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3197C">
        <w:rPr>
          <w:rFonts w:ascii="Times New Roman" w:hAnsi="Times New Roman"/>
          <w:b/>
          <w:sz w:val="24"/>
          <w:szCs w:val="24"/>
        </w:rPr>
        <w:t>II – Tamanho da população:</w:t>
      </w:r>
      <w:r>
        <w:rPr>
          <w:rFonts w:ascii="Times New Roman" w:hAnsi="Times New Roman"/>
          <w:sz w:val="24"/>
          <w:szCs w:val="24"/>
        </w:rPr>
        <w:t xml:space="preserve"> </w:t>
      </w:r>
      <w:r w:rsidR="00832385">
        <w:rPr>
          <w:rFonts w:ascii="Times New Roman" w:hAnsi="Times New Roman"/>
          <w:sz w:val="24"/>
          <w:szCs w:val="24"/>
        </w:rPr>
        <w:t>O universo resultante era de 296.715 processos</w:t>
      </w:r>
      <w:r>
        <w:rPr>
          <w:rFonts w:ascii="Times New Roman" w:hAnsi="Times New Roman"/>
          <w:sz w:val="24"/>
          <w:szCs w:val="24"/>
        </w:rPr>
        <w:t>.</w:t>
      </w:r>
    </w:p>
    <w:p w:rsidR="00832385" w:rsidRDefault="005663EA" w:rsidP="00832385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63EA">
        <w:rPr>
          <w:rFonts w:ascii="Times New Roman" w:hAnsi="Times New Roman"/>
          <w:b/>
          <w:sz w:val="24"/>
          <w:szCs w:val="24"/>
        </w:rPr>
        <w:t>III – Parâmetro estimado:</w:t>
      </w:r>
      <w:r>
        <w:rPr>
          <w:rFonts w:ascii="Times New Roman" w:hAnsi="Times New Roman"/>
          <w:sz w:val="24"/>
          <w:szCs w:val="24"/>
        </w:rPr>
        <w:t xml:space="preserve"> </w:t>
      </w:r>
      <w:r w:rsidR="00832385">
        <w:rPr>
          <w:rFonts w:ascii="Times New Roman" w:hAnsi="Times New Roman"/>
          <w:sz w:val="24"/>
          <w:szCs w:val="24"/>
        </w:rPr>
        <w:t>Percentual</w:t>
      </w:r>
      <w:r>
        <w:rPr>
          <w:rFonts w:ascii="Times New Roman" w:hAnsi="Times New Roman"/>
          <w:sz w:val="24"/>
          <w:szCs w:val="24"/>
        </w:rPr>
        <w:t xml:space="preserve"> de processos de </w:t>
      </w:r>
      <w:r w:rsidR="00832385">
        <w:rPr>
          <w:rFonts w:ascii="Times New Roman" w:hAnsi="Times New Roman"/>
          <w:sz w:val="24"/>
          <w:szCs w:val="24"/>
        </w:rPr>
        <w:t xml:space="preserve">concessão de auxílio-doença calculados indevidamente a maior em decorrência de vínculos empregatícios considerados em duplicidade pelo Sistema </w:t>
      </w:r>
      <w:proofErr w:type="spellStart"/>
      <w:r w:rsidR="00832385">
        <w:rPr>
          <w:rFonts w:ascii="Times New Roman" w:hAnsi="Times New Roman"/>
          <w:sz w:val="24"/>
          <w:szCs w:val="24"/>
        </w:rPr>
        <w:t>Sabi</w:t>
      </w:r>
      <w:proofErr w:type="spellEnd"/>
      <w:r w:rsidR="00832385">
        <w:rPr>
          <w:rFonts w:ascii="Times New Roman" w:hAnsi="Times New Roman"/>
          <w:sz w:val="24"/>
          <w:szCs w:val="24"/>
        </w:rPr>
        <w:t>.</w:t>
      </w:r>
    </w:p>
    <w:p w:rsidR="00B97704" w:rsidRDefault="0049331F" w:rsidP="00832385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73197C" w:rsidRPr="00123E3A">
        <w:rPr>
          <w:rFonts w:ascii="Times New Roman" w:hAnsi="Times New Roman"/>
          <w:b/>
          <w:sz w:val="24"/>
          <w:szCs w:val="24"/>
        </w:rPr>
        <w:t>V – Moldura de amostragem:</w:t>
      </w:r>
      <w:r w:rsidR="0073197C">
        <w:rPr>
          <w:rFonts w:ascii="Times New Roman" w:hAnsi="Times New Roman"/>
          <w:sz w:val="24"/>
          <w:szCs w:val="24"/>
        </w:rPr>
        <w:t xml:space="preserve"> </w:t>
      </w:r>
      <w:r w:rsidR="00B97704">
        <w:rPr>
          <w:rFonts w:ascii="Times New Roman" w:hAnsi="Times New Roman"/>
          <w:sz w:val="24"/>
          <w:szCs w:val="24"/>
        </w:rPr>
        <w:t xml:space="preserve">Foi utilizado </w:t>
      </w:r>
      <w:r w:rsidR="00B97704" w:rsidRPr="00B97704">
        <w:rPr>
          <w:rFonts w:ascii="Times New Roman" w:hAnsi="Times New Roman"/>
          <w:sz w:val="24"/>
          <w:szCs w:val="24"/>
        </w:rPr>
        <w:t>banco de dado</w:t>
      </w:r>
      <w:r w:rsidR="00D50D48">
        <w:rPr>
          <w:rFonts w:ascii="Times New Roman" w:hAnsi="Times New Roman"/>
          <w:sz w:val="24"/>
          <w:szCs w:val="24"/>
        </w:rPr>
        <w:t>s</w:t>
      </w:r>
      <w:r w:rsidR="00B97704" w:rsidRPr="00B97704">
        <w:rPr>
          <w:rFonts w:ascii="Times New Roman" w:hAnsi="Times New Roman"/>
          <w:sz w:val="24"/>
          <w:szCs w:val="24"/>
        </w:rPr>
        <w:t xml:space="preserve"> de concessões</w:t>
      </w:r>
      <w:r w:rsidR="00B97704">
        <w:rPr>
          <w:rFonts w:ascii="Times New Roman" w:hAnsi="Times New Roman"/>
          <w:sz w:val="24"/>
          <w:szCs w:val="24"/>
        </w:rPr>
        <w:t xml:space="preserve"> dos benefícios de auxílio-doença nos meses de janeiro e fevereiro de 2008 do </w:t>
      </w:r>
      <w:r w:rsidR="00B97704" w:rsidRPr="00B97704">
        <w:rPr>
          <w:rFonts w:ascii="Times New Roman" w:hAnsi="Times New Roman"/>
          <w:sz w:val="24"/>
          <w:szCs w:val="24"/>
        </w:rPr>
        <w:t xml:space="preserve">Sistema </w:t>
      </w:r>
      <w:proofErr w:type="spellStart"/>
      <w:r w:rsidR="00B97704" w:rsidRPr="00B97704">
        <w:rPr>
          <w:rFonts w:ascii="Times New Roman" w:hAnsi="Times New Roman"/>
          <w:sz w:val="24"/>
          <w:szCs w:val="24"/>
        </w:rPr>
        <w:t>Maiprev</w:t>
      </w:r>
      <w:proofErr w:type="spellEnd"/>
      <w:r w:rsidR="00B97704">
        <w:rPr>
          <w:rFonts w:ascii="Times New Roman" w:hAnsi="Times New Roman"/>
          <w:sz w:val="24"/>
          <w:szCs w:val="24"/>
        </w:rPr>
        <w:t>, utilizado pelo Ministério da Previdência Social</w:t>
      </w:r>
      <w:r w:rsidR="00EB7266">
        <w:rPr>
          <w:rFonts w:ascii="Times New Roman" w:hAnsi="Times New Roman"/>
          <w:sz w:val="24"/>
          <w:szCs w:val="24"/>
        </w:rPr>
        <w:t xml:space="preserve">, excluídos os que </w:t>
      </w:r>
      <w:r w:rsidR="00EB7266" w:rsidRPr="00832385">
        <w:rPr>
          <w:rFonts w:ascii="Times New Roman" w:hAnsi="Times New Roman"/>
          <w:sz w:val="24"/>
          <w:szCs w:val="24"/>
        </w:rPr>
        <w:t>possuíam informação de benefício anterior e os que se referiam a pagamento de pensão alimentícia</w:t>
      </w:r>
      <w:r w:rsidR="00EB7266">
        <w:rPr>
          <w:rFonts w:ascii="Times New Roman" w:hAnsi="Times New Roman"/>
          <w:sz w:val="24"/>
          <w:szCs w:val="24"/>
        </w:rPr>
        <w:t>.</w:t>
      </w:r>
    </w:p>
    <w:p w:rsidR="0049331F" w:rsidRDefault="0049331F" w:rsidP="00832385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23E3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 xml:space="preserve"> – Tipo de amostragem: </w:t>
      </w:r>
      <w:r w:rsidRPr="0049331F">
        <w:rPr>
          <w:rFonts w:ascii="Times New Roman" w:hAnsi="Times New Roman"/>
          <w:sz w:val="24"/>
          <w:szCs w:val="24"/>
        </w:rPr>
        <w:t>Amostragem aleatória simples.</w:t>
      </w:r>
    </w:p>
    <w:p w:rsidR="0073197C" w:rsidRDefault="00123E3A" w:rsidP="00832385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23E3A">
        <w:rPr>
          <w:rFonts w:ascii="Times New Roman" w:hAnsi="Times New Roman"/>
          <w:b/>
          <w:sz w:val="24"/>
          <w:szCs w:val="24"/>
        </w:rPr>
        <w:t>V</w:t>
      </w:r>
      <w:r w:rsidR="005663EA">
        <w:rPr>
          <w:rFonts w:ascii="Times New Roman" w:hAnsi="Times New Roman"/>
          <w:b/>
          <w:sz w:val="24"/>
          <w:szCs w:val="24"/>
        </w:rPr>
        <w:t>I</w:t>
      </w:r>
      <w:r w:rsidRPr="00123E3A">
        <w:rPr>
          <w:rFonts w:ascii="Times New Roman" w:hAnsi="Times New Roman"/>
          <w:b/>
          <w:sz w:val="24"/>
          <w:szCs w:val="24"/>
        </w:rPr>
        <w:t xml:space="preserve"> – Margem de erro e Nível de Confiança:</w:t>
      </w:r>
      <w:r>
        <w:rPr>
          <w:rFonts w:ascii="Times New Roman" w:hAnsi="Times New Roman"/>
          <w:sz w:val="24"/>
          <w:szCs w:val="24"/>
        </w:rPr>
        <w:t xml:space="preserve"> </w:t>
      </w:r>
      <w:r w:rsidR="00C552A4" w:rsidRPr="00C552A4">
        <w:rPr>
          <w:rFonts w:ascii="Times New Roman" w:hAnsi="Times New Roman"/>
          <w:sz w:val="24"/>
          <w:szCs w:val="24"/>
        </w:rPr>
        <w:t xml:space="preserve">Considerou-se um nível de confiança de 95% e uma margem de erro de </w:t>
      </w:r>
      <w:proofErr w:type="gramStart"/>
      <w:r w:rsidR="00C552A4" w:rsidRPr="00C552A4">
        <w:rPr>
          <w:rFonts w:ascii="Times New Roman" w:hAnsi="Times New Roman"/>
          <w:sz w:val="24"/>
          <w:szCs w:val="24"/>
        </w:rPr>
        <w:t>5</w:t>
      </w:r>
      <w:proofErr w:type="gramEnd"/>
      <w:r w:rsidR="00C552A4" w:rsidRPr="00C552A4">
        <w:rPr>
          <w:rFonts w:ascii="Times New Roman" w:hAnsi="Times New Roman"/>
          <w:sz w:val="24"/>
          <w:szCs w:val="24"/>
        </w:rPr>
        <w:t xml:space="preserve"> pontos percentuais.</w:t>
      </w:r>
    </w:p>
    <w:p w:rsidR="0049331F" w:rsidRPr="00B97704" w:rsidRDefault="0049331F" w:rsidP="0049331F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97704">
        <w:rPr>
          <w:rFonts w:ascii="Times New Roman" w:hAnsi="Times New Roman"/>
          <w:b/>
          <w:sz w:val="24"/>
          <w:szCs w:val="24"/>
        </w:rPr>
        <w:t>V</w:t>
      </w:r>
      <w:r w:rsidR="00221756">
        <w:rPr>
          <w:rFonts w:ascii="Times New Roman" w:hAnsi="Times New Roman"/>
          <w:b/>
          <w:sz w:val="24"/>
          <w:szCs w:val="24"/>
        </w:rPr>
        <w:t>II</w:t>
      </w:r>
      <w:r w:rsidRPr="00B97704">
        <w:rPr>
          <w:rFonts w:ascii="Times New Roman" w:hAnsi="Times New Roman"/>
          <w:b/>
          <w:sz w:val="24"/>
          <w:szCs w:val="24"/>
        </w:rPr>
        <w:t xml:space="preserve"> – Tamanho da amostra examinada:</w:t>
      </w:r>
      <w:r w:rsidRPr="00B97704">
        <w:rPr>
          <w:rFonts w:ascii="Times New Roman" w:hAnsi="Times New Roman"/>
          <w:sz w:val="24"/>
          <w:szCs w:val="24"/>
        </w:rPr>
        <w:t xml:space="preserve"> Foram examinados 400 processos sorteados aleatoriamente. Como não havia uma informação adequada para se poder estimar a variância da característica examinada no interior da população, optou-se por uma solução conservadora. Assim, a fórmula de cálculo considerou a variância máxima possível. A partir do resultado obtido, decidiu-se arredondar o tamanho da amostra para 400 processos.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7704">
        <w:rPr>
          <w:rFonts w:ascii="Times New Roman" w:hAnsi="Times New Roman"/>
          <w:sz w:val="24"/>
          <w:szCs w:val="24"/>
        </w:rPr>
        <w:t>Cálculo do tamanho da amostra:</w:t>
      </w:r>
    </w:p>
    <w:p w:rsidR="0049331F" w:rsidRPr="00480F8C" w:rsidRDefault="0049331F" w:rsidP="0049331F">
      <w:pPr>
        <w:jc w:val="center"/>
        <w:rPr>
          <w:sz w:val="32"/>
          <w:szCs w:val="32"/>
        </w:rPr>
      </w:pPr>
      <m:oMath>
        <m:r>
          <w:rPr>
            <w:rFonts w:ascii="Cambria Math" w:hAnsi="Cambria Math"/>
            <w:noProof/>
            <w:sz w:val="28"/>
            <w:szCs w:val="28"/>
          </w:rPr>
          <m:t>n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.p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1-p</m:t>
                </m:r>
              </m:e>
            </m:d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480F8C">
        <w:rPr>
          <w:sz w:val="32"/>
          <w:szCs w:val="32"/>
        </w:rPr>
        <w:t>.</w:t>
      </w:r>
    </w:p>
    <w:p w:rsidR="0049331F" w:rsidRDefault="0049331F" w:rsidP="0049331F">
      <w:pPr>
        <w:spacing w:after="0"/>
        <w:jc w:val="center"/>
        <w:rPr>
          <w:sz w:val="28"/>
          <w:szCs w:val="28"/>
        </w:rPr>
      </w:pPr>
      <m:oMath>
        <m:r>
          <w:rPr>
            <w:rFonts w:ascii="Cambria Math" w:hAnsi="Cambria Math"/>
            <w:noProof/>
            <w:sz w:val="28"/>
            <w:szCs w:val="28"/>
          </w:rPr>
          <m:t>n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1,96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.0,5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1-0,5</m:t>
                </m:r>
              </m:e>
            </m:d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0.05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=384,16</m:t>
        </m:r>
      </m:oMath>
      <w:r w:rsidRPr="006C35D5">
        <w:rPr>
          <w:sz w:val="28"/>
          <w:szCs w:val="28"/>
        </w:rPr>
        <w:t>.</w:t>
      </w:r>
    </w:p>
    <w:p w:rsidR="00221756" w:rsidRDefault="00221756" w:rsidP="002217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FCA">
        <w:rPr>
          <w:rFonts w:ascii="Times New Roman" w:hAnsi="Times New Roman"/>
          <w:b/>
          <w:sz w:val="24"/>
          <w:szCs w:val="24"/>
        </w:rPr>
        <w:lastRenderedPageBreak/>
        <w:t>VI</w:t>
      </w:r>
      <w:r>
        <w:rPr>
          <w:rFonts w:ascii="Times New Roman" w:hAnsi="Times New Roman"/>
          <w:b/>
          <w:sz w:val="24"/>
          <w:szCs w:val="24"/>
        </w:rPr>
        <w:t>I</w:t>
      </w:r>
      <w:r w:rsidR="00D50D48">
        <w:rPr>
          <w:rFonts w:ascii="Times New Roman" w:hAnsi="Times New Roman"/>
          <w:b/>
          <w:sz w:val="24"/>
          <w:szCs w:val="24"/>
        </w:rPr>
        <w:t>I</w:t>
      </w:r>
      <w:r w:rsidRPr="00424FCA">
        <w:rPr>
          <w:rFonts w:ascii="Times New Roman" w:hAnsi="Times New Roman"/>
          <w:b/>
          <w:sz w:val="24"/>
          <w:szCs w:val="24"/>
        </w:rPr>
        <w:t xml:space="preserve"> – Método de seleção dos elementos amostrais: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Os números de benefícios foram ordenados aleatoriamente, tendo sido selecionados os primeiros 400.</w:t>
      </w:r>
    </w:p>
    <w:p w:rsidR="00221756" w:rsidRPr="006C35D5" w:rsidRDefault="00221756" w:rsidP="0049331F">
      <w:pPr>
        <w:spacing w:after="0"/>
        <w:jc w:val="center"/>
        <w:rPr>
          <w:sz w:val="28"/>
          <w:szCs w:val="28"/>
        </w:rPr>
      </w:pPr>
    </w:p>
    <w:sectPr w:rsidR="00221756" w:rsidRPr="006C35D5" w:rsidSect="000D54E4">
      <w:footerReference w:type="default" r:id="rId8"/>
      <w:pgSz w:w="11906" w:h="16838"/>
      <w:pgMar w:top="1134" w:right="567" w:bottom="851" w:left="1134" w:header="851" w:footer="65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D2A" w:rsidRDefault="00D76D2A" w:rsidP="007A5822">
      <w:pPr>
        <w:spacing w:after="0" w:line="240" w:lineRule="auto"/>
      </w:pPr>
      <w:r>
        <w:separator/>
      </w:r>
    </w:p>
  </w:endnote>
  <w:endnote w:type="continuationSeparator" w:id="0">
    <w:p w:rsidR="00D76D2A" w:rsidRDefault="00D76D2A" w:rsidP="007A5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822" w:rsidRPr="007A5822" w:rsidRDefault="007A5822" w:rsidP="007A5822">
    <w:pPr>
      <w:pStyle w:val="Rodap"/>
      <w:tabs>
        <w:tab w:val="clear" w:pos="4252"/>
        <w:tab w:val="clear" w:pos="8504"/>
        <w:tab w:val="right" w:pos="9638"/>
      </w:tabs>
      <w:rPr>
        <w:rFonts w:ascii="Times New Roman" w:hAnsi="Times New Roman"/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D2A" w:rsidRDefault="00D76D2A" w:rsidP="007A5822">
      <w:pPr>
        <w:spacing w:after="0" w:line="240" w:lineRule="auto"/>
      </w:pPr>
      <w:r>
        <w:separator/>
      </w:r>
    </w:p>
  </w:footnote>
  <w:footnote w:type="continuationSeparator" w:id="0">
    <w:p w:rsidR="00D76D2A" w:rsidRDefault="00D76D2A" w:rsidP="007A5822">
      <w:pPr>
        <w:spacing w:after="0" w:line="240" w:lineRule="auto"/>
      </w:pPr>
      <w:r>
        <w:continuationSeparator/>
      </w:r>
    </w:p>
  </w:footnote>
  <w:footnote w:id="1">
    <w:p w:rsidR="00555BE5" w:rsidRPr="00555BE5" w:rsidRDefault="00555BE5" w:rsidP="00555BE5">
      <w:pPr>
        <w:pStyle w:val="Textodenotaderodap"/>
        <w:jc w:val="both"/>
      </w:pPr>
      <w:r>
        <w:rPr>
          <w:rStyle w:val="Refdenotaderodap"/>
        </w:rPr>
        <w:footnoteRef/>
      </w:r>
      <w:r w:rsidR="002C44D8">
        <w:t xml:space="preserve"> </w:t>
      </w:r>
      <w:r w:rsidRPr="00924EC8">
        <w:t>O número de benefícios concedidos elevou-se de 909 mil, em 2000, para 2,1 milhões, em 2007. As despesas anuais correspondentes elevaram-se de R$ 3,1 bilhões para R$ 16,1 bilhões no mesmo período.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952D9"/>
    <w:multiLevelType w:val="hybridMultilevel"/>
    <w:tmpl w:val="DBE43740"/>
    <w:lvl w:ilvl="0" w:tplc="1584CD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7C60F6"/>
    <w:multiLevelType w:val="hybridMultilevel"/>
    <w:tmpl w:val="21424E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56ED0"/>
    <w:rsid w:val="000673EE"/>
    <w:rsid w:val="00096A58"/>
    <w:rsid w:val="000A11F6"/>
    <w:rsid w:val="000D54E4"/>
    <w:rsid w:val="000F20F1"/>
    <w:rsid w:val="00123E3A"/>
    <w:rsid w:val="00165C37"/>
    <w:rsid w:val="00181DC9"/>
    <w:rsid w:val="00184509"/>
    <w:rsid w:val="001A2EB0"/>
    <w:rsid w:val="001E0AF2"/>
    <w:rsid w:val="00205528"/>
    <w:rsid w:val="00216D25"/>
    <w:rsid w:val="00221756"/>
    <w:rsid w:val="002A3F29"/>
    <w:rsid w:val="002C44D8"/>
    <w:rsid w:val="002E3CA5"/>
    <w:rsid w:val="00376BE1"/>
    <w:rsid w:val="003A118F"/>
    <w:rsid w:val="003D177C"/>
    <w:rsid w:val="003F770E"/>
    <w:rsid w:val="00416BC7"/>
    <w:rsid w:val="00424FCA"/>
    <w:rsid w:val="00431D8D"/>
    <w:rsid w:val="004628C2"/>
    <w:rsid w:val="00465B2D"/>
    <w:rsid w:val="00472B22"/>
    <w:rsid w:val="00493210"/>
    <w:rsid w:val="0049331F"/>
    <w:rsid w:val="004C57EE"/>
    <w:rsid w:val="00555BE5"/>
    <w:rsid w:val="005663EA"/>
    <w:rsid w:val="00575339"/>
    <w:rsid w:val="00590359"/>
    <w:rsid w:val="005B4F39"/>
    <w:rsid w:val="006558CB"/>
    <w:rsid w:val="00662B48"/>
    <w:rsid w:val="006660DE"/>
    <w:rsid w:val="00682B9B"/>
    <w:rsid w:val="00696742"/>
    <w:rsid w:val="006B50FA"/>
    <w:rsid w:val="006C35D5"/>
    <w:rsid w:val="006C5BDF"/>
    <w:rsid w:val="006D4DA2"/>
    <w:rsid w:val="006E0841"/>
    <w:rsid w:val="0072485E"/>
    <w:rsid w:val="00731595"/>
    <w:rsid w:val="0073197C"/>
    <w:rsid w:val="00737CB9"/>
    <w:rsid w:val="007A2F08"/>
    <w:rsid w:val="007A5822"/>
    <w:rsid w:val="00832385"/>
    <w:rsid w:val="008844B4"/>
    <w:rsid w:val="008B6DFC"/>
    <w:rsid w:val="008C1766"/>
    <w:rsid w:val="008D7869"/>
    <w:rsid w:val="008E0689"/>
    <w:rsid w:val="008E177A"/>
    <w:rsid w:val="00920EBC"/>
    <w:rsid w:val="00932835"/>
    <w:rsid w:val="00954D3D"/>
    <w:rsid w:val="009640F1"/>
    <w:rsid w:val="0097053A"/>
    <w:rsid w:val="0098639A"/>
    <w:rsid w:val="00996DBC"/>
    <w:rsid w:val="009D6734"/>
    <w:rsid w:val="00A37FA1"/>
    <w:rsid w:val="00A531B4"/>
    <w:rsid w:val="00A84B8D"/>
    <w:rsid w:val="00AD2AD6"/>
    <w:rsid w:val="00B257A0"/>
    <w:rsid w:val="00B356A2"/>
    <w:rsid w:val="00B97704"/>
    <w:rsid w:val="00BD09DD"/>
    <w:rsid w:val="00C552A4"/>
    <w:rsid w:val="00D50D48"/>
    <w:rsid w:val="00D76D2A"/>
    <w:rsid w:val="00D92C62"/>
    <w:rsid w:val="00D96520"/>
    <w:rsid w:val="00DF42D0"/>
    <w:rsid w:val="00E4433C"/>
    <w:rsid w:val="00E67A62"/>
    <w:rsid w:val="00EB7266"/>
    <w:rsid w:val="00EF5A3A"/>
    <w:rsid w:val="00F17900"/>
    <w:rsid w:val="00F21CDA"/>
    <w:rsid w:val="00F40715"/>
    <w:rsid w:val="00F515FA"/>
    <w:rsid w:val="00F566EA"/>
    <w:rsid w:val="00F56ED0"/>
    <w:rsid w:val="00F701B8"/>
    <w:rsid w:val="00FB3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CA5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56ED0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3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356A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7A582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semiHidden/>
    <w:rsid w:val="007A5822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semiHidden/>
    <w:unhideWhenUsed/>
    <w:rsid w:val="007A5822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semiHidden/>
    <w:rsid w:val="007A5822"/>
    <w:rPr>
      <w:sz w:val="22"/>
      <w:szCs w:val="22"/>
      <w:lang w:eastAsia="en-US"/>
    </w:rPr>
  </w:style>
  <w:style w:type="paragraph" w:styleId="Textodenotaderodap">
    <w:name w:val="footnote text"/>
    <w:basedOn w:val="Normal"/>
    <w:link w:val="TextodenotaderodapChar"/>
    <w:semiHidden/>
    <w:rsid w:val="00555BE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TextodenotaderodapChar">
    <w:name w:val="Texto de nota de rodapé Char"/>
    <w:link w:val="Textodenotaderodap"/>
    <w:semiHidden/>
    <w:rsid w:val="00555BE5"/>
    <w:rPr>
      <w:rFonts w:ascii="Times New Roman" w:eastAsia="Times New Roman" w:hAnsi="Times New Roman"/>
    </w:rPr>
  </w:style>
  <w:style w:type="character" w:styleId="Refdenotaderodap">
    <w:name w:val="footnote reference"/>
    <w:semiHidden/>
    <w:rsid w:val="00555BE5"/>
    <w:rPr>
      <w:vertAlign w:val="superscript"/>
    </w:rPr>
  </w:style>
  <w:style w:type="paragraph" w:styleId="Corpodetexto">
    <w:name w:val="Body Text"/>
    <w:basedOn w:val="Normal"/>
    <w:link w:val="CorpodetextoChar"/>
    <w:uiPriority w:val="99"/>
    <w:unhideWhenUsed/>
    <w:rsid w:val="00555BE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CorpodetextoChar">
    <w:name w:val="Corpo de texto Char"/>
    <w:link w:val="Corpodetexto"/>
    <w:uiPriority w:val="99"/>
    <w:rsid w:val="00555BE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56ED0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3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356A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7A582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semiHidden/>
    <w:rsid w:val="007A5822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semiHidden/>
    <w:unhideWhenUsed/>
    <w:rsid w:val="007A5822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semiHidden/>
    <w:rsid w:val="007A5822"/>
    <w:rPr>
      <w:sz w:val="22"/>
      <w:szCs w:val="22"/>
      <w:lang w:eastAsia="en-US"/>
    </w:rPr>
  </w:style>
  <w:style w:type="paragraph" w:styleId="Textodenotaderodap">
    <w:name w:val="footnote text"/>
    <w:basedOn w:val="Normal"/>
    <w:link w:val="TextodenotaderodapChar"/>
    <w:semiHidden/>
    <w:rsid w:val="00555BE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TextodenotaderodapChar">
    <w:name w:val="Texto de nota de rodapé Char"/>
    <w:link w:val="Textodenotaderodap"/>
    <w:semiHidden/>
    <w:rsid w:val="00555BE5"/>
    <w:rPr>
      <w:rFonts w:ascii="Times New Roman" w:eastAsia="Times New Roman" w:hAnsi="Times New Roman"/>
    </w:rPr>
  </w:style>
  <w:style w:type="character" w:styleId="Refdenotaderodap">
    <w:name w:val="footnote reference"/>
    <w:semiHidden/>
    <w:rsid w:val="00555BE5"/>
    <w:rPr>
      <w:vertAlign w:val="superscript"/>
    </w:rPr>
  </w:style>
  <w:style w:type="paragraph" w:styleId="Corpodetexto">
    <w:name w:val="Body Text"/>
    <w:basedOn w:val="Normal"/>
    <w:link w:val="CorpodetextoChar"/>
    <w:uiPriority w:val="99"/>
    <w:unhideWhenUsed/>
    <w:rsid w:val="00555BE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CorpodetextoChar">
    <w:name w:val="Corpo de texto Char"/>
    <w:link w:val="Corpodetexto"/>
    <w:uiPriority w:val="99"/>
    <w:rsid w:val="00555BE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9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F3DBF58-E676-481C-BED3-3A4E1A354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520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TCU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julianeml</dc:creator>
  <cp:lastModifiedBy>.</cp:lastModifiedBy>
  <cp:revision>13</cp:revision>
  <dcterms:created xsi:type="dcterms:W3CDTF">2012-11-25T21:40:00Z</dcterms:created>
  <dcterms:modified xsi:type="dcterms:W3CDTF">2012-12-12T11:00:00Z</dcterms:modified>
</cp:coreProperties>
</file>