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D0" w:rsidRPr="004C57EE" w:rsidRDefault="00D15D47" w:rsidP="008575E0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RESULTADOS DA AMOSTRA</w:t>
      </w:r>
    </w:p>
    <w:p w:rsidR="003066BA" w:rsidRDefault="00F56ED0" w:rsidP="0045705F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56A2">
        <w:rPr>
          <w:rFonts w:ascii="Times New Roman" w:hAnsi="Times New Roman"/>
          <w:b/>
          <w:sz w:val="24"/>
          <w:szCs w:val="24"/>
        </w:rPr>
        <w:t xml:space="preserve">I – </w:t>
      </w:r>
      <w:r w:rsidR="00A9081A">
        <w:rPr>
          <w:rFonts w:ascii="Times New Roman" w:hAnsi="Times New Roman"/>
          <w:b/>
          <w:sz w:val="24"/>
          <w:szCs w:val="24"/>
        </w:rPr>
        <w:t xml:space="preserve">Amostra válida: </w:t>
      </w:r>
      <w:r w:rsidR="00FC1117" w:rsidRPr="00FC1117">
        <w:rPr>
          <w:rFonts w:ascii="Times New Roman" w:hAnsi="Times New Roman"/>
          <w:sz w:val="24"/>
          <w:szCs w:val="24"/>
        </w:rPr>
        <w:t>A amostra válida, de 400 benefícios, tem a mesmo valor da amostra feita, pois a seleção dos benefícios para a definição do universo já procurou retirar as concessões que não se aplicavam à análise. Por exemplo, nos meses de janeiro e fevereiro de 2008 houve 330.330 concessões de benefícios de auxílio-doença. Entretanto, entre estes haviam sido incluídos benefícios prorrogados (possuíam informação de benefício anterior) e os que se referiam a pagamento de pensão alimentícia. Esses casos foram excluídos, o que resultou em um universo de 296.715.</w:t>
      </w:r>
      <w:r w:rsidR="00A9081A" w:rsidRPr="00A9081A">
        <w:rPr>
          <w:rFonts w:ascii="Times New Roman" w:hAnsi="Times New Roman"/>
          <w:sz w:val="24"/>
          <w:szCs w:val="24"/>
        </w:rPr>
        <w:t xml:space="preserve"> </w:t>
      </w:r>
    </w:p>
    <w:p w:rsidR="00A66A20" w:rsidRDefault="00A9081A" w:rsidP="0045705F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 – </w:t>
      </w:r>
      <w:r w:rsidR="00D15D47">
        <w:rPr>
          <w:rFonts w:ascii="Times New Roman" w:hAnsi="Times New Roman"/>
          <w:b/>
          <w:sz w:val="24"/>
          <w:szCs w:val="24"/>
        </w:rPr>
        <w:t>Estimativa encontrada</w:t>
      </w:r>
      <w:r w:rsidR="00F56ED0" w:rsidRPr="00B356A2">
        <w:rPr>
          <w:rFonts w:ascii="Times New Roman" w:hAnsi="Times New Roman"/>
          <w:b/>
          <w:sz w:val="24"/>
          <w:szCs w:val="24"/>
        </w:rPr>
        <w:t>:</w:t>
      </w:r>
      <w:r w:rsidR="00F56ED0">
        <w:rPr>
          <w:rFonts w:ascii="Times New Roman" w:hAnsi="Times New Roman"/>
          <w:sz w:val="24"/>
          <w:szCs w:val="24"/>
        </w:rPr>
        <w:t xml:space="preserve"> </w:t>
      </w:r>
      <w:r w:rsidR="00A66A20">
        <w:rPr>
          <w:rFonts w:ascii="Times New Roman" w:hAnsi="Times New Roman"/>
          <w:sz w:val="24"/>
          <w:szCs w:val="24"/>
        </w:rPr>
        <w:t xml:space="preserve">Apurou-se que </w:t>
      </w:r>
      <w:r w:rsidR="00A66A20" w:rsidRPr="00A66A20">
        <w:rPr>
          <w:rFonts w:ascii="Times New Roman" w:hAnsi="Times New Roman"/>
          <w:sz w:val="24"/>
          <w:szCs w:val="24"/>
        </w:rPr>
        <w:t>2,75% dos benefícios analisados apresentaram valores</w:t>
      </w:r>
      <w:r w:rsidR="00A66A20">
        <w:rPr>
          <w:rFonts w:ascii="Times New Roman" w:hAnsi="Times New Roman"/>
          <w:sz w:val="24"/>
          <w:szCs w:val="24"/>
        </w:rPr>
        <w:t xml:space="preserve"> calculados a maior (11 em 400), conforme tabela a seguir.</w:t>
      </w:r>
    </w:p>
    <w:p w:rsidR="00A66A20" w:rsidRPr="00382F2A" w:rsidRDefault="00A66A20" w:rsidP="0045705F">
      <w:pPr>
        <w:pStyle w:val="Legenda"/>
        <w:spacing w:before="120" w:after="0"/>
        <w:rPr>
          <w:b/>
          <w:sz w:val="20"/>
          <w:szCs w:val="20"/>
        </w:rPr>
      </w:pPr>
      <w:r w:rsidRPr="00DD4433">
        <w:rPr>
          <w:b/>
          <w:sz w:val="20"/>
          <w:szCs w:val="20"/>
        </w:rPr>
        <w:t xml:space="preserve">Tabela </w:t>
      </w:r>
      <w:r w:rsidR="00580478" w:rsidRPr="00DD4433">
        <w:rPr>
          <w:b/>
          <w:sz w:val="20"/>
          <w:szCs w:val="20"/>
        </w:rPr>
        <w:fldChar w:fldCharType="begin"/>
      </w:r>
      <w:r w:rsidRPr="00DD4433">
        <w:rPr>
          <w:b/>
          <w:sz w:val="20"/>
          <w:szCs w:val="20"/>
        </w:rPr>
        <w:instrText xml:space="preserve"> SEQ Tabela \* ARABIC </w:instrText>
      </w:r>
      <w:r w:rsidR="00580478" w:rsidRPr="00DD4433"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1</w:t>
      </w:r>
      <w:r w:rsidR="00580478" w:rsidRPr="00DD4433">
        <w:rPr>
          <w:b/>
          <w:sz w:val="20"/>
          <w:szCs w:val="20"/>
        </w:rPr>
        <w:fldChar w:fldCharType="end"/>
      </w:r>
      <w:r w:rsidRPr="00DD4433">
        <w:rPr>
          <w:b/>
          <w:sz w:val="20"/>
          <w:szCs w:val="20"/>
        </w:rPr>
        <w:t xml:space="preserve"> – Diferença apurada na RMI para uma amostra de benefícios de auxílio-doença concedidos em janeiro e</w:t>
      </w:r>
      <w:r w:rsidRPr="00382F2A">
        <w:rPr>
          <w:b/>
          <w:sz w:val="20"/>
          <w:szCs w:val="20"/>
        </w:rPr>
        <w:t xml:space="preserve"> fevereiro de 2008 em função de cômputo em duplicidade de vínculos empregatícios</w:t>
      </w:r>
    </w:p>
    <w:tbl>
      <w:tblPr>
        <w:tblW w:w="7802" w:type="dxa"/>
        <w:jc w:val="center"/>
        <w:tblBorders>
          <w:top w:val="single" w:sz="8" w:space="0" w:color="31849B"/>
          <w:left w:val="single" w:sz="8" w:space="0" w:color="31849B"/>
          <w:bottom w:val="single" w:sz="8" w:space="0" w:color="31849B"/>
          <w:right w:val="single" w:sz="8" w:space="0" w:color="31849B"/>
          <w:insideH w:val="single" w:sz="8" w:space="0" w:color="31849B"/>
          <w:insideV w:val="single" w:sz="8" w:space="0" w:color="31849B"/>
        </w:tblBorders>
        <w:tblLayout w:type="fixed"/>
        <w:tblLook w:val="04A0"/>
      </w:tblPr>
      <w:tblGrid>
        <w:gridCol w:w="1703"/>
        <w:gridCol w:w="1703"/>
        <w:gridCol w:w="1703"/>
        <w:gridCol w:w="1703"/>
        <w:gridCol w:w="990"/>
      </w:tblGrid>
      <w:tr w:rsidR="00A66A20" w:rsidRPr="0059560D" w:rsidTr="0045705F">
        <w:trPr>
          <w:trHeight w:val="528"/>
          <w:jc w:val="center"/>
        </w:trPr>
        <w:tc>
          <w:tcPr>
            <w:tcW w:w="1703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20"/>
                <w:szCs w:val="20"/>
              </w:rPr>
            </w:pPr>
            <w:r w:rsidRPr="00C33D3A">
              <w:rPr>
                <w:b/>
                <w:bCs/>
                <w:sz w:val="20"/>
                <w:szCs w:val="20"/>
              </w:rPr>
              <w:t>Número do benefício</w:t>
            </w:r>
          </w:p>
        </w:tc>
        <w:tc>
          <w:tcPr>
            <w:tcW w:w="1703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center"/>
              <w:rPr>
                <w:rFonts w:eastAsia="Cambria" w:cs="Arial"/>
                <w:b/>
                <w:bCs/>
                <w:sz w:val="20"/>
                <w:szCs w:val="20"/>
              </w:rPr>
            </w:pPr>
            <w:r w:rsidRPr="00C33D3A">
              <w:rPr>
                <w:rFonts w:cs="Arial"/>
                <w:b/>
                <w:bCs/>
                <w:sz w:val="20"/>
                <w:szCs w:val="20"/>
              </w:rPr>
              <w:t>RMI calculada pelo INSS</w:t>
            </w:r>
          </w:p>
        </w:tc>
        <w:tc>
          <w:tcPr>
            <w:tcW w:w="1703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20"/>
                <w:szCs w:val="20"/>
              </w:rPr>
            </w:pPr>
            <w:r w:rsidRPr="00C33D3A">
              <w:rPr>
                <w:b/>
                <w:bCs/>
                <w:sz w:val="20"/>
                <w:szCs w:val="20"/>
              </w:rPr>
              <w:t>RMI calculada com base no CNIS</w:t>
            </w:r>
          </w:p>
        </w:tc>
        <w:tc>
          <w:tcPr>
            <w:tcW w:w="1703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20"/>
                <w:szCs w:val="20"/>
              </w:rPr>
            </w:pPr>
            <w:r w:rsidRPr="00C33D3A">
              <w:rPr>
                <w:b/>
                <w:bCs/>
                <w:sz w:val="20"/>
                <w:szCs w:val="20"/>
              </w:rPr>
              <w:t>Diferença</w:t>
            </w:r>
          </w:p>
        </w:tc>
        <w:tc>
          <w:tcPr>
            <w:tcW w:w="990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20"/>
                <w:szCs w:val="20"/>
              </w:rPr>
            </w:pPr>
            <w:r w:rsidRPr="00C33D3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5227627483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 w:cs="Arial"/>
                <w:sz w:val="18"/>
                <w:szCs w:val="18"/>
              </w:rPr>
            </w:pPr>
            <w:r w:rsidRPr="00A46B9C">
              <w:rPr>
                <w:rFonts w:cs="Arial"/>
                <w:sz w:val="18"/>
                <w:szCs w:val="18"/>
              </w:rPr>
              <w:t>1067,34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863,16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204,17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19,13%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5227835590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 w:cs="Arial"/>
                <w:sz w:val="18"/>
                <w:szCs w:val="18"/>
              </w:rPr>
            </w:pPr>
            <w:r w:rsidRPr="00A46B9C">
              <w:rPr>
                <w:rFonts w:cs="Arial"/>
                <w:sz w:val="18"/>
                <w:szCs w:val="18"/>
              </w:rPr>
              <w:t>1652,49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1457,24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195,24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11,81%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5233817558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851,86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809,64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42,22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4,96%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5246596547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 w:cs="Arial"/>
                <w:sz w:val="18"/>
                <w:szCs w:val="18"/>
              </w:rPr>
            </w:pPr>
            <w:r w:rsidRPr="00A46B9C">
              <w:rPr>
                <w:rFonts w:cs="Arial"/>
                <w:sz w:val="18"/>
                <w:szCs w:val="18"/>
              </w:rPr>
              <w:t>1266,51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1147,91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118,60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9,36%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5255996250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651,32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 xml:space="preserve">514,34 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136,98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21,03%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5266486917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672,34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615,73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56,61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8,42%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5266535896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 w:cs="Arial"/>
                <w:sz w:val="18"/>
                <w:szCs w:val="18"/>
              </w:rPr>
            </w:pPr>
            <w:r w:rsidRPr="00A46B9C">
              <w:rPr>
                <w:rFonts w:cs="Arial"/>
                <w:sz w:val="18"/>
                <w:szCs w:val="18"/>
              </w:rPr>
              <w:t>1.797,25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1793,54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3,70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0,21%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5266587039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482,41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 xml:space="preserve">350,01 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132,40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27,44%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5270660349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 w:cs="Arial"/>
                <w:sz w:val="18"/>
                <w:szCs w:val="18"/>
              </w:rPr>
            </w:pPr>
            <w:r w:rsidRPr="00A46B9C">
              <w:rPr>
                <w:rFonts w:cs="Arial"/>
                <w:sz w:val="18"/>
                <w:szCs w:val="18"/>
              </w:rPr>
              <w:t>1.544,62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1273,84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270,78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17,53%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5281257532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582,92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 xml:space="preserve">500,69 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82,23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14,11%</w:t>
            </w:r>
          </w:p>
        </w:tc>
      </w:tr>
      <w:tr w:rsidR="00A66A20" w:rsidRPr="00A46B9C" w:rsidTr="00A66A20">
        <w:trPr>
          <w:trHeight w:val="227"/>
          <w:jc w:val="center"/>
        </w:trPr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sz w:val="18"/>
                <w:szCs w:val="18"/>
              </w:rPr>
            </w:pPr>
            <w:r w:rsidRPr="00A46B9C">
              <w:rPr>
                <w:b/>
                <w:bCs/>
                <w:sz w:val="18"/>
                <w:szCs w:val="18"/>
              </w:rPr>
              <w:t>5287087272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410,09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405,38</w:t>
            </w:r>
          </w:p>
        </w:tc>
        <w:tc>
          <w:tcPr>
            <w:tcW w:w="1703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4,70</w:t>
            </w:r>
          </w:p>
        </w:tc>
        <w:tc>
          <w:tcPr>
            <w:tcW w:w="990" w:type="dxa"/>
            <w:shd w:val="clear" w:color="auto" w:fill="DAEEF3"/>
            <w:noWrap/>
          </w:tcPr>
          <w:p w:rsidR="00A66A20" w:rsidRPr="00A46B9C" w:rsidRDefault="00A66A20" w:rsidP="0045705F">
            <w:pPr>
              <w:spacing w:after="0" w:line="240" w:lineRule="auto"/>
              <w:jc w:val="right"/>
              <w:rPr>
                <w:rFonts w:eastAsia="Cambria"/>
                <w:sz w:val="18"/>
                <w:szCs w:val="18"/>
              </w:rPr>
            </w:pPr>
            <w:r w:rsidRPr="00A46B9C">
              <w:rPr>
                <w:sz w:val="18"/>
                <w:szCs w:val="18"/>
              </w:rPr>
              <w:t>1,15%</w:t>
            </w:r>
          </w:p>
        </w:tc>
      </w:tr>
      <w:tr w:rsidR="00A66A20" w:rsidRPr="0059560D" w:rsidTr="00A66A20">
        <w:trPr>
          <w:trHeight w:val="300"/>
          <w:jc w:val="center"/>
        </w:trPr>
        <w:tc>
          <w:tcPr>
            <w:tcW w:w="1703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center"/>
              <w:rPr>
                <w:rFonts w:eastAsia="Cambria"/>
                <w:b/>
                <w:bCs/>
                <w:color w:val="000000"/>
                <w:sz w:val="20"/>
                <w:szCs w:val="20"/>
              </w:rPr>
            </w:pPr>
            <w:r w:rsidRPr="00C33D3A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03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right"/>
              <w:rPr>
                <w:rFonts w:eastAsia="Cambria"/>
                <w:color w:val="000000"/>
                <w:sz w:val="20"/>
                <w:szCs w:val="20"/>
              </w:rPr>
            </w:pPr>
            <w:r w:rsidRPr="00C33D3A">
              <w:rPr>
                <w:color w:val="000000"/>
                <w:sz w:val="20"/>
                <w:szCs w:val="20"/>
              </w:rPr>
              <w:t>10979,15</w:t>
            </w:r>
          </w:p>
        </w:tc>
        <w:tc>
          <w:tcPr>
            <w:tcW w:w="1703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right"/>
              <w:rPr>
                <w:rFonts w:eastAsia="Cambria"/>
                <w:color w:val="000000"/>
                <w:sz w:val="20"/>
                <w:szCs w:val="20"/>
              </w:rPr>
            </w:pPr>
            <w:r w:rsidRPr="00C33D3A">
              <w:rPr>
                <w:color w:val="000000"/>
                <w:sz w:val="20"/>
                <w:szCs w:val="20"/>
              </w:rPr>
              <w:t>9731,51</w:t>
            </w:r>
          </w:p>
        </w:tc>
        <w:tc>
          <w:tcPr>
            <w:tcW w:w="1703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right"/>
              <w:rPr>
                <w:rFonts w:eastAsia="Cambria"/>
                <w:sz w:val="20"/>
                <w:szCs w:val="20"/>
              </w:rPr>
            </w:pPr>
            <w:r w:rsidRPr="00C33D3A">
              <w:rPr>
                <w:sz w:val="20"/>
                <w:szCs w:val="20"/>
              </w:rPr>
              <w:t>1247,63</w:t>
            </w:r>
          </w:p>
        </w:tc>
        <w:tc>
          <w:tcPr>
            <w:tcW w:w="990" w:type="dxa"/>
            <w:shd w:val="clear" w:color="auto" w:fill="92CDDC"/>
            <w:noWrap/>
          </w:tcPr>
          <w:p w:rsidR="00A66A20" w:rsidRPr="00C33D3A" w:rsidRDefault="00A66A20" w:rsidP="0045705F">
            <w:pPr>
              <w:spacing w:after="0" w:line="240" w:lineRule="auto"/>
              <w:jc w:val="right"/>
              <w:rPr>
                <w:rFonts w:eastAsia="Cambria"/>
                <w:sz w:val="20"/>
                <w:szCs w:val="20"/>
              </w:rPr>
            </w:pPr>
            <w:r w:rsidRPr="00C33D3A">
              <w:rPr>
                <w:sz w:val="20"/>
                <w:szCs w:val="20"/>
              </w:rPr>
              <w:t>11,36%</w:t>
            </w:r>
          </w:p>
        </w:tc>
      </w:tr>
    </w:tbl>
    <w:p w:rsidR="00A66A20" w:rsidRDefault="00A66A20" w:rsidP="0045705F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1A0" w:rsidRDefault="000B61A0" w:rsidP="000B61A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</w:t>
      </w:r>
      <w:r w:rsidRPr="005663EA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Nível de confiança</w:t>
      </w:r>
      <w:r w:rsidRPr="005663EA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95%.</w:t>
      </w:r>
    </w:p>
    <w:p w:rsidR="0045705F" w:rsidRDefault="00B356A2" w:rsidP="0045705F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97C">
        <w:rPr>
          <w:rFonts w:ascii="Times New Roman" w:hAnsi="Times New Roman"/>
          <w:b/>
          <w:sz w:val="24"/>
          <w:szCs w:val="24"/>
        </w:rPr>
        <w:t>I</w:t>
      </w:r>
      <w:r w:rsidR="000B61A0">
        <w:rPr>
          <w:rFonts w:ascii="Times New Roman" w:hAnsi="Times New Roman"/>
          <w:b/>
          <w:sz w:val="24"/>
          <w:szCs w:val="24"/>
        </w:rPr>
        <w:t>V</w:t>
      </w:r>
      <w:r w:rsidRPr="0073197C">
        <w:rPr>
          <w:rFonts w:ascii="Times New Roman" w:hAnsi="Times New Roman"/>
          <w:b/>
          <w:sz w:val="24"/>
          <w:szCs w:val="24"/>
        </w:rPr>
        <w:t xml:space="preserve"> – </w:t>
      </w:r>
      <w:r w:rsidR="00D15D47">
        <w:rPr>
          <w:rFonts w:ascii="Times New Roman" w:hAnsi="Times New Roman"/>
          <w:b/>
          <w:sz w:val="24"/>
          <w:szCs w:val="24"/>
        </w:rPr>
        <w:t>Intervalo de confiança</w:t>
      </w:r>
      <w:r w:rsidRPr="0073197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45705F">
        <w:rPr>
          <w:rFonts w:ascii="Times New Roman" w:hAnsi="Times New Roman"/>
          <w:sz w:val="24"/>
          <w:szCs w:val="24"/>
        </w:rPr>
        <w:t>O intervalo de confiança é calculado pela fórmula:</w:t>
      </w:r>
    </w:p>
    <w:p w:rsidR="0045705F" w:rsidRPr="008E20B3" w:rsidRDefault="0045705F" w:rsidP="0045705F">
      <w:pPr>
        <w:spacing w:before="120" w:after="0" w:line="240" w:lineRule="auto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IC=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- Z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.(1-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)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rad>
          <m:r>
            <w:rPr>
              <w:rFonts w:ascii="Cambria Math" w:hAnsi="Cambria Math"/>
            </w:rPr>
            <m:t>;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 xml:space="preserve"> Z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.(1-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)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rad>
        </m:oMath>
      </m:oMathPara>
    </w:p>
    <w:p w:rsidR="0045705F" w:rsidRPr="008E20B3" w:rsidRDefault="0045705F" w:rsidP="0045705F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IC=0,0275- 1,96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0,0275.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1-0,0275 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400</m:t>
                  </m:r>
                </m:den>
              </m:f>
            </m:e>
          </m:rad>
          <m:r>
            <w:rPr>
              <w:rFonts w:ascii="Cambria Math" w:hAnsi="Cambria Math"/>
            </w:rPr>
            <m:t>;0,0275+</m:t>
          </m:r>
          <m:r>
            <w:rPr>
              <w:rFonts w:ascii="Cambria Math" w:hAnsi="Cambria Math"/>
            </w:rPr>
            <m:t>1,96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0,0275.(1-0,0275 )</m:t>
                  </m:r>
                </m:num>
                <m:den>
                  <m:r>
                    <w:rPr>
                      <w:rFonts w:ascii="Cambria Math" w:hAnsi="Cambria Math"/>
                    </w:rPr>
                    <m:t>400</m:t>
                  </m:r>
                </m:den>
              </m:f>
            </m:e>
          </m:rad>
        </m:oMath>
      </m:oMathPara>
    </w:p>
    <w:p w:rsidR="00F56ED0" w:rsidRDefault="00284E3F" w:rsidP="0045705F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Assim, o intervalo de confiança é: </w:t>
      </w:r>
      <w:r w:rsidR="00D15D47">
        <w:rPr>
          <w:rFonts w:ascii="Times New Roman" w:hAnsi="Times New Roman"/>
          <w:sz w:val="24"/>
          <w:szCs w:val="24"/>
        </w:rPr>
        <w:t>IC = [</w:t>
      </w:r>
      <w:r w:rsidR="00A66A20">
        <w:rPr>
          <w:rFonts w:ascii="Times New Roman" w:hAnsi="Times New Roman"/>
          <w:sz w:val="24"/>
          <w:szCs w:val="24"/>
        </w:rPr>
        <w:t>1,15</w:t>
      </w:r>
      <w:r w:rsidR="00D15D47">
        <w:rPr>
          <w:rFonts w:ascii="Times New Roman" w:hAnsi="Times New Roman"/>
          <w:sz w:val="24"/>
          <w:szCs w:val="24"/>
        </w:rPr>
        <w:t xml:space="preserve">%; </w:t>
      </w:r>
      <w:r w:rsidR="00A66A20">
        <w:rPr>
          <w:rFonts w:ascii="Times New Roman" w:hAnsi="Times New Roman"/>
          <w:sz w:val="24"/>
          <w:szCs w:val="24"/>
        </w:rPr>
        <w:t>4</w:t>
      </w:r>
      <w:r w:rsidR="00D15D47">
        <w:rPr>
          <w:rFonts w:ascii="Times New Roman" w:hAnsi="Times New Roman"/>
          <w:sz w:val="24"/>
          <w:szCs w:val="24"/>
        </w:rPr>
        <w:t>,3</w:t>
      </w:r>
      <w:r w:rsidR="00A66A20">
        <w:rPr>
          <w:rFonts w:ascii="Times New Roman" w:hAnsi="Times New Roman"/>
          <w:sz w:val="24"/>
          <w:szCs w:val="24"/>
        </w:rPr>
        <w:t>5</w:t>
      </w:r>
      <w:r w:rsidR="00D15D47">
        <w:rPr>
          <w:rFonts w:ascii="Times New Roman" w:hAnsi="Times New Roman"/>
          <w:sz w:val="24"/>
          <w:szCs w:val="24"/>
        </w:rPr>
        <w:t>%]</w:t>
      </w:r>
      <w:r>
        <w:rPr>
          <w:rFonts w:ascii="Times New Roman" w:hAnsi="Times New Roman"/>
          <w:sz w:val="24"/>
          <w:szCs w:val="24"/>
        </w:rPr>
        <w:t>. O erro amostral calculado foi de apenas 1,6 pontos percentuais aproximadamente.</w:t>
      </w:r>
      <w:bookmarkStart w:id="0" w:name="_GoBack"/>
      <w:bookmarkEnd w:id="0"/>
    </w:p>
    <w:p w:rsidR="004F0568" w:rsidRDefault="004F0568" w:rsidP="0045705F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568">
        <w:rPr>
          <w:rFonts w:ascii="Times New Roman" w:hAnsi="Times New Roman"/>
          <w:b/>
          <w:sz w:val="24"/>
          <w:szCs w:val="24"/>
        </w:rPr>
        <w:t>V – Riscos e limitações do trabalho:</w:t>
      </w:r>
      <w:r>
        <w:rPr>
          <w:rFonts w:ascii="Times New Roman" w:hAnsi="Times New Roman"/>
          <w:sz w:val="24"/>
          <w:szCs w:val="24"/>
        </w:rPr>
        <w:t xml:space="preserve"> </w:t>
      </w:r>
      <w:r w:rsidR="00A66A20">
        <w:rPr>
          <w:rFonts w:ascii="Times New Roman" w:hAnsi="Times New Roman"/>
          <w:sz w:val="24"/>
          <w:szCs w:val="24"/>
        </w:rPr>
        <w:t>Em decorrência do</w:t>
      </w:r>
      <w:r>
        <w:rPr>
          <w:rFonts w:ascii="Times New Roman" w:hAnsi="Times New Roman"/>
          <w:sz w:val="24"/>
          <w:szCs w:val="24"/>
        </w:rPr>
        <w:t xml:space="preserve"> uso da técnica de amostragem (exame de uma parte e não do todo), a probabilidade de a amostra observada não refletir a população em foco</w:t>
      </w:r>
      <w:r w:rsidR="00A66A20">
        <w:rPr>
          <w:rFonts w:ascii="Times New Roman" w:hAnsi="Times New Roman"/>
          <w:sz w:val="24"/>
          <w:szCs w:val="24"/>
        </w:rPr>
        <w:t>, o nível de significância,</w:t>
      </w:r>
      <w:r>
        <w:rPr>
          <w:rFonts w:ascii="Times New Roman" w:hAnsi="Times New Roman"/>
          <w:sz w:val="24"/>
          <w:szCs w:val="24"/>
        </w:rPr>
        <w:t xml:space="preserve"> é de </w:t>
      </w:r>
      <w:r w:rsidR="00A66A2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% (100% - N</w:t>
      </w:r>
      <w:r w:rsidR="0006357F">
        <w:rPr>
          <w:rFonts w:ascii="Times New Roman" w:hAnsi="Times New Roman"/>
          <w:sz w:val="24"/>
          <w:szCs w:val="24"/>
        </w:rPr>
        <w:t xml:space="preserve">ível de </w:t>
      </w:r>
      <w:r>
        <w:rPr>
          <w:rFonts w:ascii="Times New Roman" w:hAnsi="Times New Roman"/>
          <w:sz w:val="24"/>
          <w:szCs w:val="24"/>
        </w:rPr>
        <w:t>C</w:t>
      </w:r>
      <w:r w:rsidR="0006357F">
        <w:rPr>
          <w:rFonts w:ascii="Times New Roman" w:hAnsi="Times New Roman"/>
          <w:sz w:val="24"/>
          <w:szCs w:val="24"/>
        </w:rPr>
        <w:t>onfiança</w:t>
      </w:r>
      <w:r>
        <w:rPr>
          <w:rFonts w:ascii="Times New Roman" w:hAnsi="Times New Roman"/>
          <w:sz w:val="24"/>
          <w:szCs w:val="24"/>
        </w:rPr>
        <w:t>).</w:t>
      </w:r>
    </w:p>
    <w:p w:rsidR="00123E3A" w:rsidRDefault="005663EA" w:rsidP="0045705F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A9081A">
        <w:rPr>
          <w:rFonts w:ascii="Times New Roman" w:hAnsi="Times New Roman"/>
          <w:b/>
          <w:sz w:val="24"/>
          <w:szCs w:val="24"/>
        </w:rPr>
        <w:t>I</w:t>
      </w:r>
      <w:r w:rsidR="00B356A2" w:rsidRPr="0073197C">
        <w:rPr>
          <w:rFonts w:ascii="Times New Roman" w:hAnsi="Times New Roman"/>
          <w:b/>
          <w:sz w:val="24"/>
          <w:szCs w:val="24"/>
        </w:rPr>
        <w:t xml:space="preserve"> – </w:t>
      </w:r>
      <w:r w:rsidR="004F0568">
        <w:rPr>
          <w:rFonts w:ascii="Times New Roman" w:hAnsi="Times New Roman"/>
          <w:b/>
          <w:sz w:val="24"/>
          <w:szCs w:val="24"/>
        </w:rPr>
        <w:t>Conclusão</w:t>
      </w:r>
      <w:r w:rsidR="0079443F">
        <w:rPr>
          <w:rFonts w:ascii="Times New Roman" w:hAnsi="Times New Roman"/>
          <w:b/>
          <w:sz w:val="24"/>
          <w:szCs w:val="24"/>
        </w:rPr>
        <w:t xml:space="preserve">: </w:t>
      </w:r>
      <w:r w:rsidR="0045705F" w:rsidRPr="0045705F">
        <w:rPr>
          <w:rFonts w:ascii="Times New Roman" w:hAnsi="Times New Roman"/>
          <w:sz w:val="24"/>
          <w:szCs w:val="24"/>
        </w:rPr>
        <w:t xml:space="preserve">Ao se considerar o universo de benefícios concedidos, </w:t>
      </w:r>
      <w:r w:rsidR="0045705F">
        <w:rPr>
          <w:rFonts w:ascii="Times New Roman" w:hAnsi="Times New Roman"/>
          <w:sz w:val="24"/>
          <w:szCs w:val="24"/>
        </w:rPr>
        <w:t>o percentual de inconformidades</w:t>
      </w:r>
      <w:r w:rsidR="0045705F" w:rsidRPr="0045705F">
        <w:rPr>
          <w:rFonts w:ascii="Times New Roman" w:hAnsi="Times New Roman"/>
          <w:sz w:val="24"/>
          <w:szCs w:val="24"/>
        </w:rPr>
        <w:t xml:space="preserve"> pode variar entre 1,15% e 4,35% para um de nível de confiança de 95%. Considerando apenas o menor percentual estimado dentro do intervalo de confiança, o efeito do problema ao longo de 12 meses pode gerar 20.426 benefícios com pagamentos a maior.</w:t>
      </w:r>
    </w:p>
    <w:p w:rsidR="00424FCA" w:rsidRDefault="00424FCA" w:rsidP="008575E0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424FCA" w:rsidSect="00284E3F">
      <w:footerReference w:type="default" r:id="rId7"/>
      <w:pgSz w:w="11906" w:h="16838"/>
      <w:pgMar w:top="1134" w:right="567" w:bottom="851" w:left="1134" w:header="851" w:footer="65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A32" w:rsidRDefault="00382A32" w:rsidP="007A5822">
      <w:pPr>
        <w:spacing w:after="0" w:line="240" w:lineRule="auto"/>
      </w:pPr>
      <w:r>
        <w:separator/>
      </w:r>
    </w:p>
  </w:endnote>
  <w:endnote w:type="continuationSeparator" w:id="0">
    <w:p w:rsidR="00382A32" w:rsidRDefault="00382A32" w:rsidP="007A5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97" w:rsidRPr="007A5822" w:rsidRDefault="00A66E97" w:rsidP="007A5822">
    <w:pPr>
      <w:pStyle w:val="Rodap"/>
      <w:tabs>
        <w:tab w:val="clear" w:pos="4252"/>
        <w:tab w:val="clear" w:pos="8504"/>
        <w:tab w:val="right" w:pos="9638"/>
      </w:tabs>
      <w:rPr>
        <w:rFonts w:ascii="Times New Roman" w:hAnsi="Times New Roman"/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A32" w:rsidRDefault="00382A32" w:rsidP="007A5822">
      <w:pPr>
        <w:spacing w:after="0" w:line="240" w:lineRule="auto"/>
      </w:pPr>
      <w:r>
        <w:separator/>
      </w:r>
    </w:p>
  </w:footnote>
  <w:footnote w:type="continuationSeparator" w:id="0">
    <w:p w:rsidR="00382A32" w:rsidRDefault="00382A32" w:rsidP="007A5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F0318"/>
    <w:multiLevelType w:val="hybridMultilevel"/>
    <w:tmpl w:val="E11200C4"/>
    <w:lvl w:ilvl="0" w:tplc="35DCA9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952D9"/>
    <w:multiLevelType w:val="hybridMultilevel"/>
    <w:tmpl w:val="DBE43740"/>
    <w:lvl w:ilvl="0" w:tplc="1584C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E5574"/>
    <w:multiLevelType w:val="hybridMultilevel"/>
    <w:tmpl w:val="4320AEBA"/>
    <w:lvl w:ilvl="0" w:tplc="D0083D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07F53"/>
    <w:multiLevelType w:val="hybridMultilevel"/>
    <w:tmpl w:val="2E969CBE"/>
    <w:lvl w:ilvl="0" w:tplc="AB44C4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56ED0"/>
    <w:rsid w:val="0000236D"/>
    <w:rsid w:val="00004954"/>
    <w:rsid w:val="0006357F"/>
    <w:rsid w:val="000A680C"/>
    <w:rsid w:val="000B61A0"/>
    <w:rsid w:val="00123E3A"/>
    <w:rsid w:val="00147192"/>
    <w:rsid w:val="00165C37"/>
    <w:rsid w:val="00171083"/>
    <w:rsid w:val="00173E47"/>
    <w:rsid w:val="001A2EB0"/>
    <w:rsid w:val="001A6A03"/>
    <w:rsid w:val="001B102E"/>
    <w:rsid w:val="001C0F3B"/>
    <w:rsid w:val="001E3B83"/>
    <w:rsid w:val="001F2A6D"/>
    <w:rsid w:val="00217325"/>
    <w:rsid w:val="00223FD8"/>
    <w:rsid w:val="00253883"/>
    <w:rsid w:val="00284E3F"/>
    <w:rsid w:val="002F1DC9"/>
    <w:rsid w:val="00303115"/>
    <w:rsid w:val="003066BA"/>
    <w:rsid w:val="00313B33"/>
    <w:rsid w:val="0037626F"/>
    <w:rsid w:val="00382A32"/>
    <w:rsid w:val="003B293E"/>
    <w:rsid w:val="003F0F85"/>
    <w:rsid w:val="003F770E"/>
    <w:rsid w:val="004139DC"/>
    <w:rsid w:val="00424FCA"/>
    <w:rsid w:val="0043280D"/>
    <w:rsid w:val="00440B94"/>
    <w:rsid w:val="00453C5C"/>
    <w:rsid w:val="0045705F"/>
    <w:rsid w:val="00461FF2"/>
    <w:rsid w:val="004B4382"/>
    <w:rsid w:val="004B4E74"/>
    <w:rsid w:val="004C50BF"/>
    <w:rsid w:val="004C57EE"/>
    <w:rsid w:val="004D043D"/>
    <w:rsid w:val="004D07BC"/>
    <w:rsid w:val="004F0568"/>
    <w:rsid w:val="005663EA"/>
    <w:rsid w:val="00580478"/>
    <w:rsid w:val="00595D05"/>
    <w:rsid w:val="005A5AA7"/>
    <w:rsid w:val="005D28AA"/>
    <w:rsid w:val="00622712"/>
    <w:rsid w:val="00682B9B"/>
    <w:rsid w:val="006B18DF"/>
    <w:rsid w:val="006E0841"/>
    <w:rsid w:val="0072252A"/>
    <w:rsid w:val="0073197C"/>
    <w:rsid w:val="00743341"/>
    <w:rsid w:val="0076342A"/>
    <w:rsid w:val="007857FA"/>
    <w:rsid w:val="0079443F"/>
    <w:rsid w:val="007A2C8A"/>
    <w:rsid w:val="007A5822"/>
    <w:rsid w:val="007B33B7"/>
    <w:rsid w:val="007F69EE"/>
    <w:rsid w:val="0080556A"/>
    <w:rsid w:val="008361E6"/>
    <w:rsid w:val="00847C0E"/>
    <w:rsid w:val="00852F57"/>
    <w:rsid w:val="008575E0"/>
    <w:rsid w:val="00890BB3"/>
    <w:rsid w:val="008B6DFC"/>
    <w:rsid w:val="008C1766"/>
    <w:rsid w:val="008E177A"/>
    <w:rsid w:val="008E20B3"/>
    <w:rsid w:val="00924836"/>
    <w:rsid w:val="00954002"/>
    <w:rsid w:val="009C6DBE"/>
    <w:rsid w:val="009D2360"/>
    <w:rsid w:val="009D6734"/>
    <w:rsid w:val="00A07A96"/>
    <w:rsid w:val="00A37FA1"/>
    <w:rsid w:val="00A52A6A"/>
    <w:rsid w:val="00A666E6"/>
    <w:rsid w:val="00A66A20"/>
    <w:rsid w:val="00A66E97"/>
    <w:rsid w:val="00A779FD"/>
    <w:rsid w:val="00A9081A"/>
    <w:rsid w:val="00A934A3"/>
    <w:rsid w:val="00AE7745"/>
    <w:rsid w:val="00AF571B"/>
    <w:rsid w:val="00AF5E0D"/>
    <w:rsid w:val="00B06E0C"/>
    <w:rsid w:val="00B356A2"/>
    <w:rsid w:val="00C701FC"/>
    <w:rsid w:val="00C73800"/>
    <w:rsid w:val="00CD090B"/>
    <w:rsid w:val="00CD6510"/>
    <w:rsid w:val="00CE7935"/>
    <w:rsid w:val="00D15D47"/>
    <w:rsid w:val="00D44178"/>
    <w:rsid w:val="00D626E7"/>
    <w:rsid w:val="00D7442F"/>
    <w:rsid w:val="00D96520"/>
    <w:rsid w:val="00DA79DA"/>
    <w:rsid w:val="00DB49D8"/>
    <w:rsid w:val="00DF42D0"/>
    <w:rsid w:val="00E06942"/>
    <w:rsid w:val="00E4433C"/>
    <w:rsid w:val="00E53F82"/>
    <w:rsid w:val="00ED3476"/>
    <w:rsid w:val="00F258E1"/>
    <w:rsid w:val="00F566EA"/>
    <w:rsid w:val="00F56B97"/>
    <w:rsid w:val="00F56ED0"/>
    <w:rsid w:val="00F61779"/>
    <w:rsid w:val="00FB3E0D"/>
    <w:rsid w:val="00FC1117"/>
    <w:rsid w:val="00FF410A"/>
    <w:rsid w:val="00FF5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7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56ED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3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56A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7A58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A5822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7A58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A5822"/>
    <w:rPr>
      <w:sz w:val="22"/>
      <w:szCs w:val="22"/>
      <w:lang w:eastAsia="en-US"/>
    </w:rPr>
  </w:style>
  <w:style w:type="table" w:styleId="Tabelacomgrade">
    <w:name w:val="Table Grid"/>
    <w:basedOn w:val="Tabelanormal"/>
    <w:uiPriority w:val="59"/>
    <w:rsid w:val="00743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Corpodetexto"/>
    <w:next w:val="Corpodetexto"/>
    <w:qFormat/>
    <w:rsid w:val="00A66A20"/>
    <w:pPr>
      <w:spacing w:before="60" w:after="24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66A2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A66A2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56ED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3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56A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7A58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A5822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7A58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A5822"/>
    <w:rPr>
      <w:sz w:val="22"/>
      <w:szCs w:val="22"/>
      <w:lang w:eastAsia="en-US"/>
    </w:rPr>
  </w:style>
  <w:style w:type="table" w:styleId="Tabelacomgrade">
    <w:name w:val="Table Grid"/>
    <w:basedOn w:val="Tabelanormal"/>
    <w:uiPriority w:val="59"/>
    <w:rsid w:val="00743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Corpodetexto"/>
    <w:next w:val="Corpodetexto"/>
    <w:qFormat/>
    <w:rsid w:val="00A66A20"/>
    <w:pPr>
      <w:spacing w:before="60" w:after="240" w:line="240" w:lineRule="auto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66A2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A66A2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julianeml</dc:creator>
  <cp:lastModifiedBy>.</cp:lastModifiedBy>
  <cp:revision>5</cp:revision>
  <dcterms:created xsi:type="dcterms:W3CDTF">2012-11-26T01:02:00Z</dcterms:created>
  <dcterms:modified xsi:type="dcterms:W3CDTF">2012-12-12T10:45:00Z</dcterms:modified>
</cp:coreProperties>
</file>