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5B6D" w:rsidRPr="003D13A1" w:rsidRDefault="003F5B6D" w:rsidP="003F5B6D"/>
    <w:p w:rsidR="00B911C5" w:rsidRDefault="0053579E" w:rsidP="003F5B6D">
      <w:pPr>
        <w:pStyle w:val="Ttulo8"/>
        <w:tabs>
          <w:tab w:val="right" w:pos="4423"/>
        </w:tabs>
        <w:spacing w:before="0" w:after="200" w:line="276" w:lineRule="auto"/>
        <w:ind w:left="0"/>
        <w:jc w:val="center"/>
        <w:rPr>
          <w:rFonts w:ascii="Arial" w:hAnsi="Arial" w:cs="Arial"/>
          <w:b/>
          <w:i w:val="0"/>
          <w:sz w:val="18"/>
          <w:szCs w:val="18"/>
        </w:rPr>
      </w:pPr>
      <w:r w:rsidRPr="003D13A1">
        <w:rPr>
          <w:noProof/>
        </w:rPr>
        <w:drawing>
          <wp:inline distT="0" distB="0" distL="0" distR="0" wp14:anchorId="5261FDF8" wp14:editId="1458E91D">
            <wp:extent cx="6262777" cy="737870"/>
            <wp:effectExtent l="0" t="0" r="5080" b="5080"/>
            <wp:docPr id="1" name="Imagem 4" descr="Banner-relevant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descr="Banner-relevantes.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286088" cy="740616"/>
                    </a:xfrm>
                    <a:prstGeom prst="rect">
                      <a:avLst/>
                    </a:prstGeom>
                    <a:noFill/>
                    <a:ln>
                      <a:noFill/>
                    </a:ln>
                  </pic:spPr>
                </pic:pic>
              </a:graphicData>
            </a:graphic>
          </wp:inline>
        </w:drawing>
      </w:r>
    </w:p>
    <w:p w:rsidR="003F5B6D" w:rsidRPr="003D13A1" w:rsidRDefault="003F5B6D" w:rsidP="003F5B6D">
      <w:pPr>
        <w:pStyle w:val="Ttulo8"/>
        <w:tabs>
          <w:tab w:val="right" w:pos="4423"/>
        </w:tabs>
        <w:spacing w:before="0" w:after="200" w:line="276" w:lineRule="auto"/>
        <w:ind w:left="0"/>
        <w:jc w:val="center"/>
        <w:rPr>
          <w:rFonts w:ascii="Arial" w:hAnsi="Arial" w:cs="Arial"/>
          <w:b/>
          <w:i w:val="0"/>
          <w:sz w:val="18"/>
          <w:szCs w:val="18"/>
        </w:rPr>
      </w:pPr>
      <w:r w:rsidRPr="003D13A1">
        <w:rPr>
          <w:rFonts w:ascii="Arial" w:hAnsi="Arial" w:cs="Arial"/>
          <w:b/>
          <w:i w:val="0"/>
          <w:sz w:val="18"/>
          <w:szCs w:val="18"/>
        </w:rPr>
        <w:t>Número 0</w:t>
      </w:r>
      <w:r w:rsidR="00A1075A">
        <w:rPr>
          <w:rFonts w:ascii="Arial" w:hAnsi="Arial" w:cs="Arial"/>
          <w:b/>
          <w:i w:val="0"/>
          <w:sz w:val="18"/>
          <w:szCs w:val="18"/>
        </w:rPr>
        <w:t>93</w:t>
      </w:r>
    </w:p>
    <w:p w:rsidR="003F5B6D" w:rsidRDefault="003F5B6D" w:rsidP="003F5B6D">
      <w:pPr>
        <w:pStyle w:val="Ttulo8"/>
        <w:tabs>
          <w:tab w:val="right" w:pos="4423"/>
        </w:tabs>
        <w:spacing w:before="0" w:after="200" w:line="276" w:lineRule="auto"/>
        <w:ind w:left="0"/>
        <w:jc w:val="center"/>
        <w:rPr>
          <w:rFonts w:ascii="Arial" w:hAnsi="Arial" w:cs="Arial"/>
          <w:b/>
          <w:i w:val="0"/>
          <w:sz w:val="18"/>
          <w:szCs w:val="18"/>
        </w:rPr>
      </w:pPr>
      <w:r>
        <w:rPr>
          <w:rFonts w:ascii="Arial" w:hAnsi="Arial" w:cs="Arial"/>
          <w:b/>
          <w:i w:val="0"/>
          <w:sz w:val="18"/>
          <w:szCs w:val="18"/>
        </w:rPr>
        <w:t>Sessões</w:t>
      </w:r>
      <w:r w:rsidRPr="003D13A1">
        <w:rPr>
          <w:rFonts w:ascii="Arial" w:hAnsi="Arial" w:cs="Arial"/>
          <w:b/>
          <w:i w:val="0"/>
          <w:sz w:val="18"/>
          <w:szCs w:val="18"/>
        </w:rPr>
        <w:t xml:space="preserve">: </w:t>
      </w:r>
      <w:r w:rsidR="002C1FFB">
        <w:rPr>
          <w:rFonts w:ascii="Arial" w:hAnsi="Arial" w:cs="Arial"/>
          <w:b/>
          <w:i w:val="0"/>
          <w:sz w:val="18"/>
          <w:szCs w:val="18"/>
        </w:rPr>
        <w:t>28</w:t>
      </w:r>
      <w:r w:rsidR="00325166">
        <w:rPr>
          <w:rFonts w:ascii="Arial" w:hAnsi="Arial" w:cs="Arial"/>
          <w:b/>
          <w:i w:val="0"/>
          <w:sz w:val="18"/>
          <w:szCs w:val="18"/>
        </w:rPr>
        <w:t xml:space="preserve"> e </w:t>
      </w:r>
      <w:r w:rsidR="002C1FFB">
        <w:rPr>
          <w:rFonts w:ascii="Arial" w:hAnsi="Arial" w:cs="Arial"/>
          <w:b/>
          <w:i w:val="0"/>
          <w:sz w:val="18"/>
          <w:szCs w:val="18"/>
        </w:rPr>
        <w:t>29</w:t>
      </w:r>
      <w:r w:rsidR="00325166">
        <w:rPr>
          <w:rFonts w:ascii="Arial" w:hAnsi="Arial" w:cs="Arial"/>
          <w:b/>
          <w:i w:val="0"/>
          <w:sz w:val="18"/>
          <w:szCs w:val="18"/>
        </w:rPr>
        <w:t xml:space="preserve"> </w:t>
      </w:r>
      <w:r w:rsidR="00E612C5">
        <w:rPr>
          <w:rFonts w:ascii="Arial" w:hAnsi="Arial" w:cs="Arial"/>
          <w:b/>
          <w:i w:val="0"/>
          <w:sz w:val="18"/>
          <w:szCs w:val="18"/>
        </w:rPr>
        <w:t xml:space="preserve">de julho </w:t>
      </w:r>
      <w:r>
        <w:rPr>
          <w:rFonts w:ascii="Arial" w:hAnsi="Arial" w:cs="Arial"/>
          <w:b/>
          <w:i w:val="0"/>
          <w:sz w:val="18"/>
          <w:szCs w:val="18"/>
        </w:rPr>
        <w:t xml:space="preserve">de </w:t>
      </w:r>
      <w:r w:rsidRPr="003D13A1">
        <w:rPr>
          <w:rFonts w:ascii="Arial" w:hAnsi="Arial" w:cs="Arial"/>
          <w:b/>
          <w:i w:val="0"/>
          <w:sz w:val="18"/>
          <w:szCs w:val="18"/>
        </w:rPr>
        <w:t>201</w:t>
      </w:r>
      <w:r>
        <w:rPr>
          <w:rFonts w:ascii="Arial" w:hAnsi="Arial" w:cs="Arial"/>
          <w:b/>
          <w:i w:val="0"/>
          <w:sz w:val="18"/>
          <w:szCs w:val="18"/>
        </w:rPr>
        <w:t>5</w:t>
      </w:r>
    </w:p>
    <w:p w:rsidR="006E7850" w:rsidRPr="006E7850" w:rsidRDefault="006E7850" w:rsidP="006E7850">
      <w:pPr>
        <w:rPr>
          <w:rFonts w:ascii="Arial" w:hAnsi="Arial" w:cs="Arial"/>
          <w:sz w:val="18"/>
          <w:szCs w:val="18"/>
        </w:rPr>
      </w:pPr>
      <w:r w:rsidRPr="00E145EE">
        <w:rPr>
          <w:rFonts w:ascii="Arial" w:hAnsi="Arial" w:cs="Arial"/>
          <w:sz w:val="18"/>
          <w:szCs w:val="18"/>
        </w:rPr>
        <w:t>Este Boletim contém informações sintéticas de decisões proferidas pelos Colegiados do TCU que receberam indicação de relevância sob o p</w:t>
      </w:r>
      <w:r>
        <w:rPr>
          <w:rFonts w:ascii="Arial" w:hAnsi="Arial" w:cs="Arial"/>
          <w:sz w:val="18"/>
          <w:szCs w:val="18"/>
        </w:rPr>
        <w:t>risma jurisprudencial no período acima indicado</w:t>
      </w:r>
      <w:r w:rsidRPr="00E145EE">
        <w:rPr>
          <w:rFonts w:ascii="Arial" w:hAnsi="Arial" w:cs="Arial"/>
          <w:sz w:val="18"/>
          <w:szCs w:val="18"/>
        </w:rPr>
        <w:t>. O objetivo é facilitar ao</w:t>
      </w:r>
      <w:r>
        <w:rPr>
          <w:rFonts w:ascii="Arial" w:hAnsi="Arial" w:cs="Arial"/>
          <w:sz w:val="18"/>
          <w:szCs w:val="18"/>
        </w:rPr>
        <w:t xml:space="preserve"> interessado o acompanhamento dos acórdãos mais importantes do Tribunal. </w:t>
      </w:r>
      <w:r w:rsidRPr="00E145EE">
        <w:rPr>
          <w:rFonts w:ascii="Arial" w:hAnsi="Arial" w:cs="Arial"/>
          <w:sz w:val="18"/>
          <w:szCs w:val="18"/>
        </w:rPr>
        <w:t xml:space="preserve">Para aprofundamento, o leitor pode acessar o inteiro teor </w:t>
      </w:r>
      <w:r>
        <w:rPr>
          <w:rFonts w:ascii="Arial" w:hAnsi="Arial" w:cs="Arial"/>
          <w:sz w:val="18"/>
          <w:szCs w:val="18"/>
        </w:rPr>
        <w:t xml:space="preserve">das deliberações por meio dos </w:t>
      </w:r>
      <w:r w:rsidRPr="00B23235">
        <w:rPr>
          <w:rFonts w:ascii="Arial" w:hAnsi="Arial" w:cs="Arial"/>
          <w:i/>
          <w:sz w:val="18"/>
          <w:szCs w:val="18"/>
        </w:rPr>
        <w:t>links</w:t>
      </w:r>
      <w:r>
        <w:rPr>
          <w:rFonts w:ascii="Arial" w:hAnsi="Arial" w:cs="Arial"/>
          <w:sz w:val="18"/>
          <w:szCs w:val="18"/>
        </w:rPr>
        <w:t xml:space="preserve"> disponíveis</w:t>
      </w:r>
      <w:r w:rsidRPr="00E145EE">
        <w:rPr>
          <w:rFonts w:ascii="Arial" w:hAnsi="Arial" w:cs="Arial"/>
          <w:sz w:val="18"/>
          <w:szCs w:val="18"/>
        </w:rPr>
        <w:t>.</w:t>
      </w:r>
      <w:r w:rsidRPr="001A5442">
        <w:rPr>
          <w:rFonts w:ascii="Arial" w:hAnsi="Arial" w:cs="Arial"/>
          <w:sz w:val="18"/>
          <w:szCs w:val="18"/>
        </w:rPr>
        <w:t xml:space="preserve"> </w:t>
      </w:r>
      <w:r w:rsidRPr="00B25BAE">
        <w:rPr>
          <w:rFonts w:ascii="Arial" w:hAnsi="Arial" w:cs="Arial"/>
          <w:sz w:val="18"/>
          <w:szCs w:val="18"/>
        </w:rPr>
        <w:t>As informações</w:t>
      </w:r>
      <w:r>
        <w:rPr>
          <w:rFonts w:ascii="Arial" w:hAnsi="Arial" w:cs="Arial"/>
          <w:sz w:val="18"/>
          <w:szCs w:val="18"/>
        </w:rPr>
        <w:t xml:space="preserve"> aqui apresentadas</w:t>
      </w:r>
      <w:r w:rsidRPr="00B25BAE">
        <w:rPr>
          <w:rFonts w:ascii="Arial" w:hAnsi="Arial" w:cs="Arial"/>
          <w:sz w:val="18"/>
          <w:szCs w:val="18"/>
        </w:rPr>
        <w:t xml:space="preserve"> não são </w:t>
      </w:r>
      <w:proofErr w:type="gramStart"/>
      <w:r w:rsidRPr="00B25BAE">
        <w:rPr>
          <w:rFonts w:ascii="Arial" w:hAnsi="Arial" w:cs="Arial"/>
          <w:sz w:val="18"/>
          <w:szCs w:val="18"/>
        </w:rPr>
        <w:t>repositórios</w:t>
      </w:r>
      <w:proofErr w:type="gramEnd"/>
      <w:r w:rsidRPr="00B25BAE">
        <w:rPr>
          <w:rFonts w:ascii="Arial" w:hAnsi="Arial" w:cs="Arial"/>
          <w:sz w:val="18"/>
          <w:szCs w:val="18"/>
        </w:rPr>
        <w:t xml:space="preserve"> oficiais de jurisprudência.</w:t>
      </w:r>
    </w:p>
    <w:p w:rsidR="005C6D4A" w:rsidRDefault="005C6D4A" w:rsidP="003F5B6D">
      <w:pPr>
        <w:pBdr>
          <w:top w:val="threeDEmboss" w:sz="24" w:space="5" w:color="auto"/>
        </w:pBdr>
        <w:tabs>
          <w:tab w:val="left" w:pos="284"/>
          <w:tab w:val="left" w:pos="4172"/>
          <w:tab w:val="center" w:pos="4818"/>
        </w:tabs>
        <w:spacing w:after="60"/>
        <w:rPr>
          <w:rFonts w:ascii="Arial" w:hAnsi="Arial" w:cs="Arial"/>
          <w:b/>
          <w:sz w:val="18"/>
          <w:szCs w:val="18"/>
          <w:u w:val="single"/>
        </w:rPr>
      </w:pPr>
    </w:p>
    <w:p w:rsidR="00982AFC" w:rsidRPr="00982AFC" w:rsidRDefault="00307454" w:rsidP="00982AFC">
      <w:pPr>
        <w:rPr>
          <w:rFonts w:ascii="Arial" w:hAnsi="Arial" w:cs="Arial"/>
          <w:sz w:val="18"/>
          <w:szCs w:val="18"/>
        </w:rPr>
      </w:pPr>
      <w:hyperlink r:id="rId8" w:history="1">
        <w:r w:rsidR="00982AFC" w:rsidRPr="00982AFC">
          <w:rPr>
            <w:rStyle w:val="Hyperlink"/>
            <w:rFonts w:ascii="Arial" w:hAnsi="Arial" w:cs="Arial"/>
            <w:b/>
            <w:sz w:val="18"/>
            <w:szCs w:val="18"/>
            <w:shd w:val="clear" w:color="auto" w:fill="FFFFFF"/>
          </w:rPr>
          <w:t>Acórdão 1849/2015 Plenário</w:t>
        </w:r>
      </w:hyperlink>
      <w:r w:rsidR="00982AFC">
        <w:rPr>
          <w:rFonts w:ascii="Arial" w:hAnsi="Arial" w:cs="Arial"/>
          <w:b/>
          <w:color w:val="1F497D"/>
          <w:sz w:val="18"/>
          <w:szCs w:val="18"/>
          <w:shd w:val="clear" w:color="auto" w:fill="FFFFFF"/>
        </w:rPr>
        <w:t xml:space="preserve"> </w:t>
      </w:r>
      <w:r w:rsidR="00982AFC" w:rsidRPr="000F2F87">
        <w:rPr>
          <w:rFonts w:ascii="Arial" w:hAnsi="Arial" w:cs="Arial"/>
          <w:sz w:val="18"/>
          <w:szCs w:val="18"/>
        </w:rPr>
        <w:t xml:space="preserve">(Embargos de Declaração, Relator Ministro Benjamin </w:t>
      </w:r>
      <w:proofErr w:type="spellStart"/>
      <w:r w:rsidR="00982AFC" w:rsidRPr="000F2F87">
        <w:rPr>
          <w:rFonts w:ascii="Arial" w:hAnsi="Arial" w:cs="Arial"/>
          <w:sz w:val="18"/>
          <w:szCs w:val="18"/>
        </w:rPr>
        <w:t>Zymler</w:t>
      </w:r>
      <w:proofErr w:type="spellEnd"/>
      <w:r w:rsidR="00982AFC" w:rsidRPr="000F2F87">
        <w:rPr>
          <w:rFonts w:ascii="Arial" w:hAnsi="Arial" w:cs="Arial"/>
          <w:sz w:val="18"/>
          <w:szCs w:val="18"/>
        </w:rPr>
        <w:t>)</w:t>
      </w:r>
    </w:p>
    <w:p w:rsidR="00A9034C" w:rsidRPr="000F2F87" w:rsidRDefault="009715E8" w:rsidP="00A9034C">
      <w:pPr>
        <w:rPr>
          <w:rFonts w:ascii="Arial" w:hAnsi="Arial" w:cs="Arial"/>
          <w:sz w:val="18"/>
          <w:szCs w:val="18"/>
        </w:rPr>
      </w:pPr>
      <w:r w:rsidRPr="000F2F87">
        <w:rPr>
          <w:rFonts w:ascii="Arial" w:hAnsi="Arial" w:cs="Arial"/>
          <w:sz w:val="18"/>
          <w:szCs w:val="18"/>
        </w:rPr>
        <w:t>Processual</w:t>
      </w:r>
      <w:r w:rsidR="00FF152E" w:rsidRPr="000F2F87">
        <w:rPr>
          <w:rFonts w:ascii="Arial" w:hAnsi="Arial" w:cs="Arial"/>
          <w:sz w:val="18"/>
          <w:szCs w:val="18"/>
        </w:rPr>
        <w:t>.</w:t>
      </w:r>
      <w:r w:rsidR="00530F1E" w:rsidRPr="000F2F87">
        <w:rPr>
          <w:rFonts w:ascii="Arial" w:hAnsi="Arial" w:cs="Arial"/>
          <w:sz w:val="18"/>
          <w:szCs w:val="18"/>
        </w:rPr>
        <w:t xml:space="preserve"> Recurso. Fato n</w:t>
      </w:r>
      <w:r w:rsidRPr="000F2F87">
        <w:rPr>
          <w:rFonts w:ascii="Arial" w:hAnsi="Arial" w:cs="Arial"/>
          <w:sz w:val="18"/>
          <w:szCs w:val="18"/>
        </w:rPr>
        <w:t>ovo.</w:t>
      </w:r>
    </w:p>
    <w:p w:rsidR="00566946" w:rsidRPr="000F2F87" w:rsidRDefault="009715E8" w:rsidP="00A9034C">
      <w:pPr>
        <w:rPr>
          <w:rFonts w:ascii="Arial" w:hAnsi="Arial" w:cs="Arial"/>
          <w:color w:val="000000"/>
          <w:sz w:val="18"/>
          <w:szCs w:val="18"/>
          <w:lang w:eastAsia="en-US"/>
        </w:rPr>
      </w:pPr>
      <w:r w:rsidRPr="000F2F87">
        <w:rPr>
          <w:rFonts w:ascii="Arial" w:hAnsi="Arial" w:cs="Arial"/>
          <w:color w:val="000000"/>
          <w:sz w:val="18"/>
          <w:szCs w:val="18"/>
          <w:lang w:eastAsia="en-US"/>
        </w:rPr>
        <w:t>É</w:t>
      </w:r>
      <w:r w:rsidR="00A26E5E" w:rsidRPr="000F2F87">
        <w:rPr>
          <w:rFonts w:ascii="Arial" w:hAnsi="Arial" w:cs="Arial"/>
          <w:color w:val="000000"/>
          <w:sz w:val="18"/>
          <w:szCs w:val="18"/>
          <w:lang w:eastAsia="en-US"/>
        </w:rPr>
        <w:t xml:space="preserve"> ônus do recorrente, na interposição de recurso de rec</w:t>
      </w:r>
      <w:r w:rsidR="00E72AB9">
        <w:rPr>
          <w:rFonts w:ascii="Arial" w:hAnsi="Arial" w:cs="Arial"/>
          <w:color w:val="000000"/>
          <w:sz w:val="18"/>
          <w:szCs w:val="18"/>
          <w:lang w:eastAsia="en-US"/>
        </w:rPr>
        <w:t>onsideração fora do prazo legal</w:t>
      </w:r>
      <w:r w:rsidR="00530F1E" w:rsidRPr="000F2F87">
        <w:rPr>
          <w:rFonts w:ascii="Arial" w:hAnsi="Arial" w:cs="Arial"/>
          <w:color w:val="000000"/>
          <w:sz w:val="18"/>
          <w:szCs w:val="18"/>
          <w:lang w:eastAsia="en-US"/>
        </w:rPr>
        <w:t xml:space="preserve"> </w:t>
      </w:r>
      <w:r w:rsidR="00A26E5E" w:rsidRPr="000F2F87">
        <w:rPr>
          <w:rFonts w:ascii="Arial" w:hAnsi="Arial" w:cs="Arial"/>
          <w:color w:val="000000"/>
          <w:sz w:val="18"/>
          <w:szCs w:val="18"/>
          <w:lang w:eastAsia="en-US"/>
        </w:rPr>
        <w:t>de quinze dias, mas dentro do período de 180 dias, apontar qual o fato novo a ensejar o r</w:t>
      </w:r>
      <w:r w:rsidR="00530F1E" w:rsidRPr="000F2F87">
        <w:rPr>
          <w:rFonts w:ascii="Arial" w:hAnsi="Arial" w:cs="Arial"/>
          <w:color w:val="000000"/>
          <w:sz w:val="18"/>
          <w:szCs w:val="18"/>
          <w:lang w:eastAsia="en-US"/>
        </w:rPr>
        <w:t>ecebimento do apelo intempestivo</w:t>
      </w:r>
      <w:r w:rsidR="00A26E5E" w:rsidRPr="000F2F87">
        <w:rPr>
          <w:rFonts w:ascii="Arial" w:hAnsi="Arial" w:cs="Arial"/>
          <w:color w:val="000000"/>
          <w:sz w:val="18"/>
          <w:szCs w:val="18"/>
          <w:lang w:eastAsia="en-US"/>
        </w:rPr>
        <w:t xml:space="preserve"> (</w:t>
      </w:r>
      <w:r w:rsidR="00A26E5E" w:rsidRPr="0050038C">
        <w:rPr>
          <w:rFonts w:ascii="Arial" w:hAnsi="Arial" w:cs="Arial"/>
          <w:color w:val="0070C0"/>
          <w:sz w:val="18"/>
          <w:szCs w:val="18"/>
          <w:lang w:eastAsia="en-US"/>
        </w:rPr>
        <w:t>art.</w:t>
      </w:r>
      <w:r w:rsidR="0050038C" w:rsidRPr="0050038C">
        <w:rPr>
          <w:rStyle w:val="Refdenotadefim"/>
          <w:rFonts w:ascii="Arial" w:hAnsi="Arial" w:cs="Arial"/>
          <w:color w:val="FFFFFF" w:themeColor="background1"/>
          <w:sz w:val="18"/>
          <w:szCs w:val="18"/>
          <w:lang w:eastAsia="en-US"/>
        </w:rPr>
        <w:endnoteReference w:id="1"/>
      </w:r>
      <w:r w:rsidR="00A26E5E" w:rsidRPr="0050038C">
        <w:rPr>
          <w:rFonts w:ascii="Arial" w:hAnsi="Arial" w:cs="Arial"/>
          <w:color w:val="0070C0"/>
          <w:sz w:val="18"/>
          <w:szCs w:val="18"/>
          <w:lang w:eastAsia="en-US"/>
        </w:rPr>
        <w:t>32</w:t>
      </w:r>
      <w:r w:rsidR="00A26E5E" w:rsidRPr="000F2F87">
        <w:rPr>
          <w:rFonts w:ascii="Arial" w:hAnsi="Arial" w:cs="Arial"/>
          <w:color w:val="000000"/>
          <w:sz w:val="18"/>
          <w:szCs w:val="18"/>
          <w:lang w:eastAsia="en-US"/>
        </w:rPr>
        <w:t xml:space="preserve">, </w:t>
      </w:r>
      <w:r w:rsidR="00A26E5E" w:rsidRPr="0050038C">
        <w:rPr>
          <w:rFonts w:ascii="Arial" w:hAnsi="Arial" w:cs="Arial"/>
          <w:color w:val="0070C0"/>
          <w:sz w:val="18"/>
          <w:szCs w:val="18"/>
          <w:lang w:eastAsia="en-US"/>
        </w:rPr>
        <w:t>parágrafo</w:t>
      </w:r>
      <w:r w:rsidR="0050038C" w:rsidRPr="0050038C">
        <w:rPr>
          <w:rStyle w:val="Refdenotadefim"/>
          <w:rFonts w:ascii="Arial" w:hAnsi="Arial" w:cs="Arial"/>
          <w:color w:val="FFFFFF" w:themeColor="background1"/>
          <w:sz w:val="18"/>
          <w:szCs w:val="18"/>
          <w:lang w:eastAsia="en-US"/>
        </w:rPr>
        <w:endnoteReference w:id="2"/>
      </w:r>
      <w:r w:rsidR="00A26E5E" w:rsidRPr="0050038C">
        <w:rPr>
          <w:rFonts w:ascii="Arial" w:hAnsi="Arial" w:cs="Arial"/>
          <w:color w:val="0070C0"/>
          <w:sz w:val="18"/>
          <w:szCs w:val="18"/>
          <w:lang w:eastAsia="en-US"/>
        </w:rPr>
        <w:t>único</w:t>
      </w:r>
      <w:r w:rsidR="00A26E5E" w:rsidRPr="000F2F87">
        <w:rPr>
          <w:rFonts w:ascii="Arial" w:hAnsi="Arial" w:cs="Arial"/>
          <w:color w:val="000000"/>
          <w:sz w:val="18"/>
          <w:szCs w:val="18"/>
          <w:lang w:eastAsia="en-US"/>
        </w:rPr>
        <w:t>, da Lei 8.443/92, c/</w:t>
      </w:r>
      <w:proofErr w:type="gramStart"/>
      <w:r w:rsidR="00A26E5E" w:rsidRPr="000F2F87">
        <w:rPr>
          <w:rFonts w:ascii="Arial" w:hAnsi="Arial" w:cs="Arial"/>
          <w:color w:val="000000"/>
          <w:sz w:val="18"/>
          <w:szCs w:val="18"/>
          <w:lang w:eastAsia="en-US"/>
        </w:rPr>
        <w:t>c</w:t>
      </w:r>
      <w:proofErr w:type="gramEnd"/>
      <w:r w:rsidR="00A26E5E" w:rsidRPr="000F2F87">
        <w:rPr>
          <w:rFonts w:ascii="Arial" w:hAnsi="Arial" w:cs="Arial"/>
          <w:color w:val="000000"/>
          <w:sz w:val="18"/>
          <w:szCs w:val="18"/>
          <w:lang w:eastAsia="en-US"/>
        </w:rPr>
        <w:t xml:space="preserve"> o </w:t>
      </w:r>
      <w:r w:rsidR="00A26E5E" w:rsidRPr="0050038C">
        <w:rPr>
          <w:rFonts w:ascii="Arial" w:hAnsi="Arial" w:cs="Arial"/>
          <w:color w:val="0070C0"/>
          <w:sz w:val="18"/>
          <w:szCs w:val="18"/>
          <w:lang w:eastAsia="en-US"/>
        </w:rPr>
        <w:t>art.</w:t>
      </w:r>
      <w:r w:rsidR="0050038C" w:rsidRPr="000A06AC">
        <w:rPr>
          <w:rStyle w:val="Refdenotadefim"/>
          <w:rFonts w:ascii="Arial" w:hAnsi="Arial" w:cs="Arial"/>
          <w:color w:val="FFFFFF" w:themeColor="background1"/>
          <w:sz w:val="6"/>
          <w:szCs w:val="6"/>
          <w:lang w:eastAsia="en-US"/>
        </w:rPr>
        <w:endnoteReference w:id="3"/>
      </w:r>
      <w:r w:rsidR="00A26E5E" w:rsidRPr="0050038C">
        <w:rPr>
          <w:rFonts w:ascii="Arial" w:hAnsi="Arial" w:cs="Arial"/>
          <w:color w:val="0070C0"/>
          <w:sz w:val="18"/>
          <w:szCs w:val="18"/>
          <w:lang w:eastAsia="en-US"/>
        </w:rPr>
        <w:t>285</w:t>
      </w:r>
      <w:r w:rsidR="00A26E5E" w:rsidRPr="000F2F87">
        <w:rPr>
          <w:rFonts w:ascii="Arial" w:hAnsi="Arial" w:cs="Arial"/>
          <w:color w:val="000000"/>
          <w:sz w:val="18"/>
          <w:szCs w:val="18"/>
          <w:lang w:eastAsia="en-US"/>
        </w:rPr>
        <w:t xml:space="preserve">, </w:t>
      </w:r>
      <w:r w:rsidR="00A26E5E" w:rsidRPr="0050038C">
        <w:rPr>
          <w:rFonts w:ascii="Arial" w:hAnsi="Arial" w:cs="Arial"/>
          <w:color w:val="0070C0"/>
          <w:sz w:val="18"/>
          <w:szCs w:val="18"/>
          <w:lang w:eastAsia="en-US"/>
        </w:rPr>
        <w:t>§</w:t>
      </w:r>
      <w:r w:rsidR="0050038C" w:rsidRPr="000A06AC">
        <w:rPr>
          <w:rStyle w:val="Refdenotadefim"/>
          <w:rFonts w:ascii="Arial" w:hAnsi="Arial" w:cs="Arial"/>
          <w:color w:val="FFFFFF" w:themeColor="background1"/>
          <w:sz w:val="6"/>
          <w:szCs w:val="6"/>
          <w:lang w:eastAsia="en-US"/>
        </w:rPr>
        <w:endnoteReference w:id="4"/>
      </w:r>
      <w:r w:rsidR="00A26E5E" w:rsidRPr="0050038C">
        <w:rPr>
          <w:rFonts w:ascii="Arial" w:hAnsi="Arial" w:cs="Arial"/>
          <w:color w:val="0070C0"/>
          <w:sz w:val="18"/>
          <w:szCs w:val="18"/>
          <w:lang w:eastAsia="en-US"/>
        </w:rPr>
        <w:t>2º</w:t>
      </w:r>
      <w:r w:rsidR="00A26E5E" w:rsidRPr="000F2F87">
        <w:rPr>
          <w:rFonts w:ascii="Arial" w:hAnsi="Arial" w:cs="Arial"/>
          <w:color w:val="000000"/>
          <w:sz w:val="18"/>
          <w:szCs w:val="18"/>
          <w:lang w:eastAsia="en-US"/>
        </w:rPr>
        <w:t>, do Regimento Interno). Não cabe ao Tribunal inferir ou buscar, entre os argumentos, alegações e documentos trazidos, qual o fato novo com eficácia sobre a prova produzida a ser considerado para o conhecimento do recurso</w:t>
      </w:r>
      <w:r w:rsidR="00EA045C" w:rsidRPr="000F2F87">
        <w:rPr>
          <w:rFonts w:ascii="Arial" w:hAnsi="Arial" w:cs="Arial"/>
          <w:color w:val="000000"/>
          <w:sz w:val="18"/>
          <w:szCs w:val="18"/>
          <w:lang w:eastAsia="en-US"/>
        </w:rPr>
        <w:t>.</w:t>
      </w:r>
    </w:p>
    <w:p w:rsidR="00566946" w:rsidRPr="000F2F87" w:rsidRDefault="00307454" w:rsidP="00982AFC">
      <w:pPr>
        <w:shd w:val="clear" w:color="auto" w:fill="FFFFFF"/>
        <w:rPr>
          <w:rFonts w:ascii="Arial" w:hAnsi="Arial" w:cs="Arial"/>
          <w:sz w:val="18"/>
          <w:szCs w:val="18"/>
        </w:rPr>
      </w:pPr>
      <w:hyperlink r:id="rId9" w:history="1">
        <w:r w:rsidR="00982AFC" w:rsidRPr="00982AFC">
          <w:rPr>
            <w:rStyle w:val="Hyperlink"/>
            <w:rFonts w:ascii="Arial" w:hAnsi="Arial" w:cs="Arial"/>
            <w:b/>
            <w:sz w:val="18"/>
            <w:szCs w:val="18"/>
            <w:shd w:val="clear" w:color="auto" w:fill="FFFFFF"/>
          </w:rPr>
          <w:t>Acórdão 1850/2015 Plenário</w:t>
        </w:r>
      </w:hyperlink>
      <w:r w:rsidR="00566946" w:rsidRPr="000F2F87">
        <w:rPr>
          <w:rFonts w:ascii="Arial" w:hAnsi="Arial" w:cs="Arial"/>
          <w:sz w:val="18"/>
          <w:szCs w:val="18"/>
        </w:rPr>
        <w:t xml:space="preserve"> (Auditoria, Relator Ministro </w:t>
      </w:r>
      <w:r w:rsidR="009715E8" w:rsidRPr="000F2F87">
        <w:rPr>
          <w:rFonts w:ascii="Arial" w:hAnsi="Arial" w:cs="Arial"/>
          <w:sz w:val="18"/>
          <w:szCs w:val="18"/>
        </w:rPr>
        <w:t xml:space="preserve">Benjamin </w:t>
      </w:r>
      <w:proofErr w:type="spellStart"/>
      <w:r w:rsidR="009715E8" w:rsidRPr="000F2F87">
        <w:rPr>
          <w:rFonts w:ascii="Arial" w:hAnsi="Arial" w:cs="Arial"/>
          <w:sz w:val="18"/>
          <w:szCs w:val="18"/>
        </w:rPr>
        <w:t>Zymler</w:t>
      </w:r>
      <w:proofErr w:type="spellEnd"/>
      <w:r w:rsidR="00566946" w:rsidRPr="000F2F87">
        <w:rPr>
          <w:rFonts w:ascii="Arial" w:hAnsi="Arial" w:cs="Arial"/>
          <w:sz w:val="18"/>
          <w:szCs w:val="18"/>
        </w:rPr>
        <w:t>)</w:t>
      </w:r>
    </w:p>
    <w:p w:rsidR="00566946" w:rsidRPr="000F2F87" w:rsidRDefault="009715E8" w:rsidP="00566946">
      <w:pPr>
        <w:rPr>
          <w:rFonts w:ascii="Arial" w:hAnsi="Arial" w:cs="Arial"/>
          <w:sz w:val="18"/>
          <w:szCs w:val="18"/>
        </w:rPr>
      </w:pPr>
      <w:r w:rsidRPr="000F2F87">
        <w:rPr>
          <w:rFonts w:ascii="Arial" w:hAnsi="Arial" w:cs="Arial"/>
          <w:sz w:val="18"/>
          <w:szCs w:val="18"/>
        </w:rPr>
        <w:t>Licitação. Regime Diferenciado de Contratação.</w:t>
      </w:r>
      <w:r w:rsidR="00566946" w:rsidRPr="000F2F87">
        <w:rPr>
          <w:rFonts w:ascii="Arial" w:hAnsi="Arial" w:cs="Arial"/>
          <w:sz w:val="18"/>
          <w:szCs w:val="18"/>
        </w:rPr>
        <w:t xml:space="preserve"> </w:t>
      </w:r>
      <w:r w:rsidR="0098645E">
        <w:rPr>
          <w:rFonts w:ascii="Arial" w:hAnsi="Arial" w:cs="Arial"/>
          <w:sz w:val="18"/>
          <w:szCs w:val="18"/>
        </w:rPr>
        <w:t>Contratação i</w:t>
      </w:r>
      <w:r w:rsidRPr="000F2F87">
        <w:rPr>
          <w:rFonts w:ascii="Arial" w:hAnsi="Arial" w:cs="Arial"/>
          <w:sz w:val="18"/>
          <w:szCs w:val="18"/>
        </w:rPr>
        <w:t>ntegrada.</w:t>
      </w:r>
    </w:p>
    <w:p w:rsidR="00EA045C" w:rsidRPr="000F2F87" w:rsidRDefault="00566946" w:rsidP="00566946">
      <w:pPr>
        <w:rPr>
          <w:rFonts w:ascii="Arial" w:hAnsi="Arial" w:cs="Arial"/>
          <w:color w:val="000000"/>
          <w:sz w:val="18"/>
          <w:szCs w:val="18"/>
          <w:lang w:eastAsia="en-US"/>
        </w:rPr>
      </w:pPr>
      <w:r w:rsidRPr="000F2F87">
        <w:rPr>
          <w:rFonts w:ascii="Arial" w:hAnsi="Arial" w:cs="Arial"/>
          <w:color w:val="000000"/>
          <w:sz w:val="18"/>
          <w:szCs w:val="18"/>
          <w:lang w:eastAsia="en-US"/>
        </w:rPr>
        <w:t xml:space="preserve">A opção pelo regime de contratação integrada exige, nos termos do </w:t>
      </w:r>
      <w:r w:rsidRPr="00C949B0">
        <w:rPr>
          <w:rFonts w:ascii="Arial" w:hAnsi="Arial" w:cs="Arial"/>
          <w:color w:val="0070C0"/>
          <w:sz w:val="18"/>
          <w:szCs w:val="18"/>
          <w:lang w:eastAsia="en-US"/>
        </w:rPr>
        <w:t>art.</w:t>
      </w:r>
      <w:r w:rsidR="00C949B0" w:rsidRPr="000A06AC">
        <w:rPr>
          <w:rStyle w:val="Refdenotadefim"/>
          <w:rFonts w:ascii="Arial" w:hAnsi="Arial" w:cs="Arial"/>
          <w:color w:val="FFFFFF" w:themeColor="background1"/>
          <w:sz w:val="6"/>
          <w:szCs w:val="6"/>
          <w:lang w:eastAsia="en-US"/>
        </w:rPr>
        <w:endnoteReference w:id="5"/>
      </w:r>
      <w:r w:rsidRPr="00C949B0">
        <w:rPr>
          <w:rFonts w:ascii="Arial" w:hAnsi="Arial" w:cs="Arial"/>
          <w:color w:val="0070C0"/>
          <w:sz w:val="18"/>
          <w:szCs w:val="18"/>
          <w:lang w:eastAsia="en-US"/>
        </w:rPr>
        <w:t xml:space="preserve">9º </w:t>
      </w:r>
      <w:r w:rsidRPr="000F2F87">
        <w:rPr>
          <w:rFonts w:ascii="Arial" w:hAnsi="Arial" w:cs="Arial"/>
          <w:color w:val="000000"/>
          <w:sz w:val="18"/>
          <w:szCs w:val="18"/>
          <w:lang w:eastAsia="en-US"/>
        </w:rPr>
        <w:t>da Lei 12.462/11 (Regime Diferenciado de Contratações), que haja justificativa sob os prismas econômico e técnico. No econômico, a Administração deve demonstrar em termos monetários que os gastos totais a serem realizados com a implantação do empreendimento serão inferiores se comparados aos</w:t>
      </w:r>
      <w:r w:rsidR="00D01DE3" w:rsidRPr="000F2F87">
        <w:rPr>
          <w:rFonts w:ascii="Arial" w:hAnsi="Arial" w:cs="Arial"/>
          <w:color w:val="000000"/>
          <w:sz w:val="18"/>
          <w:szCs w:val="18"/>
          <w:lang w:eastAsia="en-US"/>
        </w:rPr>
        <w:t xml:space="preserve"> obtidos com os</w:t>
      </w:r>
      <w:r w:rsidRPr="000F2F87">
        <w:rPr>
          <w:rFonts w:ascii="Arial" w:hAnsi="Arial" w:cs="Arial"/>
          <w:color w:val="000000"/>
          <w:sz w:val="18"/>
          <w:szCs w:val="18"/>
          <w:lang w:eastAsia="en-US"/>
        </w:rPr>
        <w:t xml:space="preserve"> demais regimes de execução. No técnico, deve demonstrar que as características do objeto permitem que ocorra real competição entre as contratadas para a concepção de metodologias/tecnologias distintas, que levem a soluções capazes de serem aproveitadas vantajosamente pelo Poder Público.</w:t>
      </w:r>
      <w:r w:rsidR="00EA045C" w:rsidRPr="000F2F87">
        <w:rPr>
          <w:rFonts w:ascii="Arial" w:hAnsi="Arial" w:cs="Arial"/>
          <w:color w:val="000000"/>
          <w:sz w:val="18"/>
          <w:szCs w:val="18"/>
          <w:lang w:eastAsia="en-US"/>
        </w:rPr>
        <w:t xml:space="preserve">   </w:t>
      </w:r>
    </w:p>
    <w:p w:rsidR="000B411C" w:rsidRPr="000F2F87" w:rsidRDefault="00307454" w:rsidP="00982AFC">
      <w:pPr>
        <w:shd w:val="clear" w:color="auto" w:fill="FFFFFF"/>
        <w:rPr>
          <w:rFonts w:ascii="Arial" w:hAnsi="Arial" w:cs="Arial"/>
          <w:sz w:val="18"/>
          <w:szCs w:val="18"/>
        </w:rPr>
      </w:pPr>
      <w:hyperlink r:id="rId10" w:history="1">
        <w:r w:rsidR="00982AFC" w:rsidRPr="00982AFC">
          <w:rPr>
            <w:rStyle w:val="Hyperlink"/>
            <w:rFonts w:ascii="Arial" w:hAnsi="Arial" w:cs="Arial"/>
            <w:b/>
            <w:sz w:val="18"/>
            <w:szCs w:val="18"/>
            <w:shd w:val="clear" w:color="auto" w:fill="FFFFFF"/>
          </w:rPr>
          <w:t>Acórdão 1854/2015 Plenário</w:t>
        </w:r>
      </w:hyperlink>
      <w:r w:rsidR="000B411C" w:rsidRPr="000F2F87">
        <w:rPr>
          <w:rFonts w:ascii="Arial" w:hAnsi="Arial" w:cs="Arial"/>
          <w:sz w:val="18"/>
          <w:szCs w:val="18"/>
        </w:rPr>
        <w:t xml:space="preserve"> (</w:t>
      </w:r>
      <w:r w:rsidR="00666ED4" w:rsidRPr="000F2F87">
        <w:rPr>
          <w:rFonts w:ascii="Arial" w:hAnsi="Arial" w:cs="Arial"/>
          <w:sz w:val="18"/>
          <w:szCs w:val="18"/>
        </w:rPr>
        <w:t>Auditoria</w:t>
      </w:r>
      <w:r w:rsidR="000B411C" w:rsidRPr="000F2F87">
        <w:rPr>
          <w:rFonts w:ascii="Arial" w:hAnsi="Arial" w:cs="Arial"/>
          <w:sz w:val="18"/>
          <w:szCs w:val="18"/>
        </w:rPr>
        <w:t xml:space="preserve">, Relator Ministro Benjamin </w:t>
      </w:r>
      <w:proofErr w:type="spellStart"/>
      <w:r w:rsidR="000B411C" w:rsidRPr="000F2F87">
        <w:rPr>
          <w:rFonts w:ascii="Arial" w:hAnsi="Arial" w:cs="Arial"/>
          <w:sz w:val="18"/>
          <w:szCs w:val="18"/>
        </w:rPr>
        <w:t>Zymler</w:t>
      </w:r>
      <w:proofErr w:type="spellEnd"/>
      <w:r w:rsidR="000B411C" w:rsidRPr="000F2F87">
        <w:rPr>
          <w:rFonts w:ascii="Arial" w:hAnsi="Arial" w:cs="Arial"/>
          <w:sz w:val="18"/>
          <w:szCs w:val="18"/>
        </w:rPr>
        <w:t>)</w:t>
      </w:r>
    </w:p>
    <w:p w:rsidR="00B650DD" w:rsidRPr="000F2F87" w:rsidRDefault="000F2F87" w:rsidP="00B650DD">
      <w:pPr>
        <w:rPr>
          <w:rFonts w:ascii="Arial" w:hAnsi="Arial" w:cs="Arial"/>
          <w:sz w:val="18"/>
          <w:szCs w:val="18"/>
        </w:rPr>
      </w:pPr>
      <w:r w:rsidRPr="000F2F87">
        <w:rPr>
          <w:rFonts w:ascii="Arial" w:hAnsi="Arial" w:cs="Arial"/>
          <w:sz w:val="18"/>
          <w:szCs w:val="18"/>
        </w:rPr>
        <w:t xml:space="preserve">Processual. Agravo. Acórdão interlocutório. </w:t>
      </w:r>
    </w:p>
    <w:p w:rsidR="00124A64" w:rsidRDefault="00DF60E3" w:rsidP="007D7D4C">
      <w:pPr>
        <w:shd w:val="clear" w:color="auto" w:fill="FFFFFF"/>
        <w:rPr>
          <w:rFonts w:ascii="Arial" w:hAnsi="Arial" w:cs="Arial"/>
          <w:sz w:val="18"/>
          <w:szCs w:val="18"/>
        </w:rPr>
      </w:pPr>
      <w:r w:rsidRPr="000F2F87">
        <w:rPr>
          <w:rFonts w:ascii="Arial" w:hAnsi="Arial" w:cs="Arial"/>
          <w:sz w:val="18"/>
          <w:szCs w:val="18"/>
        </w:rPr>
        <w:t>Não é</w:t>
      </w:r>
      <w:r w:rsidR="002B189B" w:rsidRPr="000F2F87">
        <w:rPr>
          <w:rFonts w:ascii="Arial" w:hAnsi="Arial" w:cs="Arial"/>
          <w:sz w:val="18"/>
          <w:szCs w:val="18"/>
        </w:rPr>
        <w:t xml:space="preserve"> possível</w:t>
      </w:r>
      <w:r w:rsidRPr="000F2F87">
        <w:rPr>
          <w:rFonts w:ascii="Arial" w:hAnsi="Arial" w:cs="Arial"/>
          <w:sz w:val="18"/>
          <w:szCs w:val="18"/>
        </w:rPr>
        <w:t>, face ao princípio da taxatividade dos recursos,</w:t>
      </w:r>
      <w:r w:rsidR="002B189B" w:rsidRPr="000F2F87">
        <w:rPr>
          <w:rFonts w:ascii="Arial" w:hAnsi="Arial" w:cs="Arial"/>
          <w:sz w:val="18"/>
          <w:szCs w:val="18"/>
        </w:rPr>
        <w:t xml:space="preserve"> a interposição de agravo contra decisão</w:t>
      </w:r>
      <w:r w:rsidR="000F2F87" w:rsidRPr="000F2F87">
        <w:rPr>
          <w:rFonts w:ascii="Arial" w:hAnsi="Arial" w:cs="Arial"/>
          <w:sz w:val="18"/>
          <w:szCs w:val="18"/>
        </w:rPr>
        <w:t xml:space="preserve"> interlocutória adotada por colegiado</w:t>
      </w:r>
      <w:r w:rsidR="00124A64" w:rsidRPr="000F2F87">
        <w:rPr>
          <w:rFonts w:ascii="Arial" w:hAnsi="Arial" w:cs="Arial"/>
          <w:sz w:val="18"/>
          <w:szCs w:val="18"/>
        </w:rPr>
        <w:t xml:space="preserve"> do</w:t>
      </w:r>
      <w:r w:rsidR="000F2F87" w:rsidRPr="000F2F87">
        <w:rPr>
          <w:rFonts w:ascii="Arial" w:hAnsi="Arial" w:cs="Arial"/>
          <w:sz w:val="18"/>
          <w:szCs w:val="18"/>
        </w:rPr>
        <w:t xml:space="preserve"> TCU (</w:t>
      </w:r>
      <w:r w:rsidR="000F2F87" w:rsidRPr="00C949B0">
        <w:rPr>
          <w:rFonts w:ascii="Arial" w:hAnsi="Arial" w:cs="Arial"/>
          <w:color w:val="0070C0"/>
          <w:sz w:val="18"/>
          <w:szCs w:val="18"/>
        </w:rPr>
        <w:t>art.</w:t>
      </w:r>
      <w:r w:rsidR="00C949B0" w:rsidRPr="000A06AC">
        <w:rPr>
          <w:rStyle w:val="Refdenotadefim"/>
          <w:rFonts w:ascii="Arial" w:hAnsi="Arial" w:cs="Arial"/>
          <w:color w:val="FFFFFF" w:themeColor="background1"/>
          <w:sz w:val="6"/>
          <w:szCs w:val="6"/>
        </w:rPr>
        <w:endnoteReference w:id="6"/>
      </w:r>
      <w:r w:rsidR="000F2F87" w:rsidRPr="00C949B0">
        <w:rPr>
          <w:rFonts w:ascii="Arial" w:hAnsi="Arial" w:cs="Arial"/>
          <w:color w:val="0070C0"/>
          <w:sz w:val="18"/>
          <w:szCs w:val="18"/>
        </w:rPr>
        <w:t xml:space="preserve">289 </w:t>
      </w:r>
      <w:r w:rsidR="000F2F87" w:rsidRPr="000F2F87">
        <w:rPr>
          <w:rFonts w:ascii="Arial" w:hAnsi="Arial" w:cs="Arial"/>
          <w:sz w:val="18"/>
          <w:szCs w:val="18"/>
        </w:rPr>
        <w:t>do Regimento Interno/T</w:t>
      </w:r>
      <w:r w:rsidR="000D374F" w:rsidRPr="000F2F87">
        <w:rPr>
          <w:rFonts w:ascii="Arial" w:hAnsi="Arial" w:cs="Arial"/>
          <w:sz w:val="18"/>
          <w:szCs w:val="18"/>
        </w:rPr>
        <w:t>CU),</w:t>
      </w:r>
      <w:r w:rsidR="00124A64" w:rsidRPr="000F2F87">
        <w:rPr>
          <w:rFonts w:ascii="Arial" w:hAnsi="Arial" w:cs="Arial"/>
          <w:sz w:val="18"/>
          <w:szCs w:val="18"/>
        </w:rPr>
        <w:t xml:space="preserve"> ressalvada a</w:t>
      </w:r>
      <w:r w:rsidR="00124A64" w:rsidRPr="000F2F87">
        <w:rPr>
          <w:rFonts w:ascii="Arial" w:eastAsiaTheme="minorEastAsia" w:hAnsi="Arial" w:cs="Arial"/>
          <w:color w:val="000000"/>
          <w:sz w:val="18"/>
          <w:szCs w:val="18"/>
          <w:lang w:eastAsia="en-US"/>
        </w:rPr>
        <w:t xml:space="preserve"> </w:t>
      </w:r>
      <w:r w:rsidR="00206ECE">
        <w:rPr>
          <w:rFonts w:ascii="Arial" w:hAnsi="Arial" w:cs="Arial"/>
          <w:sz w:val="18"/>
          <w:szCs w:val="18"/>
        </w:rPr>
        <w:t>medida cautelar fundamentada</w:t>
      </w:r>
      <w:r w:rsidR="00124A64" w:rsidRPr="000F2F87">
        <w:rPr>
          <w:rFonts w:ascii="Arial" w:hAnsi="Arial" w:cs="Arial"/>
          <w:sz w:val="18"/>
          <w:szCs w:val="18"/>
        </w:rPr>
        <w:t xml:space="preserve"> no </w:t>
      </w:r>
      <w:r w:rsidR="00124A64" w:rsidRPr="00C949B0">
        <w:rPr>
          <w:rFonts w:ascii="Arial" w:hAnsi="Arial" w:cs="Arial"/>
          <w:color w:val="0070C0"/>
          <w:sz w:val="18"/>
          <w:szCs w:val="18"/>
        </w:rPr>
        <w:t>art.</w:t>
      </w:r>
      <w:r w:rsidR="00C949B0" w:rsidRPr="000A06AC">
        <w:rPr>
          <w:rStyle w:val="Refdenotadefim"/>
          <w:rFonts w:ascii="Arial" w:hAnsi="Arial" w:cs="Arial"/>
          <w:color w:val="FFFFFF" w:themeColor="background1"/>
          <w:sz w:val="6"/>
          <w:szCs w:val="6"/>
        </w:rPr>
        <w:endnoteReference w:id="7"/>
      </w:r>
      <w:r w:rsidR="00124A64" w:rsidRPr="00C949B0">
        <w:rPr>
          <w:rFonts w:ascii="Arial" w:hAnsi="Arial" w:cs="Arial"/>
          <w:color w:val="0070C0"/>
          <w:sz w:val="18"/>
          <w:szCs w:val="18"/>
        </w:rPr>
        <w:t xml:space="preserve">276 </w:t>
      </w:r>
      <w:r w:rsidR="00124A64" w:rsidRPr="000F2F87">
        <w:rPr>
          <w:rFonts w:ascii="Arial" w:hAnsi="Arial" w:cs="Arial"/>
          <w:sz w:val="18"/>
          <w:szCs w:val="18"/>
        </w:rPr>
        <w:t>do RI/TCU.</w:t>
      </w:r>
      <w:r w:rsidR="002B189B" w:rsidRPr="000F2F87">
        <w:rPr>
          <w:rFonts w:ascii="Arial" w:hAnsi="Arial" w:cs="Arial"/>
          <w:sz w:val="18"/>
          <w:szCs w:val="18"/>
        </w:rPr>
        <w:t xml:space="preserve"> </w:t>
      </w:r>
      <w:r w:rsidRPr="000F2F87">
        <w:rPr>
          <w:rFonts w:ascii="Arial" w:hAnsi="Arial" w:cs="Arial"/>
          <w:sz w:val="18"/>
          <w:szCs w:val="18"/>
        </w:rPr>
        <w:t>O</w:t>
      </w:r>
      <w:r w:rsidR="002B189B" w:rsidRPr="000F2F87">
        <w:rPr>
          <w:rFonts w:ascii="Arial" w:hAnsi="Arial" w:cs="Arial"/>
          <w:sz w:val="18"/>
          <w:szCs w:val="18"/>
        </w:rPr>
        <w:t xml:space="preserve"> expediente que a</w:t>
      </w:r>
      <w:r w:rsidR="00106518" w:rsidRPr="000F2F87">
        <w:rPr>
          <w:rFonts w:ascii="Arial" w:hAnsi="Arial" w:cs="Arial"/>
          <w:sz w:val="18"/>
          <w:szCs w:val="18"/>
        </w:rPr>
        <w:t xml:space="preserve">pelar de acórdão interlocutório </w:t>
      </w:r>
      <w:r w:rsidR="002B189B" w:rsidRPr="000F2F87">
        <w:rPr>
          <w:rFonts w:ascii="Arial" w:hAnsi="Arial" w:cs="Arial"/>
          <w:sz w:val="18"/>
          <w:szCs w:val="18"/>
        </w:rPr>
        <w:t>que impôs sucumbência à parte deve ser conhecido como petição, de modo a se possibilitar a red</w:t>
      </w:r>
      <w:r w:rsidR="000D374F" w:rsidRPr="000F2F87">
        <w:rPr>
          <w:rFonts w:ascii="Arial" w:hAnsi="Arial" w:cs="Arial"/>
          <w:sz w:val="18"/>
          <w:szCs w:val="18"/>
        </w:rPr>
        <w:t>iscussão da matéria e</w:t>
      </w:r>
      <w:r w:rsidR="002B189B" w:rsidRPr="000F2F87">
        <w:rPr>
          <w:rFonts w:ascii="Arial" w:hAnsi="Arial" w:cs="Arial"/>
          <w:sz w:val="18"/>
          <w:szCs w:val="18"/>
        </w:rPr>
        <w:t xml:space="preserve"> </w:t>
      </w:r>
      <w:r w:rsidR="00124A64" w:rsidRPr="000F2F87">
        <w:rPr>
          <w:rFonts w:ascii="Arial" w:hAnsi="Arial" w:cs="Arial"/>
          <w:sz w:val="18"/>
          <w:szCs w:val="18"/>
        </w:rPr>
        <w:t>a observância</w:t>
      </w:r>
      <w:r w:rsidR="002B189B" w:rsidRPr="000F2F87">
        <w:rPr>
          <w:rFonts w:ascii="Arial" w:hAnsi="Arial" w:cs="Arial"/>
          <w:sz w:val="18"/>
          <w:szCs w:val="18"/>
        </w:rPr>
        <w:t xml:space="preserve"> </w:t>
      </w:r>
      <w:r w:rsidR="00124A64" w:rsidRPr="000F2F87">
        <w:rPr>
          <w:rFonts w:ascii="Arial" w:hAnsi="Arial" w:cs="Arial"/>
          <w:sz w:val="18"/>
          <w:szCs w:val="18"/>
        </w:rPr>
        <w:t>d</w:t>
      </w:r>
      <w:r w:rsidR="002B189B" w:rsidRPr="000F2F87">
        <w:rPr>
          <w:rFonts w:ascii="Arial" w:hAnsi="Arial" w:cs="Arial"/>
          <w:sz w:val="18"/>
          <w:szCs w:val="18"/>
        </w:rPr>
        <w:t xml:space="preserve">os princípios do </w:t>
      </w:r>
      <w:r w:rsidR="00124A64" w:rsidRPr="000F2F87">
        <w:rPr>
          <w:rFonts w:ascii="Arial" w:hAnsi="Arial" w:cs="Arial"/>
          <w:sz w:val="18"/>
          <w:szCs w:val="18"/>
        </w:rPr>
        <w:t>contraditório e da ampla defesa.</w:t>
      </w:r>
    </w:p>
    <w:p w:rsidR="008A5229" w:rsidRPr="000F2F87" w:rsidRDefault="00307454" w:rsidP="008A5229">
      <w:pPr>
        <w:shd w:val="clear" w:color="auto" w:fill="FFFFFF"/>
        <w:rPr>
          <w:rFonts w:ascii="Arial" w:hAnsi="Arial" w:cs="Arial"/>
          <w:sz w:val="18"/>
          <w:szCs w:val="18"/>
        </w:rPr>
      </w:pPr>
      <w:hyperlink r:id="rId11" w:history="1">
        <w:r w:rsidR="008A5229" w:rsidRPr="00982AFC">
          <w:rPr>
            <w:rStyle w:val="Hyperlink"/>
            <w:rFonts w:ascii="Arial" w:hAnsi="Arial" w:cs="Arial"/>
            <w:b/>
            <w:sz w:val="18"/>
            <w:szCs w:val="18"/>
            <w:shd w:val="clear" w:color="auto" w:fill="FFFFFF"/>
          </w:rPr>
          <w:t>Acórdão 1854/2015 Plenário</w:t>
        </w:r>
      </w:hyperlink>
      <w:r w:rsidR="008A5229" w:rsidRPr="000F2F87">
        <w:rPr>
          <w:rFonts w:ascii="Arial" w:hAnsi="Arial" w:cs="Arial"/>
          <w:sz w:val="18"/>
          <w:szCs w:val="18"/>
        </w:rPr>
        <w:t xml:space="preserve"> (Auditoria, Relator Ministro Benjamin </w:t>
      </w:r>
      <w:proofErr w:type="spellStart"/>
      <w:r w:rsidR="008A5229" w:rsidRPr="000F2F87">
        <w:rPr>
          <w:rFonts w:ascii="Arial" w:hAnsi="Arial" w:cs="Arial"/>
          <w:sz w:val="18"/>
          <w:szCs w:val="18"/>
        </w:rPr>
        <w:t>Zymler</w:t>
      </w:r>
      <w:proofErr w:type="spellEnd"/>
      <w:r w:rsidR="008A5229" w:rsidRPr="000F2F87">
        <w:rPr>
          <w:rFonts w:ascii="Arial" w:hAnsi="Arial" w:cs="Arial"/>
          <w:sz w:val="18"/>
          <w:szCs w:val="18"/>
        </w:rPr>
        <w:t>)</w:t>
      </w:r>
    </w:p>
    <w:p w:rsidR="008A5229" w:rsidRPr="000F2F87" w:rsidRDefault="008A5229" w:rsidP="008A5229">
      <w:pPr>
        <w:rPr>
          <w:rFonts w:ascii="Arial" w:hAnsi="Arial" w:cs="Arial"/>
          <w:sz w:val="18"/>
          <w:szCs w:val="18"/>
        </w:rPr>
      </w:pPr>
      <w:r w:rsidRPr="000F2F87">
        <w:rPr>
          <w:rFonts w:ascii="Arial" w:hAnsi="Arial" w:cs="Arial"/>
          <w:sz w:val="18"/>
          <w:szCs w:val="18"/>
        </w:rPr>
        <w:t xml:space="preserve">Processual. </w:t>
      </w:r>
      <w:r w:rsidR="000007B1">
        <w:rPr>
          <w:rFonts w:ascii="Arial" w:hAnsi="Arial" w:cs="Arial"/>
          <w:sz w:val="18"/>
          <w:szCs w:val="18"/>
        </w:rPr>
        <w:t xml:space="preserve">Acesso à informação. Sigilo. </w:t>
      </w:r>
    </w:p>
    <w:p w:rsidR="008A5229" w:rsidRPr="008A5229" w:rsidRDefault="008A5229" w:rsidP="008A5229">
      <w:pPr>
        <w:rPr>
          <w:rFonts w:ascii="Arial" w:eastAsiaTheme="minorHAnsi" w:hAnsi="Arial" w:cs="Arial"/>
          <w:color w:val="000000"/>
          <w:sz w:val="18"/>
          <w:szCs w:val="18"/>
        </w:rPr>
      </w:pPr>
      <w:r>
        <w:rPr>
          <w:rFonts w:ascii="Arial" w:hAnsi="Arial" w:cs="Arial"/>
          <w:color w:val="000000"/>
          <w:sz w:val="18"/>
          <w:szCs w:val="18"/>
        </w:rPr>
        <w:t>Os orçamentos estimativos das contrataçõ</w:t>
      </w:r>
      <w:r w:rsidR="00D17C53">
        <w:rPr>
          <w:rFonts w:ascii="Arial" w:hAnsi="Arial" w:cs="Arial"/>
          <w:color w:val="000000"/>
          <w:sz w:val="18"/>
          <w:szCs w:val="18"/>
        </w:rPr>
        <w:t xml:space="preserve">es da Petrobras </w:t>
      </w:r>
      <w:r w:rsidR="00936E7B">
        <w:rPr>
          <w:rFonts w:ascii="Arial" w:hAnsi="Arial" w:cs="Arial"/>
          <w:color w:val="000000"/>
          <w:sz w:val="18"/>
          <w:szCs w:val="18"/>
        </w:rPr>
        <w:t>são de natureza pública.</w:t>
      </w:r>
      <w:r>
        <w:rPr>
          <w:rFonts w:ascii="Arial" w:hAnsi="Arial" w:cs="Arial"/>
          <w:color w:val="000000"/>
          <w:sz w:val="18"/>
          <w:szCs w:val="18"/>
        </w:rPr>
        <w:t xml:space="preserve"> Não são dados imprescindíveis à segurança da sociedade e do Estado, nem constituem segredo comercial </w:t>
      </w:r>
      <w:r w:rsidR="00E72AB9">
        <w:rPr>
          <w:rFonts w:ascii="Arial" w:hAnsi="Arial" w:cs="Arial"/>
          <w:color w:val="000000"/>
          <w:sz w:val="18"/>
          <w:szCs w:val="18"/>
        </w:rPr>
        <w:t>da companhia, estando, assim,</w:t>
      </w:r>
      <w:r>
        <w:rPr>
          <w:rFonts w:ascii="Arial" w:hAnsi="Arial" w:cs="Arial"/>
          <w:color w:val="000000"/>
          <w:sz w:val="18"/>
          <w:szCs w:val="18"/>
        </w:rPr>
        <w:t xml:space="preserve"> fora do alcance dos </w:t>
      </w:r>
      <w:proofErr w:type="spellStart"/>
      <w:r w:rsidRPr="00D17C53">
        <w:rPr>
          <w:rFonts w:ascii="Arial" w:hAnsi="Arial" w:cs="Arial"/>
          <w:color w:val="0070C0"/>
          <w:sz w:val="18"/>
          <w:szCs w:val="18"/>
        </w:rPr>
        <w:t>arts</w:t>
      </w:r>
      <w:proofErr w:type="spellEnd"/>
      <w:r w:rsidR="00D17C53" w:rsidRPr="00D17C53">
        <w:rPr>
          <w:rFonts w:ascii="Arial" w:hAnsi="Arial" w:cs="Arial"/>
          <w:color w:val="0070C0"/>
          <w:sz w:val="18"/>
          <w:szCs w:val="18"/>
        </w:rPr>
        <w:t>.</w:t>
      </w:r>
      <w:r w:rsidR="00D17C53" w:rsidRPr="003703E9">
        <w:rPr>
          <w:rStyle w:val="Refdenotadefim"/>
          <w:rFonts w:ascii="Arial" w:hAnsi="Arial" w:cs="Arial"/>
          <w:color w:val="FFFFFF" w:themeColor="background1"/>
          <w:sz w:val="4"/>
          <w:szCs w:val="4"/>
        </w:rPr>
        <w:endnoteReference w:id="8"/>
      </w:r>
      <w:r w:rsidRPr="00D17C53">
        <w:rPr>
          <w:rFonts w:ascii="Arial" w:hAnsi="Arial" w:cs="Arial"/>
          <w:color w:val="0070C0"/>
          <w:sz w:val="18"/>
          <w:szCs w:val="18"/>
        </w:rPr>
        <w:t>155</w:t>
      </w:r>
      <w:r>
        <w:rPr>
          <w:rFonts w:ascii="Arial" w:hAnsi="Arial" w:cs="Arial"/>
          <w:color w:val="000000"/>
          <w:sz w:val="18"/>
          <w:szCs w:val="18"/>
        </w:rPr>
        <w:t xml:space="preserve">, </w:t>
      </w:r>
      <w:r w:rsidRPr="00D17C53">
        <w:rPr>
          <w:rFonts w:ascii="Arial" w:hAnsi="Arial" w:cs="Arial"/>
          <w:color w:val="0070C0"/>
          <w:sz w:val="18"/>
          <w:szCs w:val="18"/>
        </w:rPr>
        <w:t>§</w:t>
      </w:r>
      <w:r w:rsidR="00D17C53" w:rsidRPr="003703E9">
        <w:rPr>
          <w:rStyle w:val="Refdenotadefim"/>
          <w:rFonts w:ascii="Arial" w:hAnsi="Arial" w:cs="Arial"/>
          <w:color w:val="FFFFFF" w:themeColor="background1"/>
          <w:sz w:val="6"/>
          <w:szCs w:val="6"/>
        </w:rPr>
        <w:endnoteReference w:id="9"/>
      </w:r>
      <w:r w:rsidRPr="00D17C53">
        <w:rPr>
          <w:rFonts w:ascii="Arial" w:hAnsi="Arial" w:cs="Arial"/>
          <w:color w:val="0070C0"/>
          <w:sz w:val="18"/>
          <w:szCs w:val="18"/>
        </w:rPr>
        <w:t>1º</w:t>
      </w:r>
      <w:r w:rsidR="00E72AB9">
        <w:rPr>
          <w:rFonts w:ascii="Arial" w:hAnsi="Arial" w:cs="Arial"/>
          <w:color w:val="000000"/>
          <w:sz w:val="18"/>
          <w:szCs w:val="18"/>
        </w:rPr>
        <w:t xml:space="preserve">, da Lei 6.404/76, </w:t>
      </w:r>
      <w:r w:rsidR="00D17C53" w:rsidRPr="00E72AB9">
        <w:rPr>
          <w:rStyle w:val="Refdenotadefim"/>
          <w:rFonts w:ascii="Arial" w:hAnsi="Arial" w:cs="Arial"/>
          <w:color w:val="FFFFFF" w:themeColor="background1"/>
          <w:sz w:val="4"/>
          <w:szCs w:val="4"/>
        </w:rPr>
        <w:endnoteReference w:id="10"/>
      </w:r>
      <w:r w:rsidRPr="00D17C53">
        <w:rPr>
          <w:rFonts w:ascii="Arial" w:hAnsi="Arial" w:cs="Arial"/>
          <w:color w:val="0070C0"/>
          <w:sz w:val="18"/>
          <w:szCs w:val="18"/>
        </w:rPr>
        <w:t xml:space="preserve">1.190 </w:t>
      </w:r>
      <w:r>
        <w:rPr>
          <w:rFonts w:ascii="Arial" w:hAnsi="Arial" w:cs="Arial"/>
          <w:color w:val="000000"/>
          <w:sz w:val="18"/>
          <w:szCs w:val="18"/>
        </w:rPr>
        <w:t>e</w:t>
      </w:r>
      <w:r w:rsidR="003703E9" w:rsidRPr="003703E9">
        <w:rPr>
          <w:rStyle w:val="Refdenotadefim"/>
          <w:rFonts w:ascii="Arial" w:hAnsi="Arial" w:cs="Arial"/>
          <w:color w:val="FFFFFF" w:themeColor="background1"/>
          <w:sz w:val="18"/>
          <w:szCs w:val="18"/>
        </w:rPr>
        <w:endnoteReference w:id="11"/>
      </w:r>
      <w:r w:rsidRPr="003703E9">
        <w:rPr>
          <w:rFonts w:ascii="Arial" w:hAnsi="Arial" w:cs="Arial"/>
          <w:color w:val="0070C0"/>
          <w:sz w:val="18"/>
          <w:szCs w:val="18"/>
        </w:rPr>
        <w:t xml:space="preserve">1.191 </w:t>
      </w:r>
      <w:r>
        <w:rPr>
          <w:rFonts w:ascii="Arial" w:hAnsi="Arial" w:cs="Arial"/>
          <w:color w:val="000000"/>
          <w:sz w:val="18"/>
          <w:szCs w:val="18"/>
        </w:rPr>
        <w:t>do Código Civil.</w:t>
      </w:r>
    </w:p>
    <w:p w:rsidR="001C5F5B" w:rsidRPr="000F2F87" w:rsidRDefault="00307454" w:rsidP="001C5F5B">
      <w:pPr>
        <w:shd w:val="clear" w:color="auto" w:fill="FFFFFF"/>
        <w:rPr>
          <w:rFonts w:ascii="Arial" w:hAnsi="Arial" w:cs="Arial"/>
          <w:sz w:val="18"/>
          <w:szCs w:val="18"/>
        </w:rPr>
      </w:pPr>
      <w:hyperlink r:id="rId12" w:history="1">
        <w:r w:rsidR="00982AFC" w:rsidRPr="00982AFC">
          <w:rPr>
            <w:rStyle w:val="Hyperlink"/>
            <w:rFonts w:ascii="Arial" w:hAnsi="Arial" w:cs="Arial"/>
            <w:b/>
            <w:sz w:val="18"/>
            <w:szCs w:val="18"/>
            <w:shd w:val="clear" w:color="auto" w:fill="FFFFFF"/>
          </w:rPr>
          <w:t>Acórdão 1877/2015 Plenário</w:t>
        </w:r>
      </w:hyperlink>
      <w:r w:rsidR="001C5F5B" w:rsidRPr="000F2F87">
        <w:rPr>
          <w:rFonts w:ascii="Arial" w:hAnsi="Arial" w:cs="Arial"/>
          <w:sz w:val="18"/>
          <w:szCs w:val="18"/>
        </w:rPr>
        <w:t xml:space="preserve"> (</w:t>
      </w:r>
      <w:r w:rsidR="00154559" w:rsidRPr="000F2F87">
        <w:rPr>
          <w:rFonts w:ascii="Arial" w:hAnsi="Arial" w:cs="Arial"/>
          <w:sz w:val="18"/>
          <w:szCs w:val="18"/>
        </w:rPr>
        <w:t>Pedido de Reexame</w:t>
      </w:r>
      <w:r w:rsidR="002D7E72" w:rsidRPr="000F2F87">
        <w:rPr>
          <w:rFonts w:ascii="Arial" w:hAnsi="Arial" w:cs="Arial"/>
          <w:sz w:val="18"/>
          <w:szCs w:val="18"/>
        </w:rPr>
        <w:t xml:space="preserve">, </w:t>
      </w:r>
      <w:r w:rsidR="001C5F5B" w:rsidRPr="000F2F87">
        <w:rPr>
          <w:rFonts w:ascii="Arial" w:hAnsi="Arial" w:cs="Arial"/>
          <w:sz w:val="18"/>
          <w:szCs w:val="18"/>
        </w:rPr>
        <w:t xml:space="preserve">Relator Ministro </w:t>
      </w:r>
      <w:r w:rsidR="00154559" w:rsidRPr="000F2F87">
        <w:rPr>
          <w:rFonts w:ascii="Arial" w:hAnsi="Arial" w:cs="Arial"/>
          <w:sz w:val="18"/>
          <w:szCs w:val="18"/>
        </w:rPr>
        <w:t>Bruno Dantas</w:t>
      </w:r>
      <w:r w:rsidR="001C5F5B" w:rsidRPr="000F2F87">
        <w:rPr>
          <w:rFonts w:ascii="Arial" w:hAnsi="Arial" w:cs="Arial"/>
          <w:sz w:val="18"/>
          <w:szCs w:val="18"/>
        </w:rPr>
        <w:t>)</w:t>
      </w:r>
    </w:p>
    <w:p w:rsidR="001C5F5B" w:rsidRPr="000F2F87" w:rsidRDefault="00373E78" w:rsidP="001C5F5B">
      <w:pPr>
        <w:shd w:val="clear" w:color="auto" w:fill="FFFFFF"/>
        <w:rPr>
          <w:rFonts w:ascii="Arial" w:hAnsi="Arial" w:cs="Arial"/>
          <w:sz w:val="18"/>
          <w:szCs w:val="18"/>
        </w:rPr>
      </w:pPr>
      <w:r w:rsidRPr="000F2F87">
        <w:rPr>
          <w:rFonts w:ascii="Arial" w:hAnsi="Arial" w:cs="Arial"/>
          <w:sz w:val="18"/>
          <w:szCs w:val="18"/>
        </w:rPr>
        <w:t>Processual. Recurso.</w:t>
      </w:r>
      <w:r w:rsidR="00A61CD5">
        <w:rPr>
          <w:rFonts w:ascii="Arial" w:hAnsi="Arial" w:cs="Arial"/>
          <w:sz w:val="18"/>
          <w:szCs w:val="18"/>
        </w:rPr>
        <w:t xml:space="preserve"> Efeito s</w:t>
      </w:r>
      <w:r w:rsidRPr="000F2F87">
        <w:rPr>
          <w:rFonts w:ascii="Arial" w:hAnsi="Arial" w:cs="Arial"/>
          <w:sz w:val="18"/>
          <w:szCs w:val="18"/>
        </w:rPr>
        <w:t>uspensivo.</w:t>
      </w:r>
    </w:p>
    <w:p w:rsidR="00F35D73" w:rsidRPr="00F35D73" w:rsidRDefault="00F35D73" w:rsidP="00160467">
      <w:pPr>
        <w:rPr>
          <w:rFonts w:ascii="Arial" w:hAnsi="Arial" w:cs="Arial"/>
          <w:sz w:val="18"/>
          <w:szCs w:val="18"/>
        </w:rPr>
      </w:pPr>
      <w:r w:rsidRPr="00F35D73">
        <w:rPr>
          <w:rFonts w:ascii="Arial" w:hAnsi="Arial" w:cs="Arial"/>
          <w:sz w:val="18"/>
          <w:szCs w:val="18"/>
          <w:shd w:val="clear" w:color="auto" w:fill="FFFFFF"/>
        </w:rPr>
        <w:lastRenderedPageBreak/>
        <w:t xml:space="preserve">A regra geral que confere efeito suspensivo ao recurso não pode </w:t>
      </w:r>
      <w:r>
        <w:rPr>
          <w:rFonts w:ascii="Arial" w:hAnsi="Arial" w:cs="Arial"/>
          <w:sz w:val="18"/>
          <w:szCs w:val="18"/>
          <w:shd w:val="clear" w:color="auto" w:fill="FFFFFF"/>
        </w:rPr>
        <w:t>pô</w:t>
      </w:r>
      <w:r w:rsidRPr="00F35D73">
        <w:rPr>
          <w:rFonts w:ascii="Arial" w:hAnsi="Arial" w:cs="Arial"/>
          <w:sz w:val="18"/>
          <w:szCs w:val="18"/>
          <w:shd w:val="clear" w:color="auto" w:fill="FFFFFF"/>
        </w:rPr>
        <w:t>r em risco a eficác</w:t>
      </w:r>
      <w:r w:rsidR="00E441ED">
        <w:rPr>
          <w:rFonts w:ascii="Arial" w:hAnsi="Arial" w:cs="Arial"/>
          <w:sz w:val="18"/>
          <w:szCs w:val="18"/>
          <w:shd w:val="clear" w:color="auto" w:fill="FFFFFF"/>
        </w:rPr>
        <w:t>ia do acórdão. Essa</w:t>
      </w:r>
      <w:r w:rsidRPr="00F35D73">
        <w:rPr>
          <w:rFonts w:ascii="Arial" w:hAnsi="Arial" w:cs="Arial"/>
          <w:sz w:val="18"/>
          <w:szCs w:val="18"/>
          <w:shd w:val="clear" w:color="auto" w:fill="FFFFFF"/>
        </w:rPr>
        <w:t xml:space="preserve"> regra deve ceder espaço ao poder geral de cautela s</w:t>
      </w:r>
      <w:r w:rsidR="00E441ED">
        <w:rPr>
          <w:rFonts w:ascii="Arial" w:hAnsi="Arial" w:cs="Arial"/>
          <w:sz w:val="18"/>
          <w:szCs w:val="18"/>
          <w:shd w:val="clear" w:color="auto" w:fill="FFFFFF"/>
        </w:rPr>
        <w:t>empre que o</w:t>
      </w:r>
      <w:r w:rsidR="00AC6640">
        <w:rPr>
          <w:rFonts w:ascii="Arial" w:hAnsi="Arial" w:cs="Arial"/>
          <w:sz w:val="18"/>
          <w:szCs w:val="18"/>
          <w:shd w:val="clear" w:color="auto" w:fill="FFFFFF"/>
        </w:rPr>
        <w:t xml:space="preserve"> efeito</w:t>
      </w:r>
      <w:r w:rsidR="00E441ED">
        <w:rPr>
          <w:rFonts w:ascii="Arial" w:hAnsi="Arial" w:cs="Arial"/>
          <w:sz w:val="18"/>
          <w:szCs w:val="18"/>
          <w:shd w:val="clear" w:color="auto" w:fill="FFFFFF"/>
        </w:rPr>
        <w:t xml:space="preserve"> suspensivo</w:t>
      </w:r>
      <w:r w:rsidR="00AC6640">
        <w:rPr>
          <w:rFonts w:ascii="Arial" w:hAnsi="Arial" w:cs="Arial"/>
          <w:sz w:val="18"/>
          <w:szCs w:val="18"/>
          <w:shd w:val="clear" w:color="auto" w:fill="FFFFFF"/>
        </w:rPr>
        <w:t xml:space="preserve"> ensejar</w:t>
      </w:r>
      <w:r w:rsidRPr="00F35D73">
        <w:rPr>
          <w:rFonts w:ascii="Arial" w:hAnsi="Arial" w:cs="Arial"/>
          <w:sz w:val="18"/>
          <w:szCs w:val="18"/>
          <w:shd w:val="clear" w:color="auto" w:fill="FFFFFF"/>
        </w:rPr>
        <w:t xml:space="preserve"> </w:t>
      </w:r>
      <w:r w:rsidRPr="00F35D73">
        <w:rPr>
          <w:rFonts w:ascii="Arial" w:hAnsi="Arial" w:cs="Arial"/>
          <w:i/>
          <w:sz w:val="18"/>
          <w:szCs w:val="18"/>
          <w:shd w:val="clear" w:color="auto" w:fill="FFFFFF"/>
        </w:rPr>
        <w:t>periculum in mora</w:t>
      </w:r>
      <w:r w:rsidRPr="00F35D73">
        <w:rPr>
          <w:rFonts w:ascii="Arial" w:hAnsi="Arial" w:cs="Arial"/>
          <w:sz w:val="18"/>
          <w:szCs w:val="18"/>
          <w:shd w:val="clear" w:color="auto" w:fill="FFFFFF"/>
        </w:rPr>
        <w:t xml:space="preserve"> em ameaça ao in</w:t>
      </w:r>
      <w:r w:rsidR="0098645E">
        <w:rPr>
          <w:rFonts w:ascii="Arial" w:hAnsi="Arial" w:cs="Arial"/>
          <w:sz w:val="18"/>
          <w:szCs w:val="18"/>
          <w:shd w:val="clear" w:color="auto" w:fill="FFFFFF"/>
        </w:rPr>
        <w:t>teresse público que norteia os processos nos tribunais de contas.</w:t>
      </w:r>
    </w:p>
    <w:p w:rsidR="00263467" w:rsidRPr="000F2F87" w:rsidRDefault="00307454" w:rsidP="00263467">
      <w:pPr>
        <w:shd w:val="clear" w:color="auto" w:fill="FFFFFF"/>
        <w:rPr>
          <w:rFonts w:ascii="Arial" w:hAnsi="Arial" w:cs="Arial"/>
          <w:sz w:val="18"/>
          <w:szCs w:val="18"/>
        </w:rPr>
      </w:pPr>
      <w:hyperlink r:id="rId13" w:history="1">
        <w:r w:rsidR="00982AFC" w:rsidRPr="00982AFC">
          <w:rPr>
            <w:rStyle w:val="Hyperlink"/>
            <w:rFonts w:ascii="Arial" w:hAnsi="Arial" w:cs="Arial"/>
            <w:b/>
            <w:sz w:val="18"/>
            <w:szCs w:val="18"/>
            <w:shd w:val="clear" w:color="auto" w:fill="FFFFFF"/>
          </w:rPr>
          <w:t>Acórdão 1880/2015 Plenário</w:t>
        </w:r>
      </w:hyperlink>
      <w:r w:rsidR="00263467" w:rsidRPr="000F2F87">
        <w:rPr>
          <w:rFonts w:ascii="Arial" w:hAnsi="Arial" w:cs="Arial"/>
          <w:sz w:val="18"/>
          <w:szCs w:val="18"/>
        </w:rPr>
        <w:t xml:space="preserve"> (</w:t>
      </w:r>
      <w:r w:rsidR="00680917" w:rsidRPr="000F2F87">
        <w:rPr>
          <w:rFonts w:ascii="Arial" w:hAnsi="Arial" w:cs="Arial"/>
          <w:sz w:val="18"/>
          <w:szCs w:val="18"/>
        </w:rPr>
        <w:t>Embargos de Declaração</w:t>
      </w:r>
      <w:r w:rsidR="00693D5A" w:rsidRPr="000F2F87">
        <w:rPr>
          <w:rFonts w:ascii="Arial" w:hAnsi="Arial" w:cs="Arial"/>
          <w:sz w:val="18"/>
          <w:szCs w:val="18"/>
        </w:rPr>
        <w:t xml:space="preserve">, Relator Ministro </w:t>
      </w:r>
      <w:r w:rsidR="00CD5C9A" w:rsidRPr="000F2F87">
        <w:rPr>
          <w:rFonts w:ascii="Arial" w:hAnsi="Arial" w:cs="Arial"/>
          <w:sz w:val="18"/>
          <w:szCs w:val="18"/>
        </w:rPr>
        <w:t>Bruno Dantas</w:t>
      </w:r>
      <w:r w:rsidR="00263467" w:rsidRPr="000F2F87">
        <w:rPr>
          <w:rFonts w:ascii="Arial" w:hAnsi="Arial" w:cs="Arial"/>
          <w:sz w:val="18"/>
          <w:szCs w:val="18"/>
        </w:rPr>
        <w:t>)</w:t>
      </w:r>
    </w:p>
    <w:p w:rsidR="00263467" w:rsidRPr="000F2F87" w:rsidRDefault="00680917" w:rsidP="00263467">
      <w:pPr>
        <w:shd w:val="clear" w:color="auto" w:fill="FFFFFF"/>
        <w:rPr>
          <w:rFonts w:ascii="Arial" w:hAnsi="Arial" w:cs="Arial"/>
          <w:sz w:val="18"/>
          <w:szCs w:val="18"/>
        </w:rPr>
      </w:pPr>
      <w:r w:rsidRPr="000F2F87">
        <w:rPr>
          <w:rFonts w:ascii="Arial" w:hAnsi="Arial" w:cs="Arial"/>
          <w:sz w:val="18"/>
          <w:szCs w:val="18"/>
        </w:rPr>
        <w:t>Processual</w:t>
      </w:r>
      <w:r w:rsidR="009A65E6" w:rsidRPr="000F2F87">
        <w:rPr>
          <w:rFonts w:ascii="Arial" w:hAnsi="Arial" w:cs="Arial"/>
          <w:sz w:val="18"/>
          <w:szCs w:val="18"/>
        </w:rPr>
        <w:t>.</w:t>
      </w:r>
      <w:r w:rsidRPr="000F2F87">
        <w:rPr>
          <w:rFonts w:ascii="Arial" w:hAnsi="Arial" w:cs="Arial"/>
          <w:sz w:val="18"/>
          <w:szCs w:val="18"/>
        </w:rPr>
        <w:t xml:space="preserve"> C</w:t>
      </w:r>
      <w:r w:rsidR="0098645E">
        <w:rPr>
          <w:rFonts w:ascii="Arial" w:hAnsi="Arial" w:cs="Arial"/>
          <w:sz w:val="18"/>
          <w:szCs w:val="18"/>
        </w:rPr>
        <w:t>ontraditório e ampla d</w:t>
      </w:r>
      <w:r w:rsidR="002B3BC4" w:rsidRPr="000F2F87">
        <w:rPr>
          <w:rFonts w:ascii="Arial" w:hAnsi="Arial" w:cs="Arial"/>
          <w:sz w:val="18"/>
          <w:szCs w:val="18"/>
        </w:rPr>
        <w:t>efesa. Memorial.</w:t>
      </w:r>
      <w:r w:rsidR="009A65E6" w:rsidRPr="000F2F87">
        <w:rPr>
          <w:rFonts w:ascii="Arial" w:hAnsi="Arial" w:cs="Arial"/>
          <w:sz w:val="18"/>
          <w:szCs w:val="18"/>
        </w:rPr>
        <w:t xml:space="preserve"> </w:t>
      </w:r>
    </w:p>
    <w:p w:rsidR="00FC162D" w:rsidRPr="000F2F87" w:rsidRDefault="00CD5C9A" w:rsidP="001C5F5B">
      <w:pPr>
        <w:rPr>
          <w:rFonts w:ascii="Arial" w:hAnsi="Arial" w:cs="Arial"/>
          <w:sz w:val="18"/>
          <w:szCs w:val="18"/>
        </w:rPr>
      </w:pPr>
      <w:r w:rsidRPr="000F2F87">
        <w:rPr>
          <w:rFonts w:ascii="Arial" w:hAnsi="Arial" w:cs="Arial"/>
          <w:sz w:val="18"/>
          <w:szCs w:val="18"/>
        </w:rPr>
        <w:t>Não incorre em omissão a decisão que deixa de apreciar questão levantada exclusivamente em sede de memoriais</w:t>
      </w:r>
      <w:r w:rsidR="00680917" w:rsidRPr="000F2F87">
        <w:rPr>
          <w:rFonts w:ascii="Arial" w:hAnsi="Arial" w:cs="Arial"/>
          <w:sz w:val="18"/>
          <w:szCs w:val="18"/>
        </w:rPr>
        <w:t>.</w:t>
      </w:r>
      <w:r w:rsidRPr="000F2F87">
        <w:rPr>
          <w:rFonts w:ascii="Arial" w:hAnsi="Arial" w:cs="Arial"/>
          <w:sz w:val="18"/>
          <w:szCs w:val="18"/>
        </w:rPr>
        <w:t xml:space="preserve"> </w:t>
      </w:r>
      <w:r w:rsidR="0098576F">
        <w:rPr>
          <w:rFonts w:ascii="Arial" w:hAnsi="Arial" w:cs="Arial"/>
          <w:sz w:val="18"/>
          <w:szCs w:val="18"/>
        </w:rPr>
        <w:t>Após o término da fase de instrução, documentação entregue pelos responsáveis tem natureza jurídica de memorial (</w:t>
      </w:r>
      <w:r w:rsidR="0098576F" w:rsidRPr="00C949B0">
        <w:rPr>
          <w:rFonts w:ascii="Arial" w:hAnsi="Arial" w:cs="Arial"/>
          <w:color w:val="0070C0"/>
          <w:sz w:val="18"/>
          <w:szCs w:val="18"/>
        </w:rPr>
        <w:t>art.</w:t>
      </w:r>
      <w:r w:rsidR="00C949B0" w:rsidRPr="000A06AC">
        <w:rPr>
          <w:rStyle w:val="Refdenotadefim"/>
          <w:rFonts w:ascii="Arial" w:hAnsi="Arial" w:cs="Arial"/>
          <w:color w:val="FFFFFF" w:themeColor="background1"/>
          <w:sz w:val="4"/>
          <w:szCs w:val="4"/>
        </w:rPr>
        <w:endnoteReference w:id="12"/>
      </w:r>
      <w:r w:rsidR="0098576F" w:rsidRPr="00C949B0">
        <w:rPr>
          <w:rFonts w:ascii="Arial" w:hAnsi="Arial" w:cs="Arial"/>
          <w:color w:val="0070C0"/>
          <w:sz w:val="18"/>
          <w:szCs w:val="18"/>
        </w:rPr>
        <w:t>160</w:t>
      </w:r>
      <w:r w:rsidR="0098576F">
        <w:rPr>
          <w:rFonts w:ascii="Arial" w:hAnsi="Arial" w:cs="Arial"/>
          <w:sz w:val="18"/>
          <w:szCs w:val="18"/>
        </w:rPr>
        <w:t xml:space="preserve">, </w:t>
      </w:r>
      <w:r w:rsidR="0098576F" w:rsidRPr="00C949B0">
        <w:rPr>
          <w:rFonts w:ascii="Arial" w:hAnsi="Arial" w:cs="Arial"/>
          <w:color w:val="0070C0"/>
          <w:sz w:val="18"/>
          <w:szCs w:val="18"/>
        </w:rPr>
        <w:t>§§</w:t>
      </w:r>
      <w:r w:rsidR="00C949B0" w:rsidRPr="000A06AC">
        <w:rPr>
          <w:rStyle w:val="Refdenotadefim"/>
          <w:rFonts w:ascii="Arial" w:hAnsi="Arial" w:cs="Arial"/>
          <w:color w:val="FFFFFF" w:themeColor="background1"/>
          <w:sz w:val="6"/>
          <w:szCs w:val="6"/>
        </w:rPr>
        <w:endnoteReference w:id="13"/>
      </w:r>
      <w:r w:rsidR="0098576F" w:rsidRPr="00C949B0">
        <w:rPr>
          <w:rFonts w:ascii="Arial" w:hAnsi="Arial" w:cs="Arial"/>
          <w:color w:val="0070C0"/>
          <w:sz w:val="18"/>
          <w:szCs w:val="18"/>
        </w:rPr>
        <w:t>1º e</w:t>
      </w:r>
      <w:r w:rsidR="00C949B0" w:rsidRPr="00C949B0">
        <w:rPr>
          <w:rStyle w:val="Refdenotadefim"/>
          <w:rFonts w:ascii="Arial" w:hAnsi="Arial" w:cs="Arial"/>
          <w:color w:val="FFFFFF" w:themeColor="background1"/>
          <w:sz w:val="18"/>
          <w:szCs w:val="18"/>
        </w:rPr>
        <w:endnoteReference w:id="14"/>
      </w:r>
      <w:r w:rsidR="0098576F" w:rsidRPr="00C949B0">
        <w:rPr>
          <w:rFonts w:ascii="Arial" w:hAnsi="Arial" w:cs="Arial"/>
          <w:color w:val="0070C0"/>
          <w:sz w:val="18"/>
          <w:szCs w:val="18"/>
        </w:rPr>
        <w:t>3º</w:t>
      </w:r>
      <w:r w:rsidR="0098576F" w:rsidRPr="00C949B0">
        <w:rPr>
          <w:rFonts w:ascii="Arial" w:hAnsi="Arial" w:cs="Arial"/>
          <w:sz w:val="18"/>
          <w:szCs w:val="18"/>
        </w:rPr>
        <w:t xml:space="preserve"> </w:t>
      </w:r>
      <w:r w:rsidR="0098576F">
        <w:rPr>
          <w:rFonts w:ascii="Arial" w:hAnsi="Arial" w:cs="Arial"/>
          <w:sz w:val="18"/>
          <w:szCs w:val="18"/>
        </w:rPr>
        <w:t>do Regimento Interno/TCU) e, ainda que contenha argumento</w:t>
      </w:r>
      <w:r w:rsidR="00911716">
        <w:rPr>
          <w:rFonts w:ascii="Arial" w:hAnsi="Arial" w:cs="Arial"/>
          <w:sz w:val="18"/>
          <w:szCs w:val="18"/>
        </w:rPr>
        <w:t>s inéditos aos autos, não vincula a formação de juízo do relator, podendo este até mesmo não autorizar sua juntada ao processo.</w:t>
      </w:r>
    </w:p>
    <w:p w:rsidR="00CD5C9A" w:rsidRPr="000F2F87" w:rsidRDefault="00307454" w:rsidP="00CD5C9A">
      <w:pPr>
        <w:shd w:val="clear" w:color="auto" w:fill="FFFFFF"/>
        <w:rPr>
          <w:rFonts w:ascii="Arial" w:hAnsi="Arial" w:cs="Arial"/>
          <w:sz w:val="18"/>
          <w:szCs w:val="18"/>
        </w:rPr>
      </w:pPr>
      <w:hyperlink r:id="rId14" w:history="1">
        <w:r w:rsidR="00982AFC" w:rsidRPr="00982AFC">
          <w:rPr>
            <w:rStyle w:val="Hyperlink"/>
            <w:rFonts w:ascii="Arial" w:hAnsi="Arial" w:cs="Arial"/>
            <w:b/>
            <w:sz w:val="18"/>
            <w:szCs w:val="18"/>
            <w:shd w:val="clear" w:color="auto" w:fill="FFFFFF"/>
          </w:rPr>
          <w:t>Acórdão 1882/2015 Plenário</w:t>
        </w:r>
      </w:hyperlink>
      <w:r w:rsidR="00CD5C9A" w:rsidRPr="000F2F87">
        <w:rPr>
          <w:rFonts w:ascii="Arial" w:hAnsi="Arial" w:cs="Arial"/>
          <w:sz w:val="18"/>
          <w:szCs w:val="18"/>
        </w:rPr>
        <w:t xml:space="preserve"> (Embargos de Declaração, Relator Ministro Vital do Rêgo)</w:t>
      </w:r>
    </w:p>
    <w:p w:rsidR="00CD5C9A" w:rsidRPr="000F2F87" w:rsidRDefault="00217E32" w:rsidP="00CD5C9A">
      <w:pPr>
        <w:shd w:val="clear" w:color="auto" w:fill="FFFFFF"/>
        <w:rPr>
          <w:rFonts w:ascii="Arial" w:hAnsi="Arial" w:cs="Arial"/>
          <w:sz w:val="18"/>
          <w:szCs w:val="18"/>
        </w:rPr>
      </w:pPr>
      <w:r w:rsidRPr="00DF22B5">
        <w:rPr>
          <w:rFonts w:ascii="Arial" w:hAnsi="Arial" w:cs="Arial"/>
          <w:sz w:val="18"/>
          <w:szCs w:val="18"/>
        </w:rPr>
        <w:t xml:space="preserve">Processual. </w:t>
      </w:r>
      <w:r w:rsidR="00DF22B5" w:rsidRPr="00DF22B5">
        <w:rPr>
          <w:rFonts w:ascii="Arial" w:hAnsi="Arial" w:cs="Arial"/>
          <w:sz w:val="18"/>
          <w:szCs w:val="18"/>
        </w:rPr>
        <w:t>Parte</w:t>
      </w:r>
      <w:r w:rsidR="00DF22B5">
        <w:rPr>
          <w:rFonts w:ascii="Arial" w:hAnsi="Arial" w:cs="Arial"/>
          <w:sz w:val="18"/>
          <w:szCs w:val="18"/>
        </w:rPr>
        <w:t>. Sindicato</w:t>
      </w:r>
      <w:r w:rsidR="00375547" w:rsidRPr="00DF22B5">
        <w:rPr>
          <w:rFonts w:ascii="Arial" w:hAnsi="Arial" w:cs="Arial"/>
          <w:sz w:val="18"/>
          <w:szCs w:val="18"/>
        </w:rPr>
        <w:t>.</w:t>
      </w:r>
    </w:p>
    <w:p w:rsidR="00CD5C9A" w:rsidRPr="000F2F87" w:rsidRDefault="00CD5C9A" w:rsidP="00CD5C9A">
      <w:pPr>
        <w:shd w:val="clear" w:color="auto" w:fill="FFFFFF"/>
        <w:rPr>
          <w:rFonts w:ascii="Arial" w:hAnsi="Arial" w:cs="Arial"/>
          <w:sz w:val="18"/>
          <w:szCs w:val="18"/>
        </w:rPr>
      </w:pPr>
      <w:r w:rsidRPr="000F2F87">
        <w:rPr>
          <w:rFonts w:ascii="Arial" w:hAnsi="Arial" w:cs="Arial"/>
          <w:sz w:val="18"/>
          <w:szCs w:val="18"/>
        </w:rPr>
        <w:t>Quando deliberação do TCU atingir interesse subjetivo de</w:t>
      </w:r>
      <w:r w:rsidR="00DF22B5">
        <w:rPr>
          <w:rFonts w:ascii="Arial" w:hAnsi="Arial" w:cs="Arial"/>
          <w:sz w:val="18"/>
          <w:szCs w:val="18"/>
        </w:rPr>
        <w:t xml:space="preserve"> servidores</w:t>
      </w:r>
      <w:r w:rsidR="00375547">
        <w:rPr>
          <w:rFonts w:ascii="Arial" w:hAnsi="Arial" w:cs="Arial"/>
          <w:sz w:val="18"/>
          <w:szCs w:val="18"/>
        </w:rPr>
        <w:t xml:space="preserve"> de</w:t>
      </w:r>
      <w:r w:rsidRPr="000F2F87">
        <w:rPr>
          <w:rFonts w:ascii="Arial" w:hAnsi="Arial" w:cs="Arial"/>
          <w:sz w:val="18"/>
          <w:szCs w:val="18"/>
        </w:rPr>
        <w:t xml:space="preserve"> categoria profissional representada por sindicato, deve ser autorizada a habilitação da ent</w:t>
      </w:r>
      <w:r w:rsidR="00375547">
        <w:rPr>
          <w:rFonts w:ascii="Arial" w:hAnsi="Arial" w:cs="Arial"/>
          <w:sz w:val="18"/>
          <w:szCs w:val="18"/>
        </w:rPr>
        <w:t>idade representativa nos autos como interessado,</w:t>
      </w:r>
      <w:r w:rsidRPr="000F2F87">
        <w:rPr>
          <w:rFonts w:ascii="Arial" w:hAnsi="Arial" w:cs="Arial"/>
          <w:sz w:val="18"/>
          <w:szCs w:val="18"/>
        </w:rPr>
        <w:t xml:space="preserve"> para o exercício de prerrogativas processuais.</w:t>
      </w:r>
    </w:p>
    <w:p w:rsidR="00263467" w:rsidRPr="000F2F87" w:rsidRDefault="00307454" w:rsidP="00CD5C9A">
      <w:pPr>
        <w:shd w:val="clear" w:color="auto" w:fill="FFFFFF"/>
        <w:rPr>
          <w:rFonts w:ascii="Arial" w:hAnsi="Arial" w:cs="Arial"/>
          <w:sz w:val="18"/>
          <w:szCs w:val="18"/>
        </w:rPr>
      </w:pPr>
      <w:hyperlink r:id="rId15" w:history="1">
        <w:r w:rsidR="00982AFC" w:rsidRPr="00982AFC">
          <w:rPr>
            <w:rStyle w:val="Hyperlink"/>
            <w:rFonts w:ascii="Arial" w:hAnsi="Arial" w:cs="Arial"/>
            <w:b/>
            <w:sz w:val="18"/>
            <w:szCs w:val="18"/>
            <w:shd w:val="clear" w:color="auto" w:fill="FFFFFF"/>
          </w:rPr>
          <w:t>Acórdão 1882/2015 Plenário</w:t>
        </w:r>
      </w:hyperlink>
      <w:r w:rsidR="00263467" w:rsidRPr="000F2F87">
        <w:rPr>
          <w:rFonts w:ascii="Arial" w:hAnsi="Arial" w:cs="Arial"/>
          <w:sz w:val="18"/>
          <w:szCs w:val="18"/>
        </w:rPr>
        <w:t xml:space="preserve"> (</w:t>
      </w:r>
      <w:r w:rsidR="00CD5C9A" w:rsidRPr="000F2F87">
        <w:rPr>
          <w:rFonts w:ascii="Arial" w:hAnsi="Arial" w:cs="Arial"/>
          <w:sz w:val="18"/>
          <w:szCs w:val="18"/>
        </w:rPr>
        <w:t>Embargos de Declaração</w:t>
      </w:r>
      <w:r w:rsidR="006E7CC8" w:rsidRPr="000F2F87">
        <w:rPr>
          <w:rFonts w:ascii="Arial" w:hAnsi="Arial" w:cs="Arial"/>
          <w:sz w:val="18"/>
          <w:szCs w:val="18"/>
        </w:rPr>
        <w:t>, Relator Ministro Vital do Rêgo</w:t>
      </w:r>
      <w:r w:rsidR="00263467" w:rsidRPr="000F2F87">
        <w:rPr>
          <w:rFonts w:ascii="Arial" w:hAnsi="Arial" w:cs="Arial"/>
          <w:sz w:val="18"/>
          <w:szCs w:val="18"/>
        </w:rPr>
        <w:t>)</w:t>
      </w:r>
    </w:p>
    <w:p w:rsidR="00263467" w:rsidRPr="000F2F87" w:rsidRDefault="00CE5607" w:rsidP="00263467">
      <w:pPr>
        <w:shd w:val="clear" w:color="auto" w:fill="FFFFFF"/>
        <w:rPr>
          <w:rFonts w:ascii="Arial" w:hAnsi="Arial" w:cs="Arial"/>
          <w:sz w:val="18"/>
          <w:szCs w:val="18"/>
        </w:rPr>
      </w:pPr>
      <w:r w:rsidRPr="000F2F87">
        <w:rPr>
          <w:rFonts w:ascii="Arial" w:hAnsi="Arial" w:cs="Arial"/>
          <w:sz w:val="18"/>
          <w:szCs w:val="18"/>
        </w:rPr>
        <w:t>Pessoal</w:t>
      </w:r>
      <w:r w:rsidR="00A2336E" w:rsidRPr="000F2F87">
        <w:rPr>
          <w:rFonts w:ascii="Arial" w:hAnsi="Arial" w:cs="Arial"/>
          <w:sz w:val="18"/>
          <w:szCs w:val="18"/>
        </w:rPr>
        <w:t>.</w:t>
      </w:r>
      <w:r w:rsidR="00DF22B5">
        <w:rPr>
          <w:rFonts w:ascii="Arial" w:hAnsi="Arial" w:cs="Arial"/>
          <w:sz w:val="18"/>
          <w:szCs w:val="18"/>
        </w:rPr>
        <w:t xml:space="preserve"> Aposentadoria e</w:t>
      </w:r>
      <w:r w:rsidRPr="000F2F87">
        <w:rPr>
          <w:rFonts w:ascii="Arial" w:hAnsi="Arial" w:cs="Arial"/>
          <w:sz w:val="18"/>
          <w:szCs w:val="18"/>
        </w:rPr>
        <w:t>special. Policial.</w:t>
      </w:r>
    </w:p>
    <w:p w:rsidR="006E7CC8" w:rsidRPr="000F2F87" w:rsidRDefault="00465B60" w:rsidP="001C5F5B">
      <w:pPr>
        <w:rPr>
          <w:rFonts w:ascii="Arial" w:hAnsi="Arial" w:cs="Arial"/>
          <w:sz w:val="18"/>
          <w:szCs w:val="18"/>
        </w:rPr>
      </w:pPr>
      <w:r w:rsidRPr="000F2F87">
        <w:rPr>
          <w:rFonts w:ascii="Arial" w:hAnsi="Arial" w:cs="Arial"/>
          <w:sz w:val="18"/>
          <w:szCs w:val="18"/>
        </w:rPr>
        <w:t>Compete ao Ministério da Justiça, órgão ao qual está atrelada a carreira de policial federal, a</w:t>
      </w:r>
      <w:r w:rsidR="00CD5C9A" w:rsidRPr="000F2F87">
        <w:rPr>
          <w:rFonts w:ascii="Arial" w:hAnsi="Arial" w:cs="Arial"/>
          <w:sz w:val="18"/>
          <w:szCs w:val="18"/>
        </w:rPr>
        <w:t xml:space="preserve"> regulamentação </w:t>
      </w:r>
      <w:r w:rsidR="00E80146">
        <w:rPr>
          <w:rFonts w:ascii="Arial" w:hAnsi="Arial" w:cs="Arial"/>
          <w:sz w:val="18"/>
          <w:szCs w:val="18"/>
        </w:rPr>
        <w:t>d</w:t>
      </w:r>
      <w:r w:rsidRPr="000F2F87">
        <w:rPr>
          <w:rFonts w:ascii="Arial" w:hAnsi="Arial" w:cs="Arial"/>
          <w:sz w:val="18"/>
          <w:szCs w:val="18"/>
        </w:rPr>
        <w:t xml:space="preserve">o alcance a ser dado ao </w:t>
      </w:r>
      <w:r w:rsidRPr="00064456">
        <w:rPr>
          <w:rFonts w:ascii="Arial" w:hAnsi="Arial" w:cs="Arial"/>
          <w:color w:val="0070C0"/>
          <w:sz w:val="18"/>
          <w:szCs w:val="18"/>
        </w:rPr>
        <w:t>art.</w:t>
      </w:r>
      <w:r w:rsidR="00064456" w:rsidRPr="0049748B">
        <w:rPr>
          <w:rStyle w:val="Refdenotadefim"/>
          <w:rFonts w:ascii="Arial" w:hAnsi="Arial" w:cs="Arial"/>
          <w:color w:val="FFFFFF" w:themeColor="background1"/>
          <w:sz w:val="6"/>
          <w:szCs w:val="6"/>
        </w:rPr>
        <w:endnoteReference w:id="15"/>
      </w:r>
      <w:r w:rsidRPr="00064456">
        <w:rPr>
          <w:rFonts w:ascii="Arial" w:hAnsi="Arial" w:cs="Arial"/>
          <w:color w:val="0070C0"/>
          <w:sz w:val="18"/>
          <w:szCs w:val="18"/>
        </w:rPr>
        <w:t xml:space="preserve">1º </w:t>
      </w:r>
      <w:r w:rsidRPr="000F2F87">
        <w:rPr>
          <w:rFonts w:ascii="Arial" w:hAnsi="Arial" w:cs="Arial"/>
          <w:sz w:val="18"/>
          <w:szCs w:val="18"/>
        </w:rPr>
        <w:t>da Lei Complementar 51/85, de modo a delimitar as atividades e atribuições que devem ser enquadradas como estritamente policiais</w:t>
      </w:r>
      <w:r w:rsidR="00E80146">
        <w:rPr>
          <w:rFonts w:ascii="Arial" w:hAnsi="Arial" w:cs="Arial"/>
          <w:sz w:val="18"/>
          <w:szCs w:val="18"/>
        </w:rPr>
        <w:t xml:space="preserve"> para fins de aposentadoria especial da categoria.</w:t>
      </w:r>
    </w:p>
    <w:p w:rsidR="004F53ED" w:rsidRPr="000F2F87" w:rsidRDefault="00307454" w:rsidP="004F53ED">
      <w:pPr>
        <w:shd w:val="clear" w:color="auto" w:fill="FFFFFF"/>
        <w:rPr>
          <w:rFonts w:ascii="Arial" w:hAnsi="Arial" w:cs="Arial"/>
          <w:sz w:val="18"/>
          <w:szCs w:val="18"/>
        </w:rPr>
      </w:pPr>
      <w:hyperlink r:id="rId16" w:history="1">
        <w:r w:rsidR="00982AFC" w:rsidRPr="00982AFC">
          <w:rPr>
            <w:rStyle w:val="Hyperlink"/>
            <w:rFonts w:ascii="Arial" w:hAnsi="Arial" w:cs="Arial"/>
            <w:b/>
            <w:sz w:val="18"/>
            <w:szCs w:val="18"/>
            <w:shd w:val="clear" w:color="auto" w:fill="FFFFFF"/>
          </w:rPr>
          <w:t>Acórdão 4186/2015 Primeira Câmara</w:t>
        </w:r>
      </w:hyperlink>
      <w:r w:rsidR="004F53ED" w:rsidRPr="000F2F87">
        <w:rPr>
          <w:rFonts w:ascii="Arial" w:hAnsi="Arial" w:cs="Arial"/>
          <w:sz w:val="18"/>
          <w:szCs w:val="18"/>
        </w:rPr>
        <w:t xml:space="preserve"> </w:t>
      </w:r>
      <w:r w:rsidR="00CD5C9A" w:rsidRPr="000F2F87">
        <w:rPr>
          <w:rFonts w:ascii="Arial" w:hAnsi="Arial" w:cs="Arial"/>
          <w:sz w:val="18"/>
          <w:szCs w:val="18"/>
        </w:rPr>
        <w:t>(Pensão Civil</w:t>
      </w:r>
      <w:r w:rsidR="000222F9" w:rsidRPr="000F2F87">
        <w:rPr>
          <w:rFonts w:ascii="Arial" w:hAnsi="Arial" w:cs="Arial"/>
          <w:sz w:val="18"/>
          <w:szCs w:val="18"/>
        </w:rPr>
        <w:t xml:space="preserve">, Relator </w:t>
      </w:r>
      <w:r w:rsidR="00CD5C9A" w:rsidRPr="000F2F87">
        <w:rPr>
          <w:rFonts w:ascii="Arial" w:hAnsi="Arial" w:cs="Arial"/>
          <w:sz w:val="18"/>
          <w:szCs w:val="18"/>
        </w:rPr>
        <w:t>Ministro Bruno Dantas</w:t>
      </w:r>
      <w:r w:rsidR="004F53ED" w:rsidRPr="000F2F87">
        <w:rPr>
          <w:rFonts w:ascii="Arial" w:hAnsi="Arial" w:cs="Arial"/>
          <w:sz w:val="18"/>
          <w:szCs w:val="18"/>
        </w:rPr>
        <w:t>)</w:t>
      </w:r>
    </w:p>
    <w:p w:rsidR="004F53ED" w:rsidRPr="000F2F87" w:rsidRDefault="00686F68" w:rsidP="004F53ED">
      <w:pPr>
        <w:shd w:val="clear" w:color="auto" w:fill="FFFFFF"/>
        <w:rPr>
          <w:rFonts w:ascii="Arial" w:hAnsi="Arial" w:cs="Arial"/>
          <w:sz w:val="18"/>
          <w:szCs w:val="18"/>
        </w:rPr>
      </w:pPr>
      <w:r w:rsidRPr="000F2F87">
        <w:rPr>
          <w:rFonts w:ascii="Arial" w:hAnsi="Arial" w:cs="Arial"/>
          <w:sz w:val="18"/>
          <w:szCs w:val="18"/>
        </w:rPr>
        <w:t>Pessoal</w:t>
      </w:r>
      <w:r w:rsidR="000222F9" w:rsidRPr="000F2F87">
        <w:rPr>
          <w:rFonts w:ascii="Arial" w:hAnsi="Arial" w:cs="Arial"/>
          <w:sz w:val="18"/>
          <w:szCs w:val="18"/>
        </w:rPr>
        <w:t>.</w:t>
      </w:r>
      <w:r w:rsidRPr="000F2F87">
        <w:rPr>
          <w:rFonts w:ascii="Arial" w:hAnsi="Arial" w:cs="Arial"/>
          <w:sz w:val="18"/>
          <w:szCs w:val="18"/>
        </w:rPr>
        <w:t xml:space="preserve"> </w:t>
      </w:r>
      <w:r w:rsidR="00036FC1" w:rsidRPr="000F2F87">
        <w:rPr>
          <w:rFonts w:ascii="Arial" w:hAnsi="Arial" w:cs="Arial"/>
          <w:sz w:val="18"/>
          <w:szCs w:val="18"/>
        </w:rPr>
        <w:t>Acumulação</w:t>
      </w:r>
      <w:r w:rsidRPr="000F2F87">
        <w:rPr>
          <w:rFonts w:ascii="Arial" w:hAnsi="Arial" w:cs="Arial"/>
          <w:sz w:val="18"/>
          <w:szCs w:val="18"/>
        </w:rPr>
        <w:t>.</w:t>
      </w:r>
      <w:r w:rsidR="00036FC1" w:rsidRPr="000F2F87">
        <w:rPr>
          <w:rFonts w:ascii="Arial" w:hAnsi="Arial" w:cs="Arial"/>
          <w:sz w:val="18"/>
          <w:szCs w:val="18"/>
        </w:rPr>
        <w:t xml:space="preserve"> Quintos</w:t>
      </w:r>
      <w:r w:rsidR="00BB0939">
        <w:rPr>
          <w:rFonts w:ascii="Arial" w:hAnsi="Arial" w:cs="Arial"/>
          <w:sz w:val="18"/>
          <w:szCs w:val="18"/>
        </w:rPr>
        <w:t>.</w:t>
      </w:r>
      <w:r w:rsidR="000222F9" w:rsidRPr="000F2F87">
        <w:rPr>
          <w:rFonts w:ascii="Arial" w:hAnsi="Arial" w:cs="Arial"/>
          <w:sz w:val="18"/>
          <w:szCs w:val="18"/>
        </w:rPr>
        <w:t xml:space="preserve"> </w:t>
      </w:r>
    </w:p>
    <w:p w:rsidR="00B42E74" w:rsidRPr="000F2F87" w:rsidRDefault="00087661" w:rsidP="007E3B65">
      <w:pPr>
        <w:rPr>
          <w:rFonts w:ascii="Arial" w:hAnsi="Arial" w:cs="Arial"/>
          <w:sz w:val="18"/>
          <w:szCs w:val="18"/>
        </w:rPr>
      </w:pPr>
      <w:r>
        <w:rPr>
          <w:rFonts w:ascii="Arial" w:hAnsi="Arial" w:cs="Arial"/>
          <w:sz w:val="18"/>
          <w:szCs w:val="18"/>
        </w:rPr>
        <w:t>É vedada a cumulatividade da vantagem dos quintos com as</w:t>
      </w:r>
      <w:r w:rsidR="00C74F70" w:rsidRPr="000F2F87">
        <w:rPr>
          <w:rFonts w:ascii="Arial" w:hAnsi="Arial" w:cs="Arial"/>
          <w:sz w:val="18"/>
          <w:szCs w:val="18"/>
        </w:rPr>
        <w:t xml:space="preserve"> relativa</w:t>
      </w:r>
      <w:r>
        <w:rPr>
          <w:rFonts w:ascii="Arial" w:hAnsi="Arial" w:cs="Arial"/>
          <w:sz w:val="18"/>
          <w:szCs w:val="18"/>
        </w:rPr>
        <w:t xml:space="preserve">s ao </w:t>
      </w:r>
      <w:r w:rsidRPr="00064456">
        <w:rPr>
          <w:rFonts w:ascii="Arial" w:hAnsi="Arial" w:cs="Arial"/>
          <w:color w:val="0070C0"/>
          <w:sz w:val="18"/>
          <w:szCs w:val="18"/>
        </w:rPr>
        <w:t>art.</w:t>
      </w:r>
      <w:r w:rsidR="00585548" w:rsidRPr="0049748B">
        <w:rPr>
          <w:rStyle w:val="Refdenotadefim"/>
          <w:rFonts w:ascii="Arial" w:hAnsi="Arial" w:cs="Arial"/>
          <w:color w:val="FFFFFF" w:themeColor="background1"/>
          <w:sz w:val="4"/>
          <w:szCs w:val="4"/>
        </w:rPr>
        <w:endnoteReference w:id="16"/>
      </w:r>
      <w:r w:rsidRPr="00064456">
        <w:rPr>
          <w:rFonts w:ascii="Arial" w:hAnsi="Arial" w:cs="Arial"/>
          <w:color w:val="0070C0"/>
          <w:sz w:val="18"/>
          <w:szCs w:val="18"/>
        </w:rPr>
        <w:t xml:space="preserve">184 </w:t>
      </w:r>
      <w:r>
        <w:rPr>
          <w:rFonts w:ascii="Arial" w:hAnsi="Arial" w:cs="Arial"/>
          <w:sz w:val="18"/>
          <w:szCs w:val="18"/>
        </w:rPr>
        <w:t xml:space="preserve">da Lei 1.711/52 (aposentadoria-prêmio), face à proibição constante dos </w:t>
      </w:r>
      <w:proofErr w:type="spellStart"/>
      <w:r w:rsidRPr="00064456">
        <w:rPr>
          <w:rFonts w:ascii="Arial" w:hAnsi="Arial" w:cs="Arial"/>
          <w:color w:val="0070C0"/>
          <w:sz w:val="18"/>
          <w:szCs w:val="18"/>
        </w:rPr>
        <w:t>arts</w:t>
      </w:r>
      <w:proofErr w:type="spellEnd"/>
      <w:r w:rsidRPr="00064456">
        <w:rPr>
          <w:rFonts w:ascii="Arial" w:hAnsi="Arial" w:cs="Arial"/>
          <w:color w:val="0070C0"/>
          <w:sz w:val="18"/>
          <w:szCs w:val="18"/>
        </w:rPr>
        <w:t>.</w:t>
      </w:r>
      <w:r w:rsidR="00064456" w:rsidRPr="0049748B">
        <w:rPr>
          <w:rStyle w:val="Refdenotadefim"/>
          <w:rFonts w:ascii="Arial" w:hAnsi="Arial" w:cs="Arial"/>
          <w:color w:val="FFFFFF" w:themeColor="background1"/>
          <w:sz w:val="4"/>
          <w:szCs w:val="4"/>
        </w:rPr>
        <w:endnoteReference w:id="17"/>
      </w:r>
      <w:r w:rsidRPr="00064456">
        <w:rPr>
          <w:rFonts w:ascii="Arial" w:hAnsi="Arial" w:cs="Arial"/>
          <w:color w:val="0070C0"/>
          <w:sz w:val="18"/>
          <w:szCs w:val="18"/>
        </w:rPr>
        <w:t>2º c/c</w:t>
      </w:r>
      <w:r w:rsidR="00064456" w:rsidRPr="0049748B">
        <w:rPr>
          <w:rStyle w:val="Refdenotadefim"/>
          <w:rFonts w:ascii="Arial" w:hAnsi="Arial" w:cs="Arial"/>
          <w:color w:val="FFFFFF" w:themeColor="background1"/>
          <w:sz w:val="4"/>
          <w:szCs w:val="4"/>
        </w:rPr>
        <w:endnoteReference w:id="18"/>
      </w:r>
      <w:r w:rsidRPr="00064456">
        <w:rPr>
          <w:rFonts w:ascii="Arial" w:hAnsi="Arial" w:cs="Arial"/>
          <w:color w:val="0070C0"/>
          <w:sz w:val="18"/>
          <w:szCs w:val="18"/>
        </w:rPr>
        <w:t xml:space="preserve">5º </w:t>
      </w:r>
      <w:r>
        <w:rPr>
          <w:rFonts w:ascii="Arial" w:hAnsi="Arial" w:cs="Arial"/>
          <w:sz w:val="18"/>
          <w:szCs w:val="18"/>
        </w:rPr>
        <w:t>da Lei 6.732/79</w:t>
      </w:r>
      <w:r w:rsidR="00B42E74" w:rsidRPr="000F2F87">
        <w:rPr>
          <w:rFonts w:ascii="Arial" w:hAnsi="Arial" w:cs="Arial"/>
          <w:sz w:val="18"/>
          <w:szCs w:val="18"/>
        </w:rPr>
        <w:t>.</w:t>
      </w:r>
    </w:p>
    <w:p w:rsidR="007E3B65" w:rsidRPr="000F2F87" w:rsidRDefault="00307454" w:rsidP="007E3B65">
      <w:pPr>
        <w:shd w:val="clear" w:color="auto" w:fill="FFFFFF"/>
        <w:rPr>
          <w:rFonts w:ascii="Arial" w:hAnsi="Arial" w:cs="Arial"/>
          <w:sz w:val="18"/>
          <w:szCs w:val="18"/>
        </w:rPr>
      </w:pPr>
      <w:hyperlink r:id="rId17" w:history="1">
        <w:r w:rsidR="00982AFC" w:rsidRPr="0050038C">
          <w:rPr>
            <w:rStyle w:val="Hyperlink"/>
            <w:rFonts w:ascii="Arial" w:hAnsi="Arial" w:cs="Arial"/>
            <w:b/>
            <w:sz w:val="18"/>
            <w:szCs w:val="18"/>
            <w:shd w:val="clear" w:color="auto" w:fill="FFFFFF"/>
          </w:rPr>
          <w:t>Acórdão 4560/2015 Segunda Câmara</w:t>
        </w:r>
      </w:hyperlink>
      <w:r w:rsidR="007E3B65" w:rsidRPr="000F2F87">
        <w:rPr>
          <w:rFonts w:ascii="Arial" w:hAnsi="Arial" w:cs="Arial"/>
          <w:sz w:val="18"/>
          <w:szCs w:val="18"/>
        </w:rPr>
        <w:t xml:space="preserve"> (</w:t>
      </w:r>
      <w:r w:rsidR="003F3063" w:rsidRPr="000F2F87">
        <w:rPr>
          <w:rFonts w:ascii="Arial" w:hAnsi="Arial" w:cs="Arial"/>
          <w:sz w:val="18"/>
          <w:szCs w:val="18"/>
        </w:rPr>
        <w:t>Tomada de Contas Especial</w:t>
      </w:r>
      <w:r w:rsidR="000007B1">
        <w:rPr>
          <w:rFonts w:ascii="Arial" w:hAnsi="Arial" w:cs="Arial"/>
          <w:sz w:val="18"/>
          <w:szCs w:val="18"/>
        </w:rPr>
        <w:t>, Relator Ministro</w:t>
      </w:r>
      <w:r w:rsidR="003F3063" w:rsidRPr="000F2F87">
        <w:rPr>
          <w:rFonts w:ascii="Arial" w:hAnsi="Arial" w:cs="Arial"/>
          <w:sz w:val="18"/>
          <w:szCs w:val="18"/>
        </w:rPr>
        <w:t xml:space="preserve"> Augusto </w:t>
      </w:r>
      <w:proofErr w:type="spellStart"/>
      <w:r w:rsidR="003F3063" w:rsidRPr="000F2F87">
        <w:rPr>
          <w:rFonts w:ascii="Arial" w:hAnsi="Arial" w:cs="Arial"/>
          <w:sz w:val="18"/>
          <w:szCs w:val="18"/>
        </w:rPr>
        <w:t>Nardes</w:t>
      </w:r>
      <w:proofErr w:type="spellEnd"/>
      <w:r w:rsidR="007E3B65" w:rsidRPr="000F2F87">
        <w:rPr>
          <w:rFonts w:ascii="Arial" w:hAnsi="Arial" w:cs="Arial"/>
          <w:sz w:val="18"/>
          <w:szCs w:val="18"/>
        </w:rPr>
        <w:t>)</w:t>
      </w:r>
    </w:p>
    <w:p w:rsidR="007E3B65" w:rsidRPr="000F2F87" w:rsidRDefault="008617B7" w:rsidP="007E3B65">
      <w:pPr>
        <w:shd w:val="clear" w:color="auto" w:fill="FFFFFF"/>
        <w:rPr>
          <w:rFonts w:ascii="Arial" w:hAnsi="Arial" w:cs="Arial"/>
          <w:sz w:val="18"/>
          <w:szCs w:val="18"/>
        </w:rPr>
      </w:pPr>
      <w:r w:rsidRPr="000F2F87">
        <w:rPr>
          <w:rFonts w:ascii="Arial" w:hAnsi="Arial" w:cs="Arial"/>
          <w:sz w:val="18"/>
          <w:szCs w:val="18"/>
        </w:rPr>
        <w:t>Contratação Direta</w:t>
      </w:r>
      <w:r w:rsidR="00656A78" w:rsidRPr="000F2F87">
        <w:rPr>
          <w:rFonts w:ascii="Arial" w:hAnsi="Arial" w:cs="Arial"/>
          <w:sz w:val="18"/>
          <w:szCs w:val="18"/>
        </w:rPr>
        <w:t>.</w:t>
      </w:r>
      <w:r w:rsidRPr="000F2F87">
        <w:rPr>
          <w:rFonts w:ascii="Arial" w:hAnsi="Arial" w:cs="Arial"/>
          <w:sz w:val="18"/>
          <w:szCs w:val="18"/>
        </w:rPr>
        <w:t xml:space="preserve"> Dispensa. Emergência</w:t>
      </w:r>
      <w:r w:rsidR="00BB0939">
        <w:rPr>
          <w:rFonts w:ascii="Arial" w:hAnsi="Arial" w:cs="Arial"/>
          <w:sz w:val="18"/>
          <w:szCs w:val="18"/>
        </w:rPr>
        <w:t>.</w:t>
      </w:r>
    </w:p>
    <w:p w:rsidR="008617B7" w:rsidRPr="000F2F87" w:rsidRDefault="00F27E5F" w:rsidP="007E3B65">
      <w:pPr>
        <w:rPr>
          <w:rFonts w:ascii="Arial" w:hAnsi="Arial" w:cs="Arial"/>
          <w:sz w:val="18"/>
          <w:szCs w:val="18"/>
        </w:rPr>
      </w:pPr>
      <w:r w:rsidRPr="000F2F87">
        <w:rPr>
          <w:rFonts w:ascii="Arial" w:hAnsi="Arial" w:cs="Arial"/>
          <w:sz w:val="18"/>
          <w:szCs w:val="18"/>
        </w:rPr>
        <w:t>É ilegal a contratação</w:t>
      </w:r>
      <w:r w:rsidR="008617B7" w:rsidRPr="000F2F87">
        <w:rPr>
          <w:rFonts w:ascii="Arial" w:hAnsi="Arial" w:cs="Arial"/>
          <w:sz w:val="18"/>
          <w:szCs w:val="18"/>
        </w:rPr>
        <w:t xml:space="preserve"> emergencial</w:t>
      </w:r>
      <w:r w:rsidRPr="000F2F87">
        <w:rPr>
          <w:rFonts w:ascii="Arial" w:hAnsi="Arial" w:cs="Arial"/>
          <w:sz w:val="18"/>
          <w:szCs w:val="18"/>
        </w:rPr>
        <w:t xml:space="preserve"> de empresa</w:t>
      </w:r>
      <w:r w:rsidR="008617B7" w:rsidRPr="000F2F87">
        <w:rPr>
          <w:rFonts w:ascii="Arial" w:hAnsi="Arial" w:cs="Arial"/>
          <w:sz w:val="18"/>
          <w:szCs w:val="18"/>
        </w:rPr>
        <w:t xml:space="preserve"> para construção de unidade de saúde</w:t>
      </w:r>
      <w:r w:rsidRPr="000F2F87">
        <w:rPr>
          <w:rFonts w:ascii="Arial" w:hAnsi="Arial" w:cs="Arial"/>
          <w:sz w:val="18"/>
          <w:szCs w:val="18"/>
        </w:rPr>
        <w:t>, por meio de dispensa de licitação (</w:t>
      </w:r>
      <w:r w:rsidRPr="00585548">
        <w:rPr>
          <w:rFonts w:ascii="Arial" w:hAnsi="Arial" w:cs="Arial"/>
          <w:color w:val="0070C0"/>
          <w:sz w:val="18"/>
          <w:szCs w:val="18"/>
        </w:rPr>
        <w:t>art</w:t>
      </w:r>
      <w:r w:rsidR="00BB0939" w:rsidRPr="00585548">
        <w:rPr>
          <w:rFonts w:ascii="Arial" w:hAnsi="Arial" w:cs="Arial"/>
          <w:color w:val="0070C0"/>
          <w:sz w:val="18"/>
          <w:szCs w:val="18"/>
        </w:rPr>
        <w:t>.</w:t>
      </w:r>
      <w:r w:rsidR="00585548" w:rsidRPr="0049748B">
        <w:rPr>
          <w:rStyle w:val="Refdenotadefim"/>
          <w:rFonts w:ascii="Arial" w:hAnsi="Arial" w:cs="Arial"/>
          <w:color w:val="FFFFFF" w:themeColor="background1"/>
          <w:sz w:val="4"/>
          <w:szCs w:val="4"/>
        </w:rPr>
        <w:endnoteReference w:id="19"/>
      </w:r>
      <w:r w:rsidR="00BB0939" w:rsidRPr="00585548">
        <w:rPr>
          <w:rFonts w:ascii="Arial" w:hAnsi="Arial" w:cs="Arial"/>
          <w:color w:val="0070C0"/>
          <w:sz w:val="18"/>
          <w:szCs w:val="18"/>
        </w:rPr>
        <w:t>24</w:t>
      </w:r>
      <w:r w:rsidR="00BB0939">
        <w:rPr>
          <w:rFonts w:ascii="Arial" w:hAnsi="Arial" w:cs="Arial"/>
          <w:sz w:val="18"/>
          <w:szCs w:val="18"/>
        </w:rPr>
        <w:t xml:space="preserve">, </w:t>
      </w:r>
      <w:r w:rsidR="00BB0939" w:rsidRPr="00585548">
        <w:rPr>
          <w:rFonts w:ascii="Arial" w:hAnsi="Arial" w:cs="Arial"/>
          <w:color w:val="0070C0"/>
          <w:sz w:val="18"/>
          <w:szCs w:val="18"/>
        </w:rPr>
        <w:t>inciso</w:t>
      </w:r>
      <w:r w:rsidR="00585548" w:rsidRPr="0049748B">
        <w:rPr>
          <w:rStyle w:val="Refdenotadefim"/>
          <w:rFonts w:ascii="Arial" w:hAnsi="Arial" w:cs="Arial"/>
          <w:color w:val="FFFFFF" w:themeColor="background1"/>
          <w:sz w:val="4"/>
          <w:szCs w:val="4"/>
        </w:rPr>
        <w:endnoteReference w:id="20"/>
      </w:r>
      <w:r w:rsidR="00BB0939" w:rsidRPr="00585548">
        <w:rPr>
          <w:rFonts w:ascii="Arial" w:hAnsi="Arial" w:cs="Arial"/>
          <w:color w:val="0070C0"/>
          <w:sz w:val="18"/>
          <w:szCs w:val="18"/>
        </w:rPr>
        <w:t>IV</w:t>
      </w:r>
      <w:r w:rsidR="00BB0939">
        <w:rPr>
          <w:rFonts w:ascii="Arial" w:hAnsi="Arial" w:cs="Arial"/>
          <w:sz w:val="18"/>
          <w:szCs w:val="18"/>
        </w:rPr>
        <w:t>, da Lei 8.666/</w:t>
      </w:r>
      <w:r w:rsidRPr="000F2F87">
        <w:rPr>
          <w:rFonts w:ascii="Arial" w:hAnsi="Arial" w:cs="Arial"/>
          <w:sz w:val="18"/>
          <w:szCs w:val="18"/>
        </w:rPr>
        <w:t>93</w:t>
      </w:r>
      <w:r w:rsidR="008617B7" w:rsidRPr="000F2F87">
        <w:rPr>
          <w:rFonts w:ascii="Arial" w:hAnsi="Arial" w:cs="Arial"/>
          <w:sz w:val="18"/>
          <w:szCs w:val="18"/>
        </w:rPr>
        <w:t>),</w:t>
      </w:r>
      <w:r w:rsidRPr="000F2F87">
        <w:rPr>
          <w:rFonts w:ascii="Arial" w:hAnsi="Arial" w:cs="Arial"/>
          <w:sz w:val="18"/>
          <w:szCs w:val="18"/>
        </w:rPr>
        <w:t xml:space="preserve"> </w:t>
      </w:r>
      <w:r w:rsidR="008617B7" w:rsidRPr="000F2F87">
        <w:rPr>
          <w:rFonts w:ascii="Arial" w:hAnsi="Arial" w:cs="Arial"/>
          <w:sz w:val="18"/>
          <w:szCs w:val="18"/>
        </w:rPr>
        <w:t>q</w:t>
      </w:r>
      <w:r w:rsidRPr="000F2F87">
        <w:rPr>
          <w:rFonts w:ascii="Arial" w:hAnsi="Arial" w:cs="Arial"/>
          <w:sz w:val="18"/>
          <w:szCs w:val="18"/>
        </w:rPr>
        <w:t xml:space="preserve">uando </w:t>
      </w:r>
      <w:r w:rsidR="008617B7" w:rsidRPr="000F2F87">
        <w:rPr>
          <w:rFonts w:ascii="Arial" w:hAnsi="Arial" w:cs="Arial"/>
          <w:sz w:val="18"/>
          <w:szCs w:val="18"/>
        </w:rPr>
        <w:t xml:space="preserve">a nova unidade </w:t>
      </w:r>
      <w:r w:rsidR="00BB0939">
        <w:rPr>
          <w:rFonts w:ascii="Arial" w:hAnsi="Arial" w:cs="Arial"/>
          <w:sz w:val="18"/>
          <w:szCs w:val="18"/>
        </w:rPr>
        <w:t>se destinar</w:t>
      </w:r>
      <w:r w:rsidR="008617B7" w:rsidRPr="000F2F87">
        <w:rPr>
          <w:rFonts w:ascii="Arial" w:hAnsi="Arial" w:cs="Arial"/>
          <w:sz w:val="18"/>
          <w:szCs w:val="18"/>
        </w:rPr>
        <w:t xml:space="preserve"> ao benefício da população a longo prazo e não</w:t>
      </w:r>
      <w:r w:rsidR="00BB0939">
        <w:rPr>
          <w:rFonts w:ascii="Arial" w:hAnsi="Arial" w:cs="Arial"/>
          <w:sz w:val="18"/>
          <w:szCs w:val="18"/>
        </w:rPr>
        <w:t xml:space="preserve"> a</w:t>
      </w:r>
      <w:r w:rsidR="008617B7" w:rsidRPr="000F2F87">
        <w:rPr>
          <w:rFonts w:ascii="Arial" w:hAnsi="Arial" w:cs="Arial"/>
          <w:sz w:val="18"/>
          <w:szCs w:val="18"/>
        </w:rPr>
        <w:t xml:space="preserve"> acudir uma situação emergencial concreta e efetiva.</w:t>
      </w:r>
    </w:p>
    <w:p w:rsidR="007D30D6" w:rsidRPr="000F2F87" w:rsidRDefault="00307454" w:rsidP="007D30D6">
      <w:pPr>
        <w:shd w:val="clear" w:color="auto" w:fill="FFFFFF"/>
        <w:rPr>
          <w:rFonts w:ascii="Arial" w:hAnsi="Arial" w:cs="Arial"/>
          <w:sz w:val="18"/>
          <w:szCs w:val="18"/>
        </w:rPr>
      </w:pPr>
      <w:hyperlink r:id="rId18" w:history="1">
        <w:r w:rsidR="0050038C" w:rsidRPr="0050038C">
          <w:rPr>
            <w:rStyle w:val="Hyperlink"/>
            <w:rFonts w:ascii="Arial" w:hAnsi="Arial" w:cs="Arial"/>
            <w:b/>
            <w:sz w:val="18"/>
            <w:szCs w:val="18"/>
            <w:shd w:val="clear" w:color="auto" w:fill="FFFFFF"/>
          </w:rPr>
          <w:t>Acórdão 4683/2015 Segunda Câmara</w:t>
        </w:r>
      </w:hyperlink>
      <w:r w:rsidR="007D30D6" w:rsidRPr="000F2F87">
        <w:rPr>
          <w:rFonts w:ascii="Arial" w:hAnsi="Arial" w:cs="Arial"/>
          <w:sz w:val="18"/>
          <w:szCs w:val="18"/>
        </w:rPr>
        <w:t xml:space="preserve"> (</w:t>
      </w:r>
      <w:r w:rsidR="00F27E5F" w:rsidRPr="000F2F87">
        <w:rPr>
          <w:rFonts w:ascii="Arial" w:hAnsi="Arial" w:cs="Arial"/>
          <w:sz w:val="18"/>
          <w:szCs w:val="18"/>
        </w:rPr>
        <w:t>Tomada de Contas Especial</w:t>
      </w:r>
      <w:r w:rsidR="000222F9" w:rsidRPr="000F2F87">
        <w:rPr>
          <w:rFonts w:ascii="Arial" w:hAnsi="Arial" w:cs="Arial"/>
          <w:sz w:val="18"/>
          <w:szCs w:val="18"/>
        </w:rPr>
        <w:t>, Relator</w:t>
      </w:r>
      <w:r w:rsidR="00F27E5F" w:rsidRPr="000F2F87">
        <w:rPr>
          <w:rFonts w:ascii="Arial" w:hAnsi="Arial" w:cs="Arial"/>
          <w:sz w:val="18"/>
          <w:szCs w:val="18"/>
        </w:rPr>
        <w:t>a</w:t>
      </w:r>
      <w:r w:rsidR="000222F9" w:rsidRPr="000F2F87">
        <w:rPr>
          <w:rFonts w:ascii="Arial" w:hAnsi="Arial" w:cs="Arial"/>
          <w:sz w:val="18"/>
          <w:szCs w:val="18"/>
        </w:rPr>
        <w:t xml:space="preserve"> </w:t>
      </w:r>
      <w:r w:rsidR="00F27E5F" w:rsidRPr="000F2F87">
        <w:rPr>
          <w:rFonts w:ascii="Arial" w:hAnsi="Arial" w:cs="Arial"/>
          <w:sz w:val="18"/>
          <w:szCs w:val="18"/>
        </w:rPr>
        <w:t>Ministra Ana Arraes</w:t>
      </w:r>
      <w:r w:rsidR="007D30D6" w:rsidRPr="000F2F87">
        <w:rPr>
          <w:rFonts w:ascii="Arial" w:hAnsi="Arial" w:cs="Arial"/>
          <w:sz w:val="18"/>
          <w:szCs w:val="18"/>
        </w:rPr>
        <w:t>)</w:t>
      </w:r>
    </w:p>
    <w:p w:rsidR="00D910D7" w:rsidRPr="000F2F87" w:rsidRDefault="00B9048D" w:rsidP="00D910D7">
      <w:pPr>
        <w:shd w:val="clear" w:color="auto" w:fill="FFFFFF"/>
        <w:rPr>
          <w:rFonts w:ascii="Arial" w:hAnsi="Arial" w:cs="Arial"/>
          <w:sz w:val="18"/>
          <w:szCs w:val="18"/>
        </w:rPr>
      </w:pPr>
      <w:r w:rsidRPr="000F2F87">
        <w:rPr>
          <w:rFonts w:ascii="Arial" w:hAnsi="Arial" w:cs="Arial"/>
          <w:sz w:val="18"/>
          <w:szCs w:val="18"/>
        </w:rPr>
        <w:t>Processual</w:t>
      </w:r>
      <w:r w:rsidR="00B53178" w:rsidRPr="000F2F87">
        <w:rPr>
          <w:rFonts w:ascii="Arial" w:hAnsi="Arial" w:cs="Arial"/>
          <w:sz w:val="18"/>
          <w:szCs w:val="18"/>
        </w:rPr>
        <w:t>.</w:t>
      </w:r>
      <w:r w:rsidR="00BB0939">
        <w:rPr>
          <w:rFonts w:ascii="Arial" w:hAnsi="Arial" w:cs="Arial"/>
          <w:sz w:val="18"/>
          <w:szCs w:val="18"/>
        </w:rPr>
        <w:t xml:space="preserve"> Débito. Ente f</w:t>
      </w:r>
      <w:r w:rsidRPr="000F2F87">
        <w:rPr>
          <w:rFonts w:ascii="Arial" w:hAnsi="Arial" w:cs="Arial"/>
          <w:sz w:val="18"/>
          <w:szCs w:val="18"/>
        </w:rPr>
        <w:t>ederado.</w:t>
      </w:r>
    </w:p>
    <w:p w:rsidR="00970EE4" w:rsidRPr="000F2F87" w:rsidRDefault="00F27E5F" w:rsidP="00656A78">
      <w:pPr>
        <w:rPr>
          <w:rFonts w:ascii="Arial" w:hAnsi="Arial" w:cs="Arial"/>
          <w:sz w:val="18"/>
          <w:szCs w:val="18"/>
        </w:rPr>
      </w:pPr>
      <w:r w:rsidRPr="000F2F87">
        <w:rPr>
          <w:rFonts w:ascii="Arial" w:hAnsi="Arial" w:cs="Arial"/>
          <w:sz w:val="18"/>
          <w:szCs w:val="18"/>
        </w:rPr>
        <w:t>A indisponibilidade de recursos financeiros d</w:t>
      </w:r>
      <w:r w:rsidR="00461AAA">
        <w:rPr>
          <w:rFonts w:ascii="Arial" w:hAnsi="Arial" w:cs="Arial"/>
          <w:sz w:val="18"/>
          <w:szCs w:val="18"/>
        </w:rPr>
        <w:t>o</w:t>
      </w:r>
      <w:r w:rsidRPr="000F2F87">
        <w:rPr>
          <w:rFonts w:ascii="Arial" w:hAnsi="Arial" w:cs="Arial"/>
          <w:sz w:val="18"/>
          <w:szCs w:val="18"/>
        </w:rPr>
        <w:t xml:space="preserve"> município para </w:t>
      </w:r>
      <w:r w:rsidR="00461AAA">
        <w:rPr>
          <w:rFonts w:ascii="Arial" w:hAnsi="Arial" w:cs="Arial"/>
          <w:sz w:val="18"/>
          <w:szCs w:val="18"/>
        </w:rPr>
        <w:t>o recolhimento do</w:t>
      </w:r>
      <w:r w:rsidRPr="000F2F87">
        <w:rPr>
          <w:rFonts w:ascii="Arial" w:hAnsi="Arial" w:cs="Arial"/>
          <w:sz w:val="18"/>
          <w:szCs w:val="18"/>
        </w:rPr>
        <w:t xml:space="preserve"> débito não é motivo para que o TCU </w:t>
      </w:r>
      <w:r w:rsidR="00BB0939">
        <w:rPr>
          <w:rFonts w:ascii="Arial" w:hAnsi="Arial" w:cs="Arial"/>
          <w:sz w:val="18"/>
          <w:szCs w:val="18"/>
        </w:rPr>
        <w:t>se pronuncie</w:t>
      </w:r>
      <w:r w:rsidRPr="000F2F87">
        <w:rPr>
          <w:rFonts w:ascii="Arial" w:hAnsi="Arial" w:cs="Arial"/>
          <w:sz w:val="18"/>
          <w:szCs w:val="18"/>
        </w:rPr>
        <w:t xml:space="preserve"> sobre a inclusão do crédito correspondente na lei orçamentária da municipalidade</w:t>
      </w:r>
      <w:r w:rsidR="00656A78" w:rsidRPr="000F2F87">
        <w:rPr>
          <w:rFonts w:ascii="Arial" w:hAnsi="Arial" w:cs="Arial"/>
          <w:sz w:val="18"/>
          <w:szCs w:val="18"/>
        </w:rPr>
        <w:t>.</w:t>
      </w:r>
      <w:bookmarkStart w:id="6" w:name="_GoBack"/>
      <w:bookmarkEnd w:id="6"/>
    </w:p>
    <w:p w:rsidR="003F5B6D" w:rsidRPr="003D13A1" w:rsidRDefault="003F5B6D" w:rsidP="003F5B6D">
      <w:pPr>
        <w:pStyle w:val="enter-3pt"/>
        <w:tabs>
          <w:tab w:val="left" w:pos="2590"/>
        </w:tabs>
        <w:spacing w:line="240" w:lineRule="auto"/>
        <w:jc w:val="center"/>
        <w:rPr>
          <w:rFonts w:ascii="Arial" w:hAnsi="Arial" w:cs="Arial"/>
          <w:b/>
          <w:i/>
          <w:sz w:val="18"/>
          <w:szCs w:val="18"/>
        </w:rPr>
      </w:pPr>
      <w:r w:rsidRPr="003D13A1">
        <w:rPr>
          <w:rFonts w:ascii="Arial" w:hAnsi="Arial" w:cs="Arial"/>
          <w:b/>
          <w:i/>
          <w:sz w:val="18"/>
          <w:szCs w:val="18"/>
        </w:rPr>
        <w:t>Elaboração: Diretoria de Jurisprudência - Secretaria das Sessões</w:t>
      </w:r>
    </w:p>
    <w:p w:rsidR="00E12026" w:rsidRDefault="003F5B6D" w:rsidP="00DA73C2">
      <w:pPr>
        <w:jc w:val="center"/>
      </w:pPr>
      <w:r w:rsidRPr="003D13A1">
        <w:rPr>
          <w:rFonts w:ascii="Arial" w:hAnsi="Arial" w:cs="Arial"/>
          <w:b/>
          <w:i/>
          <w:sz w:val="18"/>
          <w:szCs w:val="18"/>
        </w:rPr>
        <w:t xml:space="preserve">Contato: </w:t>
      </w:r>
      <w:hyperlink r:id="rId19" w:history="1">
        <w:r w:rsidRPr="003D13A1">
          <w:rPr>
            <w:rStyle w:val="Hyperlink"/>
            <w:rFonts w:ascii="Arial" w:hAnsi="Arial" w:cs="Arial"/>
            <w:b/>
            <w:i/>
            <w:sz w:val="18"/>
            <w:szCs w:val="18"/>
          </w:rPr>
          <w:t>infojuris@tcu.gov.br</w:t>
        </w:r>
      </w:hyperlink>
      <w:r w:rsidRPr="003D13A1">
        <w:rPr>
          <w:rFonts w:ascii="Arial" w:hAnsi="Arial" w:cs="Arial"/>
          <w:sz w:val="18"/>
          <w:szCs w:val="18"/>
        </w:rPr>
        <w:softHyphen/>
      </w:r>
      <w:r w:rsidRPr="003D13A1">
        <w:rPr>
          <w:rFonts w:ascii="Arial" w:hAnsi="Arial" w:cs="Arial"/>
          <w:sz w:val="18"/>
          <w:szCs w:val="18"/>
        </w:rPr>
        <w:softHyphen/>
      </w:r>
      <w:r w:rsidRPr="003D13A1">
        <w:rPr>
          <w:rFonts w:ascii="Arial" w:hAnsi="Arial" w:cs="Arial"/>
          <w:sz w:val="18"/>
          <w:szCs w:val="18"/>
        </w:rPr>
        <w:softHyphen/>
      </w:r>
      <w:r w:rsidRPr="003D13A1">
        <w:rPr>
          <w:rFonts w:ascii="Arial" w:hAnsi="Arial" w:cs="Arial"/>
          <w:sz w:val="18"/>
          <w:szCs w:val="18"/>
        </w:rPr>
        <w:softHyphen/>
      </w:r>
      <w:r w:rsidRPr="003D13A1">
        <w:rPr>
          <w:rFonts w:ascii="Arial" w:hAnsi="Arial" w:cs="Arial"/>
          <w:sz w:val="18"/>
          <w:szCs w:val="18"/>
        </w:rPr>
        <w:softHyphen/>
      </w:r>
      <w:r w:rsidRPr="003D13A1">
        <w:rPr>
          <w:rFonts w:ascii="Arial" w:hAnsi="Arial" w:cs="Arial"/>
          <w:sz w:val="18"/>
          <w:szCs w:val="18"/>
        </w:rPr>
        <w:softHyphen/>
      </w:r>
      <w:r w:rsidRPr="003D13A1">
        <w:rPr>
          <w:rFonts w:ascii="Arial" w:hAnsi="Arial" w:cs="Arial"/>
          <w:sz w:val="18"/>
          <w:szCs w:val="18"/>
        </w:rPr>
        <w:softHyphen/>
      </w:r>
      <w:r w:rsidRPr="003D13A1">
        <w:rPr>
          <w:rFonts w:ascii="Arial" w:hAnsi="Arial" w:cs="Arial"/>
          <w:sz w:val="18"/>
          <w:szCs w:val="18"/>
        </w:rPr>
        <w:softHyphen/>
      </w:r>
      <w:r w:rsidRPr="003D13A1">
        <w:rPr>
          <w:rFonts w:ascii="Arial" w:hAnsi="Arial" w:cs="Arial"/>
          <w:sz w:val="18"/>
          <w:szCs w:val="18"/>
        </w:rPr>
        <w:softHyphen/>
      </w:r>
      <w:r w:rsidRPr="003D13A1">
        <w:rPr>
          <w:rFonts w:ascii="Arial" w:hAnsi="Arial" w:cs="Arial"/>
          <w:sz w:val="18"/>
          <w:szCs w:val="18"/>
        </w:rPr>
        <w:softHyphen/>
      </w:r>
      <w:r w:rsidRPr="003D13A1">
        <w:rPr>
          <w:rFonts w:ascii="Arial" w:hAnsi="Arial" w:cs="Arial"/>
          <w:sz w:val="18"/>
          <w:szCs w:val="18"/>
        </w:rPr>
        <w:softHyphen/>
      </w:r>
      <w:r w:rsidRPr="003D13A1">
        <w:rPr>
          <w:rFonts w:ascii="Arial" w:hAnsi="Arial" w:cs="Arial"/>
          <w:sz w:val="18"/>
          <w:szCs w:val="18"/>
        </w:rPr>
        <w:softHyphen/>
      </w:r>
      <w:r w:rsidRPr="003D13A1">
        <w:rPr>
          <w:rFonts w:ascii="Arial" w:hAnsi="Arial" w:cs="Arial"/>
          <w:sz w:val="18"/>
          <w:szCs w:val="18"/>
        </w:rPr>
        <w:softHyphen/>
      </w:r>
      <w:r w:rsidRPr="003D13A1">
        <w:rPr>
          <w:rFonts w:ascii="Arial" w:hAnsi="Arial" w:cs="Arial"/>
          <w:sz w:val="18"/>
          <w:szCs w:val="18"/>
        </w:rPr>
        <w:softHyphen/>
      </w:r>
      <w:r w:rsidRPr="003D13A1">
        <w:rPr>
          <w:rFonts w:ascii="Arial" w:hAnsi="Arial" w:cs="Arial"/>
          <w:sz w:val="18"/>
          <w:szCs w:val="18"/>
        </w:rPr>
        <w:softHyphen/>
      </w:r>
      <w:r w:rsidRPr="003D13A1">
        <w:rPr>
          <w:rFonts w:ascii="Arial" w:hAnsi="Arial" w:cs="Arial"/>
          <w:sz w:val="18"/>
          <w:szCs w:val="18"/>
        </w:rPr>
        <w:softHyphen/>
      </w:r>
      <w:r w:rsidRPr="003D13A1">
        <w:rPr>
          <w:rFonts w:ascii="Arial" w:hAnsi="Arial" w:cs="Arial"/>
          <w:sz w:val="18"/>
          <w:szCs w:val="18"/>
        </w:rPr>
        <w:softHyphen/>
      </w:r>
      <w:r w:rsidRPr="003D13A1">
        <w:rPr>
          <w:rFonts w:ascii="Arial" w:hAnsi="Arial" w:cs="Arial"/>
          <w:sz w:val="18"/>
          <w:szCs w:val="18"/>
        </w:rPr>
        <w:softHyphen/>
      </w:r>
      <w:r w:rsidRPr="003D13A1">
        <w:rPr>
          <w:rFonts w:ascii="Arial" w:hAnsi="Arial" w:cs="Arial"/>
          <w:sz w:val="18"/>
          <w:szCs w:val="18"/>
        </w:rPr>
        <w:softHyphen/>
      </w:r>
      <w:r w:rsidRPr="003D13A1">
        <w:rPr>
          <w:rFonts w:ascii="Arial" w:hAnsi="Arial" w:cs="Arial"/>
          <w:sz w:val="18"/>
          <w:szCs w:val="18"/>
        </w:rPr>
        <w:softHyphen/>
      </w:r>
      <w:r w:rsidRPr="003D13A1">
        <w:rPr>
          <w:rFonts w:ascii="Arial" w:hAnsi="Arial" w:cs="Arial"/>
          <w:sz w:val="18"/>
          <w:szCs w:val="18"/>
        </w:rPr>
        <w:softHyphen/>
      </w:r>
      <w:r w:rsidRPr="003D13A1">
        <w:rPr>
          <w:rFonts w:ascii="Arial" w:hAnsi="Arial" w:cs="Arial"/>
          <w:sz w:val="18"/>
          <w:szCs w:val="18"/>
        </w:rPr>
        <w:softHyphen/>
      </w:r>
      <w:r w:rsidRPr="003D13A1">
        <w:rPr>
          <w:rFonts w:ascii="Arial" w:hAnsi="Arial" w:cs="Arial"/>
          <w:sz w:val="18"/>
          <w:szCs w:val="18"/>
        </w:rPr>
        <w:softHyphen/>
      </w:r>
      <w:r w:rsidRPr="003D13A1">
        <w:rPr>
          <w:rFonts w:ascii="Arial" w:hAnsi="Arial" w:cs="Arial"/>
          <w:sz w:val="18"/>
          <w:szCs w:val="18"/>
        </w:rPr>
        <w:softHyphen/>
      </w:r>
      <w:r w:rsidRPr="003D13A1">
        <w:rPr>
          <w:rFonts w:ascii="Arial" w:hAnsi="Arial" w:cs="Arial"/>
          <w:sz w:val="18"/>
          <w:szCs w:val="18"/>
        </w:rPr>
        <w:softHyphen/>
      </w:r>
      <w:r w:rsidRPr="003D13A1">
        <w:rPr>
          <w:rFonts w:ascii="Arial" w:hAnsi="Arial" w:cs="Arial"/>
          <w:sz w:val="18"/>
          <w:szCs w:val="18"/>
        </w:rPr>
        <w:softHyphen/>
      </w:r>
      <w:r w:rsidRPr="003D13A1">
        <w:rPr>
          <w:rFonts w:ascii="Arial" w:hAnsi="Arial" w:cs="Arial"/>
          <w:sz w:val="18"/>
          <w:szCs w:val="18"/>
        </w:rPr>
        <w:softHyphen/>
      </w:r>
      <w:r w:rsidRPr="003D13A1">
        <w:rPr>
          <w:rFonts w:ascii="Arial" w:hAnsi="Arial" w:cs="Arial"/>
          <w:sz w:val="18"/>
          <w:szCs w:val="18"/>
        </w:rPr>
        <w:softHyphen/>
      </w:r>
      <w:r w:rsidRPr="003D13A1">
        <w:rPr>
          <w:rFonts w:ascii="Arial" w:hAnsi="Arial" w:cs="Arial"/>
          <w:sz w:val="18"/>
          <w:szCs w:val="18"/>
        </w:rPr>
        <w:softHyphen/>
      </w:r>
      <w:r w:rsidRPr="003D13A1">
        <w:rPr>
          <w:rFonts w:ascii="Arial" w:hAnsi="Arial" w:cs="Arial"/>
          <w:sz w:val="18"/>
          <w:szCs w:val="18"/>
        </w:rPr>
        <w:softHyphen/>
      </w:r>
      <w:r w:rsidRPr="003D13A1">
        <w:rPr>
          <w:rFonts w:ascii="Arial" w:hAnsi="Arial" w:cs="Arial"/>
          <w:sz w:val="18"/>
          <w:szCs w:val="18"/>
        </w:rPr>
        <w:softHyphen/>
      </w:r>
      <w:r w:rsidRPr="003D13A1">
        <w:rPr>
          <w:rFonts w:ascii="Arial" w:hAnsi="Arial" w:cs="Arial"/>
          <w:sz w:val="18"/>
          <w:szCs w:val="18"/>
        </w:rPr>
        <w:softHyphen/>
      </w:r>
      <w:r w:rsidRPr="003D13A1">
        <w:rPr>
          <w:rFonts w:ascii="Arial" w:hAnsi="Arial" w:cs="Arial"/>
          <w:sz w:val="18"/>
          <w:szCs w:val="18"/>
        </w:rPr>
        <w:softHyphen/>
      </w:r>
    </w:p>
    <w:sectPr w:rsidR="00E12026" w:rsidSect="00B911C5">
      <w:pgSz w:w="11900" w:h="16840"/>
      <w:pgMar w:top="1440" w:right="851" w:bottom="1440"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7454" w:rsidRDefault="00307454" w:rsidP="00B931E6">
      <w:pPr>
        <w:spacing w:after="0" w:line="240" w:lineRule="auto"/>
      </w:pPr>
      <w:r>
        <w:separator/>
      </w:r>
    </w:p>
  </w:endnote>
  <w:endnote w:type="continuationSeparator" w:id="0">
    <w:p w:rsidR="00307454" w:rsidRDefault="00307454" w:rsidP="00B931E6">
      <w:pPr>
        <w:spacing w:after="0" w:line="240" w:lineRule="auto"/>
      </w:pPr>
      <w:r>
        <w:continuationSeparator/>
      </w:r>
    </w:p>
  </w:endnote>
  <w:endnote w:id="1">
    <w:p w:rsidR="0050038C" w:rsidRPr="0050038C" w:rsidRDefault="0050038C" w:rsidP="0050038C">
      <w:pPr>
        <w:pStyle w:val="NormalWeb"/>
        <w:spacing w:before="0" w:beforeAutospacing="0" w:after="0" w:afterAutospacing="0" w:line="24" w:lineRule="auto"/>
        <w:jc w:val="both"/>
        <w:rPr>
          <w:rFonts w:ascii="Arial" w:hAnsi="Arial" w:cs="Arial"/>
          <w:color w:val="FFFFFF" w:themeColor="background1"/>
          <w:sz w:val="2"/>
          <w:szCs w:val="2"/>
        </w:rPr>
      </w:pPr>
      <w:r w:rsidRPr="0050038C">
        <w:rPr>
          <w:rStyle w:val="Refdenotadefim"/>
          <w:rFonts w:ascii="Arial" w:hAnsi="Arial" w:cs="Arial"/>
          <w:color w:val="FFFFFF" w:themeColor="background1"/>
          <w:sz w:val="2"/>
          <w:szCs w:val="2"/>
        </w:rPr>
        <w:endnoteRef/>
      </w:r>
      <w:r w:rsidRPr="0050038C">
        <w:rPr>
          <w:rFonts w:ascii="Arial" w:hAnsi="Arial" w:cs="Arial"/>
          <w:color w:val="FFFFFF" w:themeColor="background1"/>
          <w:sz w:val="2"/>
          <w:szCs w:val="2"/>
        </w:rPr>
        <w:t xml:space="preserve"> </w:t>
      </w:r>
      <w:bookmarkStart w:id="0" w:name="art32"/>
      <w:bookmarkEnd w:id="0"/>
      <w:r w:rsidRPr="0050038C">
        <w:rPr>
          <w:rFonts w:ascii="Arial" w:hAnsi="Arial" w:cs="Arial"/>
          <w:color w:val="FFFFFF" w:themeColor="background1"/>
          <w:sz w:val="2"/>
          <w:szCs w:val="2"/>
        </w:rPr>
        <w:t>Art. 32. De decisão proferida em processo de tomada ou prestação de contas cabem recursos de:</w:t>
      </w:r>
    </w:p>
    <w:p w:rsidR="0050038C" w:rsidRDefault="0050038C">
      <w:pPr>
        <w:pStyle w:val="Textodenotadefim"/>
      </w:pPr>
    </w:p>
  </w:endnote>
  <w:endnote w:id="2">
    <w:p w:rsidR="0050038C" w:rsidRPr="0050038C" w:rsidRDefault="0050038C" w:rsidP="0050038C">
      <w:pPr>
        <w:pStyle w:val="NormalWeb"/>
        <w:spacing w:before="0" w:beforeAutospacing="0" w:after="0" w:afterAutospacing="0" w:line="24" w:lineRule="auto"/>
        <w:jc w:val="both"/>
        <w:rPr>
          <w:rFonts w:ascii="Arial" w:hAnsi="Arial" w:cs="Arial"/>
          <w:color w:val="FFFFFF" w:themeColor="background1"/>
          <w:sz w:val="2"/>
          <w:szCs w:val="2"/>
        </w:rPr>
      </w:pPr>
      <w:r w:rsidRPr="0050038C">
        <w:rPr>
          <w:rStyle w:val="Refdenotadefim"/>
          <w:rFonts w:ascii="Arial" w:hAnsi="Arial" w:cs="Arial"/>
          <w:color w:val="FFFFFF" w:themeColor="background1"/>
          <w:sz w:val="2"/>
          <w:szCs w:val="2"/>
        </w:rPr>
        <w:endnoteRef/>
      </w:r>
      <w:r w:rsidRPr="0050038C">
        <w:rPr>
          <w:rFonts w:ascii="Arial" w:hAnsi="Arial" w:cs="Arial"/>
          <w:color w:val="FFFFFF" w:themeColor="background1"/>
          <w:sz w:val="2"/>
          <w:szCs w:val="2"/>
        </w:rPr>
        <w:t xml:space="preserve"> Parágrafo único. Não se conhecerá de recurso interposto fora do prazo, salvo em razão da superveniência de fatos novos na forma prevista no Regimento Interno.</w:t>
      </w:r>
    </w:p>
    <w:p w:rsidR="0050038C" w:rsidRPr="00064456" w:rsidRDefault="00064456" w:rsidP="00064456">
      <w:pPr>
        <w:pStyle w:val="Textodenotadefim"/>
        <w:tabs>
          <w:tab w:val="left" w:pos="2067"/>
        </w:tabs>
        <w:rPr>
          <w:rFonts w:ascii="Arial" w:hAnsi="Arial" w:cs="Arial"/>
          <w:color w:val="FFFFFF" w:themeColor="background1"/>
          <w:sz w:val="2"/>
          <w:szCs w:val="2"/>
        </w:rPr>
      </w:pPr>
      <w:r w:rsidRPr="00064456">
        <w:rPr>
          <w:rFonts w:ascii="Arial" w:hAnsi="Arial" w:cs="Arial"/>
          <w:color w:val="FFFFFF" w:themeColor="background1"/>
          <w:sz w:val="2"/>
          <w:szCs w:val="2"/>
        </w:rPr>
        <w:tab/>
      </w:r>
    </w:p>
  </w:endnote>
  <w:endnote w:id="3">
    <w:p w:rsidR="0050038C" w:rsidRPr="00064456" w:rsidRDefault="0050038C" w:rsidP="0050038C">
      <w:pPr>
        <w:pStyle w:val="Textodenotadefim"/>
        <w:spacing w:line="24" w:lineRule="auto"/>
        <w:rPr>
          <w:rFonts w:ascii="Arial" w:hAnsi="Arial" w:cs="Arial"/>
          <w:color w:val="FFFFFF" w:themeColor="background1"/>
          <w:sz w:val="2"/>
          <w:szCs w:val="2"/>
        </w:rPr>
      </w:pPr>
      <w:r w:rsidRPr="00064456">
        <w:rPr>
          <w:rStyle w:val="Refdenotadefim"/>
          <w:rFonts w:ascii="Arial" w:hAnsi="Arial" w:cs="Arial"/>
          <w:color w:val="FFFFFF" w:themeColor="background1"/>
          <w:sz w:val="2"/>
          <w:szCs w:val="2"/>
        </w:rPr>
        <w:endnoteRef/>
      </w:r>
      <w:r w:rsidRPr="00064456">
        <w:rPr>
          <w:rFonts w:ascii="Arial" w:hAnsi="Arial" w:cs="Arial"/>
          <w:color w:val="FFFFFF" w:themeColor="background1"/>
          <w:sz w:val="2"/>
          <w:szCs w:val="2"/>
        </w:rPr>
        <w:t xml:space="preserve"> Art. 285. De decisão definitiva em processo de prestação ou tomada de contas, inclusive especial, cabe recurso de reconsideração, com efeito suspensivo, para apreciação do colegiado que houver proferido a decisão recorrida, podendo ser formulado uma só vez e por escrito, pela parte ou pelo Ministério Público junto ao Tribunal, dentro do prazo de quinze dias, contados na forma prevista no art. 183.</w:t>
      </w:r>
    </w:p>
  </w:endnote>
  <w:endnote w:id="4">
    <w:p w:rsidR="0050038C" w:rsidRPr="00064456" w:rsidRDefault="0050038C" w:rsidP="0050038C">
      <w:pPr>
        <w:pStyle w:val="Textodenotadefim"/>
        <w:spacing w:line="24" w:lineRule="auto"/>
        <w:rPr>
          <w:rFonts w:ascii="Arial" w:hAnsi="Arial" w:cs="Arial"/>
          <w:color w:val="FFFFFF" w:themeColor="background1"/>
          <w:sz w:val="2"/>
          <w:szCs w:val="2"/>
        </w:rPr>
      </w:pPr>
      <w:r w:rsidRPr="00064456">
        <w:rPr>
          <w:rStyle w:val="Refdenotadefim"/>
          <w:rFonts w:ascii="Arial" w:hAnsi="Arial" w:cs="Arial"/>
          <w:color w:val="FFFFFF" w:themeColor="background1"/>
          <w:sz w:val="2"/>
          <w:szCs w:val="2"/>
        </w:rPr>
        <w:endnoteRef/>
      </w:r>
      <w:r w:rsidRPr="00064456">
        <w:rPr>
          <w:rFonts w:ascii="Arial" w:hAnsi="Arial" w:cs="Arial"/>
          <w:color w:val="FFFFFF" w:themeColor="background1"/>
          <w:sz w:val="2"/>
          <w:szCs w:val="2"/>
        </w:rPr>
        <w:t xml:space="preserve"> § 2º Não se conhecerá de recurso de reconsideração quando intempestivo, salvo em razão de superveniência de fatos novos e dentro do período de cento e oitenta dias contados do término do prazo indicado no caput, caso em que não terá efeito suspensivo.</w:t>
      </w:r>
    </w:p>
  </w:endnote>
  <w:endnote w:id="5">
    <w:p w:rsidR="00C949B0" w:rsidRPr="00064456" w:rsidRDefault="00C949B0" w:rsidP="00C949B0">
      <w:pPr>
        <w:pStyle w:val="Textodenotadefim"/>
        <w:spacing w:line="24" w:lineRule="auto"/>
        <w:rPr>
          <w:rFonts w:ascii="Arial" w:hAnsi="Arial" w:cs="Arial"/>
          <w:color w:val="FFFFFF" w:themeColor="background1"/>
          <w:sz w:val="2"/>
          <w:szCs w:val="2"/>
        </w:rPr>
      </w:pPr>
      <w:r w:rsidRPr="00064456">
        <w:rPr>
          <w:rStyle w:val="Refdenotadefim"/>
          <w:rFonts w:ascii="Arial" w:hAnsi="Arial" w:cs="Arial"/>
          <w:color w:val="FFFFFF" w:themeColor="background1"/>
          <w:sz w:val="2"/>
          <w:szCs w:val="2"/>
        </w:rPr>
        <w:endnoteRef/>
      </w:r>
      <w:r w:rsidRPr="00064456">
        <w:rPr>
          <w:rFonts w:ascii="Arial" w:hAnsi="Arial" w:cs="Arial"/>
          <w:color w:val="FFFFFF" w:themeColor="background1"/>
          <w:sz w:val="2"/>
          <w:szCs w:val="2"/>
        </w:rPr>
        <w:t xml:space="preserve"> Art. 9</w:t>
      </w:r>
      <w:r w:rsidRPr="00064456">
        <w:rPr>
          <w:rFonts w:ascii="Arial" w:hAnsi="Arial" w:cs="Arial"/>
          <w:color w:val="FFFFFF" w:themeColor="background1"/>
          <w:sz w:val="2"/>
          <w:szCs w:val="2"/>
          <w:u w:val="single"/>
          <w:vertAlign w:val="superscript"/>
        </w:rPr>
        <w:t>o</w:t>
      </w:r>
      <w:r w:rsidRPr="00064456">
        <w:rPr>
          <w:rFonts w:ascii="Arial" w:hAnsi="Arial" w:cs="Arial"/>
          <w:color w:val="FFFFFF" w:themeColor="background1"/>
          <w:sz w:val="2"/>
          <w:szCs w:val="2"/>
        </w:rPr>
        <w:t xml:space="preserve"> Nas licitações de obras e serviços de engenharia, no âmbito do RDC, poderá ser utilizada a contratação integrada, desde que técnica e economicamente justificada e cujo objeto envolva, pelo menos, uma das seguintes condições: (...)</w:t>
      </w:r>
    </w:p>
  </w:endnote>
  <w:endnote w:id="6">
    <w:p w:rsidR="00C949B0" w:rsidRPr="00064456" w:rsidRDefault="00C949B0" w:rsidP="00C949B0">
      <w:pPr>
        <w:pStyle w:val="Textodenotadefim"/>
        <w:spacing w:line="24" w:lineRule="auto"/>
        <w:rPr>
          <w:rFonts w:ascii="Arial" w:hAnsi="Arial" w:cs="Arial"/>
          <w:color w:val="FFFFFF" w:themeColor="background1"/>
          <w:sz w:val="2"/>
          <w:szCs w:val="2"/>
        </w:rPr>
      </w:pPr>
      <w:r w:rsidRPr="00064456">
        <w:rPr>
          <w:rStyle w:val="Refdenotadefim"/>
          <w:rFonts w:ascii="Arial" w:hAnsi="Arial" w:cs="Arial"/>
          <w:color w:val="FFFFFF" w:themeColor="background1"/>
          <w:sz w:val="2"/>
          <w:szCs w:val="2"/>
        </w:rPr>
        <w:endnoteRef/>
      </w:r>
      <w:r w:rsidRPr="00064456">
        <w:rPr>
          <w:rFonts w:ascii="Arial" w:hAnsi="Arial" w:cs="Arial"/>
          <w:color w:val="FFFFFF" w:themeColor="background1"/>
          <w:sz w:val="2"/>
          <w:szCs w:val="2"/>
        </w:rPr>
        <w:t xml:space="preserve"> Art. 289. De despacho decisório do Presidente do Tribunal, de presidente de câmara ou do relator, desfavorável à parte, e da medida cautelar adotada com fundamento no art. 276 cabe agravo, no prazo de cinco dias, contados na forma do art. 183.</w:t>
      </w:r>
    </w:p>
  </w:endnote>
  <w:endnote w:id="7">
    <w:p w:rsidR="00C949B0" w:rsidRPr="00064456" w:rsidRDefault="00C949B0" w:rsidP="00C949B0">
      <w:pPr>
        <w:pStyle w:val="Textodenotadefim"/>
        <w:spacing w:line="24" w:lineRule="auto"/>
        <w:rPr>
          <w:rFonts w:ascii="Arial" w:hAnsi="Arial" w:cs="Arial"/>
          <w:color w:val="FFFFFF" w:themeColor="background1"/>
          <w:sz w:val="2"/>
          <w:szCs w:val="2"/>
        </w:rPr>
      </w:pPr>
      <w:r w:rsidRPr="00064456">
        <w:rPr>
          <w:rStyle w:val="Refdenotadefim"/>
          <w:rFonts w:ascii="Arial" w:hAnsi="Arial" w:cs="Arial"/>
          <w:color w:val="FFFFFF" w:themeColor="background1"/>
          <w:sz w:val="2"/>
          <w:szCs w:val="2"/>
        </w:rPr>
        <w:endnoteRef/>
      </w:r>
      <w:r w:rsidRPr="00064456">
        <w:rPr>
          <w:rFonts w:ascii="Arial" w:hAnsi="Arial" w:cs="Arial"/>
          <w:color w:val="FFFFFF" w:themeColor="background1"/>
          <w:sz w:val="2"/>
          <w:szCs w:val="2"/>
        </w:rPr>
        <w:t xml:space="preserve"> Art. 276. O Plenário, o relator, ou, na hipótese do art. 28, inciso XVI, o Presidente, em caso de urgência, de fundado receio de grave lesão ao erário, ao interesse público, ou de risco de ineficácia da decisão de mérito, poderá, de ofício ou mediante provocação, adotar medida cautelar, com ou sem a prévia oitiva da parte, determinando, entre outras providências, a suspensão do ato ou do procedimento impugnado, até que o Tribunal decida sobre o mérito da questão suscitada, nos termos do art. 45 da Lei nº 8.443, de 1992.</w:t>
      </w:r>
    </w:p>
  </w:endnote>
  <w:endnote w:id="8">
    <w:p w:rsidR="00D17C53" w:rsidRPr="00D17C53" w:rsidRDefault="00D17C53" w:rsidP="00D17C53">
      <w:pPr>
        <w:pStyle w:val="Textodenotadefim"/>
        <w:spacing w:line="24" w:lineRule="auto"/>
        <w:rPr>
          <w:rFonts w:ascii="Arial" w:hAnsi="Arial" w:cs="Arial"/>
          <w:color w:val="FFFFFF" w:themeColor="background1"/>
          <w:sz w:val="2"/>
          <w:szCs w:val="2"/>
        </w:rPr>
      </w:pPr>
      <w:r w:rsidRPr="00D17C53">
        <w:rPr>
          <w:rStyle w:val="Refdenotadefim"/>
          <w:rFonts w:ascii="Arial" w:hAnsi="Arial" w:cs="Arial"/>
          <w:color w:val="FFFFFF" w:themeColor="background1"/>
          <w:sz w:val="2"/>
          <w:szCs w:val="2"/>
        </w:rPr>
        <w:endnoteRef/>
      </w:r>
      <w:r w:rsidRPr="00D17C53">
        <w:rPr>
          <w:rFonts w:ascii="Arial" w:hAnsi="Arial" w:cs="Arial"/>
          <w:color w:val="FFFFFF" w:themeColor="background1"/>
          <w:sz w:val="2"/>
          <w:szCs w:val="2"/>
        </w:rPr>
        <w:t xml:space="preserve"> Art. 155. O administrador deve servir com lealdade à companhia e manter reserva sobre os seus negócios, sendo-lhe vedado:</w:t>
      </w:r>
    </w:p>
  </w:endnote>
  <w:endnote w:id="9">
    <w:p w:rsidR="00D17C53" w:rsidRPr="00D17C53" w:rsidRDefault="00D17C53" w:rsidP="00D17C53">
      <w:pPr>
        <w:pStyle w:val="Textodenotadefim"/>
        <w:spacing w:line="24" w:lineRule="auto"/>
        <w:rPr>
          <w:rFonts w:ascii="Arial" w:hAnsi="Arial" w:cs="Arial"/>
          <w:sz w:val="2"/>
          <w:szCs w:val="2"/>
        </w:rPr>
      </w:pPr>
      <w:r w:rsidRPr="00D17C53">
        <w:rPr>
          <w:rStyle w:val="Refdenotadefim"/>
          <w:rFonts w:ascii="Arial" w:hAnsi="Arial" w:cs="Arial"/>
          <w:color w:val="FFFFFF" w:themeColor="background1"/>
          <w:sz w:val="2"/>
          <w:szCs w:val="2"/>
        </w:rPr>
        <w:endnoteRef/>
      </w:r>
      <w:r w:rsidRPr="00D17C53">
        <w:rPr>
          <w:rFonts w:ascii="Arial" w:hAnsi="Arial" w:cs="Arial"/>
          <w:color w:val="FFFFFF" w:themeColor="background1"/>
          <w:sz w:val="2"/>
          <w:szCs w:val="2"/>
        </w:rPr>
        <w:t xml:space="preserve"> § 1º Cumpre, ademais, ao administrador de companhia aberta, guardar sigilo sobre qualquer informação que ainda não tenha sido divulgada para conhecimento do mercado, obtida em razão do cargo e capaz de influir de modo ponderável na cotação de valores mobiliários, sendo-lhe vedado valer-se da informação para obter, para si ou para outrem, vantagem mediante compra ou venda de valores mobiliários.</w:t>
      </w:r>
    </w:p>
  </w:endnote>
  <w:endnote w:id="10">
    <w:p w:rsidR="00D17C53" w:rsidRPr="00D17C53" w:rsidRDefault="00D17C53" w:rsidP="00D17C53">
      <w:pPr>
        <w:pStyle w:val="NormalWeb"/>
        <w:spacing w:before="0" w:beforeAutospacing="0" w:after="0" w:afterAutospacing="0" w:line="24" w:lineRule="auto"/>
        <w:jc w:val="both"/>
        <w:rPr>
          <w:rFonts w:ascii="Arial" w:hAnsi="Arial" w:cs="Arial"/>
          <w:color w:val="FFFFFF" w:themeColor="background1"/>
          <w:sz w:val="2"/>
          <w:szCs w:val="2"/>
        </w:rPr>
      </w:pPr>
      <w:r w:rsidRPr="00D17C53">
        <w:rPr>
          <w:rStyle w:val="Refdenotadefim"/>
          <w:rFonts w:ascii="Arial" w:hAnsi="Arial" w:cs="Arial"/>
          <w:color w:val="FFFFFF" w:themeColor="background1"/>
          <w:sz w:val="2"/>
          <w:szCs w:val="2"/>
        </w:rPr>
        <w:endnoteRef/>
      </w:r>
      <w:bookmarkStart w:id="1" w:name="art1190"/>
      <w:bookmarkEnd w:id="1"/>
      <w:r w:rsidRPr="00D17C53">
        <w:rPr>
          <w:rFonts w:ascii="Arial" w:hAnsi="Arial" w:cs="Arial"/>
          <w:color w:val="FFFFFF" w:themeColor="background1"/>
          <w:sz w:val="2"/>
          <w:szCs w:val="2"/>
        </w:rPr>
        <w:t>Art. 1.190. Ressalvados os casos previstos em lei, nenhuma autoridade, juiz ou tribunal, sob qualquer pretexto, poderá fazer ou ordenar diligência para verificar se o empresário ou a sociedade empresária observam, ou não, em seus livros e fichas, as formalidades prescritas em lei.</w:t>
      </w:r>
    </w:p>
    <w:p w:rsidR="00D17C53" w:rsidRDefault="00D17C53">
      <w:pPr>
        <w:pStyle w:val="Textodenotadefim"/>
      </w:pPr>
      <w:r>
        <w:t xml:space="preserve"> </w:t>
      </w:r>
    </w:p>
  </w:endnote>
  <w:endnote w:id="11">
    <w:p w:rsidR="003703E9" w:rsidRPr="003703E9" w:rsidRDefault="003703E9" w:rsidP="003703E9">
      <w:pPr>
        <w:pStyle w:val="NormalWeb"/>
        <w:spacing w:before="0" w:beforeAutospacing="0" w:after="0" w:afterAutospacing="0" w:line="24" w:lineRule="auto"/>
        <w:jc w:val="both"/>
        <w:rPr>
          <w:rFonts w:ascii="Arial" w:hAnsi="Arial" w:cs="Arial"/>
          <w:color w:val="FFFFFF" w:themeColor="background1"/>
          <w:sz w:val="2"/>
          <w:szCs w:val="2"/>
        </w:rPr>
      </w:pPr>
      <w:r w:rsidRPr="003703E9">
        <w:rPr>
          <w:rStyle w:val="Refdenotadefim"/>
          <w:rFonts w:ascii="Arial" w:hAnsi="Arial" w:cs="Arial"/>
          <w:color w:val="FFFFFF" w:themeColor="background1"/>
          <w:sz w:val="2"/>
          <w:szCs w:val="2"/>
        </w:rPr>
        <w:endnoteRef/>
      </w:r>
      <w:r w:rsidRPr="003703E9">
        <w:rPr>
          <w:rFonts w:ascii="Arial" w:hAnsi="Arial" w:cs="Arial"/>
          <w:color w:val="FFFFFF" w:themeColor="background1"/>
          <w:sz w:val="2"/>
          <w:szCs w:val="2"/>
        </w:rPr>
        <w:t xml:space="preserve"> </w:t>
      </w:r>
      <w:bookmarkStart w:id="2" w:name="art1191"/>
      <w:bookmarkEnd w:id="2"/>
      <w:r w:rsidRPr="003703E9">
        <w:rPr>
          <w:rFonts w:ascii="Arial" w:hAnsi="Arial" w:cs="Arial"/>
          <w:color w:val="FFFFFF" w:themeColor="background1"/>
          <w:sz w:val="2"/>
          <w:szCs w:val="2"/>
        </w:rPr>
        <w:t>Art. 1.191. O juiz só poderá autorizar a exibição integral dos livros e papéis de escrituração quando necessária para resolver questões relativas a sucessão, comunhão ou sociedade, administração ou gestão à conta de outrem, ou em caso de falência.</w:t>
      </w:r>
    </w:p>
    <w:p w:rsidR="003703E9" w:rsidRDefault="003703E9">
      <w:pPr>
        <w:pStyle w:val="Textodenotadefim"/>
      </w:pPr>
    </w:p>
  </w:endnote>
  <w:endnote w:id="12">
    <w:p w:rsidR="00C949B0" w:rsidRPr="00064456" w:rsidRDefault="00C949B0" w:rsidP="00C949B0">
      <w:pPr>
        <w:pStyle w:val="Textodenotadefim"/>
        <w:spacing w:line="24" w:lineRule="auto"/>
        <w:rPr>
          <w:rFonts w:ascii="Arial" w:hAnsi="Arial" w:cs="Arial"/>
          <w:color w:val="FFFFFF" w:themeColor="background1"/>
          <w:sz w:val="2"/>
          <w:szCs w:val="2"/>
        </w:rPr>
      </w:pPr>
      <w:r w:rsidRPr="00064456">
        <w:rPr>
          <w:rStyle w:val="Refdenotadefim"/>
          <w:rFonts w:ascii="Arial" w:hAnsi="Arial" w:cs="Arial"/>
          <w:color w:val="FFFFFF" w:themeColor="background1"/>
          <w:sz w:val="2"/>
          <w:szCs w:val="2"/>
        </w:rPr>
        <w:endnoteRef/>
      </w:r>
      <w:r w:rsidRPr="00064456">
        <w:rPr>
          <w:rFonts w:ascii="Arial" w:hAnsi="Arial" w:cs="Arial"/>
          <w:color w:val="FFFFFF" w:themeColor="background1"/>
          <w:sz w:val="2"/>
          <w:szCs w:val="2"/>
        </w:rPr>
        <w:t xml:space="preserve"> Art. 160. As alegações de defesa e as razões de justificativa serão admitidas dentro do prazo determinado na citação ou na audiência.</w:t>
      </w:r>
    </w:p>
  </w:endnote>
  <w:endnote w:id="13">
    <w:p w:rsidR="00C949B0" w:rsidRPr="00064456" w:rsidRDefault="00C949B0" w:rsidP="00C949B0">
      <w:pPr>
        <w:pStyle w:val="Textodenotadefim"/>
        <w:spacing w:line="24" w:lineRule="auto"/>
        <w:rPr>
          <w:rFonts w:ascii="Arial" w:hAnsi="Arial" w:cs="Arial"/>
          <w:color w:val="FFFFFF" w:themeColor="background1"/>
          <w:sz w:val="2"/>
          <w:szCs w:val="2"/>
        </w:rPr>
      </w:pPr>
      <w:r w:rsidRPr="00064456">
        <w:rPr>
          <w:rStyle w:val="Refdenotadefim"/>
          <w:rFonts w:ascii="Arial" w:hAnsi="Arial" w:cs="Arial"/>
          <w:color w:val="FFFFFF" w:themeColor="background1"/>
          <w:sz w:val="2"/>
          <w:szCs w:val="2"/>
        </w:rPr>
        <w:endnoteRef/>
      </w:r>
      <w:r w:rsidRPr="00064456">
        <w:rPr>
          <w:rFonts w:ascii="Arial" w:hAnsi="Arial" w:cs="Arial"/>
          <w:color w:val="FFFFFF" w:themeColor="background1"/>
          <w:sz w:val="2"/>
          <w:szCs w:val="2"/>
        </w:rPr>
        <w:t xml:space="preserve"> § 1º Desde a constituição do processo até o término da etapa de instrução, é facultada à parte a juntada de documentos novos.</w:t>
      </w:r>
    </w:p>
  </w:endnote>
  <w:endnote w:id="14">
    <w:p w:rsidR="00C949B0" w:rsidRPr="00064456" w:rsidRDefault="00C949B0" w:rsidP="00C949B0">
      <w:pPr>
        <w:pStyle w:val="Textodenotadefim"/>
        <w:spacing w:line="24" w:lineRule="auto"/>
        <w:rPr>
          <w:rFonts w:ascii="Arial" w:hAnsi="Arial" w:cs="Arial"/>
          <w:color w:val="FFFFFF" w:themeColor="background1"/>
          <w:sz w:val="2"/>
          <w:szCs w:val="2"/>
        </w:rPr>
      </w:pPr>
      <w:r w:rsidRPr="00064456">
        <w:rPr>
          <w:rStyle w:val="Refdenotadefim"/>
          <w:rFonts w:ascii="Arial" w:hAnsi="Arial" w:cs="Arial"/>
          <w:color w:val="FFFFFF" w:themeColor="background1"/>
          <w:sz w:val="2"/>
          <w:szCs w:val="2"/>
        </w:rPr>
        <w:endnoteRef/>
      </w:r>
      <w:r w:rsidRPr="00064456">
        <w:rPr>
          <w:rFonts w:ascii="Arial" w:hAnsi="Arial" w:cs="Arial"/>
          <w:color w:val="FFFFFF" w:themeColor="background1"/>
          <w:sz w:val="2"/>
          <w:szCs w:val="2"/>
        </w:rPr>
        <w:t xml:space="preserve"> § 3º O disposto no § 1º não prejudica o direito da parte de distribuir, após a inclusão do processo em pauta, memorial aos ministros, ministros-substitutos e ao representante do Ministério Público.</w:t>
      </w:r>
    </w:p>
  </w:endnote>
  <w:endnote w:id="15">
    <w:p w:rsidR="00064456" w:rsidRPr="00064456" w:rsidRDefault="00064456" w:rsidP="00064456">
      <w:pPr>
        <w:pStyle w:val="texto2"/>
        <w:spacing w:before="0" w:beforeAutospacing="0" w:after="0" w:afterAutospacing="0" w:line="24" w:lineRule="auto"/>
        <w:jc w:val="both"/>
        <w:rPr>
          <w:rFonts w:ascii="Arial" w:hAnsi="Arial" w:cs="Arial"/>
          <w:color w:val="FFFFFF" w:themeColor="background1"/>
          <w:sz w:val="2"/>
          <w:szCs w:val="2"/>
        </w:rPr>
      </w:pPr>
      <w:r w:rsidRPr="00064456">
        <w:rPr>
          <w:rStyle w:val="Refdenotadefim"/>
          <w:rFonts w:ascii="Arial" w:hAnsi="Arial" w:cs="Arial"/>
          <w:color w:val="FFFFFF" w:themeColor="background1"/>
          <w:sz w:val="2"/>
          <w:szCs w:val="2"/>
        </w:rPr>
        <w:endnoteRef/>
      </w:r>
      <w:r w:rsidRPr="00064456">
        <w:rPr>
          <w:rFonts w:ascii="Arial" w:hAnsi="Arial" w:cs="Arial"/>
          <w:color w:val="FFFFFF" w:themeColor="background1"/>
          <w:sz w:val="2"/>
          <w:szCs w:val="2"/>
        </w:rPr>
        <w:t xml:space="preserve"> </w:t>
      </w:r>
      <w:bookmarkStart w:id="3" w:name="art1."/>
      <w:bookmarkEnd w:id="3"/>
      <w:r w:rsidRPr="00064456">
        <w:rPr>
          <w:rFonts w:ascii="Arial" w:hAnsi="Arial" w:cs="Arial"/>
          <w:color w:val="FFFFFF" w:themeColor="background1"/>
          <w:sz w:val="2"/>
          <w:szCs w:val="2"/>
        </w:rPr>
        <w:t>Art. 1</w:t>
      </w:r>
      <w:r w:rsidRPr="00064456">
        <w:rPr>
          <w:rFonts w:ascii="Arial" w:hAnsi="Arial" w:cs="Arial"/>
          <w:color w:val="FFFFFF" w:themeColor="background1"/>
          <w:sz w:val="2"/>
          <w:szCs w:val="2"/>
          <w:u w:val="single"/>
          <w:vertAlign w:val="superscript"/>
        </w:rPr>
        <w:t>o</w:t>
      </w:r>
      <w:r w:rsidRPr="00064456">
        <w:rPr>
          <w:rFonts w:ascii="Arial" w:hAnsi="Arial" w:cs="Arial"/>
          <w:color w:val="FFFFFF" w:themeColor="background1"/>
          <w:sz w:val="2"/>
          <w:szCs w:val="2"/>
        </w:rPr>
        <w:t xml:space="preserve"> O servidor público policial será aposentado: I - compulsoriamente, com proventos proporcionais ao tempo de contribuição, aos 65 (sessenta e cinco) anos de idade, qualquer que seja a natureza dos serviços prestados; II - voluntariamente, com proventos integrais, independentemente da idade: a) após 30 (trinta) anos de contribuição, desde que conte, pelo menos, 20 (vinte) anos de exercício em cargo de natureza estritamente policial, se homem; b) após 25 (vinte e cinco) anos de contribuição, desde que conte, pelo menos, 15 (quinze) anos de exercício em cargo de natureza estritamente policial, se mulher.</w:t>
      </w:r>
    </w:p>
    <w:p w:rsidR="00064456" w:rsidRPr="00064456" w:rsidRDefault="00064456">
      <w:pPr>
        <w:pStyle w:val="Textodenotadefim"/>
        <w:rPr>
          <w:rFonts w:ascii="Arial" w:hAnsi="Arial" w:cs="Arial"/>
          <w:color w:val="FFFFFF" w:themeColor="background1"/>
          <w:sz w:val="2"/>
          <w:szCs w:val="2"/>
        </w:rPr>
      </w:pPr>
    </w:p>
  </w:endnote>
  <w:endnote w:id="16">
    <w:p w:rsidR="00585548" w:rsidRPr="00585548" w:rsidRDefault="00585548" w:rsidP="00585548">
      <w:pPr>
        <w:pStyle w:val="NormalWeb"/>
        <w:spacing w:before="0" w:beforeAutospacing="0" w:after="0" w:afterAutospacing="0" w:line="24" w:lineRule="auto"/>
        <w:jc w:val="both"/>
        <w:rPr>
          <w:rFonts w:ascii="Arial" w:hAnsi="Arial" w:cs="Arial"/>
          <w:sz w:val="2"/>
          <w:szCs w:val="2"/>
        </w:rPr>
      </w:pPr>
      <w:r w:rsidRPr="00585548">
        <w:rPr>
          <w:rStyle w:val="Refdenotadefim"/>
          <w:rFonts w:ascii="Arial" w:hAnsi="Arial" w:cs="Arial"/>
          <w:color w:val="FFFFFF" w:themeColor="background1"/>
          <w:sz w:val="2"/>
          <w:szCs w:val="2"/>
        </w:rPr>
        <w:endnoteRef/>
      </w:r>
      <w:r w:rsidRPr="00585548">
        <w:rPr>
          <w:rFonts w:ascii="Arial" w:hAnsi="Arial" w:cs="Arial"/>
          <w:color w:val="FFFFFF" w:themeColor="background1"/>
          <w:sz w:val="2"/>
          <w:szCs w:val="2"/>
        </w:rPr>
        <w:t xml:space="preserve"> Art. 184. O funcionário que contar 35 anos de serviço será aposentado: I – com provento correspondente ao vencimento ou remuneração da classe imediatamente superior; </w:t>
      </w:r>
      <w:bookmarkStart w:id="4" w:name="art184ii"/>
      <w:bookmarkEnd w:id="4"/>
      <w:r w:rsidRPr="00585548">
        <w:rPr>
          <w:rFonts w:ascii="Arial" w:hAnsi="Arial" w:cs="Arial"/>
          <w:color w:val="FFFFFF" w:themeColor="background1"/>
          <w:sz w:val="2"/>
          <w:szCs w:val="2"/>
        </w:rPr>
        <w:t>II – com provento aumentado de 20% quando ocupante da última classe da respectiva carreira; III – com a vantagem do inciso II, quando ocupante de cargo isolado se tiver permanecido no mesmo durante três anos. (</w:t>
      </w:r>
      <w:proofErr w:type="gramStart"/>
      <w:r w:rsidRPr="00585548">
        <w:rPr>
          <w:rFonts w:ascii="Arial" w:hAnsi="Arial" w:cs="Arial"/>
          <w:color w:val="FFFFFF" w:themeColor="background1"/>
          <w:sz w:val="2"/>
          <w:szCs w:val="2"/>
        </w:rPr>
        <w:t>revogado</w:t>
      </w:r>
      <w:proofErr w:type="gramEnd"/>
      <w:r w:rsidRPr="00585548">
        <w:rPr>
          <w:rFonts w:ascii="Arial" w:hAnsi="Arial" w:cs="Arial"/>
          <w:color w:val="FFFFFF" w:themeColor="background1"/>
          <w:sz w:val="2"/>
          <w:szCs w:val="2"/>
        </w:rPr>
        <w:t>)</w:t>
      </w:r>
    </w:p>
    <w:p w:rsidR="00585548" w:rsidRDefault="00585548">
      <w:pPr>
        <w:pStyle w:val="Textodenotadefim"/>
      </w:pPr>
    </w:p>
  </w:endnote>
  <w:endnote w:id="17">
    <w:p w:rsidR="00064456" w:rsidRPr="00064456" w:rsidRDefault="00064456" w:rsidP="00064456">
      <w:pPr>
        <w:pStyle w:val="Textodenotadefim"/>
        <w:spacing w:line="24" w:lineRule="auto"/>
        <w:rPr>
          <w:rFonts w:ascii="Arial" w:hAnsi="Arial" w:cs="Arial"/>
          <w:color w:val="FFFFFF" w:themeColor="background1"/>
          <w:sz w:val="2"/>
          <w:szCs w:val="2"/>
        </w:rPr>
      </w:pPr>
      <w:r w:rsidRPr="00064456">
        <w:rPr>
          <w:rStyle w:val="Refdenotadefim"/>
          <w:rFonts w:ascii="Arial" w:hAnsi="Arial" w:cs="Arial"/>
          <w:color w:val="FFFFFF" w:themeColor="background1"/>
          <w:sz w:val="2"/>
          <w:szCs w:val="2"/>
        </w:rPr>
        <w:endnoteRef/>
      </w:r>
      <w:r w:rsidRPr="00064456">
        <w:rPr>
          <w:rFonts w:ascii="Arial" w:hAnsi="Arial" w:cs="Arial"/>
          <w:color w:val="FFFFFF" w:themeColor="background1"/>
          <w:sz w:val="2"/>
          <w:szCs w:val="2"/>
        </w:rPr>
        <w:t xml:space="preserve"> </w:t>
      </w:r>
      <w:proofErr w:type="spellStart"/>
      <w:r w:rsidRPr="00064456">
        <w:rPr>
          <w:rFonts w:ascii="Arial" w:hAnsi="Arial" w:cs="Arial"/>
          <w:color w:val="FFFFFF" w:themeColor="background1"/>
          <w:sz w:val="2"/>
          <w:szCs w:val="2"/>
        </w:rPr>
        <w:t>Art</w:t>
      </w:r>
      <w:proofErr w:type="spellEnd"/>
      <w:r w:rsidRPr="00064456">
        <w:rPr>
          <w:rFonts w:ascii="Arial" w:hAnsi="Arial" w:cs="Arial"/>
          <w:color w:val="FFFFFF" w:themeColor="background1"/>
          <w:sz w:val="2"/>
          <w:szCs w:val="2"/>
        </w:rPr>
        <w:t xml:space="preserve"> 2º O funcionário que contar seis (6) anos completos, consecutivos ou não, de exercício em cargos ou </w:t>
      </w:r>
      <w:proofErr w:type="gramStart"/>
      <w:r w:rsidRPr="00064456">
        <w:rPr>
          <w:rFonts w:ascii="Arial" w:hAnsi="Arial" w:cs="Arial"/>
          <w:color w:val="FFFFFF" w:themeColor="background1"/>
          <w:sz w:val="2"/>
          <w:szCs w:val="2"/>
        </w:rPr>
        <w:t>funções enumerados</w:t>
      </w:r>
      <w:proofErr w:type="gramEnd"/>
      <w:r w:rsidRPr="00064456">
        <w:rPr>
          <w:rFonts w:ascii="Arial" w:hAnsi="Arial" w:cs="Arial"/>
          <w:color w:val="FFFFFF" w:themeColor="background1"/>
          <w:sz w:val="2"/>
          <w:szCs w:val="2"/>
        </w:rPr>
        <w:t xml:space="preserve"> nesta Lei, fará jus a ter adicionada ao vencimento do respectivo cargo efetivo, como vantagem pessoal, a importância equivalente a fração de um quinto (1/5): (...) (revogado)</w:t>
      </w:r>
    </w:p>
  </w:endnote>
  <w:endnote w:id="18">
    <w:p w:rsidR="00064456" w:rsidRPr="00064456" w:rsidRDefault="00064456" w:rsidP="00064456">
      <w:pPr>
        <w:pStyle w:val="Textodenotadefim"/>
        <w:spacing w:line="24" w:lineRule="auto"/>
        <w:rPr>
          <w:rFonts w:ascii="Arial" w:hAnsi="Arial" w:cs="Arial"/>
          <w:sz w:val="2"/>
          <w:szCs w:val="2"/>
        </w:rPr>
      </w:pPr>
      <w:r w:rsidRPr="00064456">
        <w:rPr>
          <w:rStyle w:val="Refdenotadefim"/>
          <w:rFonts w:ascii="Arial" w:hAnsi="Arial" w:cs="Arial"/>
          <w:color w:val="FFFFFF" w:themeColor="background1"/>
          <w:sz w:val="2"/>
          <w:szCs w:val="2"/>
        </w:rPr>
        <w:endnoteRef/>
      </w:r>
      <w:r w:rsidRPr="00064456">
        <w:rPr>
          <w:rFonts w:ascii="Arial" w:hAnsi="Arial" w:cs="Arial"/>
          <w:color w:val="FFFFFF" w:themeColor="background1"/>
          <w:sz w:val="2"/>
          <w:szCs w:val="2"/>
        </w:rPr>
        <w:t xml:space="preserve"> </w:t>
      </w:r>
      <w:proofErr w:type="spellStart"/>
      <w:r w:rsidRPr="00064456">
        <w:rPr>
          <w:rFonts w:ascii="Arial" w:hAnsi="Arial" w:cs="Arial"/>
          <w:color w:val="FFFFFF" w:themeColor="background1"/>
          <w:sz w:val="2"/>
          <w:szCs w:val="2"/>
        </w:rPr>
        <w:t>Art</w:t>
      </w:r>
      <w:proofErr w:type="spellEnd"/>
      <w:r w:rsidRPr="00064456">
        <w:rPr>
          <w:rFonts w:ascii="Arial" w:hAnsi="Arial" w:cs="Arial"/>
          <w:color w:val="FFFFFF" w:themeColor="background1"/>
          <w:sz w:val="2"/>
          <w:szCs w:val="2"/>
        </w:rPr>
        <w:t xml:space="preserve"> 5º Na hipótese de opção pelas vantagens dos </w:t>
      </w:r>
      <w:hyperlink r:id="rId1" w:anchor="art180" w:history="1">
        <w:r w:rsidRPr="00064456">
          <w:rPr>
            <w:rFonts w:ascii="Arial" w:hAnsi="Arial" w:cs="Arial"/>
            <w:color w:val="FFFFFF" w:themeColor="background1"/>
            <w:sz w:val="2"/>
            <w:szCs w:val="2"/>
            <w:u w:val="single"/>
          </w:rPr>
          <w:t>artigos 180</w:t>
        </w:r>
      </w:hyperlink>
      <w:r w:rsidRPr="00064456">
        <w:rPr>
          <w:rFonts w:ascii="Arial" w:hAnsi="Arial" w:cs="Arial"/>
          <w:color w:val="FFFFFF" w:themeColor="background1"/>
          <w:sz w:val="2"/>
          <w:szCs w:val="2"/>
        </w:rPr>
        <w:t xml:space="preserve"> ou </w:t>
      </w:r>
      <w:hyperlink r:id="rId2" w:anchor="art184" w:history="1">
        <w:r w:rsidRPr="00064456">
          <w:rPr>
            <w:rFonts w:ascii="Arial" w:hAnsi="Arial" w:cs="Arial"/>
            <w:color w:val="FFFFFF" w:themeColor="background1"/>
            <w:sz w:val="2"/>
            <w:szCs w:val="2"/>
            <w:u w:val="single"/>
          </w:rPr>
          <w:t>184 da Lei nº 1.711, de 1952,</w:t>
        </w:r>
      </w:hyperlink>
      <w:r w:rsidRPr="00064456">
        <w:rPr>
          <w:rFonts w:ascii="Arial" w:hAnsi="Arial" w:cs="Arial"/>
          <w:color w:val="FFFFFF" w:themeColor="background1"/>
          <w:sz w:val="2"/>
          <w:szCs w:val="2"/>
        </w:rPr>
        <w:t xml:space="preserve"> o funcionário não usufruirá do benefício previsto no art. 2º desta Lei. (</w:t>
      </w:r>
      <w:proofErr w:type="gramStart"/>
      <w:r w:rsidRPr="00064456">
        <w:rPr>
          <w:rFonts w:ascii="Arial" w:hAnsi="Arial" w:cs="Arial"/>
          <w:color w:val="FFFFFF" w:themeColor="background1"/>
          <w:sz w:val="2"/>
          <w:szCs w:val="2"/>
        </w:rPr>
        <w:t>revogado</w:t>
      </w:r>
      <w:proofErr w:type="gramEnd"/>
      <w:r w:rsidRPr="00064456">
        <w:rPr>
          <w:rFonts w:ascii="Arial" w:hAnsi="Arial" w:cs="Arial"/>
          <w:color w:val="FFFFFF" w:themeColor="background1"/>
          <w:sz w:val="2"/>
          <w:szCs w:val="2"/>
        </w:rPr>
        <w:t>)</w:t>
      </w:r>
    </w:p>
  </w:endnote>
  <w:endnote w:id="19">
    <w:p w:rsidR="00585548" w:rsidRPr="00585548" w:rsidRDefault="00585548" w:rsidP="00585548">
      <w:pPr>
        <w:pStyle w:val="Textodenotadefim"/>
        <w:spacing w:line="24" w:lineRule="auto"/>
        <w:rPr>
          <w:rFonts w:ascii="Arial" w:hAnsi="Arial" w:cs="Arial"/>
          <w:sz w:val="2"/>
          <w:szCs w:val="2"/>
        </w:rPr>
      </w:pPr>
      <w:r w:rsidRPr="00585548">
        <w:rPr>
          <w:rStyle w:val="Refdenotadefim"/>
          <w:rFonts w:ascii="Arial" w:hAnsi="Arial" w:cs="Arial"/>
          <w:color w:val="FFFFFF" w:themeColor="background1"/>
          <w:sz w:val="2"/>
          <w:szCs w:val="2"/>
        </w:rPr>
        <w:endnoteRef/>
      </w:r>
      <w:r w:rsidRPr="00585548">
        <w:rPr>
          <w:rFonts w:ascii="Arial" w:hAnsi="Arial" w:cs="Arial"/>
          <w:color w:val="FFFFFF" w:themeColor="background1"/>
          <w:sz w:val="2"/>
          <w:szCs w:val="2"/>
        </w:rPr>
        <w:t xml:space="preserve"> Art. 24. É dispensável a licitação:</w:t>
      </w:r>
    </w:p>
  </w:endnote>
  <w:endnote w:id="20">
    <w:p w:rsidR="00585548" w:rsidRPr="00585548" w:rsidRDefault="00585548" w:rsidP="00585548">
      <w:pPr>
        <w:pStyle w:val="NormalWeb"/>
        <w:spacing w:before="0" w:beforeAutospacing="0" w:after="0" w:afterAutospacing="0" w:line="24" w:lineRule="auto"/>
        <w:jc w:val="both"/>
        <w:rPr>
          <w:rFonts w:ascii="Arial" w:hAnsi="Arial" w:cs="Arial"/>
          <w:color w:val="FFFFFF" w:themeColor="background1"/>
          <w:sz w:val="2"/>
          <w:szCs w:val="2"/>
        </w:rPr>
      </w:pPr>
      <w:r w:rsidRPr="00585548">
        <w:rPr>
          <w:rStyle w:val="Refdenotadefim"/>
          <w:rFonts w:ascii="Arial" w:hAnsi="Arial" w:cs="Arial"/>
          <w:color w:val="FFFFFF" w:themeColor="background1"/>
          <w:sz w:val="2"/>
          <w:szCs w:val="2"/>
        </w:rPr>
        <w:endnoteRef/>
      </w:r>
      <w:r w:rsidRPr="00585548">
        <w:rPr>
          <w:rFonts w:ascii="Arial" w:hAnsi="Arial" w:cs="Arial"/>
          <w:color w:val="FFFFFF" w:themeColor="background1"/>
          <w:sz w:val="2"/>
          <w:szCs w:val="2"/>
        </w:rPr>
        <w:t xml:space="preserve"> </w:t>
      </w:r>
      <w:bookmarkStart w:id="5" w:name="art24iv"/>
      <w:bookmarkEnd w:id="5"/>
      <w:r w:rsidRPr="00585548">
        <w:rPr>
          <w:rFonts w:ascii="Arial" w:hAnsi="Arial" w:cs="Arial"/>
          <w:color w:val="FFFFFF" w:themeColor="background1"/>
          <w:sz w:val="2"/>
          <w:szCs w:val="2"/>
        </w:rPr>
        <w:t xml:space="preserve">IV - nos casos de emergência ou de calamidade pública, quando caracterizada urgência de atendimento de situação que possa ocasionar prejuízo ou comprometer a segurança de pessoas, obras, serviços, equipamentos e outros bens, públicos ou particulares, e somente para os bens necessários ao atendimento da situação emergencial ou calamitosa e para as parcelas de obras e serviços que possam ser concluídas no prazo máximo de 180 (cento e oitenta) dias consecutivos e ininterruptos, contados da ocorrência da emergência ou calamidade, vedada a prorrogação dos respectivos contratos; </w:t>
      </w:r>
    </w:p>
    <w:p w:rsidR="00585548" w:rsidRDefault="00585548">
      <w:pPr>
        <w:pStyle w:val="Textodenotadefim"/>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7454" w:rsidRDefault="00307454" w:rsidP="00B931E6">
      <w:pPr>
        <w:spacing w:after="0" w:line="240" w:lineRule="auto"/>
      </w:pPr>
      <w:r>
        <w:separator/>
      </w:r>
    </w:p>
  </w:footnote>
  <w:footnote w:type="continuationSeparator" w:id="0">
    <w:p w:rsidR="00307454" w:rsidRDefault="00307454" w:rsidP="00B931E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2"/>
  <w:doNotDisplayPageBoundaries/>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B6D"/>
    <w:rsid w:val="000007B1"/>
    <w:rsid w:val="00010E6D"/>
    <w:rsid w:val="00012049"/>
    <w:rsid w:val="000222F9"/>
    <w:rsid w:val="00031C63"/>
    <w:rsid w:val="00036FC1"/>
    <w:rsid w:val="000456D3"/>
    <w:rsid w:val="00047873"/>
    <w:rsid w:val="00064456"/>
    <w:rsid w:val="000722A4"/>
    <w:rsid w:val="00074957"/>
    <w:rsid w:val="00075E87"/>
    <w:rsid w:val="00087661"/>
    <w:rsid w:val="00093583"/>
    <w:rsid w:val="000949B9"/>
    <w:rsid w:val="00096C89"/>
    <w:rsid w:val="000A06AC"/>
    <w:rsid w:val="000A15C7"/>
    <w:rsid w:val="000A1818"/>
    <w:rsid w:val="000A59CB"/>
    <w:rsid w:val="000B411C"/>
    <w:rsid w:val="000B5603"/>
    <w:rsid w:val="000C345D"/>
    <w:rsid w:val="000D374F"/>
    <w:rsid w:val="000D48EA"/>
    <w:rsid w:val="000E0EDC"/>
    <w:rsid w:val="000E2E79"/>
    <w:rsid w:val="000E6C59"/>
    <w:rsid w:val="000F13E2"/>
    <w:rsid w:val="000F2F87"/>
    <w:rsid w:val="00106518"/>
    <w:rsid w:val="001105BB"/>
    <w:rsid w:val="001216BE"/>
    <w:rsid w:val="00124A64"/>
    <w:rsid w:val="00125281"/>
    <w:rsid w:val="00126062"/>
    <w:rsid w:val="001476CB"/>
    <w:rsid w:val="0015163C"/>
    <w:rsid w:val="00154559"/>
    <w:rsid w:val="0015677A"/>
    <w:rsid w:val="00160467"/>
    <w:rsid w:val="00165DCB"/>
    <w:rsid w:val="001933FC"/>
    <w:rsid w:val="001A4A33"/>
    <w:rsid w:val="001A66B4"/>
    <w:rsid w:val="001C5F5B"/>
    <w:rsid w:val="001D395A"/>
    <w:rsid w:val="001D7F79"/>
    <w:rsid w:val="001F0933"/>
    <w:rsid w:val="001F0C00"/>
    <w:rsid w:val="001F32C3"/>
    <w:rsid w:val="0020327A"/>
    <w:rsid w:val="00206ECE"/>
    <w:rsid w:val="00216A6D"/>
    <w:rsid w:val="00217E32"/>
    <w:rsid w:val="002264BD"/>
    <w:rsid w:val="00243952"/>
    <w:rsid w:val="00245ECF"/>
    <w:rsid w:val="00263467"/>
    <w:rsid w:val="0026579E"/>
    <w:rsid w:val="00271817"/>
    <w:rsid w:val="0029684F"/>
    <w:rsid w:val="002B189B"/>
    <w:rsid w:val="002B3BC4"/>
    <w:rsid w:val="002C1FFB"/>
    <w:rsid w:val="002D7E72"/>
    <w:rsid w:val="002E40B4"/>
    <w:rsid w:val="002E4D3C"/>
    <w:rsid w:val="002E7B1F"/>
    <w:rsid w:val="00307454"/>
    <w:rsid w:val="0031455C"/>
    <w:rsid w:val="003148B2"/>
    <w:rsid w:val="00321230"/>
    <w:rsid w:val="00325166"/>
    <w:rsid w:val="0034262A"/>
    <w:rsid w:val="003703E9"/>
    <w:rsid w:val="00373E78"/>
    <w:rsid w:val="00375547"/>
    <w:rsid w:val="003835D7"/>
    <w:rsid w:val="00390569"/>
    <w:rsid w:val="003B4A94"/>
    <w:rsid w:val="003C0D1B"/>
    <w:rsid w:val="003D004B"/>
    <w:rsid w:val="003F3063"/>
    <w:rsid w:val="003F5B6D"/>
    <w:rsid w:val="00426894"/>
    <w:rsid w:val="00427666"/>
    <w:rsid w:val="00447C7E"/>
    <w:rsid w:val="00461AAA"/>
    <w:rsid w:val="00465B60"/>
    <w:rsid w:val="00472300"/>
    <w:rsid w:val="00480284"/>
    <w:rsid w:val="00485CEE"/>
    <w:rsid w:val="0049748B"/>
    <w:rsid w:val="004B0475"/>
    <w:rsid w:val="004B4A5A"/>
    <w:rsid w:val="004B5198"/>
    <w:rsid w:val="004C3A24"/>
    <w:rsid w:val="004F0076"/>
    <w:rsid w:val="004F53ED"/>
    <w:rsid w:val="0050038C"/>
    <w:rsid w:val="00502F4D"/>
    <w:rsid w:val="005138D3"/>
    <w:rsid w:val="005144B7"/>
    <w:rsid w:val="00515607"/>
    <w:rsid w:val="00530BC7"/>
    <w:rsid w:val="00530F1E"/>
    <w:rsid w:val="0053579E"/>
    <w:rsid w:val="00544E20"/>
    <w:rsid w:val="005456E3"/>
    <w:rsid w:val="005505A4"/>
    <w:rsid w:val="00553754"/>
    <w:rsid w:val="0055631E"/>
    <w:rsid w:val="005568C4"/>
    <w:rsid w:val="00566946"/>
    <w:rsid w:val="00581B8C"/>
    <w:rsid w:val="00585548"/>
    <w:rsid w:val="005937DC"/>
    <w:rsid w:val="005A203C"/>
    <w:rsid w:val="005A2788"/>
    <w:rsid w:val="005A32CC"/>
    <w:rsid w:val="005C3A77"/>
    <w:rsid w:val="005C6D4A"/>
    <w:rsid w:val="005F70D4"/>
    <w:rsid w:val="00625AA2"/>
    <w:rsid w:val="00656A78"/>
    <w:rsid w:val="00657563"/>
    <w:rsid w:val="00666ED4"/>
    <w:rsid w:val="00670815"/>
    <w:rsid w:val="00680917"/>
    <w:rsid w:val="00686F68"/>
    <w:rsid w:val="00692DA0"/>
    <w:rsid w:val="00693202"/>
    <w:rsid w:val="00693D5A"/>
    <w:rsid w:val="006A5822"/>
    <w:rsid w:val="006B66F0"/>
    <w:rsid w:val="006E5309"/>
    <w:rsid w:val="006E7850"/>
    <w:rsid w:val="006E7CC8"/>
    <w:rsid w:val="006F0F02"/>
    <w:rsid w:val="00706C03"/>
    <w:rsid w:val="00731848"/>
    <w:rsid w:val="00770DC9"/>
    <w:rsid w:val="00773AB2"/>
    <w:rsid w:val="0077416B"/>
    <w:rsid w:val="007857D0"/>
    <w:rsid w:val="007A029D"/>
    <w:rsid w:val="007B5458"/>
    <w:rsid w:val="007C1742"/>
    <w:rsid w:val="007C710D"/>
    <w:rsid w:val="007D2115"/>
    <w:rsid w:val="007D307D"/>
    <w:rsid w:val="007D30D6"/>
    <w:rsid w:val="007D7D4C"/>
    <w:rsid w:val="007E3B65"/>
    <w:rsid w:val="007F2EDB"/>
    <w:rsid w:val="007F7AC5"/>
    <w:rsid w:val="00803451"/>
    <w:rsid w:val="00815783"/>
    <w:rsid w:val="00823E02"/>
    <w:rsid w:val="00847157"/>
    <w:rsid w:val="008617B7"/>
    <w:rsid w:val="00890069"/>
    <w:rsid w:val="0089641F"/>
    <w:rsid w:val="008A5229"/>
    <w:rsid w:val="008A63E6"/>
    <w:rsid w:val="00911716"/>
    <w:rsid w:val="00915E09"/>
    <w:rsid w:val="00934E0D"/>
    <w:rsid w:val="00936E7B"/>
    <w:rsid w:val="0095398B"/>
    <w:rsid w:val="00967A0D"/>
    <w:rsid w:val="00970EAB"/>
    <w:rsid w:val="00970EE4"/>
    <w:rsid w:val="009715E8"/>
    <w:rsid w:val="00982AFC"/>
    <w:rsid w:val="0098576F"/>
    <w:rsid w:val="009863DA"/>
    <w:rsid w:val="0098645E"/>
    <w:rsid w:val="009A65E6"/>
    <w:rsid w:val="009B260D"/>
    <w:rsid w:val="009C136D"/>
    <w:rsid w:val="009E551E"/>
    <w:rsid w:val="009E68C0"/>
    <w:rsid w:val="009E7F5F"/>
    <w:rsid w:val="009F5402"/>
    <w:rsid w:val="009F60A1"/>
    <w:rsid w:val="00A1075A"/>
    <w:rsid w:val="00A2336E"/>
    <w:rsid w:val="00A26E5E"/>
    <w:rsid w:val="00A309C1"/>
    <w:rsid w:val="00A47257"/>
    <w:rsid w:val="00A61CD5"/>
    <w:rsid w:val="00A77EB2"/>
    <w:rsid w:val="00A8498C"/>
    <w:rsid w:val="00A9034C"/>
    <w:rsid w:val="00AA65FF"/>
    <w:rsid w:val="00AA6B6E"/>
    <w:rsid w:val="00AC4B95"/>
    <w:rsid w:val="00AC6640"/>
    <w:rsid w:val="00AD2CDD"/>
    <w:rsid w:val="00AE51A2"/>
    <w:rsid w:val="00B006D4"/>
    <w:rsid w:val="00B05913"/>
    <w:rsid w:val="00B15783"/>
    <w:rsid w:val="00B2430E"/>
    <w:rsid w:val="00B34CD5"/>
    <w:rsid w:val="00B36912"/>
    <w:rsid w:val="00B42E74"/>
    <w:rsid w:val="00B53178"/>
    <w:rsid w:val="00B61494"/>
    <w:rsid w:val="00B650DD"/>
    <w:rsid w:val="00B74BA5"/>
    <w:rsid w:val="00B9048D"/>
    <w:rsid w:val="00B911C5"/>
    <w:rsid w:val="00B931E6"/>
    <w:rsid w:val="00B93F76"/>
    <w:rsid w:val="00BA2EB3"/>
    <w:rsid w:val="00BA4330"/>
    <w:rsid w:val="00BB0939"/>
    <w:rsid w:val="00BB355C"/>
    <w:rsid w:val="00BC6685"/>
    <w:rsid w:val="00BD2ED4"/>
    <w:rsid w:val="00BD79CC"/>
    <w:rsid w:val="00BF533A"/>
    <w:rsid w:val="00BF6C4C"/>
    <w:rsid w:val="00C007F9"/>
    <w:rsid w:val="00C264BD"/>
    <w:rsid w:val="00C26AD0"/>
    <w:rsid w:val="00C430E4"/>
    <w:rsid w:val="00C5102C"/>
    <w:rsid w:val="00C54CE1"/>
    <w:rsid w:val="00C57BD8"/>
    <w:rsid w:val="00C63280"/>
    <w:rsid w:val="00C74F70"/>
    <w:rsid w:val="00C76834"/>
    <w:rsid w:val="00C8196F"/>
    <w:rsid w:val="00C8458C"/>
    <w:rsid w:val="00C949B0"/>
    <w:rsid w:val="00C978FA"/>
    <w:rsid w:val="00CC6C9A"/>
    <w:rsid w:val="00CD4714"/>
    <w:rsid w:val="00CD5C9A"/>
    <w:rsid w:val="00CE5607"/>
    <w:rsid w:val="00CE6CF3"/>
    <w:rsid w:val="00CE752C"/>
    <w:rsid w:val="00CE7FFC"/>
    <w:rsid w:val="00CF26DB"/>
    <w:rsid w:val="00CF73E0"/>
    <w:rsid w:val="00D01DE3"/>
    <w:rsid w:val="00D04CBC"/>
    <w:rsid w:val="00D0726C"/>
    <w:rsid w:val="00D17C53"/>
    <w:rsid w:val="00D200C5"/>
    <w:rsid w:val="00D352CA"/>
    <w:rsid w:val="00D40A97"/>
    <w:rsid w:val="00D45650"/>
    <w:rsid w:val="00D53471"/>
    <w:rsid w:val="00D63821"/>
    <w:rsid w:val="00D640B7"/>
    <w:rsid w:val="00D70711"/>
    <w:rsid w:val="00D90B61"/>
    <w:rsid w:val="00D910D7"/>
    <w:rsid w:val="00D91EAC"/>
    <w:rsid w:val="00DA0B84"/>
    <w:rsid w:val="00DA226E"/>
    <w:rsid w:val="00DA73C2"/>
    <w:rsid w:val="00DA76F2"/>
    <w:rsid w:val="00DB2C73"/>
    <w:rsid w:val="00DB559F"/>
    <w:rsid w:val="00DB7102"/>
    <w:rsid w:val="00DC144C"/>
    <w:rsid w:val="00DD27B9"/>
    <w:rsid w:val="00DD751A"/>
    <w:rsid w:val="00DE4746"/>
    <w:rsid w:val="00DF22B5"/>
    <w:rsid w:val="00DF47FE"/>
    <w:rsid w:val="00DF48F9"/>
    <w:rsid w:val="00DF60E3"/>
    <w:rsid w:val="00DF778F"/>
    <w:rsid w:val="00E12026"/>
    <w:rsid w:val="00E130F9"/>
    <w:rsid w:val="00E24CA0"/>
    <w:rsid w:val="00E2637D"/>
    <w:rsid w:val="00E32447"/>
    <w:rsid w:val="00E441ED"/>
    <w:rsid w:val="00E612C5"/>
    <w:rsid w:val="00E708F4"/>
    <w:rsid w:val="00E72AB9"/>
    <w:rsid w:val="00E761EB"/>
    <w:rsid w:val="00E80146"/>
    <w:rsid w:val="00E842B0"/>
    <w:rsid w:val="00E96625"/>
    <w:rsid w:val="00EA045C"/>
    <w:rsid w:val="00EB247B"/>
    <w:rsid w:val="00EC7439"/>
    <w:rsid w:val="00EF6373"/>
    <w:rsid w:val="00F02F6A"/>
    <w:rsid w:val="00F169E7"/>
    <w:rsid w:val="00F16F27"/>
    <w:rsid w:val="00F2102A"/>
    <w:rsid w:val="00F27A8B"/>
    <w:rsid w:val="00F27BB9"/>
    <w:rsid w:val="00F27E5F"/>
    <w:rsid w:val="00F35D73"/>
    <w:rsid w:val="00F6536F"/>
    <w:rsid w:val="00F81713"/>
    <w:rsid w:val="00FC162D"/>
    <w:rsid w:val="00FC2520"/>
    <w:rsid w:val="00FC3C29"/>
    <w:rsid w:val="00FC7B1F"/>
    <w:rsid w:val="00FD4034"/>
    <w:rsid w:val="00FE2CD6"/>
    <w:rsid w:val="00FF152E"/>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E4FF669F-D155-4286-B26C-863530A73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5B6D"/>
    <w:pPr>
      <w:spacing w:after="200" w:line="276" w:lineRule="auto"/>
      <w:jc w:val="both"/>
    </w:pPr>
    <w:rPr>
      <w:rFonts w:ascii="Calibri" w:eastAsia="Calibri" w:hAnsi="Calibri" w:cs="Times New Roman"/>
      <w:sz w:val="20"/>
      <w:szCs w:val="20"/>
      <w:lang w:eastAsia="pt-BR"/>
    </w:rPr>
  </w:style>
  <w:style w:type="paragraph" w:styleId="Ttulo8">
    <w:name w:val="heading 8"/>
    <w:basedOn w:val="Normal"/>
    <w:next w:val="Normal"/>
    <w:link w:val="Ttulo8Char"/>
    <w:uiPriority w:val="9"/>
    <w:unhideWhenUsed/>
    <w:qFormat/>
    <w:rsid w:val="003F5B6D"/>
    <w:pPr>
      <w:spacing w:before="240" w:after="60" w:line="240" w:lineRule="auto"/>
      <w:ind w:left="1134"/>
      <w:outlineLvl w:val="7"/>
    </w:pPr>
    <w:rPr>
      <w:rFonts w:eastAsia="Times New Roman"/>
      <w:i/>
      <w:i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8Char">
    <w:name w:val="Título 8 Char"/>
    <w:basedOn w:val="Fontepargpadro"/>
    <w:link w:val="Ttulo8"/>
    <w:uiPriority w:val="9"/>
    <w:rsid w:val="003F5B6D"/>
    <w:rPr>
      <w:rFonts w:ascii="Calibri" w:eastAsia="Times New Roman" w:hAnsi="Calibri" w:cs="Times New Roman"/>
      <w:i/>
      <w:iCs/>
      <w:lang w:eastAsia="pt-BR"/>
    </w:rPr>
  </w:style>
  <w:style w:type="character" w:styleId="Hyperlink">
    <w:name w:val="Hyperlink"/>
    <w:uiPriority w:val="99"/>
    <w:unhideWhenUsed/>
    <w:rsid w:val="003F5B6D"/>
    <w:rPr>
      <w:color w:val="0000FF"/>
      <w:u w:val="single"/>
    </w:rPr>
  </w:style>
  <w:style w:type="paragraph" w:customStyle="1" w:styleId="enter-3pt">
    <w:name w:val="enter-3pt"/>
    <w:basedOn w:val="Normal"/>
    <w:rsid w:val="003F5B6D"/>
    <w:pPr>
      <w:autoSpaceDE w:val="0"/>
      <w:autoSpaceDN w:val="0"/>
      <w:adjustRightInd w:val="0"/>
      <w:spacing w:after="0" w:line="60" w:lineRule="atLeast"/>
    </w:pPr>
    <w:rPr>
      <w:rFonts w:ascii="Times New Roman" w:eastAsia="Times New Roman" w:hAnsi="Times New Roman"/>
      <w:sz w:val="8"/>
      <w:szCs w:val="8"/>
    </w:rPr>
  </w:style>
  <w:style w:type="paragraph" w:styleId="Textodebalo">
    <w:name w:val="Balloon Text"/>
    <w:basedOn w:val="Normal"/>
    <w:link w:val="TextodebaloChar"/>
    <w:uiPriority w:val="99"/>
    <w:semiHidden/>
    <w:unhideWhenUsed/>
    <w:rsid w:val="003F5B6D"/>
    <w:pPr>
      <w:spacing w:after="0" w:line="240" w:lineRule="auto"/>
    </w:pPr>
    <w:rPr>
      <w:rFonts w:ascii="Lucida Grande" w:hAnsi="Lucida Grande" w:cs="Lucida Grande"/>
      <w:sz w:val="18"/>
      <w:szCs w:val="18"/>
    </w:rPr>
  </w:style>
  <w:style w:type="character" w:customStyle="1" w:styleId="TextodebaloChar">
    <w:name w:val="Texto de balão Char"/>
    <w:basedOn w:val="Fontepargpadro"/>
    <w:link w:val="Textodebalo"/>
    <w:uiPriority w:val="99"/>
    <w:semiHidden/>
    <w:rsid w:val="003F5B6D"/>
    <w:rPr>
      <w:rFonts w:ascii="Lucida Grande" w:eastAsia="Calibri" w:hAnsi="Lucida Grande" w:cs="Lucida Grande"/>
      <w:sz w:val="18"/>
      <w:szCs w:val="18"/>
      <w:lang w:eastAsia="pt-BR"/>
    </w:rPr>
  </w:style>
  <w:style w:type="character" w:styleId="HiperlinkVisitado">
    <w:name w:val="FollowedHyperlink"/>
    <w:basedOn w:val="Fontepargpadro"/>
    <w:uiPriority w:val="99"/>
    <w:semiHidden/>
    <w:unhideWhenUsed/>
    <w:rsid w:val="00426894"/>
    <w:rPr>
      <w:color w:val="800080" w:themeColor="followedHyperlink"/>
      <w:u w:val="single"/>
    </w:rPr>
  </w:style>
  <w:style w:type="paragraph" w:styleId="Textodenotadefim">
    <w:name w:val="endnote text"/>
    <w:basedOn w:val="Normal"/>
    <w:link w:val="TextodenotadefimChar"/>
    <w:uiPriority w:val="99"/>
    <w:semiHidden/>
    <w:unhideWhenUsed/>
    <w:rsid w:val="00B931E6"/>
    <w:pPr>
      <w:spacing w:after="0" w:line="240" w:lineRule="auto"/>
    </w:pPr>
  </w:style>
  <w:style w:type="character" w:customStyle="1" w:styleId="TextodenotadefimChar">
    <w:name w:val="Texto de nota de fim Char"/>
    <w:basedOn w:val="Fontepargpadro"/>
    <w:link w:val="Textodenotadefim"/>
    <w:uiPriority w:val="99"/>
    <w:semiHidden/>
    <w:rsid w:val="00B931E6"/>
    <w:rPr>
      <w:rFonts w:ascii="Calibri" w:eastAsia="Calibri" w:hAnsi="Calibri" w:cs="Times New Roman"/>
      <w:sz w:val="20"/>
      <w:szCs w:val="20"/>
      <w:lang w:eastAsia="pt-BR"/>
    </w:rPr>
  </w:style>
  <w:style w:type="character" w:styleId="Refdenotadefim">
    <w:name w:val="endnote reference"/>
    <w:basedOn w:val="Fontepargpadro"/>
    <w:uiPriority w:val="99"/>
    <w:semiHidden/>
    <w:unhideWhenUsed/>
    <w:rsid w:val="00B931E6"/>
    <w:rPr>
      <w:vertAlign w:val="superscript"/>
    </w:rPr>
  </w:style>
  <w:style w:type="paragraph" w:styleId="NormalWeb">
    <w:name w:val="Normal (Web)"/>
    <w:basedOn w:val="Normal"/>
    <w:uiPriority w:val="99"/>
    <w:unhideWhenUsed/>
    <w:rsid w:val="001A66B4"/>
    <w:pPr>
      <w:spacing w:before="100" w:beforeAutospacing="1" w:after="100" w:afterAutospacing="1" w:line="240" w:lineRule="auto"/>
      <w:jc w:val="left"/>
    </w:pPr>
    <w:rPr>
      <w:rFonts w:ascii="Times New Roman" w:eastAsia="Times New Roman" w:hAnsi="Times New Roman"/>
      <w:sz w:val="24"/>
      <w:szCs w:val="24"/>
    </w:rPr>
  </w:style>
  <w:style w:type="paragraph" w:styleId="Cabealho">
    <w:name w:val="header"/>
    <w:basedOn w:val="Normal"/>
    <w:link w:val="CabealhoChar"/>
    <w:uiPriority w:val="99"/>
    <w:unhideWhenUsed/>
    <w:rsid w:val="001A66B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A66B4"/>
    <w:rPr>
      <w:rFonts w:ascii="Calibri" w:eastAsia="Calibri" w:hAnsi="Calibri" w:cs="Times New Roman"/>
      <w:sz w:val="20"/>
      <w:szCs w:val="20"/>
      <w:lang w:eastAsia="pt-BR"/>
    </w:rPr>
  </w:style>
  <w:style w:type="paragraph" w:styleId="Rodap">
    <w:name w:val="footer"/>
    <w:basedOn w:val="Normal"/>
    <w:link w:val="RodapChar"/>
    <w:uiPriority w:val="99"/>
    <w:unhideWhenUsed/>
    <w:rsid w:val="001A66B4"/>
    <w:pPr>
      <w:tabs>
        <w:tab w:val="center" w:pos="4252"/>
        <w:tab w:val="right" w:pos="8504"/>
      </w:tabs>
      <w:spacing w:after="0" w:line="240" w:lineRule="auto"/>
    </w:pPr>
  </w:style>
  <w:style w:type="character" w:customStyle="1" w:styleId="RodapChar">
    <w:name w:val="Rodapé Char"/>
    <w:basedOn w:val="Fontepargpadro"/>
    <w:link w:val="Rodap"/>
    <w:uiPriority w:val="99"/>
    <w:rsid w:val="001A66B4"/>
    <w:rPr>
      <w:rFonts w:ascii="Calibri" w:eastAsia="Calibri" w:hAnsi="Calibri" w:cs="Times New Roman"/>
      <w:sz w:val="20"/>
      <w:szCs w:val="20"/>
      <w:lang w:eastAsia="pt-BR"/>
    </w:rPr>
  </w:style>
  <w:style w:type="paragraph" w:customStyle="1" w:styleId="texto2">
    <w:name w:val="texto2"/>
    <w:basedOn w:val="Normal"/>
    <w:rsid w:val="00064456"/>
    <w:pPr>
      <w:spacing w:before="100" w:beforeAutospacing="1" w:after="100" w:afterAutospacing="1" w:line="240" w:lineRule="auto"/>
      <w:jc w:val="left"/>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179605">
      <w:bodyDiv w:val="1"/>
      <w:marLeft w:val="0"/>
      <w:marRight w:val="0"/>
      <w:marTop w:val="0"/>
      <w:marBottom w:val="0"/>
      <w:divBdr>
        <w:top w:val="none" w:sz="0" w:space="0" w:color="auto"/>
        <w:left w:val="none" w:sz="0" w:space="0" w:color="auto"/>
        <w:bottom w:val="none" w:sz="0" w:space="0" w:color="auto"/>
        <w:right w:val="none" w:sz="0" w:space="0" w:color="auto"/>
      </w:divBdr>
    </w:div>
    <w:div w:id="324432752">
      <w:bodyDiv w:val="1"/>
      <w:marLeft w:val="0"/>
      <w:marRight w:val="0"/>
      <w:marTop w:val="0"/>
      <w:marBottom w:val="0"/>
      <w:divBdr>
        <w:top w:val="none" w:sz="0" w:space="0" w:color="auto"/>
        <w:left w:val="none" w:sz="0" w:space="0" w:color="auto"/>
        <w:bottom w:val="none" w:sz="0" w:space="0" w:color="auto"/>
        <w:right w:val="none" w:sz="0" w:space="0" w:color="auto"/>
      </w:divBdr>
    </w:div>
    <w:div w:id="368603610">
      <w:bodyDiv w:val="1"/>
      <w:marLeft w:val="0"/>
      <w:marRight w:val="0"/>
      <w:marTop w:val="0"/>
      <w:marBottom w:val="0"/>
      <w:divBdr>
        <w:top w:val="none" w:sz="0" w:space="0" w:color="auto"/>
        <w:left w:val="none" w:sz="0" w:space="0" w:color="auto"/>
        <w:bottom w:val="none" w:sz="0" w:space="0" w:color="auto"/>
        <w:right w:val="none" w:sz="0" w:space="0" w:color="auto"/>
      </w:divBdr>
    </w:div>
    <w:div w:id="380327685">
      <w:bodyDiv w:val="1"/>
      <w:marLeft w:val="0"/>
      <w:marRight w:val="0"/>
      <w:marTop w:val="0"/>
      <w:marBottom w:val="0"/>
      <w:divBdr>
        <w:top w:val="none" w:sz="0" w:space="0" w:color="auto"/>
        <w:left w:val="none" w:sz="0" w:space="0" w:color="auto"/>
        <w:bottom w:val="none" w:sz="0" w:space="0" w:color="auto"/>
        <w:right w:val="none" w:sz="0" w:space="0" w:color="auto"/>
      </w:divBdr>
    </w:div>
    <w:div w:id="488013315">
      <w:bodyDiv w:val="1"/>
      <w:marLeft w:val="0"/>
      <w:marRight w:val="0"/>
      <w:marTop w:val="0"/>
      <w:marBottom w:val="0"/>
      <w:divBdr>
        <w:top w:val="none" w:sz="0" w:space="0" w:color="auto"/>
        <w:left w:val="none" w:sz="0" w:space="0" w:color="auto"/>
        <w:bottom w:val="none" w:sz="0" w:space="0" w:color="auto"/>
        <w:right w:val="none" w:sz="0" w:space="0" w:color="auto"/>
      </w:divBdr>
      <w:divsChild>
        <w:div w:id="1936555331">
          <w:marLeft w:val="0"/>
          <w:marRight w:val="0"/>
          <w:marTop w:val="0"/>
          <w:marBottom w:val="0"/>
          <w:divBdr>
            <w:top w:val="none" w:sz="0" w:space="0" w:color="auto"/>
            <w:left w:val="none" w:sz="0" w:space="0" w:color="auto"/>
            <w:bottom w:val="none" w:sz="0" w:space="0" w:color="auto"/>
            <w:right w:val="none" w:sz="0" w:space="0" w:color="auto"/>
          </w:divBdr>
        </w:div>
      </w:divsChild>
    </w:div>
    <w:div w:id="489717203">
      <w:bodyDiv w:val="1"/>
      <w:marLeft w:val="0"/>
      <w:marRight w:val="0"/>
      <w:marTop w:val="0"/>
      <w:marBottom w:val="0"/>
      <w:divBdr>
        <w:top w:val="none" w:sz="0" w:space="0" w:color="auto"/>
        <w:left w:val="none" w:sz="0" w:space="0" w:color="auto"/>
        <w:bottom w:val="none" w:sz="0" w:space="0" w:color="auto"/>
        <w:right w:val="none" w:sz="0" w:space="0" w:color="auto"/>
      </w:divBdr>
    </w:div>
    <w:div w:id="708914675">
      <w:bodyDiv w:val="1"/>
      <w:marLeft w:val="0"/>
      <w:marRight w:val="0"/>
      <w:marTop w:val="0"/>
      <w:marBottom w:val="0"/>
      <w:divBdr>
        <w:top w:val="none" w:sz="0" w:space="0" w:color="auto"/>
        <w:left w:val="none" w:sz="0" w:space="0" w:color="auto"/>
        <w:bottom w:val="none" w:sz="0" w:space="0" w:color="auto"/>
        <w:right w:val="none" w:sz="0" w:space="0" w:color="auto"/>
      </w:divBdr>
    </w:div>
    <w:div w:id="753554096">
      <w:bodyDiv w:val="1"/>
      <w:marLeft w:val="0"/>
      <w:marRight w:val="0"/>
      <w:marTop w:val="0"/>
      <w:marBottom w:val="0"/>
      <w:divBdr>
        <w:top w:val="none" w:sz="0" w:space="0" w:color="auto"/>
        <w:left w:val="none" w:sz="0" w:space="0" w:color="auto"/>
        <w:bottom w:val="none" w:sz="0" w:space="0" w:color="auto"/>
        <w:right w:val="none" w:sz="0" w:space="0" w:color="auto"/>
      </w:divBdr>
    </w:div>
    <w:div w:id="761796891">
      <w:bodyDiv w:val="1"/>
      <w:marLeft w:val="0"/>
      <w:marRight w:val="0"/>
      <w:marTop w:val="0"/>
      <w:marBottom w:val="0"/>
      <w:divBdr>
        <w:top w:val="none" w:sz="0" w:space="0" w:color="auto"/>
        <w:left w:val="none" w:sz="0" w:space="0" w:color="auto"/>
        <w:bottom w:val="none" w:sz="0" w:space="0" w:color="auto"/>
        <w:right w:val="none" w:sz="0" w:space="0" w:color="auto"/>
      </w:divBdr>
      <w:divsChild>
        <w:div w:id="634406775">
          <w:marLeft w:val="0"/>
          <w:marRight w:val="0"/>
          <w:marTop w:val="0"/>
          <w:marBottom w:val="0"/>
          <w:divBdr>
            <w:top w:val="none" w:sz="0" w:space="0" w:color="auto"/>
            <w:left w:val="none" w:sz="0" w:space="0" w:color="auto"/>
            <w:bottom w:val="none" w:sz="0" w:space="0" w:color="auto"/>
            <w:right w:val="none" w:sz="0" w:space="0" w:color="auto"/>
          </w:divBdr>
        </w:div>
      </w:divsChild>
    </w:div>
    <w:div w:id="1084112618">
      <w:bodyDiv w:val="1"/>
      <w:marLeft w:val="0"/>
      <w:marRight w:val="0"/>
      <w:marTop w:val="0"/>
      <w:marBottom w:val="0"/>
      <w:divBdr>
        <w:top w:val="none" w:sz="0" w:space="0" w:color="auto"/>
        <w:left w:val="none" w:sz="0" w:space="0" w:color="auto"/>
        <w:bottom w:val="none" w:sz="0" w:space="0" w:color="auto"/>
        <w:right w:val="none" w:sz="0" w:space="0" w:color="auto"/>
      </w:divBdr>
    </w:div>
    <w:div w:id="1156917574">
      <w:bodyDiv w:val="1"/>
      <w:marLeft w:val="0"/>
      <w:marRight w:val="0"/>
      <w:marTop w:val="0"/>
      <w:marBottom w:val="0"/>
      <w:divBdr>
        <w:top w:val="none" w:sz="0" w:space="0" w:color="auto"/>
        <w:left w:val="none" w:sz="0" w:space="0" w:color="auto"/>
        <w:bottom w:val="none" w:sz="0" w:space="0" w:color="auto"/>
        <w:right w:val="none" w:sz="0" w:space="0" w:color="auto"/>
      </w:divBdr>
      <w:divsChild>
        <w:div w:id="127818453">
          <w:marLeft w:val="0"/>
          <w:marRight w:val="0"/>
          <w:marTop w:val="0"/>
          <w:marBottom w:val="0"/>
          <w:divBdr>
            <w:top w:val="none" w:sz="0" w:space="0" w:color="auto"/>
            <w:left w:val="none" w:sz="0" w:space="0" w:color="auto"/>
            <w:bottom w:val="none" w:sz="0" w:space="0" w:color="auto"/>
            <w:right w:val="none" w:sz="0" w:space="0" w:color="auto"/>
          </w:divBdr>
        </w:div>
      </w:divsChild>
    </w:div>
    <w:div w:id="1167356809">
      <w:bodyDiv w:val="1"/>
      <w:marLeft w:val="0"/>
      <w:marRight w:val="0"/>
      <w:marTop w:val="0"/>
      <w:marBottom w:val="0"/>
      <w:divBdr>
        <w:top w:val="none" w:sz="0" w:space="0" w:color="auto"/>
        <w:left w:val="none" w:sz="0" w:space="0" w:color="auto"/>
        <w:bottom w:val="none" w:sz="0" w:space="0" w:color="auto"/>
        <w:right w:val="none" w:sz="0" w:space="0" w:color="auto"/>
      </w:divBdr>
    </w:div>
    <w:div w:id="1406996445">
      <w:bodyDiv w:val="1"/>
      <w:marLeft w:val="0"/>
      <w:marRight w:val="0"/>
      <w:marTop w:val="0"/>
      <w:marBottom w:val="0"/>
      <w:divBdr>
        <w:top w:val="none" w:sz="0" w:space="0" w:color="auto"/>
        <w:left w:val="none" w:sz="0" w:space="0" w:color="auto"/>
        <w:bottom w:val="none" w:sz="0" w:space="0" w:color="auto"/>
        <w:right w:val="none" w:sz="0" w:space="0" w:color="auto"/>
      </w:divBdr>
    </w:div>
    <w:div w:id="1418594341">
      <w:bodyDiv w:val="1"/>
      <w:marLeft w:val="0"/>
      <w:marRight w:val="0"/>
      <w:marTop w:val="0"/>
      <w:marBottom w:val="0"/>
      <w:divBdr>
        <w:top w:val="none" w:sz="0" w:space="0" w:color="auto"/>
        <w:left w:val="none" w:sz="0" w:space="0" w:color="auto"/>
        <w:bottom w:val="none" w:sz="0" w:space="0" w:color="auto"/>
        <w:right w:val="none" w:sz="0" w:space="0" w:color="auto"/>
      </w:divBdr>
    </w:div>
    <w:div w:id="1503205325">
      <w:bodyDiv w:val="1"/>
      <w:marLeft w:val="0"/>
      <w:marRight w:val="0"/>
      <w:marTop w:val="0"/>
      <w:marBottom w:val="0"/>
      <w:divBdr>
        <w:top w:val="none" w:sz="0" w:space="0" w:color="auto"/>
        <w:left w:val="none" w:sz="0" w:space="0" w:color="auto"/>
        <w:bottom w:val="none" w:sz="0" w:space="0" w:color="auto"/>
        <w:right w:val="none" w:sz="0" w:space="0" w:color="auto"/>
      </w:divBdr>
    </w:div>
    <w:div w:id="1538276536">
      <w:bodyDiv w:val="1"/>
      <w:marLeft w:val="0"/>
      <w:marRight w:val="0"/>
      <w:marTop w:val="0"/>
      <w:marBottom w:val="0"/>
      <w:divBdr>
        <w:top w:val="none" w:sz="0" w:space="0" w:color="auto"/>
        <w:left w:val="none" w:sz="0" w:space="0" w:color="auto"/>
        <w:bottom w:val="none" w:sz="0" w:space="0" w:color="auto"/>
        <w:right w:val="none" w:sz="0" w:space="0" w:color="auto"/>
      </w:divBdr>
    </w:div>
    <w:div w:id="1835998324">
      <w:bodyDiv w:val="1"/>
      <w:marLeft w:val="0"/>
      <w:marRight w:val="0"/>
      <w:marTop w:val="0"/>
      <w:marBottom w:val="0"/>
      <w:divBdr>
        <w:top w:val="none" w:sz="0" w:space="0" w:color="auto"/>
        <w:left w:val="none" w:sz="0" w:space="0" w:color="auto"/>
        <w:bottom w:val="none" w:sz="0" w:space="0" w:color="auto"/>
        <w:right w:val="none" w:sz="0" w:space="0" w:color="auto"/>
      </w:divBdr>
    </w:div>
    <w:div w:id="1956476470">
      <w:bodyDiv w:val="1"/>
      <w:marLeft w:val="0"/>
      <w:marRight w:val="0"/>
      <w:marTop w:val="0"/>
      <w:marBottom w:val="0"/>
      <w:divBdr>
        <w:top w:val="none" w:sz="0" w:space="0" w:color="auto"/>
        <w:left w:val="none" w:sz="0" w:space="0" w:color="auto"/>
        <w:bottom w:val="none" w:sz="0" w:space="0" w:color="auto"/>
        <w:right w:val="none" w:sz="0" w:space="0" w:color="auto"/>
      </w:divBdr>
    </w:div>
    <w:div w:id="2058553388">
      <w:bodyDiv w:val="1"/>
      <w:marLeft w:val="0"/>
      <w:marRight w:val="0"/>
      <w:marTop w:val="0"/>
      <w:marBottom w:val="0"/>
      <w:divBdr>
        <w:top w:val="none" w:sz="0" w:space="0" w:color="auto"/>
        <w:left w:val="none" w:sz="0" w:space="0" w:color="auto"/>
        <w:bottom w:val="none" w:sz="0" w:space="0" w:color="auto"/>
        <w:right w:val="none" w:sz="0" w:space="0" w:color="auto"/>
      </w:divBdr>
    </w:div>
    <w:div w:id="21416817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tas.tcu.gov.br/juris/SvlProxyHighlight?base=ACORDAO&amp;ano=2015&amp;numero=1849&amp;colegiado=P" TargetMode="External"/><Relationship Id="rId13" Type="http://schemas.openxmlformats.org/officeDocument/2006/relationships/hyperlink" Target="https://contas.tcu.gov.br/juris/SvlProxyHighlight?base=ACORDAO&amp;ano=2015&amp;numero=1880&amp;colegiado=P" TargetMode="External"/><Relationship Id="rId18" Type="http://schemas.openxmlformats.org/officeDocument/2006/relationships/hyperlink" Target="https://contas.tcu.gov.br/juris/SvlProxyHighlight?base=ACORDAO&amp;ano=2015&amp;numero=4683&amp;colegiado=2"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contas.tcu.gov.br/juris/SvlProxyHighlight?base=ACORDAO&amp;ano=2015&amp;numero=1877&amp;colegiado=P" TargetMode="External"/><Relationship Id="rId17" Type="http://schemas.openxmlformats.org/officeDocument/2006/relationships/hyperlink" Target="https://contas.tcu.gov.br/juris/SvlProxyHighlight?base=ACORDAO&amp;ano=2015&amp;numero=4560&amp;colegiado=2" TargetMode="External"/><Relationship Id="rId2" Type="http://schemas.openxmlformats.org/officeDocument/2006/relationships/styles" Target="styles.xml"/><Relationship Id="rId16" Type="http://schemas.openxmlformats.org/officeDocument/2006/relationships/hyperlink" Target="https://contas.tcu.gov.br/juris/SvlProxyHighlight?base=ACORDAO&amp;ano=2015&amp;numero=4186&amp;colegiado=1"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contas.tcu.gov.br/juris/SvlProxyHighlight?base=ACORDAO&amp;ano=2015&amp;numero=1854&amp;colegiado=P" TargetMode="External"/><Relationship Id="rId5" Type="http://schemas.openxmlformats.org/officeDocument/2006/relationships/footnotes" Target="footnotes.xml"/><Relationship Id="rId15" Type="http://schemas.openxmlformats.org/officeDocument/2006/relationships/hyperlink" Target="https://contas.tcu.gov.br/juris/SvlProxyHighlight?base=ACORDAO&amp;ano=2015&amp;numero=1882&amp;colegiado=P" TargetMode="External"/><Relationship Id="rId10" Type="http://schemas.openxmlformats.org/officeDocument/2006/relationships/hyperlink" Target="https://contas.tcu.gov.br/juris/SvlProxyHighlight?base=ACORDAO&amp;ano=2015&amp;numero=1854&amp;colegiado=P" TargetMode="External"/><Relationship Id="rId19" Type="http://schemas.openxmlformats.org/officeDocument/2006/relationships/hyperlink" Target="mailto:infojuris@tcu.gov.br" TargetMode="External"/><Relationship Id="rId4" Type="http://schemas.openxmlformats.org/officeDocument/2006/relationships/webSettings" Target="webSettings.xml"/><Relationship Id="rId9" Type="http://schemas.openxmlformats.org/officeDocument/2006/relationships/hyperlink" Target="https://contas.tcu.gov.br/juris/SvlProxyHighlight?base=ACORDAO&amp;ano=2015&amp;numero=1850&amp;colegiado=P" TargetMode="External"/><Relationship Id="rId14" Type="http://schemas.openxmlformats.org/officeDocument/2006/relationships/hyperlink" Target="https://contas.tcu.gov.br/juris/SvlProxyHighlight?base=ACORDAO&amp;ano=2015&amp;numero=1882&amp;colegiado=P" TargetMode="External"/></Relationships>
</file>

<file path=word/_rels/endnotes.xml.rels><?xml version="1.0" encoding="UTF-8" standalone="yes"?>
<Relationships xmlns="http://schemas.openxmlformats.org/package/2006/relationships"><Relationship Id="rId2" Type="http://schemas.openxmlformats.org/officeDocument/2006/relationships/hyperlink" Target="http://www.planalto.gov.br/ccivil_03/leis/1950-1969/L1711.htm" TargetMode="External"/><Relationship Id="rId1" Type="http://schemas.openxmlformats.org/officeDocument/2006/relationships/hyperlink" Target="http://www.planalto.gov.br/ccivil_03/leis/1950-1969/L1711.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110652-CB10-4566-8301-CDE9D61F9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TotalTime>
  <Pages>2</Pages>
  <Words>1128</Words>
  <Characters>6092</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dc:creator>
  <cp:keywords/>
  <dc:description/>
  <cp:lastModifiedBy>Sergio Ricardo de Mendonca Salustiano</cp:lastModifiedBy>
  <cp:revision>20</cp:revision>
  <cp:lastPrinted>2015-07-20T17:02:00Z</cp:lastPrinted>
  <dcterms:created xsi:type="dcterms:W3CDTF">2015-08-14T17:03:00Z</dcterms:created>
  <dcterms:modified xsi:type="dcterms:W3CDTF">2015-08-17T22:00:00Z</dcterms:modified>
</cp:coreProperties>
</file>