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5A" w:rsidRPr="000C525A" w:rsidRDefault="0082211E" w:rsidP="007B6AA5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82211E">
        <w:rPr>
          <w:rFonts w:cs="Arial"/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A802308" wp14:editId="10CCACE5">
            <wp:simplePos x="0" y="0"/>
            <wp:positionH relativeFrom="column">
              <wp:posOffset>853130</wp:posOffset>
            </wp:positionH>
            <wp:positionV relativeFrom="paragraph">
              <wp:posOffset>-97598</wp:posOffset>
            </wp:positionV>
            <wp:extent cx="1126490" cy="415290"/>
            <wp:effectExtent l="0" t="0" r="0" b="381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0C">
        <w:rPr>
          <w:rFonts w:cs="Arial"/>
          <w:b/>
          <w:sz w:val="28"/>
          <w:szCs w:val="28"/>
        </w:rPr>
        <w:t xml:space="preserve">DG </w:t>
      </w:r>
      <w:r w:rsidR="00E4074C">
        <w:rPr>
          <w:rFonts w:cs="Arial"/>
          <w:b/>
          <w:sz w:val="28"/>
          <w:szCs w:val="28"/>
        </w:rPr>
        <w:t>REGIO</w:t>
      </w:r>
      <w:r w:rsidR="0049350C">
        <w:rPr>
          <w:rFonts w:cs="Arial"/>
          <w:b/>
          <w:sz w:val="28"/>
          <w:szCs w:val="28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0C525A" w:rsidTr="000C525A">
        <w:tc>
          <w:tcPr>
            <w:tcW w:w="10269" w:type="dxa"/>
          </w:tcPr>
          <w:p w:rsidR="000C525A" w:rsidRDefault="000C525A" w:rsidP="00E9681B">
            <w:pPr>
              <w:spacing w:after="0" w:line="240" w:lineRule="auto"/>
              <w:rPr>
                <w:szCs w:val="22"/>
              </w:rPr>
            </w:pPr>
            <w:proofErr w:type="gramStart"/>
            <w:r w:rsidRPr="00A23A2B">
              <w:rPr>
                <w:rFonts w:cs="Arial"/>
                <w:b/>
                <w:szCs w:val="22"/>
              </w:rPr>
              <w:t>Executive summary:</w:t>
            </w:r>
            <w:r w:rsidR="00ED4055" w:rsidRPr="00A23A2B">
              <w:rPr>
                <w:rFonts w:cs="Arial"/>
                <w:b/>
                <w:szCs w:val="22"/>
              </w:rPr>
              <w:t xml:space="preserve"> </w:t>
            </w:r>
            <w:r w:rsidR="00E9681B">
              <w:rPr>
                <w:rFonts w:cs="Arial"/>
                <w:szCs w:val="22"/>
              </w:rPr>
              <w:t xml:space="preserve">In 2013, DG </w:t>
            </w:r>
            <w:proofErr w:type="spellStart"/>
            <w:r w:rsidR="00E9681B">
              <w:rPr>
                <w:rFonts w:cs="Arial"/>
                <w:szCs w:val="22"/>
              </w:rPr>
              <w:t>Regio</w:t>
            </w:r>
            <w:proofErr w:type="spellEnd"/>
            <w:r w:rsidR="00E9681B">
              <w:rPr>
                <w:rFonts w:cs="Arial"/>
                <w:szCs w:val="22"/>
              </w:rPr>
              <w:t xml:space="preserve"> launched a knowledge management programme to </w:t>
            </w:r>
            <w:r w:rsidR="00E9681B" w:rsidRPr="00655577">
              <w:rPr>
                <w:szCs w:val="22"/>
              </w:rPr>
              <w:t>structure and rationalize the access to information.</w:t>
            </w:r>
            <w:proofErr w:type="gramEnd"/>
            <w:r w:rsidR="00E9681B">
              <w:rPr>
                <w:szCs w:val="22"/>
              </w:rPr>
              <w:t xml:space="preserve"> With a team of up to three knowledge managers and the support of an external consultant, DG </w:t>
            </w:r>
            <w:proofErr w:type="spellStart"/>
            <w:r w:rsidR="00E9681B">
              <w:rPr>
                <w:szCs w:val="22"/>
              </w:rPr>
              <w:t>Regio</w:t>
            </w:r>
            <w:proofErr w:type="spellEnd"/>
            <w:r w:rsidR="00E9681B">
              <w:rPr>
                <w:szCs w:val="22"/>
              </w:rPr>
              <w:t xml:space="preserve"> developed, in less than two years, a knowledge management infrastructure including collaboration sites, document storage and especially a “</w:t>
            </w:r>
            <w:proofErr w:type="spellStart"/>
            <w:r w:rsidR="00E9681B">
              <w:rPr>
                <w:szCs w:val="22"/>
              </w:rPr>
              <w:t>regiowiki</w:t>
            </w:r>
            <w:proofErr w:type="spellEnd"/>
            <w:r w:rsidR="00E9681B">
              <w:rPr>
                <w:szCs w:val="22"/>
              </w:rPr>
              <w:t>” providing access to crucial knowledge for the DG.</w:t>
            </w:r>
          </w:p>
          <w:p w:rsidR="00E9681B" w:rsidRDefault="00E9681B" w:rsidP="00E9681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DG </w:t>
            </w:r>
            <w:proofErr w:type="spellStart"/>
            <w:r>
              <w:rPr>
                <w:szCs w:val="22"/>
              </w:rPr>
              <w:t>Regio</w:t>
            </w:r>
            <w:proofErr w:type="spellEnd"/>
            <w:r>
              <w:rPr>
                <w:szCs w:val="22"/>
              </w:rPr>
              <w:t xml:space="preserve"> developed this infrastructure in parallel with a strong change management programme, involving the active support of the Director general, the inclusion of knowledge management processes into business processes and a creative communication campaign.</w:t>
            </w:r>
          </w:p>
          <w:p w:rsidR="00E9681B" w:rsidRPr="00E9681B" w:rsidRDefault="00E9681B" w:rsidP="00E9681B">
            <w:p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 xml:space="preserve">In 2014, 30% of DG </w:t>
            </w:r>
            <w:proofErr w:type="spellStart"/>
            <w:r>
              <w:rPr>
                <w:szCs w:val="22"/>
              </w:rPr>
              <w:t>Regio</w:t>
            </w:r>
            <w:proofErr w:type="spellEnd"/>
            <w:r>
              <w:rPr>
                <w:szCs w:val="22"/>
              </w:rPr>
              <w:t xml:space="preserve"> staff connected to </w:t>
            </w:r>
            <w:proofErr w:type="spellStart"/>
            <w:r>
              <w:rPr>
                <w:szCs w:val="22"/>
              </w:rPr>
              <w:t>regiowiki</w:t>
            </w:r>
            <w:proofErr w:type="spellEnd"/>
            <w:r>
              <w:rPr>
                <w:szCs w:val="22"/>
              </w:rPr>
              <w:t xml:space="preserve"> at least once a week. In total, </w:t>
            </w:r>
            <w:proofErr w:type="spellStart"/>
            <w:r>
              <w:rPr>
                <w:szCs w:val="22"/>
              </w:rPr>
              <w:t>regiowiki</w:t>
            </w:r>
            <w:proofErr w:type="spellEnd"/>
            <w:r>
              <w:rPr>
                <w:szCs w:val="22"/>
              </w:rPr>
              <w:t xml:space="preserve"> counted 25,000 views. Some guidance notes were accessed more than 100 times.</w:t>
            </w:r>
          </w:p>
        </w:tc>
      </w:tr>
    </w:tbl>
    <w:p w:rsidR="00E4074C" w:rsidRDefault="00E4074C" w:rsidP="00E4074C">
      <w:pPr>
        <w:pStyle w:val="Ttulo1"/>
        <w:spacing w:after="120"/>
        <w:ind w:left="357"/>
        <w:rPr>
          <w:u w:val="none"/>
        </w:rPr>
      </w:pP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Strategy</w:t>
      </w:r>
    </w:p>
    <w:p w:rsidR="00655577" w:rsidRPr="00655577" w:rsidRDefault="00655577" w:rsidP="00655577">
      <w:pPr>
        <w:spacing w:after="120" w:line="240" w:lineRule="auto"/>
        <w:rPr>
          <w:szCs w:val="22"/>
        </w:rPr>
      </w:pPr>
      <w:r w:rsidRPr="00655577">
        <w:rPr>
          <w:szCs w:val="22"/>
        </w:rPr>
        <w:t>One of the main goals</w:t>
      </w:r>
      <w:r>
        <w:rPr>
          <w:szCs w:val="22"/>
        </w:rPr>
        <w:t xml:space="preserve"> of DG Region knowledge management strategy</w:t>
      </w:r>
      <w:r w:rsidRPr="00655577">
        <w:rPr>
          <w:szCs w:val="22"/>
        </w:rPr>
        <w:t xml:space="preserve"> is to structure and rationalize the access to information. For example, DG </w:t>
      </w:r>
      <w:proofErr w:type="spellStart"/>
      <w:r w:rsidRPr="00655577">
        <w:rPr>
          <w:szCs w:val="22"/>
        </w:rPr>
        <w:t>Regio</w:t>
      </w:r>
      <w:proofErr w:type="spellEnd"/>
      <w:r w:rsidRPr="00655577">
        <w:rPr>
          <w:szCs w:val="22"/>
        </w:rPr>
        <w:t xml:space="preserve"> estimated that, out of the three million of documents stored on their server, two millions are duplicates.</w:t>
      </w:r>
    </w:p>
    <w:p w:rsidR="00891A29" w:rsidRDefault="00891A29" w:rsidP="00891A29">
      <w:pPr>
        <w:spacing w:after="0" w:line="240" w:lineRule="auto"/>
        <w:rPr>
          <w:szCs w:val="22"/>
        </w:rPr>
      </w:pPr>
      <w:r w:rsidRPr="00891A29">
        <w:rPr>
          <w:szCs w:val="22"/>
        </w:rPr>
        <w:t xml:space="preserve">DG </w:t>
      </w:r>
      <w:r w:rsidR="0082211E">
        <w:rPr>
          <w:szCs w:val="22"/>
        </w:rPr>
        <w:t>REGIO identified the following challenges related to knowledge management: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>Higher requirements for reporting and justifications as the result of new legislation;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>Higher value of REGIO’s contribution expected as the result of new macro-economic governance (European Semester);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 xml:space="preserve">Higher understanding expected from Country-intelligence and EU2020 </w:t>
      </w:r>
      <w:proofErr w:type="spellStart"/>
      <w:r w:rsidRPr="0082211E">
        <w:rPr>
          <w:szCs w:val="22"/>
        </w:rPr>
        <w:t>thematics</w:t>
      </w:r>
      <w:proofErr w:type="spellEnd"/>
      <w:r w:rsidRPr="0082211E">
        <w:rPr>
          <w:szCs w:val="22"/>
        </w:rPr>
        <w:t xml:space="preserve"> as the result of new period of negotiation;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>The ambition of DG REGIO to become the “Competence Centre” for “Country &amp; Regional knowledge” within the European Commission;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 xml:space="preserve">Need for retention of knowledge within the organisation; </w:t>
      </w:r>
    </w:p>
    <w:p w:rsidR="0082211E" w:rsidRP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 xml:space="preserve">Higher need for efficiency, given the current economic circumstances; </w:t>
      </w:r>
    </w:p>
    <w:p w:rsid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82211E">
        <w:rPr>
          <w:szCs w:val="22"/>
        </w:rPr>
        <w:t>Need for productivity improvement.</w:t>
      </w:r>
    </w:p>
    <w:p w:rsidR="00B571EA" w:rsidRDefault="0082211E" w:rsidP="00B571EA">
      <w:pPr>
        <w:spacing w:after="120" w:line="240" w:lineRule="auto"/>
        <w:rPr>
          <w:szCs w:val="22"/>
        </w:rPr>
      </w:pPr>
      <w:r>
        <w:rPr>
          <w:szCs w:val="22"/>
        </w:rPr>
        <w:t xml:space="preserve">The following </w:t>
      </w:r>
      <w:r w:rsidR="00CB676E">
        <w:rPr>
          <w:szCs w:val="22"/>
        </w:rPr>
        <w:t xml:space="preserve">IT </w:t>
      </w:r>
      <w:r>
        <w:rPr>
          <w:szCs w:val="22"/>
        </w:rPr>
        <w:t>components are part of the knowledge management infrastructure:</w:t>
      </w:r>
    </w:p>
    <w:p w:rsidR="0082211E" w:rsidRDefault="0082211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 xml:space="preserve">People directory: </w:t>
      </w:r>
      <w:proofErr w:type="spellStart"/>
      <w:r w:rsidRPr="00CB676E">
        <w:rPr>
          <w:b/>
          <w:szCs w:val="22"/>
        </w:rPr>
        <w:t>eCV</w:t>
      </w:r>
      <w:proofErr w:type="spellEnd"/>
      <w:r>
        <w:rPr>
          <w:szCs w:val="22"/>
        </w:rPr>
        <w:t xml:space="preserve"> in </w:t>
      </w:r>
      <w:proofErr w:type="spellStart"/>
      <w:r>
        <w:rPr>
          <w:szCs w:val="22"/>
        </w:rPr>
        <w:t>Sysper</w:t>
      </w:r>
      <w:proofErr w:type="spellEnd"/>
      <w:r>
        <w:rPr>
          <w:szCs w:val="22"/>
        </w:rPr>
        <w:t>, not open yet to all staff in read mode. In the future, other solutions (e.g. Microsoft) will be developed</w:t>
      </w:r>
      <w:r w:rsidR="00CB676E">
        <w:rPr>
          <w:szCs w:val="22"/>
        </w:rPr>
        <w:t>;</w:t>
      </w:r>
    </w:p>
    <w:p w:rsidR="0082211E" w:rsidRDefault="00CB676E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 xml:space="preserve">Collaboration and tacit knowledge management: </w:t>
      </w:r>
      <w:proofErr w:type="spellStart"/>
      <w:r w:rsidRPr="00CB676E">
        <w:rPr>
          <w:b/>
          <w:szCs w:val="22"/>
        </w:rPr>
        <w:t>Sharepoint</w:t>
      </w:r>
      <w:proofErr w:type="spellEnd"/>
      <w:r w:rsidRPr="00CB676E">
        <w:rPr>
          <w:b/>
          <w:szCs w:val="22"/>
        </w:rPr>
        <w:t xml:space="preserve"> sites</w:t>
      </w:r>
      <w:r>
        <w:rPr>
          <w:szCs w:val="22"/>
        </w:rPr>
        <w:t xml:space="preserve"> can be created</w:t>
      </w:r>
      <w:r w:rsidR="007A3509">
        <w:rPr>
          <w:szCs w:val="22"/>
        </w:rPr>
        <w:t xml:space="preserve"> but still need to be improved in terms of user experience</w:t>
      </w:r>
      <w:r>
        <w:rPr>
          <w:szCs w:val="22"/>
        </w:rPr>
        <w:t>. Communities networks will be created;</w:t>
      </w:r>
    </w:p>
    <w:p w:rsidR="00CB676E" w:rsidRDefault="00E9681B" w:rsidP="0082211E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>
        <w:rPr>
          <w:szCs w:val="22"/>
        </w:rPr>
        <w:t>Document storage</w:t>
      </w:r>
      <w:r w:rsidR="00CB676E">
        <w:rPr>
          <w:szCs w:val="22"/>
        </w:rPr>
        <w:t xml:space="preserve">: Ares is used for official documents. </w:t>
      </w:r>
      <w:proofErr w:type="spellStart"/>
      <w:r w:rsidR="00CB676E">
        <w:rPr>
          <w:b/>
          <w:szCs w:val="22"/>
        </w:rPr>
        <w:t>r</w:t>
      </w:r>
      <w:r w:rsidR="00CB676E" w:rsidRPr="00CB676E">
        <w:rPr>
          <w:b/>
          <w:szCs w:val="22"/>
        </w:rPr>
        <w:t>egioshelves</w:t>
      </w:r>
      <w:proofErr w:type="spellEnd"/>
      <w:r w:rsidR="00CB676E">
        <w:rPr>
          <w:szCs w:val="22"/>
        </w:rPr>
        <w:t xml:space="preserve"> </w:t>
      </w:r>
      <w:r w:rsidR="007A3509">
        <w:rPr>
          <w:szCs w:val="22"/>
        </w:rPr>
        <w:t>have</w:t>
      </w:r>
      <w:r w:rsidR="00CB676E">
        <w:rPr>
          <w:szCs w:val="22"/>
        </w:rPr>
        <w:t xml:space="preserve"> be</w:t>
      </w:r>
      <w:r w:rsidR="007A3509">
        <w:rPr>
          <w:szCs w:val="22"/>
        </w:rPr>
        <w:t>en</w:t>
      </w:r>
      <w:r w:rsidR="00CB676E">
        <w:rPr>
          <w:szCs w:val="22"/>
        </w:rPr>
        <w:t xml:space="preserve"> developed for “unofficial” documents</w:t>
      </w:r>
      <w:r w:rsidR="007A3509">
        <w:rPr>
          <w:szCs w:val="22"/>
        </w:rPr>
        <w:t xml:space="preserve"> but are still work-in-progress</w:t>
      </w:r>
      <w:r w:rsidR="00CB676E">
        <w:rPr>
          <w:szCs w:val="22"/>
        </w:rPr>
        <w:t>;</w:t>
      </w:r>
    </w:p>
    <w:p w:rsidR="00451301" w:rsidRDefault="00CB676E" w:rsidP="00B571EA">
      <w:pPr>
        <w:pStyle w:val="PargrafodaLista"/>
        <w:numPr>
          <w:ilvl w:val="0"/>
          <w:numId w:val="20"/>
        </w:numPr>
        <w:spacing w:after="120" w:line="240" w:lineRule="auto"/>
        <w:rPr>
          <w:szCs w:val="22"/>
        </w:rPr>
      </w:pPr>
      <w:r w:rsidRPr="00451301">
        <w:rPr>
          <w:szCs w:val="22"/>
        </w:rPr>
        <w:t xml:space="preserve">Collaboration on content: </w:t>
      </w:r>
      <w:proofErr w:type="spellStart"/>
      <w:r w:rsidRPr="00451301">
        <w:rPr>
          <w:b/>
          <w:szCs w:val="22"/>
        </w:rPr>
        <w:t>regiowiki</w:t>
      </w:r>
      <w:proofErr w:type="spellEnd"/>
      <w:r w:rsidRPr="00451301">
        <w:rPr>
          <w:szCs w:val="22"/>
        </w:rPr>
        <w:t xml:space="preserve"> has been created. </w:t>
      </w:r>
    </w:p>
    <w:p w:rsidR="00B571EA" w:rsidRDefault="00CB676E" w:rsidP="00B571EA">
      <w:pPr>
        <w:spacing w:after="120" w:line="240" w:lineRule="auto"/>
        <w:rPr>
          <w:szCs w:val="22"/>
        </w:rPr>
      </w:pPr>
      <w:r w:rsidRPr="00451301">
        <w:rPr>
          <w:szCs w:val="22"/>
        </w:rPr>
        <w:t xml:space="preserve">The knowledge management team interviewed approximately 15 units to identify the type of knowledge that is produced and how it is produced. The team assessed that approximately 60% of the knowledge was created in collaboration with other units. It made an inventory of 220 different types of knowledge that it summarized </w:t>
      </w:r>
      <w:r w:rsidR="00655577">
        <w:rPr>
          <w:szCs w:val="22"/>
        </w:rPr>
        <w:t xml:space="preserve">afterwards </w:t>
      </w:r>
      <w:r w:rsidRPr="00451301">
        <w:rPr>
          <w:szCs w:val="22"/>
        </w:rPr>
        <w:t>in 117 types, ranked by</w:t>
      </w:r>
      <w:r w:rsidR="00655577">
        <w:rPr>
          <w:szCs w:val="22"/>
        </w:rPr>
        <w:t xml:space="preserve"> order of importance. The following</w:t>
      </w:r>
      <w:r w:rsidRPr="00451301">
        <w:rPr>
          <w:szCs w:val="22"/>
        </w:rPr>
        <w:t xml:space="preserve"> step was to create a taxonomy </w:t>
      </w:r>
      <w:r w:rsidR="007D5376" w:rsidRPr="00451301">
        <w:rPr>
          <w:szCs w:val="22"/>
        </w:rPr>
        <w:t>based on content type, activity or process, but not on the organisation chart.</w:t>
      </w:r>
    </w:p>
    <w:p w:rsidR="00CD1F17" w:rsidRPr="00B571EA" w:rsidRDefault="00CD1F17" w:rsidP="00B571EA">
      <w:pPr>
        <w:spacing w:after="120" w:line="240" w:lineRule="auto"/>
        <w:rPr>
          <w:szCs w:val="22"/>
        </w:rPr>
      </w:pPr>
      <w:r>
        <w:rPr>
          <w:szCs w:val="22"/>
        </w:rPr>
        <w:t xml:space="preserve">The knowledge management team also conducted a survey directed to all staff. On average, every staff member spends 15% of his/ her time looking for information (from 10-15% for managers to 20% for staff members). It also performed a maturity assessment with key stakeholders: It included five axes with approximately 10 questions for each axis. </w:t>
      </w: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lastRenderedPageBreak/>
        <w:t>Organisation</w:t>
      </w:r>
    </w:p>
    <w:p w:rsidR="007D5376" w:rsidRPr="007D5376" w:rsidRDefault="007D5376" w:rsidP="007D5376">
      <w:pPr>
        <w:spacing w:after="120" w:line="240" w:lineRule="auto"/>
        <w:rPr>
          <w:szCs w:val="22"/>
        </w:rPr>
      </w:pPr>
      <w:r w:rsidRPr="007D5376">
        <w:rPr>
          <w:szCs w:val="22"/>
        </w:rPr>
        <w:t xml:space="preserve">DG </w:t>
      </w:r>
      <w:r>
        <w:rPr>
          <w:szCs w:val="22"/>
        </w:rPr>
        <w:t>REGIO</w:t>
      </w:r>
      <w:r w:rsidRPr="007D5376">
        <w:rPr>
          <w:szCs w:val="22"/>
        </w:rPr>
        <w:t xml:space="preserve"> counts approximately </w:t>
      </w:r>
      <w:r>
        <w:rPr>
          <w:szCs w:val="22"/>
        </w:rPr>
        <w:t>750</w:t>
      </w:r>
      <w:r w:rsidRPr="007D5376">
        <w:rPr>
          <w:szCs w:val="22"/>
        </w:rPr>
        <w:t xml:space="preserve"> staff members spread over</w:t>
      </w:r>
      <w:r>
        <w:rPr>
          <w:szCs w:val="22"/>
        </w:rPr>
        <w:t xml:space="preserve"> 45</w:t>
      </w:r>
      <w:r w:rsidRPr="007D5376">
        <w:rPr>
          <w:szCs w:val="22"/>
        </w:rPr>
        <w:t xml:space="preserve"> units.</w:t>
      </w:r>
    </w:p>
    <w:p w:rsidR="002C1001" w:rsidRDefault="007D5376" w:rsidP="00EB36EF">
      <w:pPr>
        <w:spacing w:after="120" w:line="240" w:lineRule="auto"/>
        <w:rPr>
          <w:szCs w:val="22"/>
        </w:rPr>
      </w:pPr>
      <w:r>
        <w:rPr>
          <w:szCs w:val="22"/>
        </w:rPr>
        <w:t xml:space="preserve">When the knowledge team was set up, it consists in only one staff member, who received </w:t>
      </w:r>
      <w:r w:rsidR="002C1001">
        <w:rPr>
          <w:szCs w:val="22"/>
        </w:rPr>
        <w:t>support from the external consultant Deloitte for the initial steps of the implementation of the</w:t>
      </w:r>
      <w:r w:rsidR="00655577">
        <w:rPr>
          <w:szCs w:val="22"/>
        </w:rPr>
        <w:t xml:space="preserve"> k</w:t>
      </w:r>
      <w:r w:rsidR="002C1001">
        <w:rPr>
          <w:szCs w:val="22"/>
        </w:rPr>
        <w:t>nowledge management strategy.</w:t>
      </w:r>
      <w:r>
        <w:rPr>
          <w:szCs w:val="22"/>
        </w:rPr>
        <w:t xml:space="preserve"> The knowledge management team now counts three FTEs.</w:t>
      </w:r>
    </w:p>
    <w:p w:rsid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Processes</w:t>
      </w:r>
    </w:p>
    <w:p w:rsidR="00E4074C" w:rsidRDefault="00E4074C" w:rsidP="00E4074C">
      <w:pPr>
        <w:spacing w:after="120" w:line="240" w:lineRule="auto"/>
        <w:rPr>
          <w:szCs w:val="22"/>
        </w:rPr>
      </w:pPr>
      <w:r>
        <w:rPr>
          <w:szCs w:val="22"/>
        </w:rPr>
        <w:t xml:space="preserve">DG REGIO tries to embed knowledge management processes in business or administrative processes. For </w:t>
      </w:r>
      <w:r w:rsidR="005F48EE">
        <w:rPr>
          <w:szCs w:val="22"/>
        </w:rPr>
        <w:t>example</w:t>
      </w:r>
      <w:r>
        <w:rPr>
          <w:szCs w:val="22"/>
        </w:rPr>
        <w:t>, a mission report needs to be written so that a staff member can get his/ her expenses reimbursed.</w:t>
      </w:r>
      <w:r w:rsidR="005F48EE">
        <w:rPr>
          <w:szCs w:val="22"/>
        </w:rPr>
        <w:t xml:space="preserve"> Briefings for the new Commissioner have also been prepared using collaborative tools (see part 5).</w:t>
      </w:r>
    </w:p>
    <w:p w:rsidR="000C525A" w:rsidRDefault="000C525A" w:rsidP="000D6EA0">
      <w:pPr>
        <w:pStyle w:val="Ttulo1"/>
        <w:numPr>
          <w:ilvl w:val="0"/>
          <w:numId w:val="19"/>
        </w:numPr>
        <w:spacing w:after="120"/>
        <w:rPr>
          <w:u w:val="none"/>
        </w:rPr>
      </w:pPr>
      <w:r w:rsidRPr="000C525A">
        <w:rPr>
          <w:u w:val="none"/>
        </w:rPr>
        <w:t>IT infrastructure</w:t>
      </w:r>
    </w:p>
    <w:p w:rsidR="00451301" w:rsidRDefault="00451301" w:rsidP="00451301">
      <w:pPr>
        <w:spacing w:after="120" w:line="240" w:lineRule="auto"/>
        <w:rPr>
          <w:szCs w:val="22"/>
        </w:rPr>
      </w:pPr>
      <w:r w:rsidRPr="00451301">
        <w:rPr>
          <w:szCs w:val="22"/>
        </w:rPr>
        <w:t>Five pillars have been defined</w:t>
      </w:r>
      <w:r>
        <w:rPr>
          <w:szCs w:val="22"/>
        </w:rPr>
        <w:t xml:space="preserve"> in </w:t>
      </w:r>
      <w:proofErr w:type="spellStart"/>
      <w:r>
        <w:rPr>
          <w:szCs w:val="22"/>
        </w:rPr>
        <w:t>regiowiki</w:t>
      </w:r>
      <w:proofErr w:type="spellEnd"/>
      <w:r w:rsidRPr="00451301">
        <w:rPr>
          <w:szCs w:val="22"/>
        </w:rPr>
        <w:t>: Geography, Theme, Internal management, Regulatory framework and Policy development (evaluations, audits, analysis). At the date of t</w:t>
      </w:r>
      <w:r w:rsidR="00655577">
        <w:rPr>
          <w:szCs w:val="22"/>
        </w:rPr>
        <w:t xml:space="preserve">he interview (March 2015), </w:t>
      </w:r>
      <w:r w:rsidRPr="00451301">
        <w:rPr>
          <w:szCs w:val="22"/>
        </w:rPr>
        <w:t xml:space="preserve">the two </w:t>
      </w:r>
      <w:proofErr w:type="spellStart"/>
      <w:r w:rsidRPr="00451301">
        <w:rPr>
          <w:szCs w:val="22"/>
        </w:rPr>
        <w:t>latters</w:t>
      </w:r>
      <w:proofErr w:type="spellEnd"/>
      <w:r w:rsidRPr="00451301">
        <w:rPr>
          <w:szCs w:val="22"/>
        </w:rPr>
        <w:t xml:space="preserve"> were operational.</w:t>
      </w:r>
      <w:r w:rsidR="00655577">
        <w:rPr>
          <w:szCs w:val="22"/>
        </w:rPr>
        <w:t xml:space="preserve"> </w:t>
      </w:r>
      <w:r w:rsidRPr="00451301">
        <w:rPr>
          <w:szCs w:val="22"/>
        </w:rPr>
        <w:t>No documents can be downloaded; the information is already summarized and linked to the relevant sources, just like Wikipedia.</w:t>
      </w:r>
    </w:p>
    <w:p w:rsidR="00451301" w:rsidRDefault="00451301" w:rsidP="00451301">
      <w:pPr>
        <w:spacing w:after="120" w:line="240" w:lineRule="auto"/>
        <w:rPr>
          <w:szCs w:val="22"/>
        </w:rPr>
      </w:pPr>
      <w:r>
        <w:rPr>
          <w:szCs w:val="22"/>
        </w:rPr>
        <w:t xml:space="preserve">For example, for the pillar regulatory framework: All the relevant regulation for DG </w:t>
      </w:r>
      <w:proofErr w:type="spellStart"/>
      <w:r>
        <w:rPr>
          <w:szCs w:val="22"/>
        </w:rPr>
        <w:t>Regio</w:t>
      </w:r>
      <w:proofErr w:type="spellEnd"/>
      <w:r>
        <w:rPr>
          <w:szCs w:val="22"/>
        </w:rPr>
        <w:t xml:space="preserve"> has been converted in .xml files and uploaded by an external consultant (it took approximately three weeks of one FTE). </w:t>
      </w:r>
    </w:p>
    <w:p w:rsidR="00451301" w:rsidRDefault="00451301" w:rsidP="00451301">
      <w:pPr>
        <w:spacing w:after="120" w:line="240" w:lineRule="auto"/>
        <w:rPr>
          <w:szCs w:val="22"/>
        </w:rPr>
      </w:pPr>
      <w:r>
        <w:rPr>
          <w:szCs w:val="22"/>
        </w:rPr>
        <w:t xml:space="preserve">When a user searches with key words, suggestions are automatically proposed in the search field. The results returned include all </w:t>
      </w:r>
      <w:r w:rsidR="00655577">
        <w:rPr>
          <w:szCs w:val="22"/>
        </w:rPr>
        <w:t>d</w:t>
      </w:r>
      <w:r>
        <w:rPr>
          <w:szCs w:val="22"/>
        </w:rPr>
        <w:t>irectives, regulations, guidance notes, etc. where the key word</w:t>
      </w:r>
      <w:r w:rsidR="00655577">
        <w:rPr>
          <w:szCs w:val="22"/>
        </w:rPr>
        <w:t>s are</w:t>
      </w:r>
      <w:r>
        <w:rPr>
          <w:szCs w:val="22"/>
        </w:rPr>
        <w:t xml:space="preserve"> found. In a matter of second</w:t>
      </w:r>
      <w:r w:rsidR="00655577">
        <w:rPr>
          <w:szCs w:val="22"/>
        </w:rPr>
        <w:t>s</w:t>
      </w:r>
      <w:r>
        <w:rPr>
          <w:szCs w:val="22"/>
        </w:rPr>
        <w:t xml:space="preserve">, a user has access to all </w:t>
      </w:r>
      <w:r w:rsidR="00655577">
        <w:rPr>
          <w:szCs w:val="22"/>
        </w:rPr>
        <w:t xml:space="preserve">relevant </w:t>
      </w:r>
      <w:r>
        <w:rPr>
          <w:szCs w:val="22"/>
        </w:rPr>
        <w:t>articles. The</w:t>
      </w:r>
      <w:r w:rsidR="00655577">
        <w:rPr>
          <w:szCs w:val="22"/>
        </w:rPr>
        <w:t>refore, the</w:t>
      </w:r>
      <w:r>
        <w:rPr>
          <w:szCs w:val="22"/>
        </w:rPr>
        <w:t xml:space="preserve"> tool provides the user with the certainty that s/he did not overlook an important regulatory document.</w:t>
      </w:r>
    </w:p>
    <w:p w:rsidR="000C525A" w:rsidRPr="000C525A" w:rsidRDefault="000C525A" w:rsidP="000C525A">
      <w:pPr>
        <w:pStyle w:val="Ttulo1"/>
        <w:numPr>
          <w:ilvl w:val="0"/>
          <w:numId w:val="19"/>
        </w:numPr>
        <w:spacing w:after="120"/>
        <w:ind w:left="357" w:hanging="357"/>
        <w:rPr>
          <w:u w:val="none"/>
        </w:rPr>
      </w:pPr>
      <w:r w:rsidRPr="000C525A">
        <w:rPr>
          <w:u w:val="none"/>
        </w:rPr>
        <w:t>Culture/ Change management process</w:t>
      </w:r>
    </w:p>
    <w:p w:rsidR="000A36F6" w:rsidRDefault="007D5376" w:rsidP="00EB36EF">
      <w:pPr>
        <w:spacing w:after="120" w:line="240" w:lineRule="auto"/>
        <w:rPr>
          <w:szCs w:val="22"/>
        </w:rPr>
      </w:pPr>
      <w:r>
        <w:rPr>
          <w:szCs w:val="22"/>
        </w:rPr>
        <w:t>The Director General actively supported the whole process.</w:t>
      </w:r>
    </w:p>
    <w:p w:rsidR="007D5376" w:rsidRDefault="007D5376" w:rsidP="00EB36EF">
      <w:pPr>
        <w:spacing w:after="120" w:line="240" w:lineRule="auto"/>
        <w:rPr>
          <w:szCs w:val="22"/>
        </w:rPr>
      </w:pPr>
      <w:r>
        <w:rPr>
          <w:szCs w:val="22"/>
        </w:rPr>
        <w:t>The knowledge management team took the opportunity of having to deliver a briefing for the new Commissioner to kick-off the change management process. 144 staff members from 44 units had to deliver in total 87 chapters of briefing. Instead of using the traditional MS Word document</w:t>
      </w:r>
      <w:r w:rsidR="00655577">
        <w:rPr>
          <w:szCs w:val="22"/>
        </w:rPr>
        <w:t>s</w:t>
      </w:r>
      <w:r>
        <w:rPr>
          <w:szCs w:val="22"/>
        </w:rPr>
        <w:t xml:space="preserve"> and emails, these staff members had to collaborate via the collaborative tool Confluence. This first use case, embedded in a business process, showed the power of collabora</w:t>
      </w:r>
      <w:r w:rsidR="00655577">
        <w:rPr>
          <w:szCs w:val="22"/>
        </w:rPr>
        <w:t>tion to all staff involved: The staff</w:t>
      </w:r>
      <w:r>
        <w:rPr>
          <w:szCs w:val="22"/>
        </w:rPr>
        <w:t xml:space="preserve"> saw the utility of such tool for future usage and discover that the tool was user-friendly. Moreover, all staff had access to the data and could therefore benefit from the global picture prepared for the Commissioner.</w:t>
      </w:r>
    </w:p>
    <w:p w:rsidR="007D5376" w:rsidRDefault="007D5376" w:rsidP="00EB36EF">
      <w:pPr>
        <w:spacing w:after="120" w:line="240" w:lineRule="auto"/>
        <w:rPr>
          <w:szCs w:val="22"/>
        </w:rPr>
      </w:pPr>
      <w:r>
        <w:rPr>
          <w:szCs w:val="22"/>
        </w:rPr>
        <w:t xml:space="preserve">The knowledge management team </w:t>
      </w:r>
      <w:r w:rsidR="005F48EE">
        <w:rPr>
          <w:szCs w:val="22"/>
        </w:rPr>
        <w:t>started</w:t>
      </w:r>
      <w:r>
        <w:rPr>
          <w:szCs w:val="22"/>
        </w:rPr>
        <w:t xml:space="preserve"> communicat</w:t>
      </w:r>
      <w:r w:rsidR="005F48EE">
        <w:rPr>
          <w:szCs w:val="22"/>
        </w:rPr>
        <w:t>ing</w:t>
      </w:r>
      <w:r>
        <w:rPr>
          <w:szCs w:val="22"/>
        </w:rPr>
        <w:t xml:space="preserve"> </w:t>
      </w:r>
      <w:r w:rsidR="005F48EE">
        <w:rPr>
          <w:szCs w:val="22"/>
        </w:rPr>
        <w:t xml:space="preserve">about </w:t>
      </w:r>
      <w:proofErr w:type="spellStart"/>
      <w:r w:rsidR="005F48EE">
        <w:rPr>
          <w:szCs w:val="22"/>
        </w:rPr>
        <w:t>regiowiki</w:t>
      </w:r>
      <w:proofErr w:type="spellEnd"/>
      <w:r w:rsidR="005F48EE">
        <w:rPr>
          <w:szCs w:val="22"/>
        </w:rPr>
        <w:t xml:space="preserve"> one year before the full implementation (</w:t>
      </w:r>
      <w:r w:rsidR="00655577">
        <w:rPr>
          <w:szCs w:val="22"/>
        </w:rPr>
        <w:t>November</w:t>
      </w:r>
      <w:r w:rsidR="005F48EE">
        <w:rPr>
          <w:szCs w:val="22"/>
        </w:rPr>
        <w:t xml:space="preserve"> 2013, i.e. 3 months before the briefing of the Commissioner). It also used </w:t>
      </w:r>
      <w:r>
        <w:rPr>
          <w:szCs w:val="22"/>
        </w:rPr>
        <w:t>funny videos</w:t>
      </w:r>
      <w:r w:rsidR="00ED4344">
        <w:rPr>
          <w:rStyle w:val="Refdenotaderodap"/>
          <w:szCs w:val="22"/>
        </w:rPr>
        <w:footnoteReference w:id="1"/>
      </w:r>
      <w:r>
        <w:rPr>
          <w:szCs w:val="22"/>
        </w:rPr>
        <w:t xml:space="preserve"> just before the launch of </w:t>
      </w:r>
      <w:proofErr w:type="spellStart"/>
      <w:r>
        <w:rPr>
          <w:szCs w:val="22"/>
        </w:rPr>
        <w:t>regiowiki</w:t>
      </w:r>
      <w:proofErr w:type="spellEnd"/>
      <w:r w:rsidR="005F48EE">
        <w:rPr>
          <w:szCs w:val="22"/>
        </w:rPr>
        <w:t xml:space="preserve"> (1</w:t>
      </w:r>
      <w:r w:rsidR="005F48EE" w:rsidRPr="005F48EE">
        <w:rPr>
          <w:szCs w:val="22"/>
          <w:vertAlign w:val="superscript"/>
        </w:rPr>
        <w:t>st</w:t>
      </w:r>
      <w:r w:rsidR="005F48EE">
        <w:rPr>
          <w:szCs w:val="22"/>
        </w:rPr>
        <w:t xml:space="preserve"> teaser: “DG </w:t>
      </w:r>
      <w:proofErr w:type="spellStart"/>
      <w:r w:rsidR="005F48EE">
        <w:rPr>
          <w:szCs w:val="22"/>
        </w:rPr>
        <w:t>Regio</w:t>
      </w:r>
      <w:proofErr w:type="spellEnd"/>
      <w:r w:rsidR="005F48EE">
        <w:rPr>
          <w:szCs w:val="22"/>
        </w:rPr>
        <w:t xml:space="preserve"> has a dream”. 2</w:t>
      </w:r>
      <w:r w:rsidR="005F48EE" w:rsidRPr="005F48EE">
        <w:rPr>
          <w:szCs w:val="22"/>
          <w:vertAlign w:val="superscript"/>
        </w:rPr>
        <w:t>nd</w:t>
      </w:r>
      <w:r w:rsidR="005F48EE">
        <w:rPr>
          <w:szCs w:val="22"/>
        </w:rPr>
        <w:t xml:space="preserve"> teaser: “</w:t>
      </w:r>
      <w:r w:rsidR="00655577">
        <w:rPr>
          <w:szCs w:val="22"/>
        </w:rPr>
        <w:t>Imagine… Having your knowledge at hand</w:t>
      </w:r>
      <w:r w:rsidR="005F48EE">
        <w:rPr>
          <w:szCs w:val="22"/>
        </w:rPr>
        <w:t>”; 3</w:t>
      </w:r>
      <w:r w:rsidR="005F48EE" w:rsidRPr="005F48EE">
        <w:rPr>
          <w:szCs w:val="22"/>
          <w:vertAlign w:val="superscript"/>
        </w:rPr>
        <w:t>rd</w:t>
      </w:r>
      <w:r w:rsidR="005F48EE">
        <w:rPr>
          <w:szCs w:val="22"/>
        </w:rPr>
        <w:t xml:space="preserve"> teaser: parody of Hacker Anonymous featuring the </w:t>
      </w:r>
      <w:r w:rsidR="00655577">
        <w:rPr>
          <w:szCs w:val="22"/>
        </w:rPr>
        <w:t>Secretary</w:t>
      </w:r>
      <w:r w:rsidR="005F48EE">
        <w:rPr>
          <w:szCs w:val="22"/>
        </w:rPr>
        <w:t xml:space="preserve"> General)</w:t>
      </w:r>
      <w:r>
        <w:rPr>
          <w:szCs w:val="22"/>
        </w:rPr>
        <w:t>.</w:t>
      </w:r>
    </w:p>
    <w:p w:rsidR="005F48EE" w:rsidRDefault="005F48EE" w:rsidP="00EB36EF">
      <w:pPr>
        <w:spacing w:after="120" w:line="240" w:lineRule="auto"/>
        <w:rPr>
          <w:szCs w:val="22"/>
        </w:rPr>
      </w:pPr>
      <w:r>
        <w:rPr>
          <w:szCs w:val="22"/>
        </w:rPr>
        <w:t>It took 6 months to develop the concept, 6 months to set up a pilot and 9 months for the full implementation.</w:t>
      </w:r>
    </w:p>
    <w:p w:rsidR="007D5376" w:rsidRPr="00EB36EF" w:rsidRDefault="005F48EE" w:rsidP="00EB36EF">
      <w:pPr>
        <w:spacing w:after="120" w:line="240" w:lineRule="auto"/>
        <w:rPr>
          <w:szCs w:val="22"/>
        </w:rPr>
      </w:pPr>
      <w:r>
        <w:rPr>
          <w:szCs w:val="22"/>
        </w:rPr>
        <w:t xml:space="preserve">In 2014, 30% of DG </w:t>
      </w:r>
      <w:proofErr w:type="spellStart"/>
      <w:r>
        <w:rPr>
          <w:szCs w:val="22"/>
        </w:rPr>
        <w:t>Regio</w:t>
      </w:r>
      <w:proofErr w:type="spellEnd"/>
      <w:r>
        <w:rPr>
          <w:szCs w:val="22"/>
        </w:rPr>
        <w:t xml:space="preserve"> staff connected to </w:t>
      </w:r>
      <w:proofErr w:type="spellStart"/>
      <w:r>
        <w:rPr>
          <w:szCs w:val="22"/>
        </w:rPr>
        <w:t>regiowiki</w:t>
      </w:r>
      <w:proofErr w:type="spellEnd"/>
      <w:r>
        <w:rPr>
          <w:szCs w:val="22"/>
        </w:rPr>
        <w:t xml:space="preserve"> at least once a week. 40% of all staff connected at least once. In total, </w:t>
      </w:r>
      <w:proofErr w:type="spellStart"/>
      <w:r>
        <w:rPr>
          <w:szCs w:val="22"/>
        </w:rPr>
        <w:t>regiowiki</w:t>
      </w:r>
      <w:proofErr w:type="spellEnd"/>
      <w:r>
        <w:rPr>
          <w:szCs w:val="22"/>
        </w:rPr>
        <w:t xml:space="preserve"> counted 25,000 views. Some guidance notes were accessed more than 100 times.</w:t>
      </w:r>
    </w:p>
    <w:p w:rsidR="0049350C" w:rsidRPr="00F1423C" w:rsidRDefault="0049350C" w:rsidP="0049350C">
      <w:pPr>
        <w:pStyle w:val="Ttulo1"/>
        <w:numPr>
          <w:ilvl w:val="0"/>
          <w:numId w:val="19"/>
        </w:numPr>
        <w:spacing w:after="120" w:line="240" w:lineRule="auto"/>
        <w:ind w:left="357" w:hanging="357"/>
        <w:rPr>
          <w:szCs w:val="22"/>
          <w:u w:val="none"/>
        </w:rPr>
      </w:pPr>
      <w:r w:rsidRPr="00F1423C">
        <w:rPr>
          <w:szCs w:val="22"/>
          <w:u w:val="none"/>
        </w:rPr>
        <w:t>Contacts</w:t>
      </w:r>
    </w:p>
    <w:p w:rsidR="0049350C" w:rsidRDefault="00E4074C" w:rsidP="0049350C">
      <w:pPr>
        <w:spacing w:after="0" w:line="240" w:lineRule="auto"/>
        <w:rPr>
          <w:szCs w:val="22"/>
        </w:rPr>
      </w:pPr>
      <w:proofErr w:type="spellStart"/>
      <w:r>
        <w:rPr>
          <w:szCs w:val="22"/>
        </w:rPr>
        <w:t>Huy-Hien</w:t>
      </w:r>
      <w:proofErr w:type="spellEnd"/>
      <w:r>
        <w:rPr>
          <w:szCs w:val="22"/>
        </w:rPr>
        <w:t xml:space="preserve"> Bui</w:t>
      </w:r>
      <w:r w:rsidR="0049350C" w:rsidRPr="0049350C">
        <w:rPr>
          <w:szCs w:val="22"/>
        </w:rPr>
        <w:t xml:space="preserve">, </w:t>
      </w:r>
      <w:r w:rsidR="00A22163" w:rsidRPr="00A22163">
        <w:rPr>
          <w:szCs w:val="22"/>
        </w:rPr>
        <w:t>Knowledge Management Team Leader</w:t>
      </w:r>
      <w:r w:rsidR="0049350C" w:rsidRPr="0049350C">
        <w:rPr>
          <w:szCs w:val="22"/>
        </w:rPr>
        <w:t xml:space="preserve"> (</w:t>
      </w:r>
      <w:hyperlink r:id="rId9" w:history="1">
        <w:r w:rsidRPr="009A31F0">
          <w:rPr>
            <w:rStyle w:val="Hyperlink"/>
            <w:rFonts w:ascii="Helv" w:hAnsi="Helv" w:cs="Helv"/>
            <w:sz w:val="18"/>
            <w:szCs w:val="18"/>
          </w:rPr>
          <w:t>Huy-Hien.Bui@ec.europa.eu</w:t>
        </w:r>
      </w:hyperlink>
      <w:r>
        <w:rPr>
          <w:rFonts w:ascii="Helv" w:hAnsi="Helv" w:cs="Helv"/>
          <w:color w:val="000000"/>
          <w:sz w:val="18"/>
          <w:szCs w:val="18"/>
        </w:rPr>
        <w:t xml:space="preserve">, </w:t>
      </w:r>
      <w:r>
        <w:rPr>
          <w:szCs w:val="22"/>
        </w:rPr>
        <w:t>66540</w:t>
      </w:r>
      <w:r w:rsidR="0049350C" w:rsidRPr="0049350C">
        <w:rPr>
          <w:szCs w:val="22"/>
        </w:rPr>
        <w:t>)</w:t>
      </w:r>
    </w:p>
    <w:p w:rsidR="0049350C" w:rsidRPr="0082211E" w:rsidRDefault="0049350C" w:rsidP="0049350C">
      <w:pPr>
        <w:spacing w:after="0" w:line="240" w:lineRule="auto"/>
        <w:rPr>
          <w:b/>
          <w:caps/>
          <w:kern w:val="24"/>
          <w:sz w:val="20"/>
        </w:rPr>
      </w:pPr>
      <w:r w:rsidRPr="0082211E">
        <w:rPr>
          <w:sz w:val="20"/>
        </w:rPr>
        <w:br w:type="page"/>
      </w:r>
    </w:p>
    <w:p w:rsidR="0049350C" w:rsidRPr="00F1423C" w:rsidRDefault="0049350C" w:rsidP="0049350C">
      <w:pPr>
        <w:pStyle w:val="Ttulo1"/>
        <w:numPr>
          <w:ilvl w:val="0"/>
          <w:numId w:val="19"/>
        </w:numPr>
        <w:spacing w:after="120" w:line="240" w:lineRule="auto"/>
        <w:ind w:left="357" w:hanging="357"/>
        <w:rPr>
          <w:szCs w:val="22"/>
          <w:u w:val="none"/>
        </w:rPr>
      </w:pPr>
      <w:r w:rsidRPr="00F1423C">
        <w:rPr>
          <w:szCs w:val="22"/>
          <w:u w:val="none"/>
        </w:rPr>
        <w:lastRenderedPageBreak/>
        <w:t>Sources</w:t>
      </w:r>
    </w:p>
    <w:p w:rsidR="0049350C" w:rsidRPr="00F1423C" w:rsidRDefault="00E4074C" w:rsidP="0049350C">
      <w:pPr>
        <w:spacing w:after="0" w:line="240" w:lineRule="auto"/>
        <w:rPr>
          <w:szCs w:val="22"/>
        </w:rPr>
      </w:pPr>
      <w:r>
        <w:rPr>
          <w:szCs w:val="22"/>
        </w:rPr>
        <w:t>Knowledge management in REGIO – Presentation to ECA (12 March 2015)</w:t>
      </w:r>
    </w:p>
    <w:p w:rsidR="0049350C" w:rsidRDefault="0049350C" w:rsidP="000C525A">
      <w:pPr>
        <w:spacing w:after="120"/>
      </w:pPr>
    </w:p>
    <w:p w:rsidR="0049350C" w:rsidRDefault="0049350C" w:rsidP="000C525A">
      <w:pPr>
        <w:spacing w:after="120"/>
      </w:pPr>
    </w:p>
    <w:p w:rsidR="00A23A2B" w:rsidRDefault="00A23A2B" w:rsidP="000C525A">
      <w:pPr>
        <w:spacing w:after="120"/>
      </w:pPr>
    </w:p>
    <w:sectPr w:rsidR="00A23A2B" w:rsidSect="002C249D">
      <w:headerReference w:type="default" r:id="rId10"/>
      <w:footerReference w:type="default" r:id="rId11"/>
      <w:endnotePr>
        <w:numFmt w:val="decimal"/>
      </w:endnotePr>
      <w:pgSz w:w="11907" w:h="16840" w:code="9"/>
      <w:pgMar w:top="720" w:right="720" w:bottom="720" w:left="1134" w:header="113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30" w:rsidRDefault="00091230">
      <w:r>
        <w:separator/>
      </w:r>
    </w:p>
  </w:endnote>
  <w:endnote w:type="continuationSeparator" w:id="0">
    <w:p w:rsidR="00091230" w:rsidRDefault="0009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Pr="007A3509" w:rsidRDefault="007A3509" w:rsidP="007A3509">
    <w:pPr>
      <w:pStyle w:val="Rodap"/>
    </w:pPr>
    <w:r>
      <w:rPr>
        <w:lang w:val="fr-BE"/>
      </w:rPr>
      <w:t>19/06/2015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30" w:rsidRDefault="00091230">
      <w:r>
        <w:separator/>
      </w:r>
    </w:p>
  </w:footnote>
  <w:footnote w:type="continuationSeparator" w:id="0">
    <w:p w:rsidR="00091230" w:rsidRDefault="00091230">
      <w:pPr>
        <w:spacing w:after="0" w:line="240" w:lineRule="auto"/>
      </w:pPr>
      <w:r>
        <w:continuationSeparator/>
      </w:r>
    </w:p>
  </w:footnote>
  <w:footnote w:id="1">
    <w:p w:rsidR="00ED4344" w:rsidRPr="00ED4344" w:rsidRDefault="00ED4344">
      <w:pPr>
        <w:pStyle w:val="Textodenotaderodap"/>
      </w:pPr>
      <w:r w:rsidRPr="00ED4344">
        <w:rPr>
          <w:rStyle w:val="Refdenotaderodap"/>
          <w:sz w:val="18"/>
        </w:rPr>
        <w:footnoteRef/>
      </w:r>
      <w:r w:rsidRPr="00ED4344">
        <w:rPr>
          <w:sz w:val="18"/>
        </w:rPr>
        <w:t xml:space="preserve"> Won three prizes at the Internal Communication Awards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A5" w:rsidRDefault="007B6AA5">
    <w:pPr>
      <w:tabs>
        <w:tab w:val="center" w:pos="4395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99D"/>
    <w:multiLevelType w:val="multilevel"/>
    <w:tmpl w:val="8912F6BA"/>
    <w:lvl w:ilvl="0">
      <w:start w:val="1"/>
      <w:numFmt w:val="upperRoman"/>
      <w:pStyle w:val="Partie"/>
      <w:lvlText w:val="%1."/>
      <w:lvlJc w:val="left"/>
      <w:pPr>
        <w:tabs>
          <w:tab w:val="num" w:pos="567"/>
        </w:tabs>
        <w:ind w:left="567" w:hanging="567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" w15:restartNumberingAfterBreak="0">
    <w:nsid w:val="19503FDD"/>
    <w:multiLevelType w:val="singleLevel"/>
    <w:tmpl w:val="24123A70"/>
    <w:lvl w:ilvl="0">
      <w:start w:val="1"/>
      <w:numFmt w:val="bullet"/>
      <w:pStyle w:val="Dash2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</w:abstractNum>
  <w:abstractNum w:abstractNumId="2" w15:restartNumberingAfterBreak="0">
    <w:nsid w:val="1AAC5BE4"/>
    <w:multiLevelType w:val="hybridMultilevel"/>
    <w:tmpl w:val="1D92AEF4"/>
    <w:lvl w:ilvl="0" w:tplc="BF34E3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3E9E"/>
    <w:multiLevelType w:val="multilevel"/>
    <w:tmpl w:val="FCC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A0406F"/>
    <w:multiLevelType w:val="multilevel"/>
    <w:tmpl w:val="5144FC7A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ara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Para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lowerLetter"/>
      <w:pStyle w:val="Para4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lowerRoman"/>
      <w:pStyle w:val="Para5"/>
      <w:lvlText w:val="%5)"/>
      <w:lvlJc w:val="left"/>
      <w:pPr>
        <w:tabs>
          <w:tab w:val="num" w:pos="1174"/>
        </w:tabs>
        <w:ind w:left="851" w:hanging="397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45E47E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99293D"/>
    <w:multiLevelType w:val="multilevel"/>
    <w:tmpl w:val="2E107CAA"/>
    <w:lvl w:ilvl="0">
      <w:start w:val="1"/>
      <w:numFmt w:val="upperRoman"/>
      <w:lvlText w:val="Partie %1.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Zero"/>
      <w:isLgl/>
      <w:lvlText w:val="Section %1.%2: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851" w:hanging="284"/>
      </w:pPr>
    </w:lvl>
    <w:lvl w:ilvl="5">
      <w:start w:val="1"/>
      <w:numFmt w:val="lowerRoman"/>
      <w:pStyle w:val="Ttulo6"/>
      <w:lvlText w:val="%6)"/>
      <w:lvlJc w:val="left"/>
      <w:pPr>
        <w:tabs>
          <w:tab w:val="num" w:pos="1571"/>
        </w:tabs>
        <w:ind w:left="1134" w:hanging="283"/>
      </w:pPr>
      <w:rPr>
        <w:rFonts w:ascii="Times New Roman" w:hAnsi="Times New Roman" w:hint="default"/>
        <w:sz w:val="22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6DD01C97"/>
    <w:multiLevelType w:val="singleLevel"/>
    <w:tmpl w:val="AC582320"/>
    <w:lvl w:ilvl="0">
      <w:start w:val="1"/>
      <w:numFmt w:val="bullet"/>
      <w:pStyle w:val="Dash1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8" w15:restartNumberingAfterBreak="0">
    <w:nsid w:val="75755AD7"/>
    <w:multiLevelType w:val="hybridMultilevel"/>
    <w:tmpl w:val="77D22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A69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8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A"/>
    <w:rsid w:val="00001E0E"/>
    <w:rsid w:val="0002782F"/>
    <w:rsid w:val="00033158"/>
    <w:rsid w:val="00066644"/>
    <w:rsid w:val="00066961"/>
    <w:rsid w:val="000701C2"/>
    <w:rsid w:val="0007070B"/>
    <w:rsid w:val="00076AD6"/>
    <w:rsid w:val="00082C1D"/>
    <w:rsid w:val="00091230"/>
    <w:rsid w:val="00096BB0"/>
    <w:rsid w:val="000A36F6"/>
    <w:rsid w:val="000B47B1"/>
    <w:rsid w:val="000C2A0F"/>
    <w:rsid w:val="000C525A"/>
    <w:rsid w:val="000D6EA0"/>
    <w:rsid w:val="000E5215"/>
    <w:rsid w:val="000F7744"/>
    <w:rsid w:val="001043BE"/>
    <w:rsid w:val="00126AF1"/>
    <w:rsid w:val="001311EC"/>
    <w:rsid w:val="00144DED"/>
    <w:rsid w:val="00155764"/>
    <w:rsid w:val="00157947"/>
    <w:rsid w:val="0016350D"/>
    <w:rsid w:val="00163A61"/>
    <w:rsid w:val="00166B26"/>
    <w:rsid w:val="00191440"/>
    <w:rsid w:val="00197108"/>
    <w:rsid w:val="00197A0F"/>
    <w:rsid w:val="001A1AE0"/>
    <w:rsid w:val="001C0C0D"/>
    <w:rsid w:val="001C43A6"/>
    <w:rsid w:val="001C7BBD"/>
    <w:rsid w:val="001E5A5E"/>
    <w:rsid w:val="001F0F2A"/>
    <w:rsid w:val="001F24D3"/>
    <w:rsid w:val="00201AC2"/>
    <w:rsid w:val="0021469F"/>
    <w:rsid w:val="00236787"/>
    <w:rsid w:val="002368EC"/>
    <w:rsid w:val="00253021"/>
    <w:rsid w:val="002745E0"/>
    <w:rsid w:val="00284473"/>
    <w:rsid w:val="002B5CBB"/>
    <w:rsid w:val="002C1001"/>
    <w:rsid w:val="002C249D"/>
    <w:rsid w:val="002D1765"/>
    <w:rsid w:val="002F4969"/>
    <w:rsid w:val="00310056"/>
    <w:rsid w:val="00317729"/>
    <w:rsid w:val="00320DEF"/>
    <w:rsid w:val="00321D5F"/>
    <w:rsid w:val="00335FCF"/>
    <w:rsid w:val="00337F91"/>
    <w:rsid w:val="0035613B"/>
    <w:rsid w:val="00357574"/>
    <w:rsid w:val="00361E51"/>
    <w:rsid w:val="00371E27"/>
    <w:rsid w:val="0037229D"/>
    <w:rsid w:val="00382CBE"/>
    <w:rsid w:val="00383F14"/>
    <w:rsid w:val="00384BF1"/>
    <w:rsid w:val="00387148"/>
    <w:rsid w:val="00396225"/>
    <w:rsid w:val="003D1051"/>
    <w:rsid w:val="003D7FD3"/>
    <w:rsid w:val="003E4296"/>
    <w:rsid w:val="003F2DC4"/>
    <w:rsid w:val="00414289"/>
    <w:rsid w:val="0041580F"/>
    <w:rsid w:val="00431480"/>
    <w:rsid w:val="00431E1E"/>
    <w:rsid w:val="00443908"/>
    <w:rsid w:val="00451301"/>
    <w:rsid w:val="00466B33"/>
    <w:rsid w:val="00471928"/>
    <w:rsid w:val="004744FE"/>
    <w:rsid w:val="00474B90"/>
    <w:rsid w:val="00484432"/>
    <w:rsid w:val="0049350C"/>
    <w:rsid w:val="004A179E"/>
    <w:rsid w:val="004A78D3"/>
    <w:rsid w:val="004B3329"/>
    <w:rsid w:val="004B7F07"/>
    <w:rsid w:val="004D1BD2"/>
    <w:rsid w:val="004D5D60"/>
    <w:rsid w:val="004F4356"/>
    <w:rsid w:val="00510CD4"/>
    <w:rsid w:val="00512F86"/>
    <w:rsid w:val="00522C19"/>
    <w:rsid w:val="0052749A"/>
    <w:rsid w:val="0057383A"/>
    <w:rsid w:val="005761C3"/>
    <w:rsid w:val="00577361"/>
    <w:rsid w:val="00581787"/>
    <w:rsid w:val="00591212"/>
    <w:rsid w:val="00591DF3"/>
    <w:rsid w:val="005A2375"/>
    <w:rsid w:val="005B0339"/>
    <w:rsid w:val="005B64B1"/>
    <w:rsid w:val="005B7FE9"/>
    <w:rsid w:val="005C162C"/>
    <w:rsid w:val="005D2BB4"/>
    <w:rsid w:val="005E6BD1"/>
    <w:rsid w:val="005F48EE"/>
    <w:rsid w:val="005F7041"/>
    <w:rsid w:val="005F73A4"/>
    <w:rsid w:val="00612B8B"/>
    <w:rsid w:val="00655577"/>
    <w:rsid w:val="006576B1"/>
    <w:rsid w:val="0066365E"/>
    <w:rsid w:val="00664AC5"/>
    <w:rsid w:val="006728AB"/>
    <w:rsid w:val="0068004E"/>
    <w:rsid w:val="00692FAB"/>
    <w:rsid w:val="006A38F3"/>
    <w:rsid w:val="006A749D"/>
    <w:rsid w:val="006A7E19"/>
    <w:rsid w:val="006B06E0"/>
    <w:rsid w:val="006B39C3"/>
    <w:rsid w:val="006B762C"/>
    <w:rsid w:val="006E6C5C"/>
    <w:rsid w:val="006F6078"/>
    <w:rsid w:val="006F7B9F"/>
    <w:rsid w:val="007025B3"/>
    <w:rsid w:val="007067B1"/>
    <w:rsid w:val="00715D85"/>
    <w:rsid w:val="007500FF"/>
    <w:rsid w:val="00752A1D"/>
    <w:rsid w:val="00763F6C"/>
    <w:rsid w:val="00766F1D"/>
    <w:rsid w:val="00786C04"/>
    <w:rsid w:val="00792202"/>
    <w:rsid w:val="007A3509"/>
    <w:rsid w:val="007B39F8"/>
    <w:rsid w:val="007B46AD"/>
    <w:rsid w:val="007B69B2"/>
    <w:rsid w:val="007B6AA5"/>
    <w:rsid w:val="007C0C24"/>
    <w:rsid w:val="007C3DC6"/>
    <w:rsid w:val="007C486D"/>
    <w:rsid w:val="007C753F"/>
    <w:rsid w:val="007C7587"/>
    <w:rsid w:val="007D1D86"/>
    <w:rsid w:val="007D3E3A"/>
    <w:rsid w:val="007D5376"/>
    <w:rsid w:val="007F6E22"/>
    <w:rsid w:val="00802645"/>
    <w:rsid w:val="0082185F"/>
    <w:rsid w:val="0082211E"/>
    <w:rsid w:val="008245FA"/>
    <w:rsid w:val="0082750A"/>
    <w:rsid w:val="00834560"/>
    <w:rsid w:val="00846C5F"/>
    <w:rsid w:val="008476F3"/>
    <w:rsid w:val="00862C7A"/>
    <w:rsid w:val="00864FEE"/>
    <w:rsid w:val="00874873"/>
    <w:rsid w:val="008826C9"/>
    <w:rsid w:val="00882B14"/>
    <w:rsid w:val="00886C8F"/>
    <w:rsid w:val="00891A29"/>
    <w:rsid w:val="00892D53"/>
    <w:rsid w:val="008A743A"/>
    <w:rsid w:val="008B3A1D"/>
    <w:rsid w:val="008B5248"/>
    <w:rsid w:val="008C3152"/>
    <w:rsid w:val="008D524E"/>
    <w:rsid w:val="008D69E2"/>
    <w:rsid w:val="008D7EAF"/>
    <w:rsid w:val="008E589D"/>
    <w:rsid w:val="008F3DA2"/>
    <w:rsid w:val="008F6CBE"/>
    <w:rsid w:val="00905CBB"/>
    <w:rsid w:val="009322DD"/>
    <w:rsid w:val="009434ED"/>
    <w:rsid w:val="00952F70"/>
    <w:rsid w:val="00957F65"/>
    <w:rsid w:val="009668E2"/>
    <w:rsid w:val="009701A3"/>
    <w:rsid w:val="009809F7"/>
    <w:rsid w:val="00983F21"/>
    <w:rsid w:val="00987C94"/>
    <w:rsid w:val="00994576"/>
    <w:rsid w:val="009A5FE0"/>
    <w:rsid w:val="009B54B3"/>
    <w:rsid w:val="009C0B70"/>
    <w:rsid w:val="009C7952"/>
    <w:rsid w:val="009D0858"/>
    <w:rsid w:val="009E16A1"/>
    <w:rsid w:val="009F4E46"/>
    <w:rsid w:val="009F605C"/>
    <w:rsid w:val="00A0313B"/>
    <w:rsid w:val="00A060D0"/>
    <w:rsid w:val="00A12EBB"/>
    <w:rsid w:val="00A14070"/>
    <w:rsid w:val="00A20091"/>
    <w:rsid w:val="00A22163"/>
    <w:rsid w:val="00A23A2B"/>
    <w:rsid w:val="00A27DA0"/>
    <w:rsid w:val="00A518FA"/>
    <w:rsid w:val="00A55185"/>
    <w:rsid w:val="00A56A8A"/>
    <w:rsid w:val="00A7026C"/>
    <w:rsid w:val="00A74AD4"/>
    <w:rsid w:val="00A837C7"/>
    <w:rsid w:val="00A86F77"/>
    <w:rsid w:val="00AB2611"/>
    <w:rsid w:val="00AC0B63"/>
    <w:rsid w:val="00AD7EEE"/>
    <w:rsid w:val="00AE0487"/>
    <w:rsid w:val="00AE4C1F"/>
    <w:rsid w:val="00AF5E96"/>
    <w:rsid w:val="00B05653"/>
    <w:rsid w:val="00B12E78"/>
    <w:rsid w:val="00B16F64"/>
    <w:rsid w:val="00B202A2"/>
    <w:rsid w:val="00B33797"/>
    <w:rsid w:val="00B42A7C"/>
    <w:rsid w:val="00B46280"/>
    <w:rsid w:val="00B46E7C"/>
    <w:rsid w:val="00B47C3A"/>
    <w:rsid w:val="00B571EA"/>
    <w:rsid w:val="00B578C7"/>
    <w:rsid w:val="00B60BBA"/>
    <w:rsid w:val="00B6407C"/>
    <w:rsid w:val="00B643E6"/>
    <w:rsid w:val="00B73216"/>
    <w:rsid w:val="00B832CD"/>
    <w:rsid w:val="00B9643C"/>
    <w:rsid w:val="00BA0002"/>
    <w:rsid w:val="00BA19A7"/>
    <w:rsid w:val="00BB64D2"/>
    <w:rsid w:val="00BE4D42"/>
    <w:rsid w:val="00C07F0A"/>
    <w:rsid w:val="00C1013A"/>
    <w:rsid w:val="00C13FF8"/>
    <w:rsid w:val="00C30EBC"/>
    <w:rsid w:val="00C3400E"/>
    <w:rsid w:val="00C3492B"/>
    <w:rsid w:val="00C37980"/>
    <w:rsid w:val="00C41664"/>
    <w:rsid w:val="00C502A8"/>
    <w:rsid w:val="00C6183A"/>
    <w:rsid w:val="00C66B2D"/>
    <w:rsid w:val="00C90A84"/>
    <w:rsid w:val="00CA4972"/>
    <w:rsid w:val="00CB037E"/>
    <w:rsid w:val="00CB2631"/>
    <w:rsid w:val="00CB676E"/>
    <w:rsid w:val="00CD0458"/>
    <w:rsid w:val="00CD1F17"/>
    <w:rsid w:val="00CD2D97"/>
    <w:rsid w:val="00CE13C8"/>
    <w:rsid w:val="00CF15E5"/>
    <w:rsid w:val="00CF3A7F"/>
    <w:rsid w:val="00CF7968"/>
    <w:rsid w:val="00D127D4"/>
    <w:rsid w:val="00D13AC2"/>
    <w:rsid w:val="00D13F50"/>
    <w:rsid w:val="00D22D2E"/>
    <w:rsid w:val="00D25BB2"/>
    <w:rsid w:val="00D32204"/>
    <w:rsid w:val="00D40CF5"/>
    <w:rsid w:val="00D40DF4"/>
    <w:rsid w:val="00D4539A"/>
    <w:rsid w:val="00D47223"/>
    <w:rsid w:val="00D54BA4"/>
    <w:rsid w:val="00D57575"/>
    <w:rsid w:val="00D6095C"/>
    <w:rsid w:val="00DC1F3A"/>
    <w:rsid w:val="00DC6B95"/>
    <w:rsid w:val="00DE2107"/>
    <w:rsid w:val="00E10A86"/>
    <w:rsid w:val="00E123BA"/>
    <w:rsid w:val="00E22E89"/>
    <w:rsid w:val="00E2526B"/>
    <w:rsid w:val="00E252C1"/>
    <w:rsid w:val="00E31BCD"/>
    <w:rsid w:val="00E4023F"/>
    <w:rsid w:val="00E4074C"/>
    <w:rsid w:val="00E5491C"/>
    <w:rsid w:val="00E62D8B"/>
    <w:rsid w:val="00E67FFC"/>
    <w:rsid w:val="00E75FC9"/>
    <w:rsid w:val="00E80123"/>
    <w:rsid w:val="00E916E1"/>
    <w:rsid w:val="00E91CBD"/>
    <w:rsid w:val="00E9681B"/>
    <w:rsid w:val="00EA341B"/>
    <w:rsid w:val="00EB36EF"/>
    <w:rsid w:val="00EC69B8"/>
    <w:rsid w:val="00ED4055"/>
    <w:rsid w:val="00ED4344"/>
    <w:rsid w:val="00ED4D79"/>
    <w:rsid w:val="00EE1377"/>
    <w:rsid w:val="00EE198B"/>
    <w:rsid w:val="00F24BD6"/>
    <w:rsid w:val="00F264AA"/>
    <w:rsid w:val="00F36692"/>
    <w:rsid w:val="00F36B24"/>
    <w:rsid w:val="00F47945"/>
    <w:rsid w:val="00F57EDF"/>
    <w:rsid w:val="00F6018A"/>
    <w:rsid w:val="00F6428E"/>
    <w:rsid w:val="00F66959"/>
    <w:rsid w:val="00F676B1"/>
    <w:rsid w:val="00F71B3B"/>
    <w:rsid w:val="00F77C91"/>
    <w:rsid w:val="00F81CEC"/>
    <w:rsid w:val="00FA2F6A"/>
    <w:rsid w:val="00FB6771"/>
    <w:rsid w:val="00FC0165"/>
    <w:rsid w:val="00FC53CA"/>
    <w:rsid w:val="00FD62C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4DDA6C-C173-4679-9274-714F942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9D"/>
    <w:pPr>
      <w:spacing w:after="240" w:line="360" w:lineRule="auto"/>
    </w:pPr>
    <w:rPr>
      <w:rFonts w:ascii="Calibri" w:hAnsi="Calibri"/>
      <w:sz w:val="22"/>
    </w:rPr>
  </w:style>
  <w:style w:type="paragraph" w:styleId="Ttulo1">
    <w:name w:val="heading 1"/>
    <w:basedOn w:val="HeadingBase"/>
    <w:next w:val="Normal"/>
    <w:qFormat/>
    <w:rsid w:val="008B3A1D"/>
    <w:pPr>
      <w:outlineLvl w:val="0"/>
    </w:pPr>
    <w:rPr>
      <w:b/>
      <w:caps/>
      <w:kern w:val="24"/>
      <w:u w:val="single"/>
    </w:rPr>
  </w:style>
  <w:style w:type="paragraph" w:styleId="Ttulo2">
    <w:name w:val="heading 2"/>
    <w:basedOn w:val="HeadingBase"/>
    <w:next w:val="Normal"/>
    <w:qFormat/>
    <w:rsid w:val="008B3A1D"/>
    <w:pPr>
      <w:outlineLvl w:val="1"/>
    </w:pPr>
    <w:rPr>
      <w:b/>
      <w:i/>
    </w:rPr>
  </w:style>
  <w:style w:type="paragraph" w:styleId="Ttulo3">
    <w:name w:val="heading 3"/>
    <w:basedOn w:val="HeadingBase"/>
    <w:next w:val="Normal"/>
    <w:qFormat/>
    <w:rsid w:val="008B3A1D"/>
    <w:pPr>
      <w:outlineLvl w:val="2"/>
    </w:pPr>
    <w:rPr>
      <w:b/>
    </w:rPr>
  </w:style>
  <w:style w:type="paragraph" w:styleId="Ttulo4">
    <w:name w:val="heading 4"/>
    <w:basedOn w:val="HeadingBase"/>
    <w:next w:val="Normal"/>
    <w:qFormat/>
    <w:rsid w:val="008B3A1D"/>
    <w:pPr>
      <w:outlineLvl w:val="3"/>
    </w:pPr>
    <w:rPr>
      <w:u w:val="single"/>
    </w:rPr>
  </w:style>
  <w:style w:type="paragraph" w:styleId="Ttulo5">
    <w:name w:val="heading 5"/>
    <w:basedOn w:val="HeadingBase"/>
    <w:next w:val="Normal"/>
    <w:qFormat/>
    <w:rsid w:val="008B3A1D"/>
    <w:pPr>
      <w:outlineLvl w:val="4"/>
    </w:pPr>
    <w:rPr>
      <w:i/>
    </w:rPr>
  </w:style>
  <w:style w:type="paragraph" w:styleId="Ttulo6">
    <w:name w:val="heading 6"/>
    <w:basedOn w:val="Normal"/>
    <w:next w:val="Normal"/>
    <w:qFormat/>
    <w:rsid w:val="002C24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8B3A1D"/>
    <w:pPr>
      <w:keepNext/>
      <w:numPr>
        <w:ilvl w:val="6"/>
        <w:numId w:val="10"/>
      </w:numPr>
      <w:tabs>
        <w:tab w:val="right" w:pos="8789"/>
      </w:tabs>
      <w:suppressAutoHyphens/>
      <w:outlineLvl w:val="6"/>
    </w:pPr>
    <w:rPr>
      <w:rFonts w:ascii="Times New Roman" w:hAnsi="Times New Roman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mplateBase">
    <w:name w:val="(Template_Base)"/>
    <w:rsid w:val="002C249D"/>
    <w:pPr>
      <w:spacing w:after="240" w:line="360" w:lineRule="auto"/>
    </w:pPr>
    <w:rPr>
      <w:rFonts w:ascii="Calibri" w:hAnsi="Calibri"/>
      <w:sz w:val="22"/>
    </w:rPr>
  </w:style>
  <w:style w:type="paragraph" w:customStyle="1" w:styleId="Copies">
    <w:name w:val="Copies"/>
    <w:basedOn w:val="TemplateBase"/>
    <w:rsid w:val="008B3A1D"/>
    <w:pPr>
      <w:spacing w:after="120" w:line="240" w:lineRule="auto"/>
      <w:ind w:left="851" w:hanging="851"/>
    </w:pPr>
  </w:style>
  <w:style w:type="paragraph" w:customStyle="1" w:styleId="Dash1">
    <w:name w:val="Dash_1"/>
    <w:basedOn w:val="TemplateBase"/>
    <w:rsid w:val="008B3A1D"/>
    <w:pPr>
      <w:numPr>
        <w:numId w:val="7"/>
      </w:numPr>
    </w:pPr>
  </w:style>
  <w:style w:type="paragraph" w:customStyle="1" w:styleId="Dash2">
    <w:name w:val="Dash_2"/>
    <w:basedOn w:val="TemplateBase"/>
    <w:rsid w:val="008B3A1D"/>
    <w:pPr>
      <w:numPr>
        <w:numId w:val="8"/>
      </w:numPr>
    </w:pPr>
  </w:style>
  <w:style w:type="character" w:styleId="Refdenotadefim">
    <w:name w:val="endnote reference"/>
    <w:semiHidden/>
    <w:rsid w:val="008B3A1D"/>
    <w:rPr>
      <w:rFonts w:ascii="Arial" w:hAnsi="Arial"/>
      <w:b/>
      <w:vertAlign w:val="superscript"/>
    </w:rPr>
  </w:style>
  <w:style w:type="paragraph" w:styleId="Textodenotadefim">
    <w:name w:val="endnote text"/>
    <w:basedOn w:val="TemplateBase"/>
    <w:link w:val="TextodenotadefimChar"/>
    <w:semiHidden/>
    <w:rsid w:val="008B3A1D"/>
    <w:pPr>
      <w:keepLines/>
      <w:spacing w:line="240" w:lineRule="auto"/>
      <w:ind w:left="454" w:hanging="454"/>
    </w:pPr>
  </w:style>
  <w:style w:type="character" w:customStyle="1" w:styleId="TextodenotadefimChar">
    <w:name w:val="Texto de nota de fim Char"/>
    <w:basedOn w:val="Fontepargpadro"/>
    <w:link w:val="Textodenotadefim"/>
    <w:semiHidden/>
    <w:rsid w:val="008B3A1D"/>
    <w:rPr>
      <w:rFonts w:ascii="Arial" w:hAnsi="Arial"/>
      <w:sz w:val="22"/>
    </w:rPr>
  </w:style>
  <w:style w:type="paragraph" w:styleId="Rodap">
    <w:name w:val="footer"/>
    <w:basedOn w:val="TemplateBase"/>
    <w:link w:val="RodapChar"/>
    <w:rsid w:val="008B3A1D"/>
    <w:pPr>
      <w:tabs>
        <w:tab w:val="center" w:pos="4153"/>
        <w:tab w:val="right" w:pos="8306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8B3A1D"/>
    <w:rPr>
      <w:rFonts w:ascii="Arial" w:hAnsi="Arial"/>
    </w:rPr>
  </w:style>
  <w:style w:type="character" w:styleId="Refdenotaderodap">
    <w:name w:val="footnote reference"/>
    <w:semiHidden/>
    <w:rsid w:val="008B3A1D"/>
    <w:rPr>
      <w:rFonts w:ascii="Arial" w:hAnsi="Arial"/>
      <w:b/>
      <w:vertAlign w:val="superscript"/>
    </w:rPr>
  </w:style>
  <w:style w:type="paragraph" w:styleId="Textodenotaderodap">
    <w:name w:val="footnote text"/>
    <w:basedOn w:val="TemplateBase"/>
    <w:link w:val="TextodenotaderodapChar"/>
    <w:semiHidden/>
    <w:rsid w:val="008B3A1D"/>
    <w:pPr>
      <w:spacing w:line="240" w:lineRule="auto"/>
      <w:ind w:left="454" w:hanging="454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8B3A1D"/>
    <w:rPr>
      <w:rFonts w:ascii="Arial" w:hAnsi="Arial"/>
      <w:sz w:val="22"/>
    </w:rPr>
  </w:style>
  <w:style w:type="paragraph" w:styleId="Cabealho">
    <w:name w:val="header"/>
    <w:basedOn w:val="TemplateBase"/>
    <w:link w:val="CabealhoChar"/>
    <w:rsid w:val="008B3A1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B3A1D"/>
    <w:rPr>
      <w:rFonts w:ascii="Arial" w:hAnsi="Arial"/>
      <w:sz w:val="24"/>
    </w:rPr>
  </w:style>
  <w:style w:type="paragraph" w:customStyle="1" w:styleId="HeadingBase">
    <w:name w:val="Heading Base"/>
    <w:basedOn w:val="TemplateBase"/>
    <w:rsid w:val="008B3A1D"/>
    <w:pPr>
      <w:keepNext/>
      <w:spacing w:after="360"/>
    </w:pPr>
  </w:style>
  <w:style w:type="character" w:styleId="Nmerodepgina">
    <w:name w:val="page number"/>
    <w:basedOn w:val="Fontepargpadro"/>
    <w:rsid w:val="008B3A1D"/>
  </w:style>
  <w:style w:type="paragraph" w:customStyle="1" w:styleId="Para1">
    <w:name w:val="Para_1"/>
    <w:basedOn w:val="TemplateBase"/>
    <w:rsid w:val="008B3A1D"/>
    <w:pPr>
      <w:numPr>
        <w:numId w:val="15"/>
      </w:numPr>
      <w:tabs>
        <w:tab w:val="left" w:pos="454"/>
        <w:tab w:val="left" w:pos="567"/>
      </w:tabs>
    </w:pPr>
  </w:style>
  <w:style w:type="paragraph" w:customStyle="1" w:styleId="Para2">
    <w:name w:val="Para_2"/>
    <w:basedOn w:val="TemplateBase"/>
    <w:rsid w:val="008B3A1D"/>
    <w:pPr>
      <w:numPr>
        <w:ilvl w:val="1"/>
        <w:numId w:val="15"/>
      </w:numPr>
    </w:pPr>
  </w:style>
  <w:style w:type="paragraph" w:customStyle="1" w:styleId="Para3">
    <w:name w:val="Para_3"/>
    <w:basedOn w:val="TemplateBase"/>
    <w:rsid w:val="008B3A1D"/>
    <w:pPr>
      <w:numPr>
        <w:ilvl w:val="2"/>
        <w:numId w:val="15"/>
      </w:numPr>
      <w:tabs>
        <w:tab w:val="left" w:pos="992"/>
      </w:tabs>
    </w:pPr>
  </w:style>
  <w:style w:type="paragraph" w:customStyle="1" w:styleId="Para4">
    <w:name w:val="Para_4"/>
    <w:basedOn w:val="TemplateBase"/>
    <w:rsid w:val="008B3A1D"/>
    <w:pPr>
      <w:numPr>
        <w:ilvl w:val="3"/>
        <w:numId w:val="15"/>
      </w:numPr>
      <w:spacing w:after="360"/>
    </w:pPr>
  </w:style>
  <w:style w:type="paragraph" w:customStyle="1" w:styleId="Para5">
    <w:name w:val="Para_5"/>
    <w:basedOn w:val="TemplateBase"/>
    <w:rsid w:val="008B3A1D"/>
    <w:pPr>
      <w:numPr>
        <w:ilvl w:val="4"/>
        <w:numId w:val="15"/>
      </w:numPr>
      <w:tabs>
        <w:tab w:val="left" w:pos="1021"/>
      </w:tabs>
      <w:spacing w:after="360"/>
    </w:pPr>
  </w:style>
  <w:style w:type="paragraph" w:customStyle="1" w:styleId="Partie">
    <w:name w:val="Partie"/>
    <w:basedOn w:val="Ttulo1"/>
    <w:rsid w:val="008B3A1D"/>
    <w:pPr>
      <w:numPr>
        <w:numId w:val="16"/>
      </w:numPr>
    </w:pPr>
    <w:rPr>
      <w:u w:val="none"/>
    </w:rPr>
  </w:style>
  <w:style w:type="paragraph" w:styleId="Assinatura">
    <w:name w:val="Signature"/>
    <w:basedOn w:val="TemplateBase"/>
    <w:link w:val="AssinaturaChar"/>
    <w:rsid w:val="008B3A1D"/>
    <w:pPr>
      <w:keepNext/>
      <w:spacing w:before="360" w:after="360" w:line="240" w:lineRule="auto"/>
      <w:ind w:left="5103"/>
      <w:jc w:val="center"/>
    </w:pPr>
  </w:style>
  <w:style w:type="character" w:customStyle="1" w:styleId="AssinaturaChar">
    <w:name w:val="Assinatura Char"/>
    <w:basedOn w:val="Fontepargpadro"/>
    <w:link w:val="Assinatura"/>
    <w:rsid w:val="008B3A1D"/>
    <w:rPr>
      <w:rFonts w:ascii="Arial" w:hAnsi="Arial"/>
      <w:sz w:val="24"/>
    </w:rPr>
  </w:style>
  <w:style w:type="paragraph" w:customStyle="1" w:styleId="SignaturePrsident">
    <w:name w:val="Signature Président"/>
    <w:basedOn w:val="Normal"/>
    <w:next w:val="Normal"/>
    <w:rsid w:val="008B3A1D"/>
    <w:pPr>
      <w:tabs>
        <w:tab w:val="left" w:pos="5528"/>
        <w:tab w:val="left" w:pos="5812"/>
        <w:tab w:val="left" w:pos="6379"/>
      </w:tabs>
      <w:spacing w:line="240" w:lineRule="auto"/>
    </w:pPr>
  </w:style>
  <w:style w:type="paragraph" w:customStyle="1" w:styleId="TOCBase">
    <w:name w:val="TOC Base"/>
    <w:basedOn w:val="TemplateBase"/>
    <w:rsid w:val="008B3A1D"/>
    <w:pPr>
      <w:tabs>
        <w:tab w:val="left" w:pos="454"/>
        <w:tab w:val="left" w:pos="851"/>
        <w:tab w:val="left" w:pos="6577"/>
        <w:tab w:val="left" w:pos="7088"/>
        <w:tab w:val="left" w:pos="7484"/>
      </w:tabs>
    </w:pPr>
  </w:style>
  <w:style w:type="paragraph" w:styleId="Sumrio1">
    <w:name w:val="toc 1"/>
    <w:basedOn w:val="TOCBase"/>
    <w:autoRedefine/>
    <w:semiHidden/>
    <w:rsid w:val="008B3A1D"/>
    <w:pPr>
      <w:tabs>
        <w:tab w:val="left" w:pos="7655"/>
      </w:tabs>
    </w:pPr>
  </w:style>
  <w:style w:type="paragraph" w:styleId="Sumrio2">
    <w:name w:val="toc 2"/>
    <w:basedOn w:val="TOCBase"/>
    <w:autoRedefine/>
    <w:semiHidden/>
    <w:rsid w:val="008B3A1D"/>
    <w:pPr>
      <w:tabs>
        <w:tab w:val="left" w:pos="7655"/>
      </w:tabs>
      <w:ind w:left="454"/>
    </w:pPr>
  </w:style>
  <w:style w:type="paragraph" w:styleId="Sumrio3">
    <w:name w:val="toc 3"/>
    <w:basedOn w:val="TOCBase"/>
    <w:autoRedefine/>
    <w:semiHidden/>
    <w:rsid w:val="008B3A1D"/>
    <w:pPr>
      <w:tabs>
        <w:tab w:val="left" w:pos="7655"/>
      </w:tabs>
      <w:ind w:left="851"/>
    </w:pPr>
  </w:style>
  <w:style w:type="paragraph" w:styleId="Sumrio4">
    <w:name w:val="toc 4"/>
    <w:basedOn w:val="TOCBase"/>
    <w:next w:val="Normal"/>
    <w:autoRedefine/>
    <w:semiHidden/>
    <w:rsid w:val="008B3A1D"/>
    <w:pPr>
      <w:ind w:left="720"/>
    </w:pPr>
  </w:style>
  <w:style w:type="paragraph" w:styleId="Sumrio5">
    <w:name w:val="toc 5"/>
    <w:basedOn w:val="TOCBase"/>
    <w:next w:val="Normal"/>
    <w:autoRedefine/>
    <w:semiHidden/>
    <w:rsid w:val="008B3A1D"/>
    <w:pPr>
      <w:ind w:left="960"/>
    </w:pPr>
  </w:style>
  <w:style w:type="table" w:styleId="Tabelacomgrade">
    <w:name w:val="Table Grid"/>
    <w:basedOn w:val="Tabelanormal"/>
    <w:uiPriority w:val="59"/>
    <w:rsid w:val="000C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52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350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2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210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2107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107"/>
    <w:rPr>
      <w:rFonts w:ascii="Calibri" w:hAnsi="Calibri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y-Hien.Bui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AA458C-09B3-45EF-B157-8457B84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Auditors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PRIGENT</dc:creator>
  <cp:lastModifiedBy>Beatriz Pinheiro de Melo Gomes</cp:lastModifiedBy>
  <cp:revision>2</cp:revision>
  <dcterms:created xsi:type="dcterms:W3CDTF">2015-09-21T18:02:00Z</dcterms:created>
  <dcterms:modified xsi:type="dcterms:W3CDTF">2015-09-21T18:02:00Z</dcterms:modified>
</cp:coreProperties>
</file>