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5A" w:rsidRPr="000C525A" w:rsidRDefault="008362BA" w:rsidP="007B6AA5">
      <w:pPr>
        <w:rPr>
          <w:rFonts w:cs="Arial"/>
          <w:b/>
          <w:sz w:val="28"/>
          <w:szCs w:val="28"/>
        </w:rPr>
      </w:pPr>
      <w:bookmarkStart w:id="0" w:name="_GoBack"/>
      <w:bookmarkEnd w:id="0"/>
      <w:r>
        <w:rPr>
          <w:rFonts w:cs="Arial"/>
          <w:b/>
          <w:sz w:val="28"/>
          <w:szCs w:val="28"/>
        </w:rPr>
        <w:t>DGT</w:t>
      </w:r>
      <w:r w:rsidR="0049350C">
        <w:rPr>
          <w:rFonts w:cs="Arial"/>
          <w:b/>
          <w:sz w:val="28"/>
          <w:szCs w:val="28"/>
        </w:rPr>
        <w:t xml:space="preserve">: </w:t>
      </w:r>
      <w:r>
        <w:rPr>
          <w:rFonts w:cs="Arial"/>
          <w:b/>
          <w:sz w:val="28"/>
          <w:szCs w:val="28"/>
        </w:rPr>
        <w:t>A bottom-up, “zero-cost” approach</w:t>
      </w:r>
    </w:p>
    <w:p w:rsidR="000C525A" w:rsidRDefault="000C525A" w:rsidP="000C525A">
      <w:pPr>
        <w:pStyle w:val="Ttulo1"/>
        <w:numPr>
          <w:ilvl w:val="0"/>
          <w:numId w:val="19"/>
        </w:numPr>
        <w:spacing w:after="120"/>
        <w:ind w:left="357" w:hanging="357"/>
        <w:rPr>
          <w:u w:val="none"/>
        </w:rPr>
      </w:pPr>
      <w:r w:rsidRPr="000C525A">
        <w:rPr>
          <w:u w:val="none"/>
        </w:rPr>
        <w:t>Strategy</w:t>
      </w:r>
    </w:p>
    <w:p w:rsidR="00CD1F17" w:rsidRDefault="006F07A0" w:rsidP="00B571EA">
      <w:pPr>
        <w:spacing w:after="120" w:line="240" w:lineRule="auto"/>
        <w:rPr>
          <w:szCs w:val="22"/>
        </w:rPr>
      </w:pPr>
      <w:r>
        <w:rPr>
          <w:szCs w:val="22"/>
        </w:rPr>
        <w:t>A knowledge management sector was created in 2013. With the support of the external consultant Deloitte (during 4-5 months), it performed a “knowledge maturity scan” of the organisation.</w:t>
      </w:r>
      <w:r w:rsidR="00A956C8">
        <w:rPr>
          <w:szCs w:val="22"/>
        </w:rPr>
        <w:t xml:space="preserve"> Four dimensions were analysed: Technology, process and organisation, people &amp; culture, content and leadership &amp; governance.</w:t>
      </w:r>
      <w:r w:rsidR="00AF1B90">
        <w:rPr>
          <w:szCs w:val="22"/>
        </w:rPr>
        <w:t xml:space="preserve"> After 3-4 preparation meetings, the consultant organized a kick-off event with 100 selected staff members</w:t>
      </w:r>
      <w:r w:rsidR="00E500E5" w:rsidRPr="00E500E5">
        <w:rPr>
          <w:szCs w:val="22"/>
        </w:rPr>
        <w:t xml:space="preserve"> </w:t>
      </w:r>
      <w:r w:rsidR="00E500E5">
        <w:rPr>
          <w:szCs w:val="22"/>
        </w:rPr>
        <w:t>in April 2014</w:t>
      </w:r>
      <w:r w:rsidR="00AF1B90">
        <w:rPr>
          <w:szCs w:val="22"/>
        </w:rPr>
        <w:t>. These staff members were divided in groups and interviewed by the consultant about their view of the current situation and a description of the desired situation. Then the consultant helped each group to define actions to reach this desired situation. After a debriefing meeting with the consultant and a follow-up meeting with 35 team members</w:t>
      </w:r>
      <w:r w:rsidR="00E500E5">
        <w:rPr>
          <w:szCs w:val="22"/>
        </w:rPr>
        <w:t xml:space="preserve"> in July 2014</w:t>
      </w:r>
      <w:r w:rsidR="00AF1B90">
        <w:rPr>
          <w:szCs w:val="22"/>
        </w:rPr>
        <w:t>, the knowledge management team defined the action plan for the following year. The knowledge management team found this support by an external consultant helpful because it gave legitimacy to the approach and the findings and enabled to bring together 100 staff members.</w:t>
      </w:r>
      <w:r w:rsidR="00076D8F">
        <w:rPr>
          <w:szCs w:val="22"/>
        </w:rPr>
        <w:t xml:space="preserve"> However, the consultant only played a role of facilitator and did not bring any specific input on the action plan.</w:t>
      </w:r>
    </w:p>
    <w:p w:rsidR="00055CCA" w:rsidRPr="00055CCA" w:rsidRDefault="00AF1B90" w:rsidP="00055CCA">
      <w:pPr>
        <w:spacing w:after="120" w:line="240" w:lineRule="auto"/>
        <w:rPr>
          <w:szCs w:val="22"/>
        </w:rPr>
      </w:pPr>
      <w:r>
        <w:rPr>
          <w:szCs w:val="22"/>
        </w:rPr>
        <w:t>The result of the assessment was overall good but some specific problems, linked to the organisational structure, were identified, such as working in silos, no sharing of best practices betwe</w:t>
      </w:r>
      <w:r w:rsidR="00055CCA">
        <w:rPr>
          <w:szCs w:val="22"/>
        </w:rPr>
        <w:t xml:space="preserve">en departments and considering knowledge sharing as an additional burden. </w:t>
      </w:r>
      <w:r w:rsidR="00E31699">
        <w:rPr>
          <w:szCs w:val="22"/>
        </w:rPr>
        <w:t>In November 2014, t</w:t>
      </w:r>
      <w:r w:rsidR="00055CCA" w:rsidRPr="00055CCA">
        <w:rPr>
          <w:szCs w:val="22"/>
        </w:rPr>
        <w:t>he following five principles</w:t>
      </w:r>
      <w:r w:rsidR="00E500E5">
        <w:rPr>
          <w:szCs w:val="22"/>
        </w:rPr>
        <w:t xml:space="preserve">, </w:t>
      </w:r>
      <w:r w:rsidR="00E500E5">
        <w:t>adopted in a Directors' meeting,</w:t>
      </w:r>
      <w:r w:rsidR="00055CCA" w:rsidRPr="00055CCA">
        <w:rPr>
          <w:szCs w:val="22"/>
        </w:rPr>
        <w:t xml:space="preserve"> </w:t>
      </w:r>
      <w:r w:rsidR="00055CCA">
        <w:rPr>
          <w:szCs w:val="22"/>
        </w:rPr>
        <w:t>have been identifi</w:t>
      </w:r>
      <w:r w:rsidR="00E31699">
        <w:rPr>
          <w:szCs w:val="22"/>
        </w:rPr>
        <w:t>ed</w:t>
      </w:r>
      <w:r w:rsidR="00055CCA" w:rsidRPr="00055CCA">
        <w:rPr>
          <w:szCs w:val="22"/>
        </w:rPr>
        <w:t xml:space="preserve"> as a foundation for the DGT'</w:t>
      </w:r>
      <w:r w:rsidR="00E31699">
        <w:rPr>
          <w:szCs w:val="22"/>
        </w:rPr>
        <w:t>s knowledge management framework:</w:t>
      </w:r>
    </w:p>
    <w:p w:rsidR="00055CCA" w:rsidRPr="00E31699" w:rsidRDefault="00055CCA" w:rsidP="00E31699">
      <w:pPr>
        <w:pStyle w:val="PargrafodaLista"/>
        <w:numPr>
          <w:ilvl w:val="0"/>
          <w:numId w:val="20"/>
        </w:numPr>
        <w:spacing w:after="120" w:line="240" w:lineRule="auto"/>
        <w:rPr>
          <w:szCs w:val="22"/>
        </w:rPr>
      </w:pPr>
      <w:r w:rsidRPr="00E31699">
        <w:rPr>
          <w:b/>
          <w:szCs w:val="22"/>
        </w:rPr>
        <w:t>My responsibility</w:t>
      </w:r>
      <w:r w:rsidRPr="00E31699">
        <w:rPr>
          <w:szCs w:val="22"/>
        </w:rPr>
        <w:t>: everyone can, and is expected to contribute to a culture of openness and sharing: each one of us can make a difference by the way we work.</w:t>
      </w:r>
    </w:p>
    <w:p w:rsidR="00055CCA" w:rsidRPr="00E31699" w:rsidRDefault="00055CCA" w:rsidP="00E31699">
      <w:pPr>
        <w:pStyle w:val="PargrafodaLista"/>
        <w:numPr>
          <w:ilvl w:val="0"/>
          <w:numId w:val="20"/>
        </w:numPr>
        <w:spacing w:after="120" w:line="240" w:lineRule="auto"/>
        <w:rPr>
          <w:szCs w:val="22"/>
        </w:rPr>
      </w:pPr>
      <w:r w:rsidRPr="00E31699">
        <w:rPr>
          <w:b/>
          <w:szCs w:val="22"/>
        </w:rPr>
        <w:t>Open by default</w:t>
      </w:r>
      <w:r w:rsidRPr="00E31699">
        <w:rPr>
          <w:szCs w:val="22"/>
        </w:rPr>
        <w:t xml:space="preserve">: knowledge sharing works best in an environment that encourages openness, transparency and easy access to information. Open by default applies to all information flows, e.g. to meeting minutes, documents </w:t>
      </w:r>
      <w:r w:rsidR="00E31699">
        <w:rPr>
          <w:szCs w:val="22"/>
        </w:rPr>
        <w:t>in Ares and collaborative sites (with some obvious exceptions)</w:t>
      </w:r>
      <w:r w:rsidRPr="00E31699">
        <w:rPr>
          <w:szCs w:val="22"/>
        </w:rPr>
        <w:t>.</w:t>
      </w:r>
    </w:p>
    <w:p w:rsidR="00055CCA" w:rsidRPr="00E31699" w:rsidRDefault="00055CCA" w:rsidP="00E31699">
      <w:pPr>
        <w:pStyle w:val="PargrafodaLista"/>
        <w:numPr>
          <w:ilvl w:val="0"/>
          <w:numId w:val="20"/>
        </w:numPr>
        <w:spacing w:after="120" w:line="240" w:lineRule="auto"/>
        <w:rPr>
          <w:szCs w:val="22"/>
        </w:rPr>
      </w:pPr>
      <w:r w:rsidRPr="00E31699">
        <w:rPr>
          <w:b/>
          <w:szCs w:val="22"/>
        </w:rPr>
        <w:t>Out of the silo</w:t>
      </w:r>
      <w:r w:rsidRPr="00E31699">
        <w:rPr>
          <w:szCs w:val="22"/>
        </w:rPr>
        <w:t>: knowledge management applies to all entities and processes, across unit/department/directorate boundaries, avoiding creating a "KM silo, dealt with by the KM people".</w:t>
      </w:r>
    </w:p>
    <w:p w:rsidR="00AF1B90" w:rsidRDefault="00055CCA" w:rsidP="00E31699">
      <w:pPr>
        <w:pStyle w:val="PargrafodaLista"/>
        <w:numPr>
          <w:ilvl w:val="0"/>
          <w:numId w:val="20"/>
        </w:numPr>
        <w:spacing w:after="120" w:line="240" w:lineRule="auto"/>
        <w:rPr>
          <w:szCs w:val="22"/>
        </w:rPr>
      </w:pPr>
      <w:r w:rsidRPr="00E31699">
        <w:rPr>
          <w:b/>
          <w:szCs w:val="22"/>
        </w:rPr>
        <w:t>Systemic</w:t>
      </w:r>
      <w:r w:rsidRPr="00E31699">
        <w:rPr>
          <w:szCs w:val="22"/>
        </w:rPr>
        <w:t xml:space="preserve">: always keep in mind the "whole DGT" and the impact on </w:t>
      </w:r>
      <w:r w:rsidR="00E31699">
        <w:rPr>
          <w:szCs w:val="22"/>
        </w:rPr>
        <w:t>its</w:t>
      </w:r>
      <w:r w:rsidRPr="00E31699">
        <w:rPr>
          <w:szCs w:val="22"/>
        </w:rPr>
        <w:t xml:space="preserve"> customers.</w:t>
      </w:r>
    </w:p>
    <w:p w:rsidR="00E31699" w:rsidRPr="00E31699" w:rsidRDefault="00E31699" w:rsidP="00E31699">
      <w:pPr>
        <w:pStyle w:val="PargrafodaLista"/>
        <w:numPr>
          <w:ilvl w:val="0"/>
          <w:numId w:val="20"/>
        </w:numPr>
        <w:spacing w:after="120" w:line="240" w:lineRule="auto"/>
        <w:rPr>
          <w:szCs w:val="22"/>
        </w:rPr>
      </w:pPr>
      <w:r w:rsidRPr="00E31699">
        <w:rPr>
          <w:b/>
          <w:szCs w:val="22"/>
        </w:rPr>
        <w:t xml:space="preserve">Flexibility and Freedom to </w:t>
      </w:r>
      <w:proofErr w:type="gramStart"/>
      <w:r w:rsidRPr="00E31699">
        <w:rPr>
          <w:b/>
          <w:szCs w:val="22"/>
        </w:rPr>
        <w:t>Fail</w:t>
      </w:r>
      <w:proofErr w:type="gramEnd"/>
      <w:r w:rsidRPr="00E31699">
        <w:rPr>
          <w:szCs w:val="22"/>
        </w:rPr>
        <w:t xml:space="preserve"> (3F): KM activities adapt to changes in needs, priorities and working methods. New approaches </w:t>
      </w:r>
      <w:proofErr w:type="gramStart"/>
      <w:r w:rsidRPr="00E31699">
        <w:rPr>
          <w:szCs w:val="22"/>
        </w:rPr>
        <w:t>are tried out and tested</w:t>
      </w:r>
      <w:proofErr w:type="gramEnd"/>
      <w:r w:rsidRPr="00E31699">
        <w:rPr>
          <w:szCs w:val="22"/>
        </w:rPr>
        <w:t>: possibility for failure or less-than-perfect outcome is accepted as an inherent risk; failure can present a learning opportunity.</w:t>
      </w:r>
    </w:p>
    <w:p w:rsidR="00076D8F" w:rsidRDefault="00076D8F" w:rsidP="00B571EA">
      <w:pPr>
        <w:spacing w:after="120" w:line="240" w:lineRule="auto"/>
        <w:rPr>
          <w:szCs w:val="22"/>
        </w:rPr>
      </w:pPr>
      <w:r>
        <w:rPr>
          <w:szCs w:val="22"/>
        </w:rPr>
        <w:t>Specific actions identified in this action plan include the indexation of documents</w:t>
      </w:r>
      <w:r w:rsidR="000E0524">
        <w:rPr>
          <w:szCs w:val="22"/>
        </w:rPr>
        <w:t xml:space="preserve"> (including the creation of a taxonomy), an expert</w:t>
      </w:r>
      <w:r>
        <w:rPr>
          <w:szCs w:val="22"/>
        </w:rPr>
        <w:t xml:space="preserve"> locator (searching for people with specific skills</w:t>
      </w:r>
      <w:r w:rsidR="000E0524">
        <w:rPr>
          <w:szCs w:val="22"/>
        </w:rPr>
        <w:t xml:space="preserve"> based on the </w:t>
      </w:r>
      <w:proofErr w:type="spellStart"/>
      <w:r w:rsidR="000E0524">
        <w:rPr>
          <w:szCs w:val="22"/>
        </w:rPr>
        <w:t>eCV</w:t>
      </w:r>
      <w:proofErr w:type="spellEnd"/>
      <w:r>
        <w:rPr>
          <w:szCs w:val="22"/>
        </w:rPr>
        <w:t xml:space="preserve">), a map </w:t>
      </w:r>
      <w:r w:rsidRPr="00076D8F">
        <w:rPr>
          <w:szCs w:val="22"/>
        </w:rPr>
        <w:t>of all knowledge and knowledge sharing tools</w:t>
      </w:r>
      <w:r>
        <w:rPr>
          <w:szCs w:val="22"/>
        </w:rPr>
        <w:t xml:space="preserve">, some specific trainings (delivered by other DGs) about specialist knowledge and the </w:t>
      </w:r>
      <w:r w:rsidR="000E0524">
        <w:rPr>
          <w:szCs w:val="22"/>
        </w:rPr>
        <w:t xml:space="preserve">discontinuation </w:t>
      </w:r>
      <w:r>
        <w:rPr>
          <w:szCs w:val="22"/>
        </w:rPr>
        <w:t>of obsolete tools.</w:t>
      </w:r>
    </w:p>
    <w:p w:rsidR="00E500E5" w:rsidRDefault="00E31699" w:rsidP="00B571EA">
      <w:pPr>
        <w:spacing w:after="120" w:line="240" w:lineRule="auto"/>
        <w:rPr>
          <w:szCs w:val="22"/>
        </w:rPr>
      </w:pPr>
      <w:r>
        <w:rPr>
          <w:szCs w:val="22"/>
        </w:rPr>
        <w:t>The a</w:t>
      </w:r>
      <w:r w:rsidR="00076D8F">
        <w:rPr>
          <w:szCs w:val="22"/>
        </w:rPr>
        <w:t>ctivities</w:t>
      </w:r>
      <w:r>
        <w:rPr>
          <w:szCs w:val="22"/>
        </w:rPr>
        <w:t xml:space="preserve"> of the Knowledge Management sector were described in the same paper</w:t>
      </w:r>
      <w:r w:rsidR="00E500E5">
        <w:rPr>
          <w:szCs w:val="22"/>
        </w:rPr>
        <w:t xml:space="preserve"> (attached below): Being the </w:t>
      </w:r>
      <w:r w:rsidR="00E500E5" w:rsidRPr="00E500E5">
        <w:rPr>
          <w:szCs w:val="22"/>
        </w:rPr>
        <w:t>central coordination point for knowledge management in DGT, as well as the contact point towards other DGs and institutions in this area.</w:t>
      </w:r>
    </w:p>
    <w:p w:rsidR="006F07A0" w:rsidRPr="00B571EA" w:rsidRDefault="00E31699" w:rsidP="00B571EA">
      <w:pPr>
        <w:spacing w:after="120" w:line="240" w:lineRule="auto"/>
        <w:rPr>
          <w:szCs w:val="22"/>
        </w:rPr>
      </w:pPr>
      <w:r>
        <w:rPr>
          <w:szCs w:val="22"/>
        </w:rPr>
        <w:t xml:space="preserve"> </w:t>
      </w:r>
      <w:r w:rsidR="00E500E5">
        <w:rPr>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2.25pt" o:ole="">
            <v:imagedata r:id="rId8" o:title=""/>
          </v:shape>
          <o:OLEObject Type="Embed" ProgID="AcroExch.Document.11" ShapeID="_x0000_i1025" DrawAspect="Icon" ObjectID="_1504352935" r:id="rId9"/>
        </w:object>
      </w:r>
    </w:p>
    <w:p w:rsidR="000C525A" w:rsidRDefault="000C525A" w:rsidP="000C525A">
      <w:pPr>
        <w:pStyle w:val="Ttulo1"/>
        <w:numPr>
          <w:ilvl w:val="0"/>
          <w:numId w:val="19"/>
        </w:numPr>
        <w:spacing w:after="120"/>
        <w:ind w:left="357" w:hanging="357"/>
        <w:rPr>
          <w:u w:val="none"/>
        </w:rPr>
      </w:pPr>
      <w:r w:rsidRPr="000C525A">
        <w:rPr>
          <w:u w:val="none"/>
        </w:rPr>
        <w:t>Organisation</w:t>
      </w:r>
    </w:p>
    <w:p w:rsidR="007D5376" w:rsidRDefault="008362BA" w:rsidP="007D5376">
      <w:pPr>
        <w:spacing w:after="120" w:line="240" w:lineRule="auto"/>
        <w:rPr>
          <w:szCs w:val="22"/>
        </w:rPr>
      </w:pPr>
      <w:r>
        <w:rPr>
          <w:szCs w:val="22"/>
        </w:rPr>
        <w:t xml:space="preserve">DGT </w:t>
      </w:r>
      <w:r w:rsidR="007D5376" w:rsidRPr="007D5376">
        <w:rPr>
          <w:szCs w:val="22"/>
        </w:rPr>
        <w:t xml:space="preserve">counts approximately </w:t>
      </w:r>
      <w:r>
        <w:rPr>
          <w:szCs w:val="22"/>
        </w:rPr>
        <w:t>3,000</w:t>
      </w:r>
      <w:r w:rsidR="007D5376" w:rsidRPr="007D5376">
        <w:rPr>
          <w:szCs w:val="22"/>
        </w:rPr>
        <w:t xml:space="preserve"> staff members.</w:t>
      </w:r>
    </w:p>
    <w:p w:rsidR="002C1001" w:rsidRDefault="008362BA" w:rsidP="00EB36EF">
      <w:pPr>
        <w:spacing w:after="120" w:line="240" w:lineRule="auto"/>
        <w:rPr>
          <w:szCs w:val="22"/>
        </w:rPr>
      </w:pPr>
      <w:r>
        <w:rPr>
          <w:szCs w:val="22"/>
        </w:rPr>
        <w:t>The Sector Knowledge management</w:t>
      </w:r>
      <w:r w:rsidR="00176220">
        <w:rPr>
          <w:szCs w:val="22"/>
        </w:rPr>
        <w:t>, created in 2013,</w:t>
      </w:r>
      <w:r>
        <w:rPr>
          <w:szCs w:val="22"/>
        </w:rPr>
        <w:t xml:space="preserve"> counts 14 staff members. It includes 10 librarians and 4 FTEs (2 Ads and 2 ASTs) more in charge of the knowledge management strategy.</w:t>
      </w:r>
    </w:p>
    <w:p w:rsidR="00106D4A" w:rsidRDefault="00106D4A" w:rsidP="00EB36EF">
      <w:pPr>
        <w:spacing w:after="120" w:line="240" w:lineRule="auto"/>
        <w:rPr>
          <w:szCs w:val="22"/>
        </w:rPr>
      </w:pPr>
      <w:r>
        <w:rPr>
          <w:szCs w:val="22"/>
        </w:rPr>
        <w:lastRenderedPageBreak/>
        <w:t>This sector is located in the HR Directorate (“Resources”) under the professional and organisational development unit.</w:t>
      </w:r>
    </w:p>
    <w:p w:rsidR="00076D8F" w:rsidRPr="000C525A" w:rsidRDefault="00076D8F" w:rsidP="00076D8F">
      <w:pPr>
        <w:pStyle w:val="Ttulo1"/>
        <w:numPr>
          <w:ilvl w:val="0"/>
          <w:numId w:val="19"/>
        </w:numPr>
        <w:spacing w:after="120"/>
        <w:ind w:left="357" w:hanging="357"/>
        <w:rPr>
          <w:u w:val="none"/>
        </w:rPr>
      </w:pPr>
      <w:r w:rsidRPr="000C525A">
        <w:rPr>
          <w:u w:val="none"/>
        </w:rPr>
        <w:t>Culture/ Change management process</w:t>
      </w:r>
    </w:p>
    <w:p w:rsidR="00076D8F" w:rsidRDefault="00076D8F" w:rsidP="00076D8F">
      <w:pPr>
        <w:spacing w:after="120" w:line="240" w:lineRule="auto"/>
        <w:rPr>
          <w:szCs w:val="22"/>
        </w:rPr>
      </w:pPr>
      <w:r>
        <w:rPr>
          <w:szCs w:val="22"/>
        </w:rPr>
        <w:t>During the whole process, the knowledge management team focused on the “What’s in it for me” for any knowledge management initiative. They also linked knowledge management process to business processes; For example, when a staff member attended a training, s/he was required to prepare a summary of the training for his/ her colleagues.</w:t>
      </w:r>
    </w:p>
    <w:p w:rsidR="00076D8F" w:rsidRDefault="00076D8F" w:rsidP="00076D8F">
      <w:pPr>
        <w:spacing w:after="120" w:line="240" w:lineRule="auto"/>
        <w:rPr>
          <w:szCs w:val="22"/>
        </w:rPr>
      </w:pPr>
      <w:r>
        <w:rPr>
          <w:szCs w:val="22"/>
        </w:rPr>
        <w:t>The knowledge management team leveraged an informal network of ambassadors in all units. They sometimes by-passed the managers to reach out directly to staff members, and sent out “thank-you notes” to these staff members afterwards, cc’ing their managers.</w:t>
      </w:r>
    </w:p>
    <w:p w:rsidR="0049350C" w:rsidRPr="00F1423C" w:rsidRDefault="0049350C" w:rsidP="0049350C">
      <w:pPr>
        <w:pStyle w:val="Ttulo1"/>
        <w:numPr>
          <w:ilvl w:val="0"/>
          <w:numId w:val="19"/>
        </w:numPr>
        <w:spacing w:after="120" w:line="240" w:lineRule="auto"/>
        <w:ind w:left="357" w:hanging="357"/>
        <w:rPr>
          <w:szCs w:val="22"/>
          <w:u w:val="none"/>
        </w:rPr>
      </w:pPr>
      <w:r w:rsidRPr="00F1423C">
        <w:rPr>
          <w:szCs w:val="22"/>
          <w:u w:val="none"/>
        </w:rPr>
        <w:t>Contacts</w:t>
      </w:r>
    </w:p>
    <w:p w:rsidR="0049350C" w:rsidRPr="0082211E" w:rsidRDefault="008362BA" w:rsidP="0049350C">
      <w:pPr>
        <w:spacing w:after="0" w:line="240" w:lineRule="auto"/>
        <w:rPr>
          <w:b/>
          <w:caps/>
          <w:kern w:val="24"/>
          <w:sz w:val="20"/>
        </w:rPr>
      </w:pPr>
      <w:proofErr w:type="spellStart"/>
      <w:r>
        <w:rPr>
          <w:szCs w:val="22"/>
        </w:rPr>
        <w:t>Gianluca</w:t>
      </w:r>
      <w:proofErr w:type="spellEnd"/>
      <w:r>
        <w:rPr>
          <w:szCs w:val="22"/>
        </w:rPr>
        <w:t xml:space="preserve"> Turco</w:t>
      </w:r>
      <w:r w:rsidR="0049350C" w:rsidRPr="0049350C">
        <w:rPr>
          <w:szCs w:val="22"/>
        </w:rPr>
        <w:t xml:space="preserve">, </w:t>
      </w:r>
      <w:r>
        <w:rPr>
          <w:szCs w:val="22"/>
        </w:rPr>
        <w:t>Head of Sector Knowledge Management</w:t>
      </w:r>
      <w:r w:rsidR="0049350C" w:rsidRPr="0049350C">
        <w:rPr>
          <w:szCs w:val="22"/>
        </w:rPr>
        <w:t xml:space="preserve"> (</w:t>
      </w:r>
      <w:r>
        <w:rPr>
          <w:rFonts w:ascii="Helv" w:hAnsi="Helv" w:cs="Helv"/>
          <w:sz w:val="18"/>
          <w:szCs w:val="18"/>
        </w:rPr>
        <w:t>Gianluca.turco</w:t>
      </w:r>
      <w:r w:rsidR="00E4074C" w:rsidRPr="008362BA">
        <w:rPr>
          <w:rFonts w:ascii="Helv" w:hAnsi="Helv" w:cs="Helv"/>
          <w:sz w:val="18"/>
          <w:szCs w:val="18"/>
        </w:rPr>
        <w:t>@ec.europa.</w:t>
      </w:r>
      <w:r>
        <w:rPr>
          <w:rFonts w:ascii="Helv" w:hAnsi="Helv" w:cs="Helv"/>
          <w:sz w:val="18"/>
          <w:szCs w:val="18"/>
        </w:rPr>
        <w:t>eu</w:t>
      </w:r>
      <w:r w:rsidR="00E4074C">
        <w:rPr>
          <w:rFonts w:ascii="Helv" w:hAnsi="Helv" w:cs="Helv"/>
          <w:color w:val="000000"/>
          <w:sz w:val="18"/>
          <w:szCs w:val="18"/>
        </w:rPr>
        <w:t xml:space="preserve">, </w:t>
      </w:r>
      <w:r>
        <w:rPr>
          <w:rFonts w:ascii="Helv" w:hAnsi="Helv" w:cs="Helv"/>
          <w:color w:val="000000"/>
          <w:sz w:val="18"/>
          <w:szCs w:val="18"/>
        </w:rPr>
        <w:t>21241</w:t>
      </w:r>
      <w:r w:rsidR="0049350C" w:rsidRPr="0049350C">
        <w:rPr>
          <w:szCs w:val="22"/>
        </w:rPr>
        <w:t>)</w:t>
      </w:r>
      <w:r w:rsidR="00E500E5">
        <w:rPr>
          <w:szCs w:val="22"/>
        </w:rPr>
        <w:t>.</w:t>
      </w:r>
    </w:p>
    <w:sectPr w:rsidR="0049350C" w:rsidRPr="0082211E" w:rsidSect="002C249D">
      <w:headerReference w:type="default" r:id="rId10"/>
      <w:footerReference w:type="default" r:id="rId11"/>
      <w:endnotePr>
        <w:numFmt w:val="decimal"/>
      </w:endnotePr>
      <w:pgSz w:w="11907" w:h="16840" w:code="9"/>
      <w:pgMar w:top="720" w:right="720" w:bottom="720" w:left="1134" w:header="1134"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400" w:rsidRDefault="00385400">
      <w:r>
        <w:separator/>
      </w:r>
    </w:p>
  </w:endnote>
  <w:endnote w:type="continuationSeparator" w:id="0">
    <w:p w:rsidR="00385400" w:rsidRDefault="0038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A5" w:rsidRDefault="00E50337">
    <w:pPr>
      <w:tabs>
        <w:tab w:val="center" w:pos="4253"/>
        <w:tab w:val="right" w:pos="8789"/>
      </w:tabs>
    </w:pPr>
    <w:r>
      <w:rPr>
        <w:lang w:val="fr-BE"/>
      </w:rPr>
      <w:t>19/06/2015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400" w:rsidRDefault="00385400">
      <w:r>
        <w:separator/>
      </w:r>
    </w:p>
  </w:footnote>
  <w:footnote w:type="continuationSeparator" w:id="0">
    <w:p w:rsidR="00385400" w:rsidRDefault="00385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A5" w:rsidRDefault="007B6AA5">
    <w:pPr>
      <w:tabs>
        <w:tab w:val="center" w:pos="4395"/>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 w15:restartNumberingAfterBreak="0">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2" w15:restartNumberingAfterBreak="0">
    <w:nsid w:val="1AAC5BE4"/>
    <w:multiLevelType w:val="hybridMultilevel"/>
    <w:tmpl w:val="1D92AEF4"/>
    <w:lvl w:ilvl="0" w:tplc="BF34E3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45E47E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Ttulo6"/>
      <w:lvlText w:val="%6)"/>
      <w:lvlJc w:val="left"/>
      <w:pPr>
        <w:tabs>
          <w:tab w:val="num" w:pos="1571"/>
        </w:tabs>
        <w:ind w:left="1134" w:hanging="283"/>
      </w:pPr>
      <w:rPr>
        <w:rFonts w:ascii="Times New Roman" w:hAnsi="Times New Roman" w:hint="default"/>
        <w:sz w:val="22"/>
      </w:rPr>
    </w:lvl>
    <w:lvl w:ilvl="6">
      <w:start w:val="1"/>
      <w:numFmt w:val="lowerRoman"/>
      <w:pStyle w:val="Ttulo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abstractNum w:abstractNumId="8" w15:restartNumberingAfterBreak="0">
    <w:nsid w:val="75755AD7"/>
    <w:multiLevelType w:val="hybridMultilevel"/>
    <w:tmpl w:val="77D22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2A6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0"/>
  </w:num>
  <w:num w:numId="4">
    <w:abstractNumId w:val="6"/>
  </w:num>
  <w:num w:numId="5">
    <w:abstractNumId w:val="4"/>
  </w:num>
  <w:num w:numId="6">
    <w:abstractNumId w:val="4"/>
  </w:num>
  <w:num w:numId="7">
    <w:abstractNumId w:val="7"/>
  </w:num>
  <w:num w:numId="8">
    <w:abstractNumId w:val="1"/>
  </w:num>
  <w:num w:numId="9">
    <w:abstractNumId w:val="6"/>
  </w:num>
  <w:num w:numId="10">
    <w:abstractNumId w:val="6"/>
  </w:num>
  <w:num w:numId="11">
    <w:abstractNumId w:val="4"/>
  </w:num>
  <w:num w:numId="12">
    <w:abstractNumId w:val="4"/>
  </w:num>
  <w:num w:numId="13">
    <w:abstractNumId w:val="4"/>
  </w:num>
  <w:num w:numId="14">
    <w:abstractNumId w:val="4"/>
  </w:num>
  <w:num w:numId="15">
    <w:abstractNumId w:val="4"/>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8"/>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5A"/>
    <w:rsid w:val="00001E0E"/>
    <w:rsid w:val="0002782F"/>
    <w:rsid w:val="00033158"/>
    <w:rsid w:val="00055CCA"/>
    <w:rsid w:val="00066644"/>
    <w:rsid w:val="00066961"/>
    <w:rsid w:val="000701C2"/>
    <w:rsid w:val="0007070B"/>
    <w:rsid w:val="00076AD6"/>
    <w:rsid w:val="00076D8F"/>
    <w:rsid w:val="00082C1D"/>
    <w:rsid w:val="00096BB0"/>
    <w:rsid w:val="000A36F6"/>
    <w:rsid w:val="000B47B1"/>
    <w:rsid w:val="000C2A0F"/>
    <w:rsid w:val="000C525A"/>
    <w:rsid w:val="000D6EA0"/>
    <w:rsid w:val="000E0524"/>
    <w:rsid w:val="000E5215"/>
    <w:rsid w:val="000F7744"/>
    <w:rsid w:val="001043BE"/>
    <w:rsid w:val="00106D4A"/>
    <w:rsid w:val="00126AF1"/>
    <w:rsid w:val="001311EC"/>
    <w:rsid w:val="00144DED"/>
    <w:rsid w:val="00155764"/>
    <w:rsid w:val="00157947"/>
    <w:rsid w:val="0016350D"/>
    <w:rsid w:val="00163A61"/>
    <w:rsid w:val="00166B26"/>
    <w:rsid w:val="00176220"/>
    <w:rsid w:val="00191440"/>
    <w:rsid w:val="00197108"/>
    <w:rsid w:val="00197A0F"/>
    <w:rsid w:val="001A1AE0"/>
    <w:rsid w:val="001C0C0D"/>
    <w:rsid w:val="001C43A6"/>
    <w:rsid w:val="001C7BBD"/>
    <w:rsid w:val="001E5A5E"/>
    <w:rsid w:val="001F0F2A"/>
    <w:rsid w:val="001F24D3"/>
    <w:rsid w:val="00201AC2"/>
    <w:rsid w:val="0021469F"/>
    <w:rsid w:val="00236787"/>
    <w:rsid w:val="002368EC"/>
    <w:rsid w:val="00253021"/>
    <w:rsid w:val="002745E0"/>
    <w:rsid w:val="00284473"/>
    <w:rsid w:val="002B5CBB"/>
    <w:rsid w:val="002C1001"/>
    <w:rsid w:val="002C249D"/>
    <w:rsid w:val="002D1765"/>
    <w:rsid w:val="002F4969"/>
    <w:rsid w:val="00310056"/>
    <w:rsid w:val="00317729"/>
    <w:rsid w:val="00320DEF"/>
    <w:rsid w:val="00321D5F"/>
    <w:rsid w:val="00335FCF"/>
    <w:rsid w:val="00337F91"/>
    <w:rsid w:val="0035613B"/>
    <w:rsid w:val="00357574"/>
    <w:rsid w:val="00361E51"/>
    <w:rsid w:val="00371E27"/>
    <w:rsid w:val="0037229D"/>
    <w:rsid w:val="0038120D"/>
    <w:rsid w:val="00382CBE"/>
    <w:rsid w:val="00383F14"/>
    <w:rsid w:val="00384BF1"/>
    <w:rsid w:val="00385400"/>
    <w:rsid w:val="00387148"/>
    <w:rsid w:val="00396225"/>
    <w:rsid w:val="003D1051"/>
    <w:rsid w:val="003D7FD3"/>
    <w:rsid w:val="003E4296"/>
    <w:rsid w:val="003F2DC4"/>
    <w:rsid w:val="00414289"/>
    <w:rsid w:val="0041580F"/>
    <w:rsid w:val="00431480"/>
    <w:rsid w:val="00431E1E"/>
    <w:rsid w:val="00443908"/>
    <w:rsid w:val="00451301"/>
    <w:rsid w:val="00466B33"/>
    <w:rsid w:val="00471928"/>
    <w:rsid w:val="004744FE"/>
    <w:rsid w:val="00474B90"/>
    <w:rsid w:val="00484432"/>
    <w:rsid w:val="004917E0"/>
    <w:rsid w:val="0049350C"/>
    <w:rsid w:val="004A179E"/>
    <w:rsid w:val="004A78D3"/>
    <w:rsid w:val="004B3329"/>
    <w:rsid w:val="004B7F07"/>
    <w:rsid w:val="004D1BD2"/>
    <w:rsid w:val="004D5D60"/>
    <w:rsid w:val="004F4356"/>
    <w:rsid w:val="00510CD4"/>
    <w:rsid w:val="00512F86"/>
    <w:rsid w:val="00522C19"/>
    <w:rsid w:val="0052749A"/>
    <w:rsid w:val="0057383A"/>
    <w:rsid w:val="005761C3"/>
    <w:rsid w:val="00577361"/>
    <w:rsid w:val="00581787"/>
    <w:rsid w:val="00591212"/>
    <w:rsid w:val="00591DF3"/>
    <w:rsid w:val="005A2375"/>
    <w:rsid w:val="005B0339"/>
    <w:rsid w:val="005B64B1"/>
    <w:rsid w:val="005B7FE9"/>
    <w:rsid w:val="005C162C"/>
    <w:rsid w:val="005D2BB4"/>
    <w:rsid w:val="005E6BD1"/>
    <w:rsid w:val="005F48EE"/>
    <w:rsid w:val="005F7041"/>
    <w:rsid w:val="005F73A4"/>
    <w:rsid w:val="00612B8B"/>
    <w:rsid w:val="00655577"/>
    <w:rsid w:val="006576B1"/>
    <w:rsid w:val="0066365E"/>
    <w:rsid w:val="00664AC5"/>
    <w:rsid w:val="006728AB"/>
    <w:rsid w:val="0068004E"/>
    <w:rsid w:val="00692FAB"/>
    <w:rsid w:val="006A38F3"/>
    <w:rsid w:val="006A749D"/>
    <w:rsid w:val="006A7E19"/>
    <w:rsid w:val="006B06E0"/>
    <w:rsid w:val="006B39C3"/>
    <w:rsid w:val="006B762C"/>
    <w:rsid w:val="006E6C5C"/>
    <w:rsid w:val="006F07A0"/>
    <w:rsid w:val="006F6078"/>
    <w:rsid w:val="006F7B9F"/>
    <w:rsid w:val="007025B3"/>
    <w:rsid w:val="007067B1"/>
    <w:rsid w:val="00715D85"/>
    <w:rsid w:val="007500FF"/>
    <w:rsid w:val="00752A1D"/>
    <w:rsid w:val="00763F6C"/>
    <w:rsid w:val="00766F1D"/>
    <w:rsid w:val="00786C04"/>
    <w:rsid w:val="00792202"/>
    <w:rsid w:val="007B46AD"/>
    <w:rsid w:val="007B69B2"/>
    <w:rsid w:val="007B6AA5"/>
    <w:rsid w:val="007C0C24"/>
    <w:rsid w:val="007C3DC6"/>
    <w:rsid w:val="007C486D"/>
    <w:rsid w:val="007C753F"/>
    <w:rsid w:val="007C7587"/>
    <w:rsid w:val="007D1D86"/>
    <w:rsid w:val="007D3E3A"/>
    <w:rsid w:val="007D5376"/>
    <w:rsid w:val="007F6E22"/>
    <w:rsid w:val="00802645"/>
    <w:rsid w:val="0082185F"/>
    <w:rsid w:val="0082211E"/>
    <w:rsid w:val="008245FA"/>
    <w:rsid w:val="0082750A"/>
    <w:rsid w:val="00834560"/>
    <w:rsid w:val="008362BA"/>
    <w:rsid w:val="00846C5F"/>
    <w:rsid w:val="008476F3"/>
    <w:rsid w:val="00862C7A"/>
    <w:rsid w:val="00864FEE"/>
    <w:rsid w:val="00874873"/>
    <w:rsid w:val="008826C9"/>
    <w:rsid w:val="00882B14"/>
    <w:rsid w:val="00886C8F"/>
    <w:rsid w:val="00891A29"/>
    <w:rsid w:val="00892D53"/>
    <w:rsid w:val="008A743A"/>
    <w:rsid w:val="008B3A1D"/>
    <w:rsid w:val="008B5248"/>
    <w:rsid w:val="008C3152"/>
    <w:rsid w:val="008D524E"/>
    <w:rsid w:val="008D69E2"/>
    <w:rsid w:val="008D7EAF"/>
    <w:rsid w:val="008E589D"/>
    <w:rsid w:val="008F3DA2"/>
    <w:rsid w:val="008F6CBE"/>
    <w:rsid w:val="00905CBB"/>
    <w:rsid w:val="009322DD"/>
    <w:rsid w:val="009434ED"/>
    <w:rsid w:val="00952F70"/>
    <w:rsid w:val="00957F65"/>
    <w:rsid w:val="009668E2"/>
    <w:rsid w:val="009701A3"/>
    <w:rsid w:val="009809F7"/>
    <w:rsid w:val="00983F21"/>
    <w:rsid w:val="00987C94"/>
    <w:rsid w:val="00994576"/>
    <w:rsid w:val="009A5FE0"/>
    <w:rsid w:val="009B54B3"/>
    <w:rsid w:val="009C0B70"/>
    <w:rsid w:val="009C7952"/>
    <w:rsid w:val="009D0858"/>
    <w:rsid w:val="009E16A1"/>
    <w:rsid w:val="009F4E46"/>
    <w:rsid w:val="009F605C"/>
    <w:rsid w:val="00A0313B"/>
    <w:rsid w:val="00A060D0"/>
    <w:rsid w:val="00A12EBB"/>
    <w:rsid w:val="00A14070"/>
    <w:rsid w:val="00A20091"/>
    <w:rsid w:val="00A23A2B"/>
    <w:rsid w:val="00A27DA0"/>
    <w:rsid w:val="00A518FA"/>
    <w:rsid w:val="00A55185"/>
    <w:rsid w:val="00A56A8A"/>
    <w:rsid w:val="00A7026C"/>
    <w:rsid w:val="00A74AD4"/>
    <w:rsid w:val="00A837C7"/>
    <w:rsid w:val="00A86F77"/>
    <w:rsid w:val="00A956C8"/>
    <w:rsid w:val="00AC0B63"/>
    <w:rsid w:val="00AD7EEE"/>
    <w:rsid w:val="00AE0487"/>
    <w:rsid w:val="00AE4C1F"/>
    <w:rsid w:val="00AF1B90"/>
    <w:rsid w:val="00AF5E96"/>
    <w:rsid w:val="00B05653"/>
    <w:rsid w:val="00B12E78"/>
    <w:rsid w:val="00B16F64"/>
    <w:rsid w:val="00B202A2"/>
    <w:rsid w:val="00B33797"/>
    <w:rsid w:val="00B42A7C"/>
    <w:rsid w:val="00B46280"/>
    <w:rsid w:val="00B46E7C"/>
    <w:rsid w:val="00B47C3A"/>
    <w:rsid w:val="00B571EA"/>
    <w:rsid w:val="00B578C7"/>
    <w:rsid w:val="00B60BBA"/>
    <w:rsid w:val="00B62905"/>
    <w:rsid w:val="00B6407C"/>
    <w:rsid w:val="00B643E6"/>
    <w:rsid w:val="00B73216"/>
    <w:rsid w:val="00B832CD"/>
    <w:rsid w:val="00B9643C"/>
    <w:rsid w:val="00BA0002"/>
    <w:rsid w:val="00BA19A7"/>
    <w:rsid w:val="00BB64D2"/>
    <w:rsid w:val="00BE4D42"/>
    <w:rsid w:val="00C07F0A"/>
    <w:rsid w:val="00C1013A"/>
    <w:rsid w:val="00C13FF8"/>
    <w:rsid w:val="00C30EBC"/>
    <w:rsid w:val="00C3400E"/>
    <w:rsid w:val="00C3492B"/>
    <w:rsid w:val="00C37980"/>
    <w:rsid w:val="00C41664"/>
    <w:rsid w:val="00C502A8"/>
    <w:rsid w:val="00C6183A"/>
    <w:rsid w:val="00C66B2D"/>
    <w:rsid w:val="00C90A84"/>
    <w:rsid w:val="00CA4972"/>
    <w:rsid w:val="00CB037E"/>
    <w:rsid w:val="00CB2631"/>
    <w:rsid w:val="00CB676E"/>
    <w:rsid w:val="00CD0458"/>
    <w:rsid w:val="00CD1F17"/>
    <w:rsid w:val="00CD2D97"/>
    <w:rsid w:val="00CE13C8"/>
    <w:rsid w:val="00CF15E5"/>
    <w:rsid w:val="00CF3A7F"/>
    <w:rsid w:val="00CF7968"/>
    <w:rsid w:val="00D127D4"/>
    <w:rsid w:val="00D13AC2"/>
    <w:rsid w:val="00D13F50"/>
    <w:rsid w:val="00D15A89"/>
    <w:rsid w:val="00D22D2E"/>
    <w:rsid w:val="00D25BB2"/>
    <w:rsid w:val="00D32204"/>
    <w:rsid w:val="00D40CF5"/>
    <w:rsid w:val="00D40DF4"/>
    <w:rsid w:val="00D4539A"/>
    <w:rsid w:val="00D47223"/>
    <w:rsid w:val="00D54BA4"/>
    <w:rsid w:val="00D57575"/>
    <w:rsid w:val="00D6095C"/>
    <w:rsid w:val="00DC1F3A"/>
    <w:rsid w:val="00DC6B95"/>
    <w:rsid w:val="00DE2107"/>
    <w:rsid w:val="00E10A86"/>
    <w:rsid w:val="00E123BA"/>
    <w:rsid w:val="00E22E89"/>
    <w:rsid w:val="00E2526B"/>
    <w:rsid w:val="00E252C1"/>
    <w:rsid w:val="00E31699"/>
    <w:rsid w:val="00E31BCD"/>
    <w:rsid w:val="00E4023F"/>
    <w:rsid w:val="00E4074C"/>
    <w:rsid w:val="00E500E5"/>
    <w:rsid w:val="00E50337"/>
    <w:rsid w:val="00E5491C"/>
    <w:rsid w:val="00E62D8B"/>
    <w:rsid w:val="00E67FFC"/>
    <w:rsid w:val="00E75FC9"/>
    <w:rsid w:val="00E80123"/>
    <w:rsid w:val="00E916E1"/>
    <w:rsid w:val="00E91CBD"/>
    <w:rsid w:val="00E9681B"/>
    <w:rsid w:val="00EA341B"/>
    <w:rsid w:val="00EB36EF"/>
    <w:rsid w:val="00EC69B8"/>
    <w:rsid w:val="00ED4055"/>
    <w:rsid w:val="00ED4D79"/>
    <w:rsid w:val="00EE1377"/>
    <w:rsid w:val="00EE198B"/>
    <w:rsid w:val="00F24BD6"/>
    <w:rsid w:val="00F264AA"/>
    <w:rsid w:val="00F36692"/>
    <w:rsid w:val="00F36B24"/>
    <w:rsid w:val="00F47945"/>
    <w:rsid w:val="00F57EDF"/>
    <w:rsid w:val="00F6018A"/>
    <w:rsid w:val="00F6428E"/>
    <w:rsid w:val="00F66959"/>
    <w:rsid w:val="00F676B1"/>
    <w:rsid w:val="00F77C91"/>
    <w:rsid w:val="00F81CEC"/>
    <w:rsid w:val="00FA2F6A"/>
    <w:rsid w:val="00FB6771"/>
    <w:rsid w:val="00FC0165"/>
    <w:rsid w:val="00FC53CA"/>
    <w:rsid w:val="00FD62C1"/>
    <w:rsid w:val="00FD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A1386D-6A7A-4DFC-834D-1EE26256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9D"/>
    <w:pPr>
      <w:spacing w:after="240" w:line="360" w:lineRule="auto"/>
    </w:pPr>
    <w:rPr>
      <w:rFonts w:ascii="Calibri" w:hAnsi="Calibri"/>
      <w:sz w:val="22"/>
    </w:rPr>
  </w:style>
  <w:style w:type="paragraph" w:styleId="Ttulo1">
    <w:name w:val="heading 1"/>
    <w:basedOn w:val="HeadingBase"/>
    <w:next w:val="Normal"/>
    <w:link w:val="Ttulo1Char"/>
    <w:qFormat/>
    <w:rsid w:val="008B3A1D"/>
    <w:pPr>
      <w:outlineLvl w:val="0"/>
    </w:pPr>
    <w:rPr>
      <w:b/>
      <w:caps/>
      <w:kern w:val="24"/>
      <w:u w:val="single"/>
    </w:rPr>
  </w:style>
  <w:style w:type="paragraph" w:styleId="Ttulo2">
    <w:name w:val="heading 2"/>
    <w:basedOn w:val="HeadingBase"/>
    <w:next w:val="Normal"/>
    <w:qFormat/>
    <w:rsid w:val="008B3A1D"/>
    <w:pPr>
      <w:outlineLvl w:val="1"/>
    </w:pPr>
    <w:rPr>
      <w:b/>
      <w:i/>
    </w:rPr>
  </w:style>
  <w:style w:type="paragraph" w:styleId="Ttulo3">
    <w:name w:val="heading 3"/>
    <w:basedOn w:val="HeadingBase"/>
    <w:next w:val="Normal"/>
    <w:qFormat/>
    <w:rsid w:val="008B3A1D"/>
    <w:pPr>
      <w:outlineLvl w:val="2"/>
    </w:pPr>
    <w:rPr>
      <w:b/>
    </w:rPr>
  </w:style>
  <w:style w:type="paragraph" w:styleId="Ttulo4">
    <w:name w:val="heading 4"/>
    <w:basedOn w:val="HeadingBase"/>
    <w:next w:val="Normal"/>
    <w:qFormat/>
    <w:rsid w:val="008B3A1D"/>
    <w:pPr>
      <w:outlineLvl w:val="3"/>
    </w:pPr>
    <w:rPr>
      <w:u w:val="single"/>
    </w:rPr>
  </w:style>
  <w:style w:type="paragraph" w:styleId="Ttulo5">
    <w:name w:val="heading 5"/>
    <w:basedOn w:val="HeadingBase"/>
    <w:next w:val="Normal"/>
    <w:qFormat/>
    <w:rsid w:val="008B3A1D"/>
    <w:pPr>
      <w:outlineLvl w:val="4"/>
    </w:pPr>
    <w:rPr>
      <w:i/>
    </w:rPr>
  </w:style>
  <w:style w:type="paragraph" w:styleId="Ttulo6">
    <w:name w:val="heading 6"/>
    <w:basedOn w:val="Normal"/>
    <w:next w:val="Normal"/>
    <w:qFormat/>
    <w:rsid w:val="002C249D"/>
    <w:pPr>
      <w:numPr>
        <w:ilvl w:val="5"/>
        <w:numId w:val="10"/>
      </w:numPr>
      <w:spacing w:before="240" w:after="60"/>
      <w:outlineLvl w:val="5"/>
    </w:pPr>
    <w:rPr>
      <w:rFonts w:ascii="Times New Roman" w:hAnsi="Times New Roman"/>
      <w:i/>
    </w:rPr>
  </w:style>
  <w:style w:type="paragraph" w:styleId="Ttulo7">
    <w:name w:val="heading 7"/>
    <w:basedOn w:val="Normal"/>
    <w:next w:val="Normal"/>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Refdenotadefim">
    <w:name w:val="endnote reference"/>
    <w:semiHidden/>
    <w:rsid w:val="008B3A1D"/>
    <w:rPr>
      <w:rFonts w:ascii="Arial" w:hAnsi="Arial"/>
      <w:b/>
      <w:vertAlign w:val="superscript"/>
    </w:rPr>
  </w:style>
  <w:style w:type="paragraph" w:styleId="Textodenotadefim">
    <w:name w:val="endnote text"/>
    <w:basedOn w:val="TemplateBase"/>
    <w:link w:val="TextodenotadefimChar"/>
    <w:semiHidden/>
    <w:rsid w:val="008B3A1D"/>
    <w:pPr>
      <w:keepLines/>
      <w:spacing w:line="240" w:lineRule="auto"/>
      <w:ind w:left="454" w:hanging="454"/>
    </w:pPr>
  </w:style>
  <w:style w:type="character" w:customStyle="1" w:styleId="TextodenotadefimChar">
    <w:name w:val="Texto de nota de fim Char"/>
    <w:basedOn w:val="Fontepargpadro"/>
    <w:link w:val="Textodenotadefim"/>
    <w:semiHidden/>
    <w:rsid w:val="008B3A1D"/>
    <w:rPr>
      <w:rFonts w:ascii="Arial" w:hAnsi="Arial"/>
      <w:sz w:val="22"/>
    </w:rPr>
  </w:style>
  <w:style w:type="paragraph" w:styleId="Rodap">
    <w:name w:val="footer"/>
    <w:basedOn w:val="TemplateBase"/>
    <w:link w:val="RodapChar"/>
    <w:rsid w:val="008B3A1D"/>
    <w:pPr>
      <w:tabs>
        <w:tab w:val="center" w:pos="4153"/>
        <w:tab w:val="right" w:pos="8306"/>
      </w:tabs>
    </w:pPr>
    <w:rPr>
      <w:sz w:val="20"/>
    </w:rPr>
  </w:style>
  <w:style w:type="character" w:customStyle="1" w:styleId="RodapChar">
    <w:name w:val="Rodapé Char"/>
    <w:basedOn w:val="Fontepargpadro"/>
    <w:link w:val="Rodap"/>
    <w:rsid w:val="008B3A1D"/>
    <w:rPr>
      <w:rFonts w:ascii="Arial" w:hAnsi="Arial"/>
    </w:rPr>
  </w:style>
  <w:style w:type="character" w:styleId="Refdenotaderodap">
    <w:name w:val="footnote reference"/>
    <w:semiHidden/>
    <w:rsid w:val="008B3A1D"/>
    <w:rPr>
      <w:rFonts w:ascii="Arial" w:hAnsi="Arial"/>
      <w:b/>
      <w:vertAlign w:val="superscript"/>
    </w:rPr>
  </w:style>
  <w:style w:type="paragraph" w:styleId="Textodenotaderodap">
    <w:name w:val="footnote text"/>
    <w:basedOn w:val="TemplateBase"/>
    <w:link w:val="TextodenotaderodapChar"/>
    <w:semiHidden/>
    <w:rsid w:val="008B3A1D"/>
    <w:pPr>
      <w:spacing w:line="240" w:lineRule="auto"/>
      <w:ind w:left="454" w:hanging="454"/>
    </w:pPr>
  </w:style>
  <w:style w:type="character" w:customStyle="1" w:styleId="TextodenotaderodapChar">
    <w:name w:val="Texto de nota de rodapé Char"/>
    <w:basedOn w:val="Fontepargpadro"/>
    <w:link w:val="Textodenotaderodap"/>
    <w:semiHidden/>
    <w:rsid w:val="008B3A1D"/>
    <w:rPr>
      <w:rFonts w:ascii="Arial" w:hAnsi="Arial"/>
      <w:sz w:val="22"/>
    </w:rPr>
  </w:style>
  <w:style w:type="paragraph" w:styleId="Cabealho">
    <w:name w:val="header"/>
    <w:basedOn w:val="TemplateBase"/>
    <w:link w:val="CabealhoChar"/>
    <w:rsid w:val="008B3A1D"/>
    <w:pPr>
      <w:tabs>
        <w:tab w:val="center" w:pos="4320"/>
        <w:tab w:val="right" w:pos="8640"/>
      </w:tabs>
    </w:pPr>
  </w:style>
  <w:style w:type="character" w:customStyle="1" w:styleId="CabealhoChar">
    <w:name w:val="Cabeçalho Char"/>
    <w:basedOn w:val="Fontepargpadro"/>
    <w:link w:val="Cabealho"/>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Nmerodepgina">
    <w:name w:val="page number"/>
    <w:basedOn w:val="Fontepargpadro"/>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Ttulo1"/>
    <w:rsid w:val="008B3A1D"/>
    <w:pPr>
      <w:numPr>
        <w:numId w:val="16"/>
      </w:numPr>
    </w:pPr>
    <w:rPr>
      <w:u w:val="none"/>
    </w:rPr>
  </w:style>
  <w:style w:type="paragraph" w:styleId="Assinatura">
    <w:name w:val="Signature"/>
    <w:basedOn w:val="TemplateBase"/>
    <w:link w:val="AssinaturaChar"/>
    <w:rsid w:val="008B3A1D"/>
    <w:pPr>
      <w:keepNext/>
      <w:spacing w:before="360" w:after="360" w:line="240" w:lineRule="auto"/>
      <w:ind w:left="5103"/>
      <w:jc w:val="center"/>
    </w:pPr>
  </w:style>
  <w:style w:type="character" w:customStyle="1" w:styleId="AssinaturaChar">
    <w:name w:val="Assinatura Char"/>
    <w:basedOn w:val="Fontepargpadro"/>
    <w:link w:val="Assinatura"/>
    <w:rsid w:val="008B3A1D"/>
    <w:rPr>
      <w:rFonts w:ascii="Arial" w:hAnsi="Arial"/>
      <w:sz w:val="24"/>
    </w:rPr>
  </w:style>
  <w:style w:type="paragraph" w:customStyle="1" w:styleId="SignaturePrsident">
    <w:name w:val="Signature Président"/>
    <w:basedOn w:val="Normal"/>
    <w:next w:val="Normal"/>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Sumrio1">
    <w:name w:val="toc 1"/>
    <w:basedOn w:val="TOCBase"/>
    <w:autoRedefine/>
    <w:semiHidden/>
    <w:rsid w:val="008B3A1D"/>
    <w:pPr>
      <w:tabs>
        <w:tab w:val="left" w:pos="7655"/>
      </w:tabs>
    </w:pPr>
  </w:style>
  <w:style w:type="paragraph" w:styleId="Sumrio2">
    <w:name w:val="toc 2"/>
    <w:basedOn w:val="TOCBase"/>
    <w:autoRedefine/>
    <w:semiHidden/>
    <w:rsid w:val="008B3A1D"/>
    <w:pPr>
      <w:tabs>
        <w:tab w:val="left" w:pos="7655"/>
      </w:tabs>
      <w:ind w:left="454"/>
    </w:pPr>
  </w:style>
  <w:style w:type="paragraph" w:styleId="Sumrio3">
    <w:name w:val="toc 3"/>
    <w:basedOn w:val="TOCBase"/>
    <w:autoRedefine/>
    <w:semiHidden/>
    <w:rsid w:val="008B3A1D"/>
    <w:pPr>
      <w:tabs>
        <w:tab w:val="left" w:pos="7655"/>
      </w:tabs>
      <w:ind w:left="851"/>
    </w:pPr>
  </w:style>
  <w:style w:type="paragraph" w:styleId="Sumrio4">
    <w:name w:val="toc 4"/>
    <w:basedOn w:val="TOCBase"/>
    <w:next w:val="Normal"/>
    <w:autoRedefine/>
    <w:semiHidden/>
    <w:rsid w:val="008B3A1D"/>
    <w:pPr>
      <w:ind w:left="720"/>
    </w:pPr>
  </w:style>
  <w:style w:type="paragraph" w:styleId="Sumrio5">
    <w:name w:val="toc 5"/>
    <w:basedOn w:val="TOCBase"/>
    <w:next w:val="Normal"/>
    <w:autoRedefine/>
    <w:semiHidden/>
    <w:rsid w:val="008B3A1D"/>
    <w:pPr>
      <w:ind w:left="960"/>
    </w:pPr>
  </w:style>
  <w:style w:type="table" w:styleId="Tabelacomgrade">
    <w:name w:val="Table Grid"/>
    <w:basedOn w:val="Tabelanormal"/>
    <w:uiPriority w:val="59"/>
    <w:rsid w:val="000C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C525A"/>
    <w:pPr>
      <w:ind w:left="720"/>
      <w:contextualSpacing/>
    </w:pPr>
  </w:style>
  <w:style w:type="character" w:styleId="Hyperlink">
    <w:name w:val="Hyperlink"/>
    <w:basedOn w:val="Fontepargpadro"/>
    <w:uiPriority w:val="99"/>
    <w:unhideWhenUsed/>
    <w:rsid w:val="0049350C"/>
    <w:rPr>
      <w:color w:val="0000FF" w:themeColor="hyperlink"/>
      <w:u w:val="single"/>
    </w:rPr>
  </w:style>
  <w:style w:type="character" w:styleId="Refdecomentrio">
    <w:name w:val="annotation reference"/>
    <w:basedOn w:val="Fontepargpadro"/>
    <w:uiPriority w:val="99"/>
    <w:semiHidden/>
    <w:unhideWhenUsed/>
    <w:rsid w:val="00DE2107"/>
    <w:rPr>
      <w:sz w:val="16"/>
      <w:szCs w:val="16"/>
    </w:rPr>
  </w:style>
  <w:style w:type="paragraph" w:styleId="Textodecomentrio">
    <w:name w:val="annotation text"/>
    <w:basedOn w:val="Normal"/>
    <w:link w:val="TextodecomentrioChar"/>
    <w:uiPriority w:val="99"/>
    <w:semiHidden/>
    <w:unhideWhenUsed/>
    <w:rsid w:val="00DE2107"/>
    <w:pPr>
      <w:spacing w:line="240" w:lineRule="auto"/>
    </w:pPr>
    <w:rPr>
      <w:sz w:val="20"/>
    </w:rPr>
  </w:style>
  <w:style w:type="character" w:customStyle="1" w:styleId="TextodecomentrioChar">
    <w:name w:val="Texto de comentário Char"/>
    <w:basedOn w:val="Fontepargpadro"/>
    <w:link w:val="Textodecomentrio"/>
    <w:uiPriority w:val="99"/>
    <w:semiHidden/>
    <w:rsid w:val="00DE2107"/>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DE2107"/>
    <w:rPr>
      <w:b/>
      <w:bCs/>
    </w:rPr>
  </w:style>
  <w:style w:type="character" w:customStyle="1" w:styleId="AssuntodocomentrioChar">
    <w:name w:val="Assunto do comentário Char"/>
    <w:basedOn w:val="TextodecomentrioChar"/>
    <w:link w:val="Assuntodocomentrio"/>
    <w:uiPriority w:val="99"/>
    <w:semiHidden/>
    <w:rsid w:val="00DE2107"/>
    <w:rPr>
      <w:rFonts w:ascii="Calibri" w:hAnsi="Calibri"/>
      <w:b/>
      <w:bCs/>
    </w:rPr>
  </w:style>
  <w:style w:type="paragraph" w:styleId="Textodebalo">
    <w:name w:val="Balloon Text"/>
    <w:basedOn w:val="Normal"/>
    <w:link w:val="TextodebaloChar"/>
    <w:uiPriority w:val="99"/>
    <w:semiHidden/>
    <w:unhideWhenUsed/>
    <w:rsid w:val="00DE21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2107"/>
    <w:rPr>
      <w:rFonts w:ascii="Tahoma" w:hAnsi="Tahoma" w:cs="Tahoma"/>
      <w:sz w:val="16"/>
      <w:szCs w:val="16"/>
    </w:rPr>
  </w:style>
  <w:style w:type="character" w:customStyle="1" w:styleId="Ttulo1Char">
    <w:name w:val="Título 1 Char"/>
    <w:basedOn w:val="Fontepargpadro"/>
    <w:link w:val="Ttulo1"/>
    <w:rsid w:val="00076D8F"/>
    <w:rPr>
      <w:rFonts w:ascii="Calibri" w:hAnsi="Calibri"/>
      <w:b/>
      <w:caps/>
      <w:kern w:val="24"/>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2697">
      <w:bodyDiv w:val="1"/>
      <w:marLeft w:val="0"/>
      <w:marRight w:val="0"/>
      <w:marTop w:val="0"/>
      <w:marBottom w:val="0"/>
      <w:divBdr>
        <w:top w:val="none" w:sz="0" w:space="0" w:color="auto"/>
        <w:left w:val="none" w:sz="0" w:space="0" w:color="auto"/>
        <w:bottom w:val="none" w:sz="0" w:space="0" w:color="auto"/>
        <w:right w:val="none" w:sz="0" w:space="0" w:color="auto"/>
      </w:divBdr>
    </w:div>
    <w:div w:id="1164322388">
      <w:bodyDiv w:val="1"/>
      <w:marLeft w:val="0"/>
      <w:marRight w:val="0"/>
      <w:marTop w:val="0"/>
      <w:marBottom w:val="0"/>
      <w:divBdr>
        <w:top w:val="none" w:sz="0" w:space="0" w:color="auto"/>
        <w:left w:val="none" w:sz="0" w:space="0" w:color="auto"/>
        <w:bottom w:val="none" w:sz="0" w:space="0" w:color="auto"/>
        <w:right w:val="none" w:sz="0" w:space="0" w:color="auto"/>
      </w:divBdr>
      <w:divsChild>
        <w:div w:id="26028123">
          <w:marLeft w:val="547"/>
          <w:marRight w:val="0"/>
          <w:marTop w:val="96"/>
          <w:marBottom w:val="0"/>
          <w:divBdr>
            <w:top w:val="none" w:sz="0" w:space="0" w:color="auto"/>
            <w:left w:val="none" w:sz="0" w:space="0" w:color="auto"/>
            <w:bottom w:val="none" w:sz="0" w:space="0" w:color="auto"/>
            <w:right w:val="none" w:sz="0" w:space="0" w:color="auto"/>
          </w:divBdr>
        </w:div>
        <w:div w:id="1387875002">
          <w:marLeft w:val="1166"/>
          <w:marRight w:val="0"/>
          <w:marTop w:val="86"/>
          <w:marBottom w:val="0"/>
          <w:divBdr>
            <w:top w:val="none" w:sz="0" w:space="0" w:color="auto"/>
            <w:left w:val="none" w:sz="0" w:space="0" w:color="auto"/>
            <w:bottom w:val="none" w:sz="0" w:space="0" w:color="auto"/>
            <w:right w:val="none" w:sz="0" w:space="0" w:color="auto"/>
          </w:divBdr>
        </w:div>
        <w:div w:id="1470321926">
          <w:marLeft w:val="1166"/>
          <w:marRight w:val="0"/>
          <w:marTop w:val="86"/>
          <w:marBottom w:val="0"/>
          <w:divBdr>
            <w:top w:val="none" w:sz="0" w:space="0" w:color="auto"/>
            <w:left w:val="none" w:sz="0" w:space="0" w:color="auto"/>
            <w:bottom w:val="none" w:sz="0" w:space="0" w:color="auto"/>
            <w:right w:val="none" w:sz="0" w:space="0" w:color="auto"/>
          </w:divBdr>
        </w:div>
        <w:div w:id="1813673594">
          <w:marLeft w:val="1166"/>
          <w:marRight w:val="0"/>
          <w:marTop w:val="86"/>
          <w:marBottom w:val="0"/>
          <w:divBdr>
            <w:top w:val="none" w:sz="0" w:space="0" w:color="auto"/>
            <w:left w:val="none" w:sz="0" w:space="0" w:color="auto"/>
            <w:bottom w:val="none" w:sz="0" w:space="0" w:color="auto"/>
            <w:right w:val="none" w:sz="0" w:space="0" w:color="auto"/>
          </w:divBdr>
        </w:div>
        <w:div w:id="462381799">
          <w:marLeft w:val="547"/>
          <w:marRight w:val="0"/>
          <w:marTop w:val="96"/>
          <w:marBottom w:val="0"/>
          <w:divBdr>
            <w:top w:val="none" w:sz="0" w:space="0" w:color="auto"/>
            <w:left w:val="none" w:sz="0" w:space="0" w:color="auto"/>
            <w:bottom w:val="none" w:sz="0" w:space="0" w:color="auto"/>
            <w:right w:val="none" w:sz="0" w:space="0" w:color="auto"/>
          </w:divBdr>
        </w:div>
        <w:div w:id="1821265357">
          <w:marLeft w:val="1166"/>
          <w:marRight w:val="0"/>
          <w:marTop w:val="86"/>
          <w:marBottom w:val="0"/>
          <w:divBdr>
            <w:top w:val="none" w:sz="0" w:space="0" w:color="auto"/>
            <w:left w:val="none" w:sz="0" w:space="0" w:color="auto"/>
            <w:bottom w:val="none" w:sz="0" w:space="0" w:color="auto"/>
            <w:right w:val="none" w:sz="0" w:space="0" w:color="auto"/>
          </w:divBdr>
        </w:div>
        <w:div w:id="133721759">
          <w:marLeft w:val="1166"/>
          <w:marRight w:val="0"/>
          <w:marTop w:val="86"/>
          <w:marBottom w:val="0"/>
          <w:divBdr>
            <w:top w:val="none" w:sz="0" w:space="0" w:color="auto"/>
            <w:left w:val="none" w:sz="0" w:space="0" w:color="auto"/>
            <w:bottom w:val="none" w:sz="0" w:space="0" w:color="auto"/>
            <w:right w:val="none" w:sz="0" w:space="0" w:color="auto"/>
          </w:divBdr>
        </w:div>
        <w:div w:id="36833728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B40D70-5239-4C0A-9923-E8B224A9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3701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Court of Auditors</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PRIGENT</dc:creator>
  <cp:lastModifiedBy>Beatriz Pinheiro de Melo Gomes</cp:lastModifiedBy>
  <cp:revision>2</cp:revision>
  <dcterms:created xsi:type="dcterms:W3CDTF">2015-09-21T18:02:00Z</dcterms:created>
  <dcterms:modified xsi:type="dcterms:W3CDTF">2015-09-21T18:02:00Z</dcterms:modified>
</cp:coreProperties>
</file>