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CE" w:rsidRPr="006D233E" w:rsidRDefault="00596CCE" w:rsidP="00596CCE">
      <w:pPr>
        <w:jc w:val="both"/>
        <w:rPr>
          <w:rFonts w:cs="Arial"/>
          <w:b/>
          <w:sz w:val="26"/>
          <w:szCs w:val="26"/>
        </w:rPr>
      </w:pPr>
      <w:bookmarkStart w:id="0" w:name="_GoBack"/>
      <w:bookmarkEnd w:id="0"/>
      <w:r w:rsidRPr="006D233E">
        <w:rPr>
          <w:rFonts w:cs="Arial"/>
          <w:b/>
          <w:sz w:val="26"/>
          <w:szCs w:val="26"/>
        </w:rPr>
        <w:t>The Court of Accounts of Brazil: Wikis, expertise locator, communities of practice &amp; more</w:t>
      </w:r>
    </w:p>
    <w:p w:rsidR="00596CCE" w:rsidRDefault="00596CCE" w:rsidP="00596CCE">
      <w:pPr>
        <w:pStyle w:val="Ttulo1"/>
        <w:numPr>
          <w:ilvl w:val="0"/>
          <w:numId w:val="1"/>
        </w:numPr>
        <w:spacing w:after="120"/>
        <w:ind w:left="357" w:hanging="357"/>
        <w:jc w:val="both"/>
        <w:rPr>
          <w:u w:val="none"/>
        </w:rPr>
      </w:pPr>
      <w:r w:rsidRPr="00094180">
        <w:rPr>
          <w:u w:val="none"/>
        </w:rPr>
        <w:t>Strategy</w:t>
      </w:r>
    </w:p>
    <w:p w:rsidR="00596CCE" w:rsidRPr="00E17AC8" w:rsidRDefault="00596CCE" w:rsidP="00596CCE">
      <w:pPr>
        <w:jc w:val="both"/>
        <w:rPr>
          <w:highlight w:val="yellow"/>
          <w:lang w:val="en-US"/>
        </w:rPr>
      </w:pPr>
      <w:r>
        <w:rPr>
          <w:szCs w:val="22"/>
        </w:rPr>
        <w:t xml:space="preserve">The Court of Account of Brazil does not have a formal Knowledge Management strategy. However, </w:t>
      </w:r>
      <w:r w:rsidRPr="00945476">
        <w:rPr>
          <w:lang w:val="en-US"/>
        </w:rPr>
        <w:t xml:space="preserve">Knowledge Management </w:t>
      </w:r>
      <w:proofErr w:type="gramStart"/>
      <w:r w:rsidRPr="00945476">
        <w:rPr>
          <w:lang w:val="en-US"/>
        </w:rPr>
        <w:t>is listed</w:t>
      </w:r>
      <w:proofErr w:type="gramEnd"/>
      <w:r w:rsidRPr="00945476">
        <w:rPr>
          <w:lang w:val="en-US"/>
        </w:rPr>
        <w:t xml:space="preserve"> in TCU’s strategic planning since 2003</w:t>
      </w:r>
      <w:r>
        <w:rPr>
          <w:lang w:val="en-US"/>
        </w:rPr>
        <w:t xml:space="preserve">. </w:t>
      </w:r>
      <w:r w:rsidRPr="00945476">
        <w:rPr>
          <w:szCs w:val="22"/>
        </w:rPr>
        <w:t>Most of</w:t>
      </w:r>
      <w:r>
        <w:rPr>
          <w:szCs w:val="22"/>
        </w:rPr>
        <w:t xml:space="preserve"> the Knowledge Management initiatives </w:t>
      </w:r>
      <w:proofErr w:type="gramStart"/>
      <w:r>
        <w:rPr>
          <w:szCs w:val="22"/>
        </w:rPr>
        <w:t>were driven</w:t>
      </w:r>
      <w:proofErr w:type="gramEnd"/>
      <w:r>
        <w:rPr>
          <w:szCs w:val="22"/>
        </w:rPr>
        <w:t xml:space="preserve"> bottom-up. Currently, the Court is trying to build a strategy to coordinate these initiatives.</w:t>
      </w:r>
    </w:p>
    <w:p w:rsidR="00596CCE" w:rsidRDefault="00596CCE" w:rsidP="00596CCE">
      <w:pPr>
        <w:pStyle w:val="Ttulo1"/>
        <w:numPr>
          <w:ilvl w:val="0"/>
          <w:numId w:val="1"/>
        </w:numPr>
        <w:spacing w:after="120"/>
        <w:ind w:left="357" w:hanging="357"/>
        <w:jc w:val="both"/>
        <w:rPr>
          <w:u w:val="none"/>
        </w:rPr>
      </w:pPr>
      <w:r w:rsidRPr="000C525A">
        <w:rPr>
          <w:u w:val="none"/>
        </w:rPr>
        <w:t>Organisation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The Court of Accounts of Brazil</w:t>
      </w:r>
      <w:r w:rsidRPr="007D5376">
        <w:rPr>
          <w:szCs w:val="22"/>
        </w:rPr>
        <w:t xml:space="preserve"> </w:t>
      </w:r>
      <w:r w:rsidRPr="00945476">
        <w:rPr>
          <w:szCs w:val="22"/>
        </w:rPr>
        <w:t>(TCU) has about</w:t>
      </w:r>
      <w:r w:rsidRPr="007D5376">
        <w:rPr>
          <w:szCs w:val="22"/>
        </w:rPr>
        <w:t xml:space="preserve"> </w:t>
      </w:r>
      <w:r>
        <w:rPr>
          <w:szCs w:val="22"/>
        </w:rPr>
        <w:t>3.000</w:t>
      </w:r>
      <w:r w:rsidRPr="007D5376">
        <w:rPr>
          <w:szCs w:val="22"/>
        </w:rPr>
        <w:t xml:space="preserve"> staff members</w:t>
      </w:r>
      <w:r>
        <w:rPr>
          <w:szCs w:val="22"/>
        </w:rPr>
        <w:t>.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Three to four full-time designated Knowledge Managers (Serviço de </w:t>
      </w:r>
      <w:proofErr w:type="spellStart"/>
      <w:r>
        <w:rPr>
          <w:szCs w:val="22"/>
        </w:rPr>
        <w:t>Gestão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Conhecimento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SGCo</w:t>
      </w:r>
      <w:proofErr w:type="spellEnd"/>
      <w:r>
        <w:rPr>
          <w:szCs w:val="22"/>
        </w:rPr>
        <w:t xml:space="preserve">) choose the new </w:t>
      </w:r>
      <w:r w:rsidRPr="00945476">
        <w:rPr>
          <w:szCs w:val="22"/>
        </w:rPr>
        <w:t>KM</w:t>
      </w:r>
      <w:r>
        <w:rPr>
          <w:szCs w:val="22"/>
        </w:rPr>
        <w:t xml:space="preserve"> tools, design and maintain them. They also help their colleagues to use these Knowledge Management tools.</w:t>
      </w:r>
    </w:p>
    <w:p w:rsidR="00596CCE" w:rsidRPr="007D5376" w:rsidRDefault="00596CCE" w:rsidP="00596CCE">
      <w:pPr>
        <w:spacing w:after="120" w:line="240" w:lineRule="auto"/>
        <w:jc w:val="both"/>
        <w:rPr>
          <w:szCs w:val="22"/>
        </w:rPr>
      </w:pPr>
    </w:p>
    <w:p w:rsidR="00596CCE" w:rsidRDefault="00596CCE" w:rsidP="00596CCE">
      <w:pPr>
        <w:pStyle w:val="Ttulo1"/>
        <w:numPr>
          <w:ilvl w:val="0"/>
          <w:numId w:val="1"/>
        </w:numPr>
        <w:spacing w:after="120"/>
        <w:ind w:left="357" w:hanging="357"/>
        <w:jc w:val="both"/>
        <w:rPr>
          <w:u w:val="none"/>
        </w:rPr>
      </w:pPr>
      <w:r>
        <w:rPr>
          <w:u w:val="none"/>
        </w:rPr>
        <w:t>WIKIS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The wiki software used by the Court of Accounts of Brazil is </w:t>
      </w:r>
      <w:proofErr w:type="spellStart"/>
      <w:r w:rsidRPr="0074002A">
        <w:rPr>
          <w:i/>
          <w:szCs w:val="22"/>
        </w:rPr>
        <w:t>Mediawiki</w:t>
      </w:r>
      <w:proofErr w:type="spellEnd"/>
      <w:r>
        <w:rPr>
          <w:szCs w:val="22"/>
        </w:rPr>
        <w:t>.</w:t>
      </w:r>
      <w:r>
        <w:rPr>
          <w:rStyle w:val="Refdenotaderodap"/>
          <w:szCs w:val="22"/>
        </w:rPr>
        <w:footnoteReference w:id="1"/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The first wikis started in 2009 in one area. During 2-3 years, the growth was very limited. In the last three years, the wikis </w:t>
      </w:r>
      <w:proofErr w:type="gramStart"/>
      <w:r>
        <w:rPr>
          <w:szCs w:val="22"/>
        </w:rPr>
        <w:t>were expanded</w:t>
      </w:r>
      <w:proofErr w:type="gramEnd"/>
      <w:r>
        <w:rPr>
          <w:szCs w:val="22"/>
        </w:rPr>
        <w:t xml:space="preserve"> to other areas. Now it includes more than 5,000 pages (articles with content) and 6,000 files uploaded. In one day, approximately 700 pages </w:t>
      </w:r>
      <w:proofErr w:type="gramStart"/>
      <w:r>
        <w:rPr>
          <w:szCs w:val="22"/>
        </w:rPr>
        <w:t>are viewed</w:t>
      </w:r>
      <w:proofErr w:type="gramEnd"/>
      <w:r>
        <w:rPr>
          <w:szCs w:val="22"/>
        </w:rPr>
        <w:t>.</w:t>
      </w:r>
    </w:p>
    <w:p w:rsidR="00596CCE" w:rsidRPr="0074002A" w:rsidRDefault="00596CCE" w:rsidP="00596CCE">
      <w:pPr>
        <w:spacing w:after="120" w:line="240" w:lineRule="auto"/>
        <w:jc w:val="both"/>
        <w:rPr>
          <w:szCs w:val="22"/>
        </w:rPr>
      </w:pPr>
      <w:proofErr w:type="gramStart"/>
      <w:r w:rsidRPr="0074002A">
        <w:rPr>
          <w:szCs w:val="22"/>
        </w:rPr>
        <w:t>23</w:t>
      </w:r>
      <w:proofErr w:type="gramEnd"/>
      <w:r w:rsidRPr="0074002A">
        <w:rPr>
          <w:szCs w:val="22"/>
        </w:rPr>
        <w:t xml:space="preserve"> people updated the pages on a part-time basis last month. Five of them are interns who consolidated the contributions from other colleagues and updated the pages.</w:t>
      </w:r>
    </w:p>
    <w:p w:rsidR="00596CCE" w:rsidRPr="0074002A" w:rsidRDefault="00596CCE" w:rsidP="00596CCE">
      <w:pPr>
        <w:spacing w:after="120" w:line="240" w:lineRule="auto"/>
        <w:jc w:val="both"/>
        <w:rPr>
          <w:szCs w:val="22"/>
          <w:lang w:val="pt-BR"/>
        </w:rPr>
      </w:pPr>
      <w:r>
        <w:rPr>
          <w:szCs w:val="22"/>
        </w:rPr>
        <w:t xml:space="preserve">Anybody can edit the pages but the interface (to update the pages) is not very friendly. </w:t>
      </w:r>
      <w:r w:rsidRPr="0074002A">
        <w:rPr>
          <w:szCs w:val="22"/>
          <w:lang w:val="pt-BR"/>
        </w:rPr>
        <w:t>(</w:t>
      </w:r>
      <w:proofErr w:type="spellStart"/>
      <w:r w:rsidRPr="0074002A">
        <w:rPr>
          <w:szCs w:val="22"/>
          <w:lang w:val="pt-BR"/>
        </w:rPr>
        <w:t>Requires</w:t>
      </w:r>
      <w:proofErr w:type="spellEnd"/>
      <w:r w:rsidRPr="0074002A">
        <w:rPr>
          <w:szCs w:val="22"/>
          <w:lang w:val="pt-BR"/>
        </w:rPr>
        <w:t xml:space="preserve"> </w:t>
      </w:r>
      <w:proofErr w:type="spellStart"/>
      <w:r w:rsidRPr="0074002A">
        <w:rPr>
          <w:szCs w:val="22"/>
          <w:lang w:val="pt-BR"/>
        </w:rPr>
        <w:t>knowledgement</w:t>
      </w:r>
      <w:proofErr w:type="spellEnd"/>
      <w:r w:rsidRPr="0074002A">
        <w:rPr>
          <w:szCs w:val="22"/>
          <w:lang w:val="pt-BR"/>
        </w:rPr>
        <w:t xml:space="preserve"> </w:t>
      </w:r>
      <w:proofErr w:type="spellStart"/>
      <w:r w:rsidRPr="0074002A">
        <w:rPr>
          <w:szCs w:val="22"/>
          <w:lang w:val="pt-BR"/>
        </w:rPr>
        <w:t>of</w:t>
      </w:r>
      <w:proofErr w:type="spellEnd"/>
      <w:r w:rsidRPr="0074002A">
        <w:rPr>
          <w:szCs w:val="22"/>
          <w:lang w:val="pt-BR"/>
        </w:rPr>
        <w:t xml:space="preserve"> “</w:t>
      </w:r>
      <w:proofErr w:type="spellStart"/>
      <w:r w:rsidRPr="0074002A">
        <w:rPr>
          <w:szCs w:val="22"/>
          <w:lang w:val="pt-BR"/>
        </w:rPr>
        <w:t>wiki</w:t>
      </w:r>
      <w:proofErr w:type="spellEnd"/>
      <w:r w:rsidRPr="0074002A">
        <w:rPr>
          <w:szCs w:val="22"/>
          <w:lang w:val="pt-BR"/>
        </w:rPr>
        <w:t xml:space="preserve"> </w:t>
      </w:r>
      <w:proofErr w:type="spellStart"/>
      <w:r w:rsidRPr="0074002A">
        <w:rPr>
          <w:szCs w:val="22"/>
          <w:lang w:val="pt-BR"/>
        </w:rPr>
        <w:t>markup</w:t>
      </w:r>
      <w:proofErr w:type="spellEnd"/>
      <w:r w:rsidRPr="0074002A">
        <w:rPr>
          <w:szCs w:val="22"/>
          <w:lang w:val="pt-BR"/>
        </w:rPr>
        <w:t xml:space="preserve">”). </w:t>
      </w:r>
    </w:p>
    <w:p w:rsidR="00596CCE" w:rsidRPr="0074002A" w:rsidRDefault="00596CCE" w:rsidP="00596CCE">
      <w:pPr>
        <w:spacing w:after="120" w:line="240" w:lineRule="auto"/>
        <w:jc w:val="both"/>
        <w:rPr>
          <w:szCs w:val="22"/>
          <w:lang w:val="pt-BR"/>
        </w:rPr>
      </w:pPr>
    </w:p>
    <w:p w:rsidR="00596CCE" w:rsidRDefault="00596CCE" w:rsidP="00596CCE">
      <w:pPr>
        <w:pStyle w:val="Ttulo1"/>
        <w:numPr>
          <w:ilvl w:val="0"/>
          <w:numId w:val="1"/>
        </w:numPr>
        <w:spacing w:after="120"/>
        <w:jc w:val="both"/>
        <w:rPr>
          <w:u w:val="none"/>
        </w:rPr>
      </w:pPr>
      <w:r>
        <w:rPr>
          <w:u w:val="none"/>
        </w:rPr>
        <w:t xml:space="preserve">SKILLS database 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The Court of Accounts of Brazil uses a skill database. It includes data such as academic background, professional experience, major activities performed, knowledge that </w:t>
      </w:r>
      <w:proofErr w:type="gramStart"/>
      <w:r>
        <w:rPr>
          <w:szCs w:val="22"/>
        </w:rPr>
        <w:t>can be shared</w:t>
      </w:r>
      <w:proofErr w:type="gramEnd"/>
      <w:r>
        <w:rPr>
          <w:szCs w:val="22"/>
        </w:rPr>
        <w:t xml:space="preserve"> and interests. It </w:t>
      </w:r>
      <w:proofErr w:type="gramStart"/>
      <w:r>
        <w:rPr>
          <w:szCs w:val="22"/>
        </w:rPr>
        <w:t>is used</w:t>
      </w:r>
      <w:proofErr w:type="gramEnd"/>
      <w:r>
        <w:rPr>
          <w:szCs w:val="22"/>
        </w:rPr>
        <w:t xml:space="preserve"> to select people for workshops, trainings, or specific jobs.</w:t>
      </w:r>
    </w:p>
    <w:p w:rsidR="00596CCE" w:rsidRPr="0074002A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The filling of this database is compulsory by new staff members. </w:t>
      </w:r>
      <w:r w:rsidRPr="0074002A">
        <w:rPr>
          <w:szCs w:val="22"/>
        </w:rPr>
        <w:t xml:space="preserve">Moreover, the profiles of this database </w:t>
      </w:r>
      <w:proofErr w:type="gramStart"/>
      <w:r w:rsidRPr="0074002A">
        <w:rPr>
          <w:szCs w:val="22"/>
        </w:rPr>
        <w:t>are used</w:t>
      </w:r>
      <w:proofErr w:type="gramEnd"/>
      <w:r w:rsidRPr="0074002A">
        <w:rPr>
          <w:szCs w:val="22"/>
        </w:rPr>
        <w:t xml:space="preserve"> to apply for promotions or internships abroad, which forces the staff to update it from time to time.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</w:p>
    <w:p w:rsidR="00596CCE" w:rsidRPr="000C525A" w:rsidRDefault="00596CCE" w:rsidP="00596CCE">
      <w:pPr>
        <w:pStyle w:val="Ttulo1"/>
        <w:numPr>
          <w:ilvl w:val="0"/>
          <w:numId w:val="1"/>
        </w:numPr>
        <w:spacing w:after="120"/>
        <w:ind w:left="357" w:hanging="357"/>
        <w:jc w:val="both"/>
        <w:rPr>
          <w:u w:val="none"/>
        </w:rPr>
      </w:pPr>
      <w:r>
        <w:rPr>
          <w:u w:val="none"/>
        </w:rPr>
        <w:t>Knowledge portal</w:t>
      </w:r>
    </w:p>
    <w:p w:rsidR="00596CCE" w:rsidRPr="0074002A" w:rsidRDefault="00596CCE" w:rsidP="00596CCE">
      <w:pPr>
        <w:spacing w:after="120" w:line="240" w:lineRule="auto"/>
        <w:jc w:val="both"/>
        <w:rPr>
          <w:color w:val="FF0000"/>
          <w:szCs w:val="22"/>
          <w:lang w:val="en-US"/>
        </w:rPr>
      </w:pPr>
      <w:r w:rsidRPr="0074002A">
        <w:rPr>
          <w:szCs w:val="22"/>
        </w:rPr>
        <w:t>The portal (website) of de Court of Accounts of Brazil is implemented in software</w:t>
      </w:r>
      <w:r w:rsidRPr="0074002A">
        <w:rPr>
          <w:i/>
          <w:szCs w:val="22"/>
        </w:rPr>
        <w:t xml:space="preserve"> </w:t>
      </w:r>
      <w:proofErr w:type="spellStart"/>
      <w:r w:rsidRPr="0074002A">
        <w:rPr>
          <w:i/>
          <w:szCs w:val="22"/>
        </w:rPr>
        <w:t>Lumis</w:t>
      </w:r>
      <w:proofErr w:type="spellEnd"/>
      <w:r w:rsidRPr="0074002A">
        <w:rPr>
          <w:rStyle w:val="Refdenotaderodap"/>
          <w:szCs w:val="22"/>
        </w:rPr>
        <w:footnoteReference w:id="2"/>
      </w:r>
      <w:r w:rsidRPr="0074002A">
        <w:rPr>
          <w:szCs w:val="22"/>
        </w:rPr>
        <w:t>.</w:t>
      </w:r>
      <w:r>
        <w:rPr>
          <w:szCs w:val="22"/>
        </w:rPr>
        <w:t xml:space="preserve"> The knowledge portal </w:t>
      </w:r>
      <w:r w:rsidRPr="0074002A">
        <w:rPr>
          <w:i/>
          <w:szCs w:val="22"/>
        </w:rPr>
        <w:t>(search engine)</w:t>
      </w:r>
      <w:r>
        <w:rPr>
          <w:szCs w:val="22"/>
        </w:rPr>
        <w:t xml:space="preserve"> of the Court of Accounts of Brazil </w:t>
      </w:r>
      <w:proofErr w:type="gramStart"/>
      <w:r>
        <w:rPr>
          <w:szCs w:val="22"/>
        </w:rPr>
        <w:t>is based</w:t>
      </w:r>
      <w:proofErr w:type="gramEnd"/>
      <w:r>
        <w:rPr>
          <w:szCs w:val="22"/>
        </w:rPr>
        <w:t xml:space="preserve"> on the software </w:t>
      </w:r>
      <w:proofErr w:type="spellStart"/>
      <w:r w:rsidRPr="0074002A">
        <w:rPr>
          <w:i/>
          <w:szCs w:val="22"/>
        </w:rPr>
        <w:t>Lucene</w:t>
      </w:r>
      <w:proofErr w:type="spellEnd"/>
      <w:r w:rsidRPr="0074002A">
        <w:rPr>
          <w:rStyle w:val="Refdenotaderodap"/>
          <w:i/>
          <w:szCs w:val="22"/>
        </w:rPr>
        <w:footnoteReference w:id="3"/>
      </w:r>
      <w:r w:rsidRPr="0074002A">
        <w:rPr>
          <w:i/>
          <w:szCs w:val="22"/>
        </w:rPr>
        <w:t>.</w:t>
      </w:r>
    </w:p>
    <w:p w:rsidR="00596CCE" w:rsidRPr="0074002A" w:rsidRDefault="00596CCE" w:rsidP="00596CCE">
      <w:pPr>
        <w:spacing w:after="120" w:line="240" w:lineRule="auto"/>
        <w:jc w:val="both"/>
        <w:rPr>
          <w:szCs w:val="22"/>
        </w:rPr>
      </w:pPr>
      <w:r w:rsidRPr="0074002A">
        <w:rPr>
          <w:szCs w:val="22"/>
        </w:rPr>
        <w:lastRenderedPageBreak/>
        <w:t xml:space="preserve">The engine searches through many bases (portal pages, digital library, news, regulations, processes, resolutions, </w:t>
      </w:r>
      <w:proofErr w:type="gramStart"/>
      <w:r w:rsidRPr="0074002A">
        <w:rPr>
          <w:szCs w:val="22"/>
        </w:rPr>
        <w:t>official</w:t>
      </w:r>
      <w:proofErr w:type="gramEnd"/>
      <w:r w:rsidRPr="0074002A">
        <w:rPr>
          <w:szCs w:val="22"/>
        </w:rPr>
        <w:t xml:space="preserve"> journals). All the information from various sources </w:t>
      </w:r>
      <w:proofErr w:type="gramStart"/>
      <w:r w:rsidRPr="0074002A">
        <w:rPr>
          <w:szCs w:val="22"/>
        </w:rPr>
        <w:t>is replicated</w:t>
      </w:r>
      <w:proofErr w:type="gramEnd"/>
      <w:r w:rsidRPr="0074002A">
        <w:rPr>
          <w:szCs w:val="22"/>
        </w:rPr>
        <w:t xml:space="preserve"> in one single database. However, by lack of a logical library, the relevance of returns is not great yet.</w:t>
      </w:r>
    </w:p>
    <w:p w:rsidR="00596CCE" w:rsidRPr="00893B94" w:rsidRDefault="00596CCE" w:rsidP="00596CCE">
      <w:pPr>
        <w:spacing w:after="120" w:line="240" w:lineRule="auto"/>
        <w:jc w:val="both"/>
        <w:rPr>
          <w:color w:val="FF0000"/>
          <w:szCs w:val="22"/>
        </w:rPr>
      </w:pPr>
    </w:p>
    <w:p w:rsidR="00596CCE" w:rsidRDefault="00596CCE" w:rsidP="00596CCE">
      <w:pPr>
        <w:pStyle w:val="Ttulo1"/>
        <w:numPr>
          <w:ilvl w:val="0"/>
          <w:numId w:val="1"/>
        </w:numPr>
        <w:spacing w:after="120"/>
        <w:ind w:left="357" w:hanging="357"/>
        <w:jc w:val="both"/>
        <w:rPr>
          <w:u w:val="none"/>
        </w:rPr>
      </w:pPr>
      <w:r w:rsidRPr="00897A94">
        <w:rPr>
          <w:u w:val="none"/>
        </w:rPr>
        <w:t>Communities of practice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 w:rsidRPr="0074002A">
        <w:rPr>
          <w:szCs w:val="22"/>
        </w:rPr>
        <w:t xml:space="preserve">At least eight Communities of practice are active now. </w:t>
      </w:r>
      <w:r>
        <w:rPr>
          <w:szCs w:val="22"/>
        </w:rPr>
        <w:t>These groups of people meet to discuss about a specific topic and to deliver specific products. They use tools such as the digital library, a specific area of the knowledge portal or the software Moodle</w:t>
      </w:r>
      <w:r>
        <w:rPr>
          <w:rStyle w:val="Refdenotaderodap"/>
          <w:szCs w:val="22"/>
        </w:rPr>
        <w:footnoteReference w:id="4"/>
      </w:r>
      <w:r>
        <w:rPr>
          <w:szCs w:val="22"/>
        </w:rPr>
        <w:t xml:space="preserve"> (forum).</w:t>
      </w:r>
    </w:p>
    <w:p w:rsidR="00596CCE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The members of the group contribute either during specific time slots allocated by their manager or during their downtime. An “animator” coordinates the group.</w:t>
      </w:r>
    </w:p>
    <w:p w:rsidR="00596CCE" w:rsidRPr="00897A94" w:rsidRDefault="00596CCE" w:rsidP="00596CCE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To be successful, a Community of Practice needs to have specific goals (such as a previously defined theme) and targets/ indicators (such as number of meetings/ events organised, number of searches/ views of articles in the wiki tool…)</w:t>
      </w:r>
    </w:p>
    <w:p w:rsidR="00596CCE" w:rsidRDefault="00596CCE" w:rsidP="00596CCE">
      <w:pPr>
        <w:spacing w:after="0" w:line="240" w:lineRule="auto"/>
        <w:jc w:val="both"/>
        <w:rPr>
          <w:b/>
          <w:caps/>
          <w:kern w:val="24"/>
          <w:szCs w:val="22"/>
        </w:rPr>
      </w:pPr>
    </w:p>
    <w:p w:rsidR="00596CCE" w:rsidRPr="00F1423C" w:rsidRDefault="00596CCE" w:rsidP="00596CCE">
      <w:pPr>
        <w:pStyle w:val="Ttulo1"/>
        <w:numPr>
          <w:ilvl w:val="0"/>
          <w:numId w:val="1"/>
        </w:numPr>
        <w:spacing w:after="120" w:line="240" w:lineRule="auto"/>
        <w:ind w:left="357" w:hanging="357"/>
        <w:jc w:val="both"/>
        <w:rPr>
          <w:szCs w:val="22"/>
          <w:u w:val="none"/>
        </w:rPr>
      </w:pPr>
      <w:r w:rsidRPr="00F1423C">
        <w:rPr>
          <w:szCs w:val="22"/>
          <w:u w:val="none"/>
        </w:rPr>
        <w:t>Contacts</w:t>
      </w:r>
    </w:p>
    <w:p w:rsidR="00596CCE" w:rsidRDefault="00994904" w:rsidP="00596C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Cs w:val="22"/>
          <w:lang w:val="pt-PT"/>
        </w:rPr>
      </w:pPr>
      <w:hyperlink r:id="rId7" w:history="1">
        <w:r w:rsidR="00596CCE" w:rsidRPr="008C11CC">
          <w:rPr>
            <w:rStyle w:val="Hyperlink"/>
            <w:szCs w:val="22"/>
            <w:lang w:val="pt-PT"/>
          </w:rPr>
          <w:t>GCO@tcu.gov.br</w:t>
        </w:r>
      </w:hyperlink>
    </w:p>
    <w:p w:rsidR="00596CCE" w:rsidRPr="001E1250" w:rsidRDefault="00596CCE" w:rsidP="00596C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Cs w:val="22"/>
          <w:lang w:val="pt-PT"/>
        </w:rPr>
      </w:pPr>
      <w:r w:rsidRPr="001E1250">
        <w:rPr>
          <w:szCs w:val="22"/>
          <w:lang w:val="pt-PT"/>
        </w:rPr>
        <w:t xml:space="preserve">Paulo Andre Mattos de Carvalho </w:t>
      </w:r>
      <w:r>
        <w:rPr>
          <w:szCs w:val="22"/>
          <w:lang w:val="pt-PT"/>
        </w:rPr>
        <w:t>(</w:t>
      </w:r>
      <w:hyperlink r:id="rId8" w:history="1">
        <w:r w:rsidRPr="001E1250">
          <w:rPr>
            <w:rStyle w:val="Hyperlink"/>
            <w:szCs w:val="22"/>
            <w:lang w:val="pt-PT"/>
          </w:rPr>
          <w:t>PauloAC@TCU.gov.br</w:t>
        </w:r>
      </w:hyperlink>
      <w:r w:rsidRPr="001E1250">
        <w:rPr>
          <w:szCs w:val="22"/>
          <w:lang w:val="pt-PT"/>
        </w:rPr>
        <w:t>)</w:t>
      </w:r>
    </w:p>
    <w:p w:rsidR="00596CCE" w:rsidRDefault="00596CCE" w:rsidP="00596C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Cs w:val="22"/>
          <w:lang w:val="pt-PT"/>
        </w:rPr>
      </w:pPr>
      <w:r>
        <w:rPr>
          <w:szCs w:val="22"/>
          <w:lang w:val="pt-PT"/>
        </w:rPr>
        <w:t>Claiton Custódio da Silva (</w:t>
      </w:r>
      <w:hyperlink r:id="rId9" w:history="1">
        <w:r w:rsidRPr="008C11CC">
          <w:rPr>
            <w:rStyle w:val="Hyperlink"/>
            <w:szCs w:val="22"/>
            <w:lang w:val="pt-PT"/>
          </w:rPr>
          <w:t>Claitoncs@tcu.gov.br</w:t>
        </w:r>
      </w:hyperlink>
      <w:r>
        <w:rPr>
          <w:szCs w:val="22"/>
          <w:lang w:val="pt-PT"/>
        </w:rPr>
        <w:t>)</w:t>
      </w:r>
    </w:p>
    <w:p w:rsidR="00596CCE" w:rsidRPr="001E1250" w:rsidRDefault="00596CCE" w:rsidP="00596CCE">
      <w:pPr>
        <w:spacing w:after="0" w:line="240" w:lineRule="auto"/>
        <w:jc w:val="both"/>
        <w:rPr>
          <w:b/>
          <w:caps/>
          <w:kern w:val="24"/>
          <w:sz w:val="20"/>
          <w:lang w:val="pt-PT"/>
        </w:rPr>
      </w:pPr>
    </w:p>
    <w:p w:rsidR="00B90DE2" w:rsidRPr="00596CCE" w:rsidRDefault="00B90DE2" w:rsidP="00596CCE">
      <w:pPr>
        <w:rPr>
          <w:lang w:val="pt-PT"/>
        </w:rPr>
      </w:pPr>
    </w:p>
    <w:sectPr w:rsidR="00B90DE2" w:rsidRPr="00596CCE" w:rsidSect="002C249D">
      <w:headerReference w:type="default" r:id="rId10"/>
      <w:footerReference w:type="default" r:id="rId11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04" w:rsidRDefault="00994904" w:rsidP="00596CCE">
      <w:pPr>
        <w:spacing w:after="0" w:line="240" w:lineRule="auto"/>
      </w:pPr>
      <w:r>
        <w:separator/>
      </w:r>
    </w:p>
  </w:endnote>
  <w:endnote w:type="continuationSeparator" w:id="0">
    <w:p w:rsidR="00994904" w:rsidRDefault="00994904" w:rsidP="0059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Default="00A31AC6">
    <w:pPr>
      <w:tabs>
        <w:tab w:val="center" w:pos="4253"/>
        <w:tab w:val="right" w:pos="8789"/>
      </w:tabs>
    </w:pPr>
    <w:r>
      <w:rPr>
        <w:lang w:val="fr-BE"/>
      </w:rPr>
      <w:t>04/09/2015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04" w:rsidRDefault="00994904" w:rsidP="00596CCE">
      <w:pPr>
        <w:spacing w:after="0" w:line="240" w:lineRule="auto"/>
      </w:pPr>
      <w:r>
        <w:separator/>
      </w:r>
    </w:p>
  </w:footnote>
  <w:footnote w:type="continuationSeparator" w:id="0">
    <w:p w:rsidR="00994904" w:rsidRDefault="00994904" w:rsidP="00596CCE">
      <w:pPr>
        <w:spacing w:after="0" w:line="240" w:lineRule="auto"/>
      </w:pPr>
      <w:r>
        <w:continuationSeparator/>
      </w:r>
    </w:p>
  </w:footnote>
  <w:footnote w:id="1">
    <w:p w:rsidR="00596CCE" w:rsidRPr="0074002A" w:rsidRDefault="00596CCE" w:rsidP="00596CCE">
      <w:pPr>
        <w:pStyle w:val="Textodenotaderodap"/>
        <w:rPr>
          <w:lang w:val="pt-BR"/>
        </w:rPr>
      </w:pPr>
      <w:r w:rsidRPr="0074002A">
        <w:rPr>
          <w:rStyle w:val="Refdenotaderodap"/>
        </w:rPr>
        <w:footnoteRef/>
      </w:r>
      <w:r w:rsidRPr="0074002A">
        <w:t xml:space="preserve"> </w:t>
      </w:r>
      <w:hyperlink r:id="rId1" w:history="1">
        <w:r w:rsidRPr="0074002A">
          <w:rPr>
            <w:rStyle w:val="Hyperlink"/>
          </w:rPr>
          <w:t>https://www.mediawiki.org/wiki/MediaWiki</w:t>
        </w:r>
      </w:hyperlink>
      <w:r w:rsidRPr="0074002A">
        <w:t xml:space="preserve"> </w:t>
      </w:r>
    </w:p>
  </w:footnote>
  <w:footnote w:id="2">
    <w:p w:rsidR="00596CCE" w:rsidRPr="007957E2" w:rsidRDefault="00596CCE" w:rsidP="00596CCE">
      <w:pPr>
        <w:pStyle w:val="Textodenotaderodap"/>
        <w:rPr>
          <w:lang w:val="pt-BR"/>
        </w:rPr>
      </w:pPr>
      <w:r w:rsidRPr="0074002A">
        <w:rPr>
          <w:rStyle w:val="Refdenotaderodap"/>
        </w:rPr>
        <w:footnoteRef/>
      </w:r>
      <w:r w:rsidRPr="0074002A">
        <w:rPr>
          <w:lang w:val="pt-BR"/>
        </w:rPr>
        <w:t xml:space="preserve"> </w:t>
      </w:r>
      <w:hyperlink r:id="rId2" w:history="1">
        <w:r w:rsidRPr="0074002A">
          <w:rPr>
            <w:rStyle w:val="Hyperlink"/>
            <w:lang w:val="pt-BR"/>
          </w:rPr>
          <w:t>http://www.lumisportal.com.br/para-seus-negocios/</w:t>
        </w:r>
      </w:hyperlink>
      <w:r>
        <w:rPr>
          <w:lang w:val="pt-BR"/>
        </w:rPr>
        <w:t xml:space="preserve"> </w:t>
      </w:r>
    </w:p>
  </w:footnote>
  <w:footnote w:id="3">
    <w:p w:rsidR="00596CCE" w:rsidRPr="00E17AC8" w:rsidRDefault="00596CCE" w:rsidP="00596CC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7957E2">
        <w:rPr>
          <w:lang w:val="pt-BR"/>
        </w:rPr>
        <w:t xml:space="preserve"> </w:t>
      </w:r>
      <w:hyperlink r:id="rId3" w:history="1">
        <w:r w:rsidRPr="00E17AC8">
          <w:rPr>
            <w:rStyle w:val="Hyperlink"/>
            <w:lang w:val="pt-BR"/>
          </w:rPr>
          <w:t>https://lucene.apache.org/core</w:t>
        </w:r>
      </w:hyperlink>
      <w:r w:rsidRPr="00E17AC8">
        <w:rPr>
          <w:lang w:val="pt-BR"/>
        </w:rPr>
        <w:t xml:space="preserve"> </w:t>
      </w:r>
    </w:p>
  </w:footnote>
  <w:footnote w:id="4">
    <w:p w:rsidR="00596CCE" w:rsidRPr="00E17AC8" w:rsidRDefault="00596CCE" w:rsidP="00596CC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E17AC8">
        <w:rPr>
          <w:lang w:val="pt-BR"/>
        </w:rPr>
        <w:t xml:space="preserve"> </w:t>
      </w:r>
      <w:hyperlink r:id="rId4" w:history="1">
        <w:r w:rsidRPr="00E17AC8">
          <w:rPr>
            <w:rStyle w:val="Hyperlink"/>
            <w:lang w:val="pt-BR"/>
          </w:rPr>
          <w:t>https://moodle.org</w:t>
        </w:r>
      </w:hyperlink>
      <w:r w:rsidRPr="00E17AC8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Default="00994904">
    <w:pPr>
      <w:tabs>
        <w:tab w:val="center" w:pos="4395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740A"/>
    <w:multiLevelType w:val="hybridMultilevel"/>
    <w:tmpl w:val="0B60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69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F41878"/>
    <w:multiLevelType w:val="hybridMultilevel"/>
    <w:tmpl w:val="B858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CE"/>
    <w:rsid w:val="00596CCE"/>
    <w:rsid w:val="00994904"/>
    <w:rsid w:val="00A31AC6"/>
    <w:rsid w:val="00B90DE2"/>
    <w:rsid w:val="00B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723E-8765-40DE-A41D-4EB782D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CE"/>
    <w:pPr>
      <w:spacing w:after="240" w:line="36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styleId="Ttulo1">
    <w:name w:val="heading 1"/>
    <w:basedOn w:val="Normal"/>
    <w:next w:val="Normal"/>
    <w:link w:val="Ttulo1Char"/>
    <w:qFormat/>
    <w:rsid w:val="00596CCE"/>
    <w:pPr>
      <w:keepNext/>
      <w:spacing w:after="360"/>
      <w:outlineLvl w:val="0"/>
    </w:pPr>
    <w:rPr>
      <w:b/>
      <w:caps/>
      <w:kern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CCE"/>
    <w:rPr>
      <w:rFonts w:ascii="Calibri" w:eastAsia="Times New Roman" w:hAnsi="Calibri" w:cs="Times New Roman"/>
      <w:b/>
      <w:caps/>
      <w:kern w:val="24"/>
      <w:szCs w:val="20"/>
      <w:u w:val="single"/>
      <w:lang w:val="en-GB" w:eastAsia="en-GB"/>
    </w:rPr>
  </w:style>
  <w:style w:type="character" w:styleId="Refdenotaderodap">
    <w:name w:val="footnote reference"/>
    <w:semiHidden/>
    <w:rsid w:val="00596CCE"/>
    <w:rPr>
      <w:rFonts w:ascii="Arial" w:hAnsi="Arial"/>
      <w:b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596CCE"/>
    <w:pPr>
      <w:spacing w:line="240" w:lineRule="auto"/>
      <w:ind w:left="454" w:hanging="454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596CCE"/>
    <w:rPr>
      <w:rFonts w:ascii="Calibri" w:eastAsia="Times New Roman" w:hAnsi="Calibri" w:cs="Times New Roman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596C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AC@TCU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O@tcu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toncs@tcu.gov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ucene.apache.org/core" TargetMode="External"/><Relationship Id="rId2" Type="http://schemas.openxmlformats.org/officeDocument/2006/relationships/hyperlink" Target="http://www.lumisportal.com.br/para-seus-negocios/" TargetMode="External"/><Relationship Id="rId1" Type="http://schemas.openxmlformats.org/officeDocument/2006/relationships/hyperlink" Target="https://www.mediawiki.org/wiki/MediaWiki" TargetMode="External"/><Relationship Id="rId4" Type="http://schemas.openxmlformats.org/officeDocument/2006/relationships/hyperlink" Target="https://moodle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Pinheiro de Melo Gomes</dc:creator>
  <cp:keywords/>
  <dc:description/>
  <cp:lastModifiedBy>Beatriz Pinheiro de Melo Gomes</cp:lastModifiedBy>
  <cp:revision>2</cp:revision>
  <dcterms:created xsi:type="dcterms:W3CDTF">2015-09-21T17:57:00Z</dcterms:created>
  <dcterms:modified xsi:type="dcterms:W3CDTF">2015-09-21T17:57:00Z</dcterms:modified>
</cp:coreProperties>
</file>